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44B" w:rsidRPr="00BA28BA" w:rsidRDefault="00DC744B" w:rsidP="00DC744B">
      <w:pPr>
        <w:autoSpaceDE w:val="0"/>
        <w:autoSpaceDN w:val="0"/>
        <w:spacing w:line="540" w:lineRule="exact"/>
        <w:jc w:val="center"/>
        <w:rPr>
          <w:rFonts w:ascii="黑体" w:eastAsia="黑体"/>
          <w:color w:val="000000"/>
          <w:sz w:val="36"/>
          <w:szCs w:val="32"/>
        </w:rPr>
      </w:pPr>
      <w:r w:rsidRPr="00BA28BA">
        <w:rPr>
          <w:rFonts w:ascii="黑体" w:eastAsia="黑体" w:hint="eastAsia"/>
          <w:color w:val="000000"/>
          <w:sz w:val="36"/>
          <w:szCs w:val="32"/>
        </w:rPr>
        <w:t>新昌农商银行“丰收·喜悦”（七天）</w:t>
      </w:r>
    </w:p>
    <w:p w:rsidR="00DC744B" w:rsidRPr="00BA28BA" w:rsidRDefault="00DC744B" w:rsidP="00BA28BA">
      <w:pPr>
        <w:autoSpaceDE w:val="0"/>
        <w:autoSpaceDN w:val="0"/>
        <w:spacing w:line="540" w:lineRule="exact"/>
        <w:ind w:leftChars="-202" w:left="123" w:hangingChars="152" w:hanging="547"/>
        <w:jc w:val="center"/>
        <w:rPr>
          <w:rFonts w:ascii="黑体" w:eastAsia="黑体"/>
          <w:color w:val="000000"/>
          <w:sz w:val="36"/>
          <w:szCs w:val="32"/>
        </w:rPr>
      </w:pPr>
      <w:r w:rsidRPr="00BA28BA">
        <w:rPr>
          <w:rFonts w:ascii="黑体" w:eastAsia="黑体" w:hint="eastAsia"/>
          <w:color w:val="000000"/>
          <w:sz w:val="36"/>
          <w:szCs w:val="32"/>
        </w:rPr>
        <w:t>201</w:t>
      </w:r>
      <w:r w:rsidR="00BD5C88">
        <w:rPr>
          <w:rFonts w:ascii="黑体" w:eastAsia="黑体" w:hint="eastAsia"/>
          <w:color w:val="000000"/>
          <w:sz w:val="36"/>
          <w:szCs w:val="32"/>
        </w:rPr>
        <w:t>6</w:t>
      </w:r>
      <w:r w:rsidRPr="00BA28BA">
        <w:rPr>
          <w:rFonts w:ascii="黑体" w:eastAsia="黑体" w:hint="eastAsia"/>
          <w:color w:val="000000"/>
          <w:sz w:val="36"/>
          <w:szCs w:val="32"/>
        </w:rPr>
        <w:t>年第</w:t>
      </w:r>
      <w:r w:rsidR="00383182">
        <w:rPr>
          <w:rFonts w:ascii="黑体" w:eastAsia="黑体" w:hint="eastAsia"/>
          <w:color w:val="000000"/>
          <w:sz w:val="36"/>
          <w:szCs w:val="32"/>
        </w:rPr>
        <w:t>3</w:t>
      </w:r>
      <w:r w:rsidRPr="00BA28BA">
        <w:rPr>
          <w:rFonts w:ascii="黑体" w:eastAsia="黑体" w:hint="eastAsia"/>
          <w:color w:val="000000"/>
          <w:sz w:val="36"/>
          <w:szCs w:val="32"/>
        </w:rPr>
        <w:t>期人民币理财产品风险揭示书</w:t>
      </w:r>
    </w:p>
    <w:p w:rsidR="00DC744B" w:rsidRPr="00BA28BA" w:rsidRDefault="00DC744B" w:rsidP="00BA28BA">
      <w:pPr>
        <w:autoSpaceDE w:val="0"/>
        <w:autoSpaceDN w:val="0"/>
        <w:spacing w:line="540" w:lineRule="exact"/>
        <w:ind w:firstLineChars="200" w:firstLine="482"/>
        <w:jc w:val="left"/>
        <w:rPr>
          <w:rFonts w:ascii="仿宋_GB2312" w:eastAsia="仿宋_GB2312" w:cs="楷体_GB2312"/>
          <w:b/>
          <w:sz w:val="24"/>
          <w:szCs w:val="28"/>
        </w:rPr>
      </w:pPr>
      <w:r w:rsidRPr="00BA28BA">
        <w:rPr>
          <w:rFonts w:ascii="仿宋_GB2312" w:eastAsia="仿宋_GB2312" w:cs="楷体_GB2312" w:hint="eastAsia"/>
          <w:b/>
          <w:sz w:val="24"/>
          <w:szCs w:val="28"/>
        </w:rPr>
        <w:t>投资者购买新昌农商银行“丰收·喜悦”（七天）201</w:t>
      </w:r>
      <w:r w:rsidR="00BD5C88">
        <w:rPr>
          <w:rFonts w:ascii="仿宋_GB2312" w:eastAsia="仿宋_GB2312" w:cs="楷体_GB2312" w:hint="eastAsia"/>
          <w:b/>
          <w:sz w:val="24"/>
          <w:szCs w:val="28"/>
        </w:rPr>
        <w:t>6</w:t>
      </w:r>
      <w:r w:rsidRPr="00BA28BA">
        <w:rPr>
          <w:rFonts w:ascii="仿宋_GB2312" w:eastAsia="仿宋_GB2312" w:cs="楷体_GB2312" w:hint="eastAsia"/>
          <w:b/>
          <w:sz w:val="24"/>
          <w:szCs w:val="28"/>
        </w:rPr>
        <w:t>年第</w:t>
      </w:r>
      <w:r w:rsidR="00383182">
        <w:rPr>
          <w:rFonts w:ascii="仿宋_GB2312" w:eastAsia="仿宋_GB2312" w:cs="楷体_GB2312" w:hint="eastAsia"/>
          <w:b/>
          <w:sz w:val="24"/>
          <w:szCs w:val="28"/>
        </w:rPr>
        <w:t>3</w:t>
      </w:r>
      <w:r w:rsidRPr="00BA28BA">
        <w:rPr>
          <w:rFonts w:ascii="仿宋_GB2312" w:eastAsia="仿宋_GB2312" w:cs="楷体_GB2312" w:hint="eastAsia"/>
          <w:b/>
          <w:sz w:val="24"/>
          <w:szCs w:val="28"/>
        </w:rPr>
        <w:t>期人民币理财产品，须充分认识到“理财非存款、产品有风险、投资须谨慎”。本理财产品有投资风险，您只能获得合同明确承诺的收益，您应充分认识投资风险，谨慎投资。以下谨就本理财产品项下风险举例提示：</w:t>
      </w:r>
    </w:p>
    <w:p w:rsidR="00DC744B" w:rsidRPr="00BA28BA" w:rsidRDefault="00DC744B" w:rsidP="00BA28BA">
      <w:pPr>
        <w:autoSpaceDE w:val="0"/>
        <w:autoSpaceDN w:val="0"/>
        <w:spacing w:line="540" w:lineRule="exact"/>
        <w:ind w:firstLineChars="200" w:firstLine="480"/>
        <w:jc w:val="left"/>
        <w:rPr>
          <w:rFonts w:ascii="仿宋_GB2312" w:eastAsia="仿宋_GB2312" w:cs="楷体_GB2312"/>
          <w:sz w:val="24"/>
          <w:szCs w:val="28"/>
        </w:rPr>
      </w:pPr>
      <w:r w:rsidRPr="00BA28BA">
        <w:rPr>
          <w:rFonts w:ascii="仿宋_GB2312" w:eastAsia="仿宋_GB2312" w:cs="楷体_GB2312" w:hint="eastAsia"/>
          <w:sz w:val="24"/>
          <w:szCs w:val="28"/>
        </w:rPr>
        <w:t>1.理财产品不成立风险：本理财产品开始认购至认购结束的期间，理财产品认购总金额未达到规模下限或市场发生剧烈波动，经新昌农商银行判断难以按照本理财产品书规定向投资者提供本理财产品，新昌农商银行有权宣布本理财产品不成立。</w:t>
      </w:r>
    </w:p>
    <w:p w:rsidR="00DC744B" w:rsidRPr="00BA28BA" w:rsidRDefault="00DC744B" w:rsidP="00BA28BA">
      <w:pPr>
        <w:autoSpaceDE w:val="0"/>
        <w:autoSpaceDN w:val="0"/>
        <w:spacing w:line="540" w:lineRule="exact"/>
        <w:ind w:firstLineChars="200" w:firstLine="480"/>
        <w:jc w:val="left"/>
        <w:rPr>
          <w:rFonts w:ascii="仿宋_GB2312" w:eastAsia="仿宋_GB2312" w:cs="楷体_GB2312"/>
          <w:sz w:val="24"/>
          <w:szCs w:val="28"/>
        </w:rPr>
      </w:pPr>
      <w:r w:rsidRPr="00BA28BA">
        <w:rPr>
          <w:rFonts w:ascii="仿宋_GB2312" w:eastAsia="仿宋_GB2312" w:cs="楷体_GB2312" w:hint="eastAsia"/>
          <w:sz w:val="24"/>
          <w:szCs w:val="28"/>
        </w:rPr>
        <w:t>2.理财本金损失风险：本理财产品为非保本浮动收益型理财产品，如发生理财产品项下所投资金融工具完全或部分丧失变现能力的不利情况，投资者将面临理财本金部分或全部损失的风险。</w:t>
      </w:r>
    </w:p>
    <w:p w:rsidR="00DC744B" w:rsidRPr="00BA28BA" w:rsidRDefault="00DC744B" w:rsidP="00BA28BA">
      <w:pPr>
        <w:autoSpaceDE w:val="0"/>
        <w:autoSpaceDN w:val="0"/>
        <w:spacing w:line="540" w:lineRule="exact"/>
        <w:ind w:firstLineChars="200" w:firstLine="480"/>
        <w:jc w:val="left"/>
        <w:rPr>
          <w:rFonts w:ascii="仿宋_GB2312" w:eastAsia="仿宋_GB2312" w:cs="楷体_GB2312"/>
          <w:sz w:val="24"/>
          <w:szCs w:val="28"/>
        </w:rPr>
      </w:pPr>
      <w:r w:rsidRPr="00BA28BA">
        <w:rPr>
          <w:rFonts w:ascii="仿宋_GB2312" w:eastAsia="仿宋_GB2312" w:cs="楷体_GB2312" w:hint="eastAsia"/>
          <w:sz w:val="24"/>
          <w:szCs w:val="28"/>
        </w:rPr>
        <w:t>3.市场风险：本理财产品的基础资产价值受未来市场的不确定影响可能出现波动，从而导致客户收益波动、收益为零甚至本金损失的情况。</w:t>
      </w:r>
    </w:p>
    <w:p w:rsidR="00DC744B" w:rsidRPr="00BA28BA" w:rsidRDefault="00DC744B" w:rsidP="00BA28BA">
      <w:pPr>
        <w:autoSpaceDE w:val="0"/>
        <w:autoSpaceDN w:val="0"/>
        <w:spacing w:line="540" w:lineRule="exact"/>
        <w:ind w:firstLineChars="200" w:firstLine="480"/>
        <w:jc w:val="left"/>
        <w:rPr>
          <w:rFonts w:ascii="仿宋_GB2312" w:eastAsia="仿宋_GB2312" w:cs="楷体_GB2312"/>
          <w:sz w:val="24"/>
          <w:szCs w:val="28"/>
        </w:rPr>
      </w:pPr>
      <w:r w:rsidRPr="00BA28BA">
        <w:rPr>
          <w:rFonts w:ascii="仿宋_GB2312" w:eastAsia="仿宋_GB2312" w:cs="楷体_GB2312" w:hint="eastAsia"/>
          <w:sz w:val="24"/>
          <w:szCs w:val="28"/>
        </w:rPr>
        <w:t>4.利率及通货膨胀风险：在本理财产品存续期限内，即使中国人民银行调整基准利率，产品的预期收益率可能并不会随之予以调整，因此，存在本理财产品的预期收益率及/或实际收益率低于人民银行基准利率的风险。同时，本理财产品存在客户预期收益率及/或实际收益率可能低于通货膨胀率，从而导致客户实际收益为负的风险。</w:t>
      </w:r>
    </w:p>
    <w:p w:rsidR="00DC744B" w:rsidRPr="00BA28BA" w:rsidRDefault="00DC744B" w:rsidP="00BA28BA">
      <w:pPr>
        <w:autoSpaceDE w:val="0"/>
        <w:autoSpaceDN w:val="0"/>
        <w:spacing w:line="540" w:lineRule="exact"/>
        <w:ind w:firstLineChars="200" w:firstLine="480"/>
        <w:jc w:val="left"/>
        <w:rPr>
          <w:rFonts w:ascii="仿宋_GB2312" w:eastAsia="仿宋_GB2312" w:cs="楷体_GB2312"/>
          <w:sz w:val="24"/>
          <w:szCs w:val="28"/>
        </w:rPr>
      </w:pPr>
      <w:r w:rsidRPr="00BA28BA">
        <w:rPr>
          <w:rFonts w:ascii="仿宋_GB2312" w:eastAsia="仿宋_GB2312" w:cs="楷体_GB2312" w:hint="eastAsia"/>
          <w:sz w:val="24"/>
          <w:szCs w:val="28"/>
        </w:rPr>
        <w:t>5.流动性风险：产品存续期内，可在产品开放赎回日的指定时段提出赎回申请。正常情况下，申请赎回的投资本金与收益将于赎回申请确认日之后的2个产品工作日内兑付。若发生巨额赎回情形，可能导致投资者需要资金时不能按需变现，并可能使客户丧失其他投资机会。</w:t>
      </w:r>
    </w:p>
    <w:p w:rsidR="00DC744B" w:rsidRPr="00BA28BA" w:rsidRDefault="00DC744B" w:rsidP="00BA28BA">
      <w:pPr>
        <w:autoSpaceDE w:val="0"/>
        <w:autoSpaceDN w:val="0"/>
        <w:spacing w:line="540" w:lineRule="exact"/>
        <w:ind w:firstLineChars="200" w:firstLine="480"/>
        <w:jc w:val="left"/>
        <w:rPr>
          <w:rFonts w:ascii="仿宋_GB2312" w:eastAsia="仿宋_GB2312" w:cs="楷体_GB2312"/>
          <w:sz w:val="24"/>
          <w:szCs w:val="28"/>
        </w:rPr>
      </w:pPr>
      <w:r w:rsidRPr="00BA28BA">
        <w:rPr>
          <w:rFonts w:ascii="仿宋_GB2312" w:eastAsia="仿宋_GB2312" w:cs="楷体_GB2312" w:hint="eastAsia"/>
          <w:sz w:val="24"/>
          <w:szCs w:val="28"/>
        </w:rPr>
        <w:t>6.提前终止风险：在投资期内，如发生新昌农商银行认为需要提前终止本理财产品的情况，新昌农商银行有权提前终止本理财产品。投资者可能面临不能按预期期限取得预期收益的风险。</w:t>
      </w:r>
    </w:p>
    <w:p w:rsidR="00DC744B" w:rsidRPr="00BA28BA" w:rsidRDefault="00DC744B" w:rsidP="00BA28BA">
      <w:pPr>
        <w:autoSpaceDE w:val="0"/>
        <w:autoSpaceDN w:val="0"/>
        <w:spacing w:line="540" w:lineRule="exact"/>
        <w:ind w:firstLineChars="200" w:firstLine="480"/>
        <w:jc w:val="left"/>
        <w:rPr>
          <w:rFonts w:ascii="仿宋_GB2312" w:eastAsia="仿宋_GB2312" w:cs="楷体_GB2312"/>
          <w:sz w:val="24"/>
          <w:szCs w:val="28"/>
        </w:rPr>
      </w:pPr>
      <w:r w:rsidRPr="00BA28BA">
        <w:rPr>
          <w:rFonts w:ascii="仿宋_GB2312" w:eastAsia="仿宋_GB2312" w:cs="楷体_GB2312" w:hint="eastAsia"/>
          <w:sz w:val="24"/>
          <w:szCs w:val="28"/>
        </w:rPr>
        <w:t>7.延期风险：如因理财产品项下对应的理财财产不能及时变现等原因造成理财产品不能</w:t>
      </w:r>
      <w:r w:rsidRPr="00BA28BA">
        <w:rPr>
          <w:rFonts w:ascii="仿宋_GB2312" w:eastAsia="仿宋_GB2312" w:cs="楷体_GB2312" w:hint="eastAsia"/>
          <w:sz w:val="24"/>
          <w:szCs w:val="28"/>
        </w:rPr>
        <w:lastRenderedPageBreak/>
        <w:t>按时偿还本金及收益，理财产品将面临期限相应延长或进行二次清算的可能。</w:t>
      </w:r>
    </w:p>
    <w:p w:rsidR="00DC744B" w:rsidRPr="00BA28BA" w:rsidRDefault="00DC744B" w:rsidP="00BA28BA">
      <w:pPr>
        <w:autoSpaceDE w:val="0"/>
        <w:autoSpaceDN w:val="0"/>
        <w:spacing w:line="540" w:lineRule="exact"/>
        <w:ind w:firstLineChars="200" w:firstLine="480"/>
        <w:jc w:val="left"/>
        <w:rPr>
          <w:rFonts w:ascii="仿宋_GB2312" w:eastAsia="仿宋_GB2312" w:cs="楷体_GB2312"/>
          <w:sz w:val="24"/>
          <w:szCs w:val="28"/>
        </w:rPr>
      </w:pPr>
      <w:r w:rsidRPr="00BA28BA">
        <w:rPr>
          <w:rFonts w:ascii="仿宋_GB2312" w:eastAsia="仿宋_GB2312" w:cs="楷体_GB2312" w:hint="eastAsia"/>
          <w:sz w:val="24"/>
          <w:szCs w:val="28"/>
        </w:rPr>
        <w:t>8.信息传递风险：投资者应根据本理财产品说明书所载明的有关“信息披露”的约定，及时查询本理财产品的相关信息。如果投资者未及时查询、投资者联系方式变更未及时告知新昌农商银行，或由于通讯故障、系统故障以及其他不可抗力等因素的影响使得投资者无法及时了解产品信息，并由此影响投资者的投资决策，因此而产生的责任和风险由投资者自行承担。</w:t>
      </w:r>
    </w:p>
    <w:p w:rsidR="00DC744B" w:rsidRPr="00BA28BA" w:rsidRDefault="00DC744B" w:rsidP="00BA28BA">
      <w:pPr>
        <w:autoSpaceDE w:val="0"/>
        <w:autoSpaceDN w:val="0"/>
        <w:spacing w:line="540" w:lineRule="exact"/>
        <w:ind w:firstLineChars="200" w:firstLine="480"/>
        <w:jc w:val="left"/>
        <w:rPr>
          <w:rFonts w:ascii="仿宋_GB2312" w:eastAsia="仿宋_GB2312" w:cs="楷体_GB2312"/>
          <w:sz w:val="24"/>
          <w:szCs w:val="28"/>
        </w:rPr>
      </w:pPr>
      <w:r w:rsidRPr="00BA28BA">
        <w:rPr>
          <w:rFonts w:ascii="仿宋_GB2312" w:eastAsia="仿宋_GB2312" w:cs="楷体_GB2312" w:hint="eastAsia"/>
          <w:sz w:val="24"/>
          <w:szCs w:val="28"/>
        </w:rPr>
        <w:t>9.管理风险：包括但不限于理财产品投资管理人操作风险，即理财产品投资管理人未履行勤勉尽责义务、业务人员操作失误或差错而产生的风险；若投资管理人将理财资金通过信托或其他方式投资于标的资产，信托公司或其他合作机构受经验、技术等因素的限制，可能会影响其对信托资金的管理，导致受托资金遭受损失。</w:t>
      </w:r>
    </w:p>
    <w:p w:rsidR="00DC744B" w:rsidRPr="00BA28BA" w:rsidRDefault="00DC744B" w:rsidP="00BA28BA">
      <w:pPr>
        <w:autoSpaceDE w:val="0"/>
        <w:autoSpaceDN w:val="0"/>
        <w:spacing w:line="540" w:lineRule="exact"/>
        <w:ind w:firstLineChars="200" w:firstLine="480"/>
        <w:jc w:val="left"/>
        <w:rPr>
          <w:rFonts w:ascii="仿宋_GB2312" w:eastAsia="仿宋_GB2312" w:cs="楷体_GB2312"/>
          <w:sz w:val="24"/>
          <w:szCs w:val="28"/>
        </w:rPr>
      </w:pPr>
      <w:r w:rsidRPr="00BA28BA">
        <w:rPr>
          <w:rFonts w:ascii="仿宋_GB2312" w:eastAsia="仿宋_GB2312" w:cs="楷体_GB2312" w:hint="eastAsia"/>
          <w:sz w:val="24"/>
          <w:szCs w:val="28"/>
        </w:rPr>
        <w:t>10.其他风险：战争、自然灾害、金融市场危机、国家政策变化等不可抗力因素的出现，或银行系统故障、通讯故障、投资市场停止交易等意外事件的发生，将会严重影响金融市场的运行，可能导致受托管理资产的损失，甚至影响理财产品的受理、投资、偿还等的正常运行，进而影响理财产品的资金安全。对于由于不可抗力及意外事件风险导致的任何损失，客户须自行承担，新昌农商银行对此不承担任何责任。</w:t>
      </w:r>
    </w:p>
    <w:p w:rsidR="00DC744B" w:rsidRPr="00BA28BA" w:rsidRDefault="00DC744B" w:rsidP="00BA28BA">
      <w:pPr>
        <w:autoSpaceDE w:val="0"/>
        <w:autoSpaceDN w:val="0"/>
        <w:spacing w:line="540" w:lineRule="exact"/>
        <w:ind w:firstLineChars="200" w:firstLine="480"/>
        <w:jc w:val="left"/>
        <w:rPr>
          <w:rFonts w:ascii="仿宋_GB2312" w:eastAsia="仿宋_GB2312" w:cs="楷体_GB2312"/>
          <w:sz w:val="24"/>
          <w:szCs w:val="28"/>
        </w:rPr>
      </w:pPr>
      <w:r w:rsidRPr="00BA28BA">
        <w:rPr>
          <w:rFonts w:ascii="仿宋_GB2312" w:eastAsia="仿宋_GB2312" w:cs="楷体_GB2312" w:hint="eastAsia"/>
          <w:sz w:val="24"/>
          <w:szCs w:val="28"/>
        </w:rPr>
        <w:t>上述举例提示可能并未穷尽本理财产品项下可能出现的所有风险。</w:t>
      </w:r>
    </w:p>
    <w:p w:rsidR="00DC744B" w:rsidRPr="00BA28BA" w:rsidRDefault="00DC744B" w:rsidP="00BA28BA">
      <w:pPr>
        <w:autoSpaceDE w:val="0"/>
        <w:autoSpaceDN w:val="0"/>
        <w:spacing w:line="540" w:lineRule="exact"/>
        <w:ind w:firstLineChars="200" w:firstLine="482"/>
        <w:jc w:val="left"/>
        <w:rPr>
          <w:rFonts w:ascii="仿宋_GB2312" w:eastAsia="仿宋_GB2312" w:cs="楷体_GB2312"/>
          <w:b/>
          <w:sz w:val="24"/>
          <w:szCs w:val="28"/>
        </w:rPr>
      </w:pPr>
      <w:r w:rsidRPr="00BA28BA">
        <w:rPr>
          <w:rFonts w:ascii="仿宋_GB2312" w:eastAsia="仿宋_GB2312" w:cs="楷体_GB2312"/>
          <w:b/>
          <w:sz w:val="24"/>
          <w:szCs w:val="28"/>
        </w:rPr>
        <w:t>本理财产品是高风险投资产品，您的本金可能会因市场变动而蒙受重大损失，您应充分认识投资风险，谨慎投资</w:t>
      </w:r>
      <w:r w:rsidRPr="00BA28BA">
        <w:rPr>
          <w:rFonts w:ascii="仿宋_GB2312" w:eastAsia="仿宋_GB2312" w:cs="楷体_GB2312" w:hint="eastAsia"/>
          <w:b/>
          <w:sz w:val="24"/>
          <w:szCs w:val="28"/>
        </w:rPr>
        <w:t>。</w:t>
      </w:r>
    </w:p>
    <w:p w:rsidR="00DC744B" w:rsidRPr="00BA28BA" w:rsidRDefault="00DC744B" w:rsidP="00BA28BA">
      <w:pPr>
        <w:autoSpaceDE w:val="0"/>
        <w:autoSpaceDN w:val="0"/>
        <w:spacing w:line="540" w:lineRule="exact"/>
        <w:ind w:firstLineChars="200" w:firstLine="482"/>
        <w:jc w:val="left"/>
        <w:rPr>
          <w:rFonts w:ascii="仿宋_GB2312" w:eastAsia="仿宋_GB2312" w:cs="楷体_GB2312"/>
          <w:b/>
          <w:sz w:val="24"/>
          <w:szCs w:val="28"/>
        </w:rPr>
      </w:pPr>
      <w:r w:rsidRPr="00BA28BA">
        <w:rPr>
          <w:rFonts w:ascii="仿宋_GB2312" w:eastAsia="仿宋_GB2312" w:cs="楷体_GB2312" w:hint="eastAsia"/>
          <w:b/>
          <w:sz w:val="24"/>
          <w:szCs w:val="28"/>
        </w:rPr>
        <w:t>客户在投资者签字栏签字的行为即表示客户已详细阅知《新昌农商银行“丰收·喜悦”（七天）201</w:t>
      </w:r>
      <w:r w:rsidR="00BD5C88">
        <w:rPr>
          <w:rFonts w:ascii="仿宋_GB2312" w:eastAsia="仿宋_GB2312" w:cs="楷体_GB2312" w:hint="eastAsia"/>
          <w:b/>
          <w:sz w:val="24"/>
          <w:szCs w:val="28"/>
        </w:rPr>
        <w:t>6</w:t>
      </w:r>
      <w:r w:rsidRPr="00BA28BA">
        <w:rPr>
          <w:rFonts w:ascii="仿宋_GB2312" w:eastAsia="仿宋_GB2312" w:cs="楷体_GB2312" w:hint="eastAsia"/>
          <w:b/>
          <w:sz w:val="24"/>
          <w:szCs w:val="28"/>
        </w:rPr>
        <w:t>年第</w:t>
      </w:r>
      <w:r w:rsidR="00383182">
        <w:rPr>
          <w:rFonts w:ascii="仿宋_GB2312" w:eastAsia="仿宋_GB2312" w:cs="楷体_GB2312" w:hint="eastAsia"/>
          <w:b/>
          <w:sz w:val="24"/>
          <w:szCs w:val="28"/>
        </w:rPr>
        <w:t>3</w:t>
      </w:r>
      <w:r w:rsidRPr="00BA28BA">
        <w:rPr>
          <w:rFonts w:ascii="仿宋_GB2312" w:eastAsia="仿宋_GB2312" w:cs="楷体_GB2312" w:hint="eastAsia"/>
          <w:b/>
          <w:sz w:val="24"/>
          <w:szCs w:val="28"/>
        </w:rPr>
        <w:t>期人民币理财产品说明书》、《新昌农商银行“丰收·喜悦”（七天）201</w:t>
      </w:r>
      <w:r w:rsidR="00BD5C88">
        <w:rPr>
          <w:rFonts w:ascii="仿宋_GB2312" w:eastAsia="仿宋_GB2312" w:cs="楷体_GB2312" w:hint="eastAsia"/>
          <w:b/>
          <w:sz w:val="24"/>
          <w:szCs w:val="28"/>
        </w:rPr>
        <w:t>6</w:t>
      </w:r>
      <w:r w:rsidRPr="00BA28BA">
        <w:rPr>
          <w:rFonts w:ascii="仿宋_GB2312" w:eastAsia="仿宋_GB2312" w:cs="楷体_GB2312" w:hint="eastAsia"/>
          <w:b/>
          <w:sz w:val="24"/>
          <w:szCs w:val="28"/>
        </w:rPr>
        <w:t>年第</w:t>
      </w:r>
      <w:r w:rsidR="00383182">
        <w:rPr>
          <w:rFonts w:ascii="仿宋_GB2312" w:eastAsia="仿宋_GB2312" w:cs="楷体_GB2312" w:hint="eastAsia"/>
          <w:b/>
          <w:sz w:val="24"/>
          <w:szCs w:val="28"/>
        </w:rPr>
        <w:t>3</w:t>
      </w:r>
      <w:r w:rsidRPr="00BA28BA">
        <w:rPr>
          <w:rFonts w:ascii="仿宋_GB2312" w:eastAsia="仿宋_GB2312" w:cs="楷体_GB2312" w:hint="eastAsia"/>
          <w:b/>
          <w:sz w:val="24"/>
          <w:szCs w:val="28"/>
        </w:rPr>
        <w:t>期人民币理财产品风险揭示书》。新昌农商银行已就上述文件的全部条款和内容向客户进行了详细的说明和解释，客户已不存在任何疑问或异议，并对合同双方的权利、义务及风险有全面、准确的理解，充分了解并愿意</w:t>
      </w:r>
      <w:bookmarkStart w:id="0" w:name="_GoBack"/>
      <w:bookmarkEnd w:id="0"/>
      <w:r w:rsidRPr="00BA28BA">
        <w:rPr>
          <w:rFonts w:ascii="仿宋_GB2312" w:eastAsia="仿宋_GB2312" w:cs="楷体_GB2312" w:hint="eastAsia"/>
          <w:b/>
          <w:sz w:val="24"/>
          <w:szCs w:val="28"/>
        </w:rPr>
        <w:t>承担本合同项下理财产品的风险，同意接受合同条款的约束。</w:t>
      </w:r>
    </w:p>
    <w:p w:rsidR="00DC744B" w:rsidRPr="00BA28BA" w:rsidRDefault="00DC744B" w:rsidP="00BA28BA">
      <w:pPr>
        <w:pStyle w:val="a3"/>
        <w:widowControl w:val="0"/>
        <w:kinsoku w:val="0"/>
        <w:autoSpaceDE w:val="0"/>
        <w:adjustRightInd w:val="0"/>
        <w:snapToGrid w:val="0"/>
        <w:spacing w:before="0" w:beforeAutospacing="0" w:after="0" w:afterAutospacing="0" w:line="540" w:lineRule="exact"/>
        <w:ind w:firstLineChars="1700" w:firstLine="4096"/>
        <w:rPr>
          <w:rFonts w:ascii="楷体_GB2312" w:eastAsia="楷体_GB2312"/>
          <w:b/>
          <w:bCs/>
          <w:szCs w:val="28"/>
          <w:u w:val="single"/>
        </w:rPr>
      </w:pPr>
      <w:r w:rsidRPr="00BA28BA">
        <w:rPr>
          <w:rFonts w:ascii="楷体_GB2312" w:eastAsia="楷体_GB2312" w:hint="eastAsia"/>
          <w:b/>
          <w:bCs/>
          <w:szCs w:val="28"/>
        </w:rPr>
        <w:t>投资者签字栏：</w:t>
      </w:r>
      <w:r w:rsidRPr="00BA28BA">
        <w:rPr>
          <w:rFonts w:ascii="楷体_GB2312" w:eastAsia="楷体_GB2312" w:hint="eastAsia"/>
          <w:b/>
          <w:bCs/>
          <w:szCs w:val="28"/>
          <w:u w:val="single"/>
        </w:rPr>
        <w:t xml:space="preserve">                                </w:t>
      </w:r>
    </w:p>
    <w:p w:rsidR="00DC744B" w:rsidRPr="00BA28BA" w:rsidRDefault="00DC744B" w:rsidP="00DC744B">
      <w:pPr>
        <w:autoSpaceDE w:val="0"/>
        <w:autoSpaceDN w:val="0"/>
        <w:spacing w:line="540" w:lineRule="exact"/>
        <w:ind w:right="1120"/>
        <w:jc w:val="right"/>
        <w:rPr>
          <w:rFonts w:ascii="仿宋_GB2312" w:hAnsi="¿¬Ìå_GB2312"/>
          <w:sz w:val="24"/>
          <w:szCs w:val="28"/>
        </w:rPr>
      </w:pPr>
      <w:r w:rsidRPr="00BA28BA">
        <w:rPr>
          <w:rFonts w:hint="eastAsia"/>
          <w:sz w:val="24"/>
          <w:szCs w:val="28"/>
        </w:rPr>
        <w:t xml:space="preserve">                    </w:t>
      </w:r>
      <w:r w:rsidRPr="00BA28BA">
        <w:rPr>
          <w:rFonts w:hint="eastAsia"/>
          <w:sz w:val="24"/>
          <w:szCs w:val="28"/>
        </w:rPr>
        <w:t>年</w:t>
      </w:r>
      <w:r w:rsidRPr="00BA28BA">
        <w:rPr>
          <w:rFonts w:hint="eastAsia"/>
          <w:sz w:val="24"/>
          <w:szCs w:val="28"/>
        </w:rPr>
        <w:t xml:space="preserve">     </w:t>
      </w:r>
      <w:r w:rsidRPr="00BA28BA">
        <w:rPr>
          <w:rFonts w:hint="eastAsia"/>
          <w:sz w:val="24"/>
          <w:szCs w:val="28"/>
        </w:rPr>
        <w:t>月</w:t>
      </w:r>
      <w:r w:rsidRPr="00BA28BA">
        <w:rPr>
          <w:rFonts w:hint="eastAsia"/>
          <w:sz w:val="24"/>
          <w:szCs w:val="28"/>
        </w:rPr>
        <w:t xml:space="preserve">     </w:t>
      </w:r>
      <w:r w:rsidRPr="00BA28BA">
        <w:rPr>
          <w:rFonts w:hint="eastAsia"/>
          <w:sz w:val="24"/>
          <w:szCs w:val="28"/>
        </w:rPr>
        <w:t>日</w:t>
      </w:r>
    </w:p>
    <w:p w:rsidR="00DC744B" w:rsidRPr="00BA28BA" w:rsidRDefault="00DC744B" w:rsidP="00DC744B">
      <w:pPr>
        <w:adjustRightInd w:val="0"/>
        <w:snapToGrid w:val="0"/>
        <w:spacing w:beforeLines="100" w:before="312" w:line="540" w:lineRule="exact"/>
        <w:ind w:leftChars="-67" w:left="-141"/>
        <w:rPr>
          <w:rFonts w:ascii="仿宋_GB2312" w:eastAsia="仿宋_GB2312" w:cs="楷体_GB2312"/>
          <w:b/>
          <w:sz w:val="24"/>
          <w:szCs w:val="28"/>
        </w:rPr>
      </w:pPr>
      <w:r w:rsidRPr="00BA28BA">
        <w:rPr>
          <w:rFonts w:ascii="仿宋_GB2312" w:eastAsia="仿宋_GB2312" w:cs="楷体_GB2312" w:hint="eastAsia"/>
          <w:b/>
          <w:sz w:val="24"/>
          <w:szCs w:val="28"/>
        </w:rPr>
        <w:lastRenderedPageBreak/>
        <w:t>提示：如影响您风险承受能力的因素发生变化，请及时完成风险承受能力评估。</w:t>
      </w:r>
    </w:p>
    <w:p w:rsidR="00BA28BA" w:rsidRPr="00BA28BA" w:rsidRDefault="00BA28BA" w:rsidP="00BA28BA">
      <w:pPr>
        <w:snapToGrid w:val="0"/>
        <w:spacing w:beforeLines="100" w:before="312"/>
        <w:ind w:leftChars="-67" w:left="-141"/>
        <w:rPr>
          <w:rFonts w:ascii="仿宋_GB2312" w:eastAsia="仿宋_GB2312" w:cs="楷体_GB2312"/>
          <w:b/>
          <w:sz w:val="20"/>
          <w:szCs w:val="21"/>
        </w:rPr>
      </w:pPr>
      <w:r w:rsidRPr="00BA28BA">
        <w:rPr>
          <w:rFonts w:ascii="仿宋_GB2312" w:eastAsia="仿宋_GB2312" w:cs="楷体_GB2312" w:hint="eastAsia"/>
          <w:b/>
          <w:sz w:val="20"/>
          <w:szCs w:val="21"/>
        </w:rPr>
        <w:t>提示：如影响您风险承受能力的因素发生变化，请及时完成风险承受能力评估。</w:t>
      </w:r>
    </w:p>
    <w:p w:rsidR="00BA28BA" w:rsidRPr="00BA28BA" w:rsidRDefault="00BA28BA" w:rsidP="00BA28BA">
      <w:pPr>
        <w:snapToGrid w:val="0"/>
        <w:ind w:leftChars="-67" w:left="-141"/>
        <w:rPr>
          <w:rFonts w:ascii="仿宋_GB2312" w:eastAsia="仿宋_GB2312" w:cs="楷体_GB2312"/>
          <w:b/>
          <w:sz w:val="20"/>
          <w:szCs w:val="21"/>
        </w:rPr>
      </w:pPr>
    </w:p>
    <w:p w:rsidR="00BA28BA" w:rsidRPr="00BA28BA" w:rsidRDefault="00BA28BA" w:rsidP="00BA28BA">
      <w:pPr>
        <w:pStyle w:val="a3"/>
        <w:widowControl w:val="0"/>
        <w:kinsoku w:val="0"/>
        <w:autoSpaceDE w:val="0"/>
        <w:adjustRightInd w:val="0"/>
        <w:snapToGrid w:val="0"/>
        <w:spacing w:before="0" w:beforeAutospacing="0" w:after="0" w:afterAutospacing="0" w:line="336" w:lineRule="auto"/>
        <w:jc w:val="center"/>
        <w:rPr>
          <w:rFonts w:ascii="黑体" w:eastAsia="黑体"/>
          <w:sz w:val="28"/>
          <w:szCs w:val="32"/>
        </w:rPr>
      </w:pPr>
    </w:p>
    <w:p w:rsidR="00BA28BA" w:rsidRPr="00BA28BA" w:rsidRDefault="00BA28BA" w:rsidP="00BA28BA">
      <w:pPr>
        <w:pStyle w:val="a3"/>
        <w:widowControl w:val="0"/>
        <w:kinsoku w:val="0"/>
        <w:autoSpaceDE w:val="0"/>
        <w:adjustRightInd w:val="0"/>
        <w:snapToGrid w:val="0"/>
        <w:spacing w:before="0" w:beforeAutospacing="0" w:after="0" w:afterAutospacing="0" w:line="336" w:lineRule="auto"/>
        <w:jc w:val="center"/>
        <w:rPr>
          <w:rFonts w:ascii="黑体" w:eastAsia="黑体"/>
          <w:sz w:val="28"/>
          <w:szCs w:val="32"/>
        </w:rPr>
      </w:pPr>
      <w:r w:rsidRPr="00BA28BA">
        <w:rPr>
          <w:rFonts w:ascii="黑体" w:eastAsia="黑体" w:hint="eastAsia"/>
          <w:sz w:val="28"/>
          <w:szCs w:val="32"/>
        </w:rPr>
        <w:t>客户主动要求购买理财产品确认栏</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933"/>
      </w:tblGrid>
      <w:tr w:rsidR="00BA28BA" w:rsidRPr="00BA28BA" w:rsidTr="007366A2">
        <w:trPr>
          <w:trHeight w:val="5526"/>
        </w:trPr>
        <w:tc>
          <w:tcPr>
            <w:tcW w:w="8933" w:type="dxa"/>
            <w:tcBorders>
              <w:top w:val="single" w:sz="4" w:space="0" w:color="auto"/>
              <w:left w:val="single" w:sz="4" w:space="0" w:color="auto"/>
              <w:bottom w:val="single" w:sz="4" w:space="0" w:color="auto"/>
              <w:right w:val="single" w:sz="4" w:space="0" w:color="auto"/>
            </w:tcBorders>
          </w:tcPr>
          <w:p w:rsidR="00BA28BA" w:rsidRPr="00BA28BA" w:rsidRDefault="00BA28BA" w:rsidP="007366A2">
            <w:pPr>
              <w:spacing w:line="336" w:lineRule="auto"/>
              <w:rPr>
                <w:rFonts w:eastAsia="仿宋_GB2312" w:cs="Arial Unicode MS"/>
                <w:color w:val="000000"/>
                <w:sz w:val="20"/>
                <w:szCs w:val="21"/>
              </w:rPr>
            </w:pPr>
            <w:r w:rsidRPr="00BA28BA">
              <w:rPr>
                <w:rFonts w:ascii="仿宋_GB2312" w:eastAsia="仿宋_GB2312" w:hAnsi="宋体" w:hint="eastAsia"/>
                <w:b/>
                <w:color w:val="000000"/>
                <w:sz w:val="20"/>
                <w:szCs w:val="21"/>
              </w:rPr>
              <w:t xml:space="preserve">    </w:t>
            </w:r>
            <w:r w:rsidRPr="00BA28BA">
              <w:rPr>
                <w:rFonts w:eastAsia="仿宋_GB2312" w:cs="Arial Unicode MS" w:hint="eastAsia"/>
                <w:color w:val="000000"/>
                <w:sz w:val="20"/>
                <w:szCs w:val="21"/>
              </w:rPr>
              <w:t>根据监管部门的要求，为确保个人投资者充分理解本理财产品的风险，请在确认栏抄录以下语句并签名：</w:t>
            </w:r>
          </w:p>
          <w:p w:rsidR="00BA28BA" w:rsidRPr="00BA28BA" w:rsidRDefault="00BA28BA" w:rsidP="007366A2">
            <w:pPr>
              <w:autoSpaceDE w:val="0"/>
              <w:autoSpaceDN w:val="0"/>
              <w:spacing w:line="560" w:lineRule="exact"/>
              <w:rPr>
                <w:rFonts w:eastAsia="仿宋_GB2312" w:cs="Arial Unicode MS"/>
                <w:b/>
                <w:bCs/>
                <w:color w:val="000000"/>
                <w:sz w:val="20"/>
                <w:szCs w:val="21"/>
              </w:rPr>
            </w:pPr>
            <w:r w:rsidRPr="00BA28BA">
              <w:rPr>
                <w:rFonts w:eastAsia="仿宋_GB2312" w:cs="Arial Unicode MS" w:hint="eastAsia"/>
                <w:b/>
                <w:bCs/>
                <w:color w:val="000000"/>
                <w:sz w:val="20"/>
                <w:szCs w:val="21"/>
              </w:rPr>
              <w:t>“本人已经阅读风险揭示，愿意承担投资风险。”</w:t>
            </w:r>
          </w:p>
          <w:p w:rsidR="00BA28BA" w:rsidRPr="00BA28BA" w:rsidRDefault="00BA28BA" w:rsidP="007366A2">
            <w:pPr>
              <w:spacing w:line="336" w:lineRule="auto"/>
              <w:rPr>
                <w:rFonts w:eastAsia="仿宋_GB2312" w:cs="Arial Unicode MS"/>
                <w:color w:val="000000"/>
                <w:sz w:val="20"/>
                <w:szCs w:val="21"/>
              </w:rPr>
            </w:pPr>
          </w:p>
          <w:p w:rsidR="00BA28BA" w:rsidRPr="00BA28BA" w:rsidRDefault="00BA28BA" w:rsidP="007366A2">
            <w:pPr>
              <w:spacing w:line="336" w:lineRule="auto"/>
              <w:rPr>
                <w:rFonts w:eastAsia="仿宋_GB2312" w:cs="Arial Unicode MS"/>
                <w:color w:val="000000"/>
                <w:sz w:val="20"/>
                <w:szCs w:val="21"/>
                <w:u w:val="single"/>
              </w:rPr>
            </w:pPr>
            <w:r w:rsidRPr="00BA28BA">
              <w:rPr>
                <w:rFonts w:eastAsia="仿宋_GB2312" w:cs="Arial Unicode MS" w:hint="eastAsia"/>
                <w:color w:val="000000"/>
                <w:sz w:val="20"/>
                <w:szCs w:val="21"/>
              </w:rPr>
              <w:t>投资者确认栏：</w:t>
            </w:r>
            <w:r w:rsidRPr="00BA28BA">
              <w:rPr>
                <w:rFonts w:eastAsia="仿宋_GB2312" w:cs="Arial Unicode MS"/>
                <w:color w:val="000000"/>
                <w:sz w:val="20"/>
                <w:szCs w:val="21"/>
                <w:u w:val="single"/>
              </w:rPr>
              <w:t xml:space="preserve">                                                                     </w:t>
            </w:r>
          </w:p>
          <w:p w:rsidR="00BA28BA" w:rsidRPr="00BA28BA" w:rsidRDefault="00BA28BA" w:rsidP="007366A2">
            <w:pPr>
              <w:spacing w:line="336" w:lineRule="auto"/>
              <w:rPr>
                <w:rFonts w:eastAsia="仿宋_GB2312" w:cs="Arial Unicode MS"/>
                <w:color w:val="000000"/>
                <w:sz w:val="20"/>
                <w:szCs w:val="21"/>
                <w:u w:val="single"/>
              </w:rPr>
            </w:pPr>
          </w:p>
          <w:p w:rsidR="00BA28BA" w:rsidRPr="00BA28BA" w:rsidRDefault="00BA28BA" w:rsidP="007366A2">
            <w:pPr>
              <w:spacing w:line="336" w:lineRule="auto"/>
              <w:rPr>
                <w:rFonts w:eastAsia="仿宋_GB2312" w:cs="Arial Unicode MS"/>
                <w:color w:val="000000"/>
                <w:sz w:val="20"/>
                <w:szCs w:val="21"/>
              </w:rPr>
            </w:pPr>
            <w:r w:rsidRPr="00BA28BA">
              <w:rPr>
                <w:rFonts w:eastAsia="仿宋_GB2312" w:cs="Arial Unicode MS"/>
                <w:color w:val="000000"/>
                <w:sz w:val="20"/>
                <w:szCs w:val="21"/>
                <w:u w:val="single"/>
              </w:rPr>
              <w:t xml:space="preserve">                                                                                   </w:t>
            </w:r>
          </w:p>
          <w:p w:rsidR="00BA28BA" w:rsidRPr="00BA28BA" w:rsidRDefault="00BA28BA" w:rsidP="007366A2">
            <w:pPr>
              <w:spacing w:line="336" w:lineRule="auto"/>
              <w:rPr>
                <w:rFonts w:eastAsia="仿宋_GB2312" w:cs="Arial Unicode MS"/>
                <w:color w:val="000000"/>
                <w:sz w:val="20"/>
                <w:szCs w:val="21"/>
              </w:rPr>
            </w:pPr>
          </w:p>
          <w:p w:rsidR="00BA28BA" w:rsidRPr="00BA28BA" w:rsidRDefault="00BA28BA" w:rsidP="007366A2">
            <w:pPr>
              <w:spacing w:line="336" w:lineRule="auto"/>
              <w:rPr>
                <w:rFonts w:eastAsia="仿宋_GB2312" w:cs="Arial Unicode MS"/>
                <w:color w:val="000000"/>
                <w:sz w:val="20"/>
                <w:szCs w:val="21"/>
              </w:rPr>
            </w:pPr>
            <w:r w:rsidRPr="00BA28BA">
              <w:rPr>
                <w:rFonts w:eastAsia="仿宋_GB2312" w:cs="Arial Unicode MS"/>
                <w:color w:val="000000"/>
                <w:sz w:val="20"/>
                <w:szCs w:val="21"/>
                <w:u w:val="single"/>
              </w:rPr>
              <w:t xml:space="preserve">                                                                                   </w:t>
            </w:r>
          </w:p>
          <w:p w:rsidR="00BA28BA" w:rsidRPr="00BA28BA" w:rsidRDefault="00BA28BA" w:rsidP="007366A2">
            <w:pPr>
              <w:spacing w:line="336" w:lineRule="auto"/>
              <w:rPr>
                <w:rFonts w:eastAsia="仿宋_GB2312" w:cs="Arial Unicode MS"/>
                <w:color w:val="000000"/>
                <w:sz w:val="20"/>
                <w:szCs w:val="21"/>
              </w:rPr>
            </w:pPr>
          </w:p>
          <w:p w:rsidR="00BA28BA" w:rsidRPr="00BA28BA" w:rsidRDefault="00BA28BA" w:rsidP="007366A2">
            <w:pPr>
              <w:spacing w:line="336" w:lineRule="auto"/>
              <w:rPr>
                <w:rFonts w:eastAsia="仿宋_GB2312" w:cs="Arial Unicode MS"/>
                <w:color w:val="000000"/>
                <w:sz w:val="20"/>
                <w:szCs w:val="21"/>
                <w:u w:val="single"/>
              </w:rPr>
            </w:pPr>
            <w:r w:rsidRPr="00BA28BA">
              <w:rPr>
                <w:rFonts w:eastAsia="仿宋_GB2312" w:cs="Arial Unicode MS"/>
                <w:color w:val="000000"/>
                <w:sz w:val="20"/>
                <w:szCs w:val="21"/>
                <w:u w:val="single"/>
              </w:rPr>
              <w:t xml:space="preserve">                                                                                   </w:t>
            </w:r>
          </w:p>
          <w:p w:rsidR="00BA28BA" w:rsidRPr="00BA28BA" w:rsidRDefault="00BA28BA" w:rsidP="007366A2">
            <w:pPr>
              <w:spacing w:line="336" w:lineRule="auto"/>
              <w:rPr>
                <w:rFonts w:eastAsia="仿宋_GB2312" w:cs="Arial Unicode MS"/>
                <w:color w:val="000000"/>
                <w:sz w:val="20"/>
                <w:szCs w:val="21"/>
              </w:rPr>
            </w:pPr>
          </w:p>
          <w:p w:rsidR="00BA28BA" w:rsidRPr="00BA28BA" w:rsidRDefault="00BA28BA" w:rsidP="007366A2">
            <w:pPr>
              <w:spacing w:line="336" w:lineRule="auto"/>
              <w:ind w:firstLine="284"/>
              <w:rPr>
                <w:rFonts w:ascii="仿宋_GB2312" w:eastAsia="仿宋_GB2312"/>
                <w:b/>
                <w:color w:val="000000"/>
                <w:sz w:val="20"/>
                <w:szCs w:val="21"/>
              </w:rPr>
            </w:pPr>
            <w:r w:rsidRPr="00BA28BA">
              <w:rPr>
                <w:rFonts w:eastAsia="仿宋_GB2312" w:cs="Arial Unicode MS" w:hint="eastAsia"/>
                <w:color w:val="000000"/>
                <w:sz w:val="20"/>
                <w:szCs w:val="21"/>
              </w:rPr>
              <w:t>投资者签名：</w:t>
            </w:r>
            <w:r w:rsidRPr="00BA28BA">
              <w:rPr>
                <w:rFonts w:eastAsia="仿宋_GB2312" w:cs="Arial Unicode MS"/>
                <w:color w:val="000000"/>
                <w:sz w:val="20"/>
                <w:szCs w:val="21"/>
                <w:u w:val="single"/>
              </w:rPr>
              <w:t xml:space="preserve">                 </w:t>
            </w:r>
            <w:r w:rsidRPr="00BA28BA">
              <w:rPr>
                <w:rFonts w:eastAsia="仿宋_GB2312" w:cs="Arial Unicode MS"/>
                <w:color w:val="000000"/>
                <w:sz w:val="20"/>
                <w:szCs w:val="21"/>
              </w:rPr>
              <w:t xml:space="preserve">                </w:t>
            </w:r>
            <w:r w:rsidRPr="00BA28BA">
              <w:rPr>
                <w:rFonts w:ascii="楷体_GB2312" w:eastAsia="仿宋_GB2312" w:hint="eastAsia"/>
                <w:color w:val="000000"/>
                <w:sz w:val="20"/>
                <w:szCs w:val="21"/>
                <w:u w:val="single"/>
              </w:rPr>
              <w:t xml:space="preserve">        </w:t>
            </w:r>
            <w:r w:rsidRPr="00BA28BA">
              <w:rPr>
                <w:rFonts w:ascii="楷体_GB2312" w:eastAsia="仿宋_GB2312" w:hint="eastAsia"/>
                <w:color w:val="000000"/>
                <w:sz w:val="20"/>
                <w:szCs w:val="21"/>
              </w:rPr>
              <w:t>年</w:t>
            </w:r>
            <w:r w:rsidRPr="00BA28BA">
              <w:rPr>
                <w:rFonts w:ascii="楷体_GB2312" w:eastAsia="仿宋_GB2312" w:hint="eastAsia"/>
                <w:color w:val="000000"/>
                <w:sz w:val="20"/>
                <w:szCs w:val="21"/>
                <w:u w:val="single"/>
              </w:rPr>
              <w:t xml:space="preserve">     </w:t>
            </w:r>
            <w:r w:rsidRPr="00BA28BA">
              <w:rPr>
                <w:rFonts w:ascii="楷体_GB2312" w:eastAsia="仿宋_GB2312" w:hint="eastAsia"/>
                <w:color w:val="000000"/>
                <w:sz w:val="20"/>
                <w:szCs w:val="21"/>
              </w:rPr>
              <w:t>月</w:t>
            </w:r>
            <w:r w:rsidRPr="00BA28BA">
              <w:rPr>
                <w:rFonts w:ascii="楷体_GB2312" w:eastAsia="仿宋_GB2312" w:hint="eastAsia"/>
                <w:color w:val="000000"/>
                <w:sz w:val="20"/>
                <w:szCs w:val="21"/>
                <w:u w:val="single"/>
              </w:rPr>
              <w:t xml:space="preserve">      </w:t>
            </w:r>
            <w:r w:rsidRPr="00BA28BA">
              <w:rPr>
                <w:rFonts w:ascii="楷体_GB2312" w:eastAsia="仿宋_GB2312" w:hint="eastAsia"/>
                <w:color w:val="000000"/>
                <w:sz w:val="20"/>
                <w:szCs w:val="21"/>
              </w:rPr>
              <w:t>日</w:t>
            </w:r>
          </w:p>
        </w:tc>
      </w:tr>
    </w:tbl>
    <w:p w:rsidR="00DC744B" w:rsidRPr="00BA28BA" w:rsidRDefault="00DC744B" w:rsidP="00BA28BA">
      <w:pPr>
        <w:adjustRightInd w:val="0"/>
        <w:snapToGrid w:val="0"/>
        <w:spacing w:line="460" w:lineRule="exact"/>
        <w:ind w:firstLineChars="200" w:firstLine="480"/>
        <w:rPr>
          <w:rFonts w:ascii="仿宋_GB2312" w:eastAsia="仿宋_GB2312" w:hAnsi="宋体"/>
          <w:sz w:val="24"/>
          <w:szCs w:val="28"/>
        </w:rPr>
      </w:pPr>
    </w:p>
    <w:p w:rsidR="00464DDB" w:rsidRPr="00BA28BA" w:rsidRDefault="00464DDB">
      <w:pPr>
        <w:rPr>
          <w:sz w:val="20"/>
        </w:rPr>
      </w:pPr>
    </w:p>
    <w:sectPr w:rsidR="00464DDB" w:rsidRPr="00BA28BA" w:rsidSect="00BA28BA">
      <w:pgSz w:w="11906" w:h="16838"/>
      <w:pgMar w:top="851" w:right="991"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49F" w:rsidRDefault="00A3549F" w:rsidP="00A3549F">
      <w:r>
        <w:separator/>
      </w:r>
    </w:p>
  </w:endnote>
  <w:endnote w:type="continuationSeparator" w:id="0">
    <w:p w:rsidR="00A3549F" w:rsidRDefault="00A3549F" w:rsidP="00A35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Ìå_GB2312">
    <w:altName w:val="Arial"/>
    <w:panose1 w:val="00000000000000000000"/>
    <w:charset w:val="00"/>
    <w:family w:val="moder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49F" w:rsidRDefault="00A3549F" w:rsidP="00A3549F">
      <w:r>
        <w:separator/>
      </w:r>
    </w:p>
  </w:footnote>
  <w:footnote w:type="continuationSeparator" w:id="0">
    <w:p w:rsidR="00A3549F" w:rsidRDefault="00A3549F" w:rsidP="00A354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44B"/>
    <w:rsid w:val="00383182"/>
    <w:rsid w:val="00464DDB"/>
    <w:rsid w:val="00A3549F"/>
    <w:rsid w:val="00AD14FC"/>
    <w:rsid w:val="00BA28BA"/>
    <w:rsid w:val="00BD5C88"/>
    <w:rsid w:val="00C53CE1"/>
    <w:rsid w:val="00DC74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44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DC744B"/>
    <w:pPr>
      <w:widowControl/>
      <w:spacing w:before="100" w:beforeAutospacing="1" w:after="100" w:afterAutospacing="1"/>
      <w:jc w:val="left"/>
    </w:pPr>
    <w:rPr>
      <w:rFonts w:ascii="宋体" w:hAnsi="宋体" w:cs="宋体"/>
      <w:kern w:val="0"/>
      <w:sz w:val="24"/>
      <w:szCs w:val="24"/>
    </w:rPr>
  </w:style>
  <w:style w:type="paragraph" w:styleId="a4">
    <w:name w:val="header"/>
    <w:basedOn w:val="a"/>
    <w:link w:val="Char"/>
    <w:uiPriority w:val="99"/>
    <w:unhideWhenUsed/>
    <w:rsid w:val="00A354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3549F"/>
    <w:rPr>
      <w:rFonts w:ascii="Calibri" w:eastAsia="宋体" w:hAnsi="Calibri" w:cs="Times New Roman"/>
      <w:sz w:val="18"/>
      <w:szCs w:val="18"/>
    </w:rPr>
  </w:style>
  <w:style w:type="paragraph" w:styleId="a5">
    <w:name w:val="footer"/>
    <w:basedOn w:val="a"/>
    <w:link w:val="Char0"/>
    <w:uiPriority w:val="99"/>
    <w:unhideWhenUsed/>
    <w:rsid w:val="00A3549F"/>
    <w:pPr>
      <w:tabs>
        <w:tab w:val="center" w:pos="4153"/>
        <w:tab w:val="right" w:pos="8306"/>
      </w:tabs>
      <w:snapToGrid w:val="0"/>
      <w:jc w:val="left"/>
    </w:pPr>
    <w:rPr>
      <w:sz w:val="18"/>
      <w:szCs w:val="18"/>
    </w:rPr>
  </w:style>
  <w:style w:type="character" w:customStyle="1" w:styleId="Char0">
    <w:name w:val="页脚 Char"/>
    <w:basedOn w:val="a0"/>
    <w:link w:val="a5"/>
    <w:uiPriority w:val="99"/>
    <w:rsid w:val="00A3549F"/>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44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DC744B"/>
    <w:pPr>
      <w:widowControl/>
      <w:spacing w:before="100" w:beforeAutospacing="1" w:after="100" w:afterAutospacing="1"/>
      <w:jc w:val="left"/>
    </w:pPr>
    <w:rPr>
      <w:rFonts w:ascii="宋体" w:hAnsi="宋体" w:cs="宋体"/>
      <w:kern w:val="0"/>
      <w:sz w:val="24"/>
      <w:szCs w:val="24"/>
    </w:rPr>
  </w:style>
  <w:style w:type="paragraph" w:styleId="a4">
    <w:name w:val="header"/>
    <w:basedOn w:val="a"/>
    <w:link w:val="Char"/>
    <w:uiPriority w:val="99"/>
    <w:unhideWhenUsed/>
    <w:rsid w:val="00A354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3549F"/>
    <w:rPr>
      <w:rFonts w:ascii="Calibri" w:eastAsia="宋体" w:hAnsi="Calibri" w:cs="Times New Roman"/>
      <w:sz w:val="18"/>
      <w:szCs w:val="18"/>
    </w:rPr>
  </w:style>
  <w:style w:type="paragraph" w:styleId="a5">
    <w:name w:val="footer"/>
    <w:basedOn w:val="a"/>
    <w:link w:val="Char0"/>
    <w:uiPriority w:val="99"/>
    <w:unhideWhenUsed/>
    <w:rsid w:val="00A3549F"/>
    <w:pPr>
      <w:tabs>
        <w:tab w:val="center" w:pos="4153"/>
        <w:tab w:val="right" w:pos="8306"/>
      </w:tabs>
      <w:snapToGrid w:val="0"/>
      <w:jc w:val="left"/>
    </w:pPr>
    <w:rPr>
      <w:sz w:val="18"/>
      <w:szCs w:val="18"/>
    </w:rPr>
  </w:style>
  <w:style w:type="character" w:customStyle="1" w:styleId="Char0">
    <w:name w:val="页脚 Char"/>
    <w:basedOn w:val="a0"/>
    <w:link w:val="a5"/>
    <w:uiPriority w:val="99"/>
    <w:rsid w:val="00A3549F"/>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338</Words>
  <Characters>1932</Characters>
  <Application>Microsoft Office Word</Application>
  <DocSecurity>0</DocSecurity>
  <Lines>16</Lines>
  <Paragraphs>4</Paragraphs>
  <ScaleCrop>false</ScaleCrop>
  <Company>xcbank</Company>
  <LinksUpToDate>false</LinksUpToDate>
  <CharactersWithSpaces>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吕烽</dc:creator>
  <cp:keywords/>
  <dc:description/>
  <cp:lastModifiedBy>张晓芳</cp:lastModifiedBy>
  <cp:revision>7</cp:revision>
  <dcterms:created xsi:type="dcterms:W3CDTF">2015-04-07T02:16:00Z</dcterms:created>
  <dcterms:modified xsi:type="dcterms:W3CDTF">2016-07-11T09:07:00Z</dcterms:modified>
</cp:coreProperties>
</file>