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4B" w:rsidRPr="00BA28BA" w:rsidRDefault="00DC744B" w:rsidP="00DC744B">
      <w:pPr>
        <w:autoSpaceDE w:val="0"/>
        <w:autoSpaceDN w:val="0"/>
        <w:spacing w:line="540" w:lineRule="exact"/>
        <w:jc w:val="center"/>
        <w:rPr>
          <w:rFonts w:ascii="黑体" w:eastAsia="黑体"/>
          <w:color w:val="000000"/>
          <w:sz w:val="36"/>
          <w:szCs w:val="32"/>
        </w:rPr>
      </w:pPr>
      <w:r w:rsidRPr="00BA28BA">
        <w:rPr>
          <w:rFonts w:ascii="黑体" w:eastAsia="黑体" w:hint="eastAsia"/>
          <w:color w:val="000000"/>
          <w:sz w:val="36"/>
          <w:szCs w:val="32"/>
        </w:rPr>
        <w:t>新昌农商银行“丰收·喜悦”（七天）</w:t>
      </w:r>
    </w:p>
    <w:p w:rsidR="00DC744B" w:rsidRPr="00BA28BA" w:rsidRDefault="00DC744B" w:rsidP="00BA28BA">
      <w:pPr>
        <w:autoSpaceDE w:val="0"/>
        <w:autoSpaceDN w:val="0"/>
        <w:spacing w:line="540" w:lineRule="exact"/>
        <w:ind w:leftChars="-202" w:left="123" w:hangingChars="152" w:hanging="547"/>
        <w:jc w:val="center"/>
        <w:rPr>
          <w:rFonts w:ascii="黑体" w:eastAsia="黑体"/>
          <w:color w:val="000000"/>
          <w:sz w:val="36"/>
          <w:szCs w:val="32"/>
        </w:rPr>
      </w:pPr>
      <w:r w:rsidRPr="00BA28BA">
        <w:rPr>
          <w:rFonts w:ascii="黑体" w:eastAsia="黑体" w:hint="eastAsia"/>
          <w:color w:val="000000"/>
          <w:sz w:val="36"/>
          <w:szCs w:val="32"/>
        </w:rPr>
        <w:t>201</w:t>
      </w:r>
      <w:r w:rsidR="00BD5C88">
        <w:rPr>
          <w:rFonts w:ascii="黑体" w:eastAsia="黑体" w:hint="eastAsia"/>
          <w:color w:val="000000"/>
          <w:sz w:val="36"/>
          <w:szCs w:val="32"/>
        </w:rPr>
        <w:t>6</w:t>
      </w:r>
      <w:r w:rsidRPr="00BA28BA">
        <w:rPr>
          <w:rFonts w:ascii="黑体" w:eastAsia="黑体" w:hint="eastAsia"/>
          <w:color w:val="000000"/>
          <w:sz w:val="36"/>
          <w:szCs w:val="32"/>
        </w:rPr>
        <w:t>年第</w:t>
      </w:r>
      <w:r w:rsidR="00AD14FC">
        <w:rPr>
          <w:rFonts w:ascii="黑体" w:eastAsia="黑体" w:hint="eastAsia"/>
          <w:color w:val="000000"/>
          <w:sz w:val="36"/>
          <w:szCs w:val="32"/>
        </w:rPr>
        <w:t>2</w:t>
      </w:r>
      <w:r w:rsidRPr="00BA28BA">
        <w:rPr>
          <w:rFonts w:ascii="黑体" w:eastAsia="黑体" w:hint="eastAsia"/>
          <w:color w:val="000000"/>
          <w:sz w:val="36"/>
          <w:szCs w:val="32"/>
        </w:rPr>
        <w:t>期人民币理财产品风险揭示书</w:t>
      </w:r>
    </w:p>
    <w:p w:rsidR="00DC744B" w:rsidRPr="00BA28BA" w:rsidRDefault="00DC744B" w:rsidP="00BA28BA">
      <w:pPr>
        <w:autoSpaceDE w:val="0"/>
        <w:autoSpaceDN w:val="0"/>
        <w:spacing w:line="540" w:lineRule="exact"/>
        <w:ind w:firstLineChars="200" w:firstLine="482"/>
        <w:jc w:val="left"/>
        <w:rPr>
          <w:rFonts w:ascii="仿宋_GB2312" w:eastAsia="仿宋_GB2312" w:cs="楷体_GB2312"/>
          <w:b/>
          <w:sz w:val="24"/>
          <w:szCs w:val="28"/>
        </w:rPr>
      </w:pPr>
      <w:r w:rsidRPr="00BA28BA">
        <w:rPr>
          <w:rFonts w:ascii="仿宋_GB2312" w:eastAsia="仿宋_GB2312" w:cs="楷体_GB2312" w:hint="eastAsia"/>
          <w:b/>
          <w:sz w:val="24"/>
          <w:szCs w:val="28"/>
        </w:rPr>
        <w:t>投资者购买新昌农商银行“丰收·喜悦”（七天）201</w:t>
      </w:r>
      <w:r w:rsidR="00BD5C88">
        <w:rPr>
          <w:rFonts w:ascii="仿宋_GB2312" w:eastAsia="仿宋_GB2312" w:cs="楷体_GB2312" w:hint="eastAsia"/>
          <w:b/>
          <w:sz w:val="24"/>
          <w:szCs w:val="28"/>
        </w:rPr>
        <w:t>6</w:t>
      </w:r>
      <w:r w:rsidRPr="00BA28BA">
        <w:rPr>
          <w:rFonts w:ascii="仿宋_GB2312" w:eastAsia="仿宋_GB2312" w:cs="楷体_GB2312" w:hint="eastAsia"/>
          <w:b/>
          <w:sz w:val="24"/>
          <w:szCs w:val="28"/>
        </w:rPr>
        <w:t>年第</w:t>
      </w:r>
      <w:r w:rsidR="00AD14FC">
        <w:rPr>
          <w:rFonts w:ascii="仿宋_GB2312" w:eastAsia="仿宋_GB2312" w:cs="楷体_GB2312" w:hint="eastAsia"/>
          <w:b/>
          <w:sz w:val="24"/>
          <w:szCs w:val="28"/>
        </w:rPr>
        <w:t>2</w:t>
      </w:r>
      <w:r w:rsidRPr="00BA28BA">
        <w:rPr>
          <w:rFonts w:ascii="仿宋_GB2312" w:eastAsia="仿宋_GB2312" w:cs="楷体_GB2312" w:hint="eastAsia"/>
          <w:b/>
          <w:sz w:val="24"/>
          <w:szCs w:val="28"/>
        </w:rPr>
        <w:t>期人民币理财产品，须充分认识到“理财非存款、产品有风险、投资须谨慎”。本理财产品有投资风险，您只能获得合同明确承诺的收益，您应充分认识投资风险，谨慎投资。以下谨就本理财产品项下风险举例提示：</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1.理财产品不成立风险：本理财产品开始认购至认购结束的期间，理财产品认购总金额未达到规模下限或市场发生剧烈波动，经新昌农商银行判断难以按照本理财产品书规定向投资者提供本理财产品，新昌农商银行有权宣布本理财产品不成立。</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2.理财本金损失风险：本理财产品为非保本浮动收益型理财产品，如发生理财产品项下所投资金融工具完全或部分丧失变现能力的不利情况，投资者将面临理财本金部分或全部损失的风险。</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3.市场风险：本理财产品的基础资产价值受未来市场的不确定影响可能出现波动，从而导致客户收益波动、收益为零甚至本金损失的情况。</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4.利率及通货膨胀风险：在本理财产品存续期限内，即使中国人民银行调整基准利率，产品的预期收益率可能并不会随之予以调整，因此，存在本理财产品的预期收益率及/或实际收益率低于人民银行基准利率的风险。同时，本理财产品存在客户预期收益率及/或实际收益率可能低于通货膨胀率，从而导致客户实际收益为负的风险。</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5.流动性风险：产品存续期内，可在产品开放赎回日的指定时段提出赎回申请。正常情况下，申请赎回的投资本金与收益将于赎回申请确认日之后的2个产品工作日内兑付。若发生巨额赎回情形，可能导致投资者需要资金时不能按需变现，并可能使客户丧失其他投资机会。</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6.提前终止风险：在投资期内，如发生新昌农商银行认为需要提前终止本理财产品的情况，新昌农商银行有权提前终止本理财产品。投资者可能面临不能按预期期限取得预期收益的风险。</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7.延期风险：如因理财产品项下对应的理财财产不能及时变现等原因造成理财产品不能</w:t>
      </w:r>
      <w:r w:rsidRPr="00BA28BA">
        <w:rPr>
          <w:rFonts w:ascii="仿宋_GB2312" w:eastAsia="仿宋_GB2312" w:cs="楷体_GB2312" w:hint="eastAsia"/>
          <w:sz w:val="24"/>
          <w:szCs w:val="28"/>
        </w:rPr>
        <w:lastRenderedPageBreak/>
        <w:t>按时偿还本金及收益，理财产品将面临期限相应延长或进行二次清算的可能。</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8.信息传递风险：投资者应根据本理财产品说明书所载明的有关“信息披露”的约定，及时查询本理财产品的相关信息。如果投资者未及时查询、投资者联系方式变更未及时告知新昌农商银行，或由于通讯故障、系统故障以及其他不可抗力等因素的影响使得投资者无法及时了解产品信息，并由此影响投资者的投资决策，因此而产生的责任和风险由投资者自行承担。</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9.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10.其他风险：战争、自然灾害、金融市场危机、国家政策变化等不可抗力因素的出现，或银行系统故障、通讯故障、投资市场停止交易等意外事件的发生，将会严重影响金融市场的运行，可能导致受托管理资产的损失，甚至影响理财产品的受理、投资、偿还等的正常运行，进而影响理财产品的资金安全。对于由于不可抗力及意外事件风险导致的任何损失，客户须自行承担，新昌农商银行对此不承担任何责任。</w:t>
      </w:r>
    </w:p>
    <w:p w:rsidR="00DC744B" w:rsidRPr="00BA28BA" w:rsidRDefault="00DC744B" w:rsidP="00BA28BA">
      <w:pPr>
        <w:autoSpaceDE w:val="0"/>
        <w:autoSpaceDN w:val="0"/>
        <w:spacing w:line="540" w:lineRule="exact"/>
        <w:ind w:firstLineChars="200" w:firstLine="480"/>
        <w:jc w:val="left"/>
        <w:rPr>
          <w:rFonts w:ascii="仿宋_GB2312" w:eastAsia="仿宋_GB2312" w:cs="楷体_GB2312"/>
          <w:sz w:val="24"/>
          <w:szCs w:val="28"/>
        </w:rPr>
      </w:pPr>
      <w:r w:rsidRPr="00BA28BA">
        <w:rPr>
          <w:rFonts w:ascii="仿宋_GB2312" w:eastAsia="仿宋_GB2312" w:cs="楷体_GB2312" w:hint="eastAsia"/>
          <w:sz w:val="24"/>
          <w:szCs w:val="28"/>
        </w:rPr>
        <w:t>上述举例提示可能并未穷尽本理财产品项下可能出现的所有风险。</w:t>
      </w:r>
    </w:p>
    <w:p w:rsidR="00DC744B" w:rsidRPr="00BA28BA" w:rsidRDefault="00DC744B" w:rsidP="00BA28BA">
      <w:pPr>
        <w:autoSpaceDE w:val="0"/>
        <w:autoSpaceDN w:val="0"/>
        <w:spacing w:line="540" w:lineRule="exact"/>
        <w:ind w:firstLineChars="200" w:firstLine="482"/>
        <w:jc w:val="left"/>
        <w:rPr>
          <w:rFonts w:ascii="仿宋_GB2312" w:eastAsia="仿宋_GB2312" w:cs="楷体_GB2312"/>
          <w:b/>
          <w:sz w:val="24"/>
          <w:szCs w:val="28"/>
        </w:rPr>
      </w:pPr>
      <w:r w:rsidRPr="00BA28BA">
        <w:rPr>
          <w:rFonts w:ascii="仿宋_GB2312" w:eastAsia="仿宋_GB2312" w:cs="楷体_GB2312"/>
          <w:b/>
          <w:sz w:val="24"/>
          <w:szCs w:val="28"/>
        </w:rPr>
        <w:t>本理财产品是高风险投资产品，您的本金可能会因市场变动而蒙受重大损失，您应充分认识投资风险，谨慎投资</w:t>
      </w:r>
      <w:r w:rsidRPr="00BA28BA">
        <w:rPr>
          <w:rFonts w:ascii="仿宋_GB2312" w:eastAsia="仿宋_GB2312" w:cs="楷体_GB2312" w:hint="eastAsia"/>
          <w:b/>
          <w:sz w:val="24"/>
          <w:szCs w:val="28"/>
        </w:rPr>
        <w:t>。</w:t>
      </w:r>
    </w:p>
    <w:p w:rsidR="00DC744B" w:rsidRPr="00BA28BA" w:rsidRDefault="00DC744B" w:rsidP="00BA28BA">
      <w:pPr>
        <w:autoSpaceDE w:val="0"/>
        <w:autoSpaceDN w:val="0"/>
        <w:spacing w:line="540" w:lineRule="exact"/>
        <w:ind w:firstLineChars="200" w:firstLine="482"/>
        <w:jc w:val="left"/>
        <w:rPr>
          <w:rFonts w:ascii="仿宋_GB2312" w:eastAsia="仿宋_GB2312" w:cs="楷体_GB2312"/>
          <w:b/>
          <w:sz w:val="24"/>
          <w:szCs w:val="28"/>
        </w:rPr>
      </w:pPr>
      <w:r w:rsidRPr="00BA28BA">
        <w:rPr>
          <w:rFonts w:ascii="仿宋_GB2312" w:eastAsia="仿宋_GB2312" w:cs="楷体_GB2312" w:hint="eastAsia"/>
          <w:b/>
          <w:sz w:val="24"/>
          <w:szCs w:val="28"/>
        </w:rPr>
        <w:t>客户在投资者签字栏签字的行为即表示客户已详细阅知《新昌农商银行“丰收·喜悦”（七天）201</w:t>
      </w:r>
      <w:r w:rsidR="00BD5C88">
        <w:rPr>
          <w:rFonts w:ascii="仿宋_GB2312" w:eastAsia="仿宋_GB2312" w:cs="楷体_GB2312" w:hint="eastAsia"/>
          <w:b/>
          <w:sz w:val="24"/>
          <w:szCs w:val="28"/>
        </w:rPr>
        <w:t>6</w:t>
      </w:r>
      <w:r w:rsidRPr="00BA28BA">
        <w:rPr>
          <w:rFonts w:ascii="仿宋_GB2312" w:eastAsia="仿宋_GB2312" w:cs="楷体_GB2312" w:hint="eastAsia"/>
          <w:b/>
          <w:sz w:val="24"/>
          <w:szCs w:val="28"/>
        </w:rPr>
        <w:t>年第</w:t>
      </w:r>
      <w:r w:rsidR="00AD14FC">
        <w:rPr>
          <w:rFonts w:ascii="仿宋_GB2312" w:eastAsia="仿宋_GB2312" w:cs="楷体_GB2312" w:hint="eastAsia"/>
          <w:b/>
          <w:sz w:val="24"/>
          <w:szCs w:val="28"/>
        </w:rPr>
        <w:t>2</w:t>
      </w:r>
      <w:bookmarkStart w:id="0" w:name="_GoBack"/>
      <w:bookmarkEnd w:id="0"/>
      <w:r w:rsidRPr="00BA28BA">
        <w:rPr>
          <w:rFonts w:ascii="仿宋_GB2312" w:eastAsia="仿宋_GB2312" w:cs="楷体_GB2312" w:hint="eastAsia"/>
          <w:b/>
          <w:sz w:val="24"/>
          <w:szCs w:val="28"/>
        </w:rPr>
        <w:t>期人民币理财产品说明书》、《新昌农商银行“丰收·喜悦”（七天）201</w:t>
      </w:r>
      <w:r w:rsidR="00BD5C88">
        <w:rPr>
          <w:rFonts w:ascii="仿宋_GB2312" w:eastAsia="仿宋_GB2312" w:cs="楷体_GB2312" w:hint="eastAsia"/>
          <w:b/>
          <w:sz w:val="24"/>
          <w:szCs w:val="28"/>
        </w:rPr>
        <w:t>6</w:t>
      </w:r>
      <w:r w:rsidRPr="00BA28BA">
        <w:rPr>
          <w:rFonts w:ascii="仿宋_GB2312" w:eastAsia="仿宋_GB2312" w:cs="楷体_GB2312" w:hint="eastAsia"/>
          <w:b/>
          <w:sz w:val="24"/>
          <w:szCs w:val="28"/>
        </w:rPr>
        <w:t>年第</w:t>
      </w:r>
      <w:r w:rsidR="00AD14FC">
        <w:rPr>
          <w:rFonts w:ascii="仿宋_GB2312" w:eastAsia="仿宋_GB2312" w:cs="楷体_GB2312" w:hint="eastAsia"/>
          <w:b/>
          <w:sz w:val="24"/>
          <w:szCs w:val="28"/>
        </w:rPr>
        <w:t>2</w:t>
      </w:r>
      <w:r w:rsidRPr="00BA28BA">
        <w:rPr>
          <w:rFonts w:ascii="仿宋_GB2312" w:eastAsia="仿宋_GB2312" w:cs="楷体_GB2312" w:hint="eastAsia"/>
          <w:b/>
          <w:sz w:val="24"/>
          <w:szCs w:val="28"/>
        </w:rPr>
        <w:t>期人民币理财产品风险揭示书》。新昌农商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C744B" w:rsidRPr="00BA28BA" w:rsidRDefault="00DC744B" w:rsidP="00BA28BA">
      <w:pPr>
        <w:pStyle w:val="a3"/>
        <w:widowControl w:val="0"/>
        <w:kinsoku w:val="0"/>
        <w:autoSpaceDE w:val="0"/>
        <w:adjustRightInd w:val="0"/>
        <w:snapToGrid w:val="0"/>
        <w:spacing w:before="0" w:beforeAutospacing="0" w:after="0" w:afterAutospacing="0" w:line="540" w:lineRule="exact"/>
        <w:ind w:firstLineChars="1700" w:firstLine="4096"/>
        <w:rPr>
          <w:rFonts w:ascii="楷体_GB2312" w:eastAsia="楷体_GB2312"/>
          <w:b/>
          <w:bCs/>
          <w:szCs w:val="28"/>
          <w:u w:val="single"/>
        </w:rPr>
      </w:pPr>
      <w:r w:rsidRPr="00BA28BA">
        <w:rPr>
          <w:rFonts w:ascii="楷体_GB2312" w:eastAsia="楷体_GB2312" w:hint="eastAsia"/>
          <w:b/>
          <w:bCs/>
          <w:szCs w:val="28"/>
        </w:rPr>
        <w:t>投资者签字栏：</w:t>
      </w:r>
      <w:r w:rsidRPr="00BA28BA">
        <w:rPr>
          <w:rFonts w:ascii="楷体_GB2312" w:eastAsia="楷体_GB2312" w:hint="eastAsia"/>
          <w:b/>
          <w:bCs/>
          <w:szCs w:val="28"/>
          <w:u w:val="single"/>
        </w:rPr>
        <w:t xml:space="preserve">                                </w:t>
      </w:r>
    </w:p>
    <w:p w:rsidR="00DC744B" w:rsidRPr="00BA28BA" w:rsidRDefault="00DC744B" w:rsidP="00DC744B">
      <w:pPr>
        <w:autoSpaceDE w:val="0"/>
        <w:autoSpaceDN w:val="0"/>
        <w:spacing w:line="540" w:lineRule="exact"/>
        <w:ind w:right="1120"/>
        <w:jc w:val="right"/>
        <w:rPr>
          <w:rFonts w:ascii="仿宋_GB2312" w:hAnsi="¿¬Ìå_GB2312"/>
          <w:sz w:val="24"/>
          <w:szCs w:val="28"/>
        </w:rPr>
      </w:pPr>
      <w:r w:rsidRPr="00BA28BA">
        <w:rPr>
          <w:rFonts w:hint="eastAsia"/>
          <w:sz w:val="24"/>
          <w:szCs w:val="28"/>
        </w:rPr>
        <w:t xml:space="preserve">                    </w:t>
      </w:r>
      <w:r w:rsidRPr="00BA28BA">
        <w:rPr>
          <w:rFonts w:hint="eastAsia"/>
          <w:sz w:val="24"/>
          <w:szCs w:val="28"/>
        </w:rPr>
        <w:t>年</w:t>
      </w:r>
      <w:r w:rsidRPr="00BA28BA">
        <w:rPr>
          <w:rFonts w:hint="eastAsia"/>
          <w:sz w:val="24"/>
          <w:szCs w:val="28"/>
        </w:rPr>
        <w:t xml:space="preserve">     </w:t>
      </w:r>
      <w:r w:rsidRPr="00BA28BA">
        <w:rPr>
          <w:rFonts w:hint="eastAsia"/>
          <w:sz w:val="24"/>
          <w:szCs w:val="28"/>
        </w:rPr>
        <w:t>月</w:t>
      </w:r>
      <w:r w:rsidRPr="00BA28BA">
        <w:rPr>
          <w:rFonts w:hint="eastAsia"/>
          <w:sz w:val="24"/>
          <w:szCs w:val="28"/>
        </w:rPr>
        <w:t xml:space="preserve">     </w:t>
      </w:r>
      <w:r w:rsidRPr="00BA28BA">
        <w:rPr>
          <w:rFonts w:hint="eastAsia"/>
          <w:sz w:val="24"/>
          <w:szCs w:val="28"/>
        </w:rPr>
        <w:t>日</w:t>
      </w:r>
    </w:p>
    <w:p w:rsidR="00DC744B" w:rsidRPr="00BA28BA" w:rsidRDefault="00DC744B" w:rsidP="00DC744B">
      <w:pPr>
        <w:adjustRightInd w:val="0"/>
        <w:snapToGrid w:val="0"/>
        <w:spacing w:beforeLines="100" w:before="312" w:line="540" w:lineRule="exact"/>
        <w:ind w:leftChars="-67" w:left="-141"/>
        <w:rPr>
          <w:rFonts w:ascii="仿宋_GB2312" w:eastAsia="仿宋_GB2312" w:cs="楷体_GB2312"/>
          <w:b/>
          <w:sz w:val="24"/>
          <w:szCs w:val="28"/>
        </w:rPr>
      </w:pPr>
      <w:r w:rsidRPr="00BA28BA">
        <w:rPr>
          <w:rFonts w:ascii="仿宋_GB2312" w:eastAsia="仿宋_GB2312" w:cs="楷体_GB2312" w:hint="eastAsia"/>
          <w:b/>
          <w:sz w:val="24"/>
          <w:szCs w:val="28"/>
        </w:rPr>
        <w:lastRenderedPageBreak/>
        <w:t>提示：如影响您风险承受能力的因素发生变化，请及时完成风险承受能力评估。</w:t>
      </w:r>
    </w:p>
    <w:p w:rsidR="00BA28BA" w:rsidRPr="00BA28BA" w:rsidRDefault="00BA28BA" w:rsidP="00BA28BA">
      <w:pPr>
        <w:snapToGrid w:val="0"/>
        <w:spacing w:beforeLines="100" w:before="312"/>
        <w:ind w:leftChars="-67" w:left="-141"/>
        <w:rPr>
          <w:rFonts w:ascii="仿宋_GB2312" w:eastAsia="仿宋_GB2312" w:cs="楷体_GB2312"/>
          <w:b/>
          <w:sz w:val="20"/>
          <w:szCs w:val="21"/>
        </w:rPr>
      </w:pPr>
      <w:r w:rsidRPr="00BA28BA">
        <w:rPr>
          <w:rFonts w:ascii="仿宋_GB2312" w:eastAsia="仿宋_GB2312" w:cs="楷体_GB2312" w:hint="eastAsia"/>
          <w:b/>
          <w:sz w:val="20"/>
          <w:szCs w:val="21"/>
        </w:rPr>
        <w:t>提示：如影响您风险承受能力的因素发生变化，请及时完成风险承受能力评估。</w:t>
      </w:r>
    </w:p>
    <w:p w:rsidR="00BA28BA" w:rsidRPr="00BA28BA" w:rsidRDefault="00BA28BA" w:rsidP="00BA28BA">
      <w:pPr>
        <w:snapToGrid w:val="0"/>
        <w:ind w:leftChars="-67" w:left="-141"/>
        <w:rPr>
          <w:rFonts w:ascii="仿宋_GB2312" w:eastAsia="仿宋_GB2312" w:cs="楷体_GB2312"/>
          <w:b/>
          <w:sz w:val="20"/>
          <w:szCs w:val="21"/>
        </w:rPr>
      </w:pPr>
    </w:p>
    <w:p w:rsidR="00BA28BA" w:rsidRPr="00BA28BA" w:rsidRDefault="00BA28BA" w:rsidP="00BA28BA">
      <w:pPr>
        <w:pStyle w:val="a3"/>
        <w:widowControl w:val="0"/>
        <w:kinsoku w:val="0"/>
        <w:autoSpaceDE w:val="0"/>
        <w:adjustRightInd w:val="0"/>
        <w:snapToGrid w:val="0"/>
        <w:spacing w:before="0" w:beforeAutospacing="0" w:after="0" w:afterAutospacing="0" w:line="336" w:lineRule="auto"/>
        <w:jc w:val="center"/>
        <w:rPr>
          <w:rFonts w:ascii="黑体" w:eastAsia="黑体"/>
          <w:sz w:val="28"/>
          <w:szCs w:val="32"/>
        </w:rPr>
      </w:pPr>
    </w:p>
    <w:p w:rsidR="00BA28BA" w:rsidRPr="00BA28BA" w:rsidRDefault="00BA28BA" w:rsidP="00BA28BA">
      <w:pPr>
        <w:pStyle w:val="a3"/>
        <w:widowControl w:val="0"/>
        <w:kinsoku w:val="0"/>
        <w:autoSpaceDE w:val="0"/>
        <w:adjustRightInd w:val="0"/>
        <w:snapToGrid w:val="0"/>
        <w:spacing w:before="0" w:beforeAutospacing="0" w:after="0" w:afterAutospacing="0" w:line="336" w:lineRule="auto"/>
        <w:jc w:val="center"/>
        <w:rPr>
          <w:rFonts w:ascii="黑体" w:eastAsia="黑体"/>
          <w:sz w:val="28"/>
          <w:szCs w:val="32"/>
        </w:rPr>
      </w:pPr>
      <w:r w:rsidRPr="00BA28BA">
        <w:rPr>
          <w:rFonts w:ascii="黑体" w:eastAsia="黑体" w:hint="eastAsia"/>
          <w:sz w:val="28"/>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BA28BA" w:rsidRPr="00BA28BA" w:rsidTr="007366A2">
        <w:trPr>
          <w:trHeight w:val="5526"/>
        </w:trPr>
        <w:tc>
          <w:tcPr>
            <w:tcW w:w="8933" w:type="dxa"/>
            <w:tcBorders>
              <w:top w:val="single" w:sz="4" w:space="0" w:color="auto"/>
              <w:left w:val="single" w:sz="4" w:space="0" w:color="auto"/>
              <w:bottom w:val="single" w:sz="4" w:space="0" w:color="auto"/>
              <w:right w:val="single" w:sz="4" w:space="0" w:color="auto"/>
            </w:tcBorders>
          </w:tcPr>
          <w:p w:rsidR="00BA28BA" w:rsidRPr="00BA28BA" w:rsidRDefault="00BA28BA" w:rsidP="007366A2">
            <w:pPr>
              <w:spacing w:line="336" w:lineRule="auto"/>
              <w:rPr>
                <w:rFonts w:eastAsia="仿宋_GB2312" w:cs="Arial Unicode MS"/>
                <w:color w:val="000000"/>
                <w:sz w:val="20"/>
                <w:szCs w:val="21"/>
              </w:rPr>
            </w:pPr>
            <w:r w:rsidRPr="00BA28BA">
              <w:rPr>
                <w:rFonts w:ascii="仿宋_GB2312" w:eastAsia="仿宋_GB2312" w:hAnsi="宋体" w:hint="eastAsia"/>
                <w:b/>
                <w:color w:val="000000"/>
                <w:sz w:val="20"/>
                <w:szCs w:val="21"/>
              </w:rPr>
              <w:t xml:space="preserve">    </w:t>
            </w:r>
            <w:r w:rsidRPr="00BA28BA">
              <w:rPr>
                <w:rFonts w:eastAsia="仿宋_GB2312" w:cs="Arial Unicode MS" w:hint="eastAsia"/>
                <w:color w:val="000000"/>
                <w:sz w:val="20"/>
                <w:szCs w:val="21"/>
              </w:rPr>
              <w:t>根据监管部门的要求，为确保个人投资者充分理解本理财产品的风险，请在确认栏抄录以下语句并签名：</w:t>
            </w:r>
          </w:p>
          <w:p w:rsidR="00BA28BA" w:rsidRPr="00BA28BA" w:rsidRDefault="00BA28BA" w:rsidP="007366A2">
            <w:pPr>
              <w:autoSpaceDE w:val="0"/>
              <w:autoSpaceDN w:val="0"/>
              <w:spacing w:line="560" w:lineRule="exact"/>
              <w:rPr>
                <w:rFonts w:eastAsia="仿宋_GB2312" w:cs="Arial Unicode MS"/>
                <w:b/>
                <w:bCs/>
                <w:color w:val="000000"/>
                <w:sz w:val="20"/>
                <w:szCs w:val="21"/>
              </w:rPr>
            </w:pPr>
            <w:r w:rsidRPr="00BA28BA">
              <w:rPr>
                <w:rFonts w:eastAsia="仿宋_GB2312" w:cs="Arial Unicode MS" w:hint="eastAsia"/>
                <w:b/>
                <w:bCs/>
                <w:color w:val="000000"/>
                <w:sz w:val="20"/>
                <w:szCs w:val="21"/>
              </w:rPr>
              <w:t>“本人已经阅读风险揭示，愿意承担投资风险。”</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rPr>
                <w:rFonts w:eastAsia="仿宋_GB2312" w:cs="Arial Unicode MS"/>
                <w:color w:val="000000"/>
                <w:sz w:val="20"/>
                <w:szCs w:val="21"/>
                <w:u w:val="single"/>
              </w:rPr>
            </w:pPr>
            <w:r w:rsidRPr="00BA28BA">
              <w:rPr>
                <w:rFonts w:eastAsia="仿宋_GB2312" w:cs="Arial Unicode MS" w:hint="eastAsia"/>
                <w:color w:val="000000"/>
                <w:sz w:val="20"/>
                <w:szCs w:val="21"/>
              </w:rPr>
              <w:t>投资者确认栏：</w:t>
            </w: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u w:val="single"/>
              </w:rPr>
            </w:pPr>
          </w:p>
          <w:p w:rsidR="00BA28BA" w:rsidRPr="00BA28BA" w:rsidRDefault="00BA28BA" w:rsidP="007366A2">
            <w:pPr>
              <w:spacing w:line="336" w:lineRule="auto"/>
              <w:rPr>
                <w:rFonts w:eastAsia="仿宋_GB2312" w:cs="Arial Unicode MS"/>
                <w:color w:val="000000"/>
                <w:sz w:val="20"/>
                <w:szCs w:val="21"/>
              </w:rPr>
            </w:pP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rPr>
                <w:rFonts w:eastAsia="仿宋_GB2312" w:cs="Arial Unicode MS"/>
                <w:color w:val="000000"/>
                <w:sz w:val="20"/>
                <w:szCs w:val="21"/>
              </w:rPr>
            </w:pP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rPr>
                <w:rFonts w:eastAsia="仿宋_GB2312" w:cs="Arial Unicode MS"/>
                <w:color w:val="000000"/>
                <w:sz w:val="20"/>
                <w:szCs w:val="21"/>
                <w:u w:val="single"/>
              </w:rPr>
            </w:pPr>
            <w:r w:rsidRPr="00BA28BA">
              <w:rPr>
                <w:rFonts w:eastAsia="仿宋_GB2312" w:cs="Arial Unicode MS"/>
                <w:color w:val="000000"/>
                <w:sz w:val="20"/>
                <w:szCs w:val="21"/>
                <w:u w:val="single"/>
              </w:rPr>
              <w:t xml:space="preserve">                                                                                   </w:t>
            </w:r>
          </w:p>
          <w:p w:rsidR="00BA28BA" w:rsidRPr="00BA28BA" w:rsidRDefault="00BA28BA" w:rsidP="007366A2">
            <w:pPr>
              <w:spacing w:line="336" w:lineRule="auto"/>
              <w:rPr>
                <w:rFonts w:eastAsia="仿宋_GB2312" w:cs="Arial Unicode MS"/>
                <w:color w:val="000000"/>
                <w:sz w:val="20"/>
                <w:szCs w:val="21"/>
              </w:rPr>
            </w:pPr>
          </w:p>
          <w:p w:rsidR="00BA28BA" w:rsidRPr="00BA28BA" w:rsidRDefault="00BA28BA" w:rsidP="007366A2">
            <w:pPr>
              <w:spacing w:line="336" w:lineRule="auto"/>
              <w:ind w:firstLine="284"/>
              <w:rPr>
                <w:rFonts w:ascii="仿宋_GB2312" w:eastAsia="仿宋_GB2312"/>
                <w:b/>
                <w:color w:val="000000"/>
                <w:sz w:val="20"/>
                <w:szCs w:val="21"/>
              </w:rPr>
            </w:pPr>
            <w:r w:rsidRPr="00BA28BA">
              <w:rPr>
                <w:rFonts w:eastAsia="仿宋_GB2312" w:cs="Arial Unicode MS" w:hint="eastAsia"/>
                <w:color w:val="000000"/>
                <w:sz w:val="20"/>
                <w:szCs w:val="21"/>
              </w:rPr>
              <w:t>投资者签名：</w:t>
            </w:r>
            <w:r w:rsidRPr="00BA28BA">
              <w:rPr>
                <w:rFonts w:eastAsia="仿宋_GB2312" w:cs="Arial Unicode MS"/>
                <w:color w:val="000000"/>
                <w:sz w:val="20"/>
                <w:szCs w:val="21"/>
                <w:u w:val="single"/>
              </w:rPr>
              <w:t xml:space="preserve">                 </w:t>
            </w:r>
            <w:r w:rsidRPr="00BA28BA">
              <w:rPr>
                <w:rFonts w:eastAsia="仿宋_GB2312" w:cs="Arial Unicode MS"/>
                <w:color w:val="000000"/>
                <w:sz w:val="20"/>
                <w:szCs w:val="21"/>
              </w:rPr>
              <w:t xml:space="preserve">                </w:t>
            </w:r>
            <w:r w:rsidRPr="00BA28BA">
              <w:rPr>
                <w:rFonts w:ascii="楷体_GB2312" w:eastAsia="仿宋_GB2312" w:hint="eastAsia"/>
                <w:color w:val="000000"/>
                <w:sz w:val="20"/>
                <w:szCs w:val="21"/>
                <w:u w:val="single"/>
              </w:rPr>
              <w:t xml:space="preserve">        </w:t>
            </w:r>
            <w:r w:rsidRPr="00BA28BA">
              <w:rPr>
                <w:rFonts w:ascii="楷体_GB2312" w:eastAsia="仿宋_GB2312" w:hint="eastAsia"/>
                <w:color w:val="000000"/>
                <w:sz w:val="20"/>
                <w:szCs w:val="21"/>
              </w:rPr>
              <w:t>年</w:t>
            </w:r>
            <w:r w:rsidRPr="00BA28BA">
              <w:rPr>
                <w:rFonts w:ascii="楷体_GB2312" w:eastAsia="仿宋_GB2312" w:hint="eastAsia"/>
                <w:color w:val="000000"/>
                <w:sz w:val="20"/>
                <w:szCs w:val="21"/>
                <w:u w:val="single"/>
              </w:rPr>
              <w:t xml:space="preserve">     </w:t>
            </w:r>
            <w:r w:rsidRPr="00BA28BA">
              <w:rPr>
                <w:rFonts w:ascii="楷体_GB2312" w:eastAsia="仿宋_GB2312" w:hint="eastAsia"/>
                <w:color w:val="000000"/>
                <w:sz w:val="20"/>
                <w:szCs w:val="21"/>
              </w:rPr>
              <w:t>月</w:t>
            </w:r>
            <w:r w:rsidRPr="00BA28BA">
              <w:rPr>
                <w:rFonts w:ascii="楷体_GB2312" w:eastAsia="仿宋_GB2312" w:hint="eastAsia"/>
                <w:color w:val="000000"/>
                <w:sz w:val="20"/>
                <w:szCs w:val="21"/>
                <w:u w:val="single"/>
              </w:rPr>
              <w:t xml:space="preserve">      </w:t>
            </w:r>
            <w:r w:rsidRPr="00BA28BA">
              <w:rPr>
                <w:rFonts w:ascii="楷体_GB2312" w:eastAsia="仿宋_GB2312" w:hint="eastAsia"/>
                <w:color w:val="000000"/>
                <w:sz w:val="20"/>
                <w:szCs w:val="21"/>
              </w:rPr>
              <w:t>日</w:t>
            </w:r>
          </w:p>
        </w:tc>
      </w:tr>
    </w:tbl>
    <w:p w:rsidR="00DC744B" w:rsidRPr="00BA28BA" w:rsidRDefault="00DC744B" w:rsidP="00BA28BA">
      <w:pPr>
        <w:adjustRightInd w:val="0"/>
        <w:snapToGrid w:val="0"/>
        <w:spacing w:line="460" w:lineRule="exact"/>
        <w:ind w:firstLineChars="200" w:firstLine="480"/>
        <w:rPr>
          <w:rFonts w:ascii="仿宋_GB2312" w:eastAsia="仿宋_GB2312" w:hAnsi="宋体"/>
          <w:sz w:val="24"/>
          <w:szCs w:val="28"/>
        </w:rPr>
      </w:pPr>
    </w:p>
    <w:p w:rsidR="00464DDB" w:rsidRPr="00BA28BA" w:rsidRDefault="00464DDB">
      <w:pPr>
        <w:rPr>
          <w:sz w:val="20"/>
        </w:rPr>
      </w:pPr>
    </w:p>
    <w:sectPr w:rsidR="00464DDB" w:rsidRPr="00BA28BA" w:rsidSect="00BA28BA">
      <w:pgSz w:w="11906" w:h="16838"/>
      <w:pgMar w:top="851"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9F" w:rsidRDefault="00A3549F" w:rsidP="00A3549F">
      <w:r>
        <w:separator/>
      </w:r>
    </w:p>
  </w:endnote>
  <w:endnote w:type="continuationSeparator" w:id="0">
    <w:p w:rsidR="00A3549F" w:rsidRDefault="00A3549F" w:rsidP="00A3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Ìå_GB2312">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9F" w:rsidRDefault="00A3549F" w:rsidP="00A3549F">
      <w:r>
        <w:separator/>
      </w:r>
    </w:p>
  </w:footnote>
  <w:footnote w:type="continuationSeparator" w:id="0">
    <w:p w:rsidR="00A3549F" w:rsidRDefault="00A3549F" w:rsidP="00A3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4B"/>
    <w:rsid w:val="00464DDB"/>
    <w:rsid w:val="00A3549F"/>
    <w:rsid w:val="00AD14FC"/>
    <w:rsid w:val="00BA28BA"/>
    <w:rsid w:val="00BD5C88"/>
    <w:rsid w:val="00C53CE1"/>
    <w:rsid w:val="00DC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C744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A35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49F"/>
    <w:rPr>
      <w:rFonts w:ascii="Calibri" w:eastAsia="宋体" w:hAnsi="Calibri" w:cs="Times New Roman"/>
      <w:sz w:val="18"/>
      <w:szCs w:val="18"/>
    </w:rPr>
  </w:style>
  <w:style w:type="paragraph" w:styleId="a5">
    <w:name w:val="footer"/>
    <w:basedOn w:val="a"/>
    <w:link w:val="Char0"/>
    <w:uiPriority w:val="99"/>
    <w:unhideWhenUsed/>
    <w:rsid w:val="00A3549F"/>
    <w:pPr>
      <w:tabs>
        <w:tab w:val="center" w:pos="4153"/>
        <w:tab w:val="right" w:pos="8306"/>
      </w:tabs>
      <w:snapToGrid w:val="0"/>
      <w:jc w:val="left"/>
    </w:pPr>
    <w:rPr>
      <w:sz w:val="18"/>
      <w:szCs w:val="18"/>
    </w:rPr>
  </w:style>
  <w:style w:type="character" w:customStyle="1" w:styleId="Char0">
    <w:name w:val="页脚 Char"/>
    <w:basedOn w:val="a0"/>
    <w:link w:val="a5"/>
    <w:uiPriority w:val="99"/>
    <w:rsid w:val="00A3549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C744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A35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49F"/>
    <w:rPr>
      <w:rFonts w:ascii="Calibri" w:eastAsia="宋体" w:hAnsi="Calibri" w:cs="Times New Roman"/>
      <w:sz w:val="18"/>
      <w:szCs w:val="18"/>
    </w:rPr>
  </w:style>
  <w:style w:type="paragraph" w:styleId="a5">
    <w:name w:val="footer"/>
    <w:basedOn w:val="a"/>
    <w:link w:val="Char0"/>
    <w:uiPriority w:val="99"/>
    <w:unhideWhenUsed/>
    <w:rsid w:val="00A3549F"/>
    <w:pPr>
      <w:tabs>
        <w:tab w:val="center" w:pos="4153"/>
        <w:tab w:val="right" w:pos="8306"/>
      </w:tabs>
      <w:snapToGrid w:val="0"/>
      <w:jc w:val="left"/>
    </w:pPr>
    <w:rPr>
      <w:sz w:val="18"/>
      <w:szCs w:val="18"/>
    </w:rPr>
  </w:style>
  <w:style w:type="character" w:customStyle="1" w:styleId="Char0">
    <w:name w:val="页脚 Char"/>
    <w:basedOn w:val="a0"/>
    <w:link w:val="a5"/>
    <w:uiPriority w:val="99"/>
    <w:rsid w:val="00A3549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338</Words>
  <Characters>1932</Characters>
  <Application>Microsoft Office Word</Application>
  <DocSecurity>0</DocSecurity>
  <Lines>16</Lines>
  <Paragraphs>4</Paragraphs>
  <ScaleCrop>false</ScaleCrop>
  <Company>xcbank</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6</cp:revision>
  <dcterms:created xsi:type="dcterms:W3CDTF">2015-04-07T02:16:00Z</dcterms:created>
  <dcterms:modified xsi:type="dcterms:W3CDTF">2016-03-15T08:24:00Z</dcterms:modified>
</cp:coreProperties>
</file>