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EE" w:rsidRPr="00B37E45" w:rsidRDefault="00BC3EEE" w:rsidP="00EA4929">
      <w:pPr>
        <w:spacing w:line="560" w:lineRule="exact"/>
        <w:jc w:val="center"/>
        <w:rPr>
          <w:rFonts w:eastAsia="方正小标宋_GBK"/>
          <w:sz w:val="28"/>
          <w:szCs w:val="28"/>
        </w:rPr>
      </w:pPr>
      <w:bookmarkStart w:id="0" w:name="_GoBack"/>
      <w:r w:rsidRPr="00B37E45">
        <w:rPr>
          <w:rFonts w:eastAsia="方正小标宋_GBK" w:hint="eastAsia"/>
          <w:sz w:val="28"/>
          <w:szCs w:val="28"/>
        </w:rPr>
        <w:t>投资者权益须知</w:t>
      </w:r>
    </w:p>
    <w:bookmarkEnd w:id="0"/>
    <w:p w:rsidR="00BC3EEE" w:rsidRPr="00395374" w:rsidRDefault="00BC3EEE" w:rsidP="00BC3EEE">
      <w:pPr>
        <w:widowControl/>
        <w:jc w:val="left"/>
        <w:rPr>
          <w:rFonts w:ascii="宋体" w:hAnsi="宋体" w:cs="宋体"/>
          <w:kern w:val="0"/>
          <w:sz w:val="24"/>
        </w:rPr>
      </w:pPr>
      <w:r w:rsidRPr="00395374">
        <w:rPr>
          <w:rFonts w:ascii="宋体" w:hAnsi="宋体" w:cs="宋体" w:hint="eastAsia"/>
          <w:kern w:val="0"/>
          <w:sz w:val="18"/>
          <w:szCs w:val="18"/>
        </w:rPr>
        <w:t>尊敬的客户：</w:t>
      </w:r>
    </w:p>
    <w:p w:rsidR="00BC3EEE" w:rsidRPr="00395374" w:rsidRDefault="000A0A31" w:rsidP="00BC3EEE">
      <w:pPr>
        <w:widowControl/>
        <w:ind w:firstLineChars="200" w:firstLine="360"/>
        <w:jc w:val="left"/>
        <w:rPr>
          <w:rFonts w:ascii="宋体" w:hAnsi="宋体" w:cs="宋体"/>
          <w:kern w:val="0"/>
          <w:sz w:val="24"/>
        </w:rPr>
      </w:pPr>
      <w:r>
        <w:rPr>
          <w:rFonts w:ascii="宋体" w:hAnsi="宋体" w:cs="宋体" w:hint="eastAsia"/>
          <w:kern w:val="0"/>
          <w:sz w:val="18"/>
          <w:szCs w:val="18"/>
        </w:rPr>
        <w:t>感谢您购买浙江新昌</w:t>
      </w:r>
      <w:r w:rsidR="00BC3EEE" w:rsidRPr="00395374">
        <w:rPr>
          <w:rFonts w:ascii="宋体" w:hAnsi="宋体" w:cs="宋体" w:hint="eastAsia"/>
          <w:kern w:val="0"/>
          <w:sz w:val="18"/>
          <w:szCs w:val="18"/>
        </w:rPr>
        <w:t>农村商业银行股份有限公司（“我行”）理财产品，请仔细阅读本《</w:t>
      </w:r>
      <w:r w:rsidR="00BC3EEE">
        <w:rPr>
          <w:rFonts w:ascii="宋体" w:hAnsi="宋体" w:cs="宋体" w:hint="eastAsia"/>
          <w:kern w:val="0"/>
          <w:sz w:val="18"/>
          <w:szCs w:val="18"/>
        </w:rPr>
        <w:t>投资者</w:t>
      </w:r>
      <w:r w:rsidR="00BC3EEE" w:rsidRPr="00395374">
        <w:rPr>
          <w:rFonts w:ascii="宋体" w:hAnsi="宋体" w:cs="宋体" w:hint="eastAsia"/>
          <w:kern w:val="0"/>
          <w:sz w:val="18"/>
          <w:szCs w:val="18"/>
        </w:rPr>
        <w:t>权益须知》，行使您在本业务项下的权益。</w:t>
      </w:r>
    </w:p>
    <w:p w:rsidR="00BC3EEE" w:rsidRPr="00395374" w:rsidRDefault="00BC3EEE" w:rsidP="00BC3EEE">
      <w:pPr>
        <w:widowControl/>
        <w:ind w:firstLineChars="200" w:firstLine="361"/>
        <w:jc w:val="left"/>
        <w:rPr>
          <w:rFonts w:ascii="宋体" w:hAnsi="宋体" w:cs="宋体"/>
          <w:kern w:val="0"/>
          <w:sz w:val="24"/>
        </w:rPr>
      </w:pPr>
      <w:r w:rsidRPr="00395374">
        <w:rPr>
          <w:rFonts w:ascii="宋体" w:hAnsi="宋体" w:cs="宋体" w:hint="eastAsia"/>
          <w:b/>
          <w:kern w:val="0"/>
          <w:sz w:val="18"/>
        </w:rPr>
        <w:t>一、理财产品购买流程</w:t>
      </w:r>
    </w:p>
    <w:p w:rsidR="00BC3EEE" w:rsidRPr="00395374" w:rsidRDefault="00BC3EEE" w:rsidP="00BC3EEE">
      <w:pPr>
        <w:widowControl/>
        <w:ind w:firstLineChars="200" w:firstLine="360"/>
        <w:jc w:val="left"/>
        <w:rPr>
          <w:rFonts w:ascii="宋体" w:hAnsi="宋体" w:cs="宋体"/>
          <w:kern w:val="0"/>
          <w:sz w:val="24"/>
        </w:rPr>
      </w:pPr>
      <w:r w:rsidRPr="00395374">
        <w:rPr>
          <w:rFonts w:ascii="宋体" w:hAnsi="宋体" w:cs="宋体" w:hint="eastAsia"/>
          <w:kern w:val="0"/>
          <w:sz w:val="18"/>
          <w:szCs w:val="18"/>
        </w:rPr>
        <w:t>1、开立或持有</w:t>
      </w:r>
      <w:r w:rsidR="000A0A31">
        <w:rPr>
          <w:rFonts w:ascii="宋体" w:hAnsi="宋体" w:cs="宋体" w:hint="eastAsia"/>
          <w:kern w:val="0"/>
          <w:sz w:val="18"/>
          <w:szCs w:val="18"/>
        </w:rPr>
        <w:t>新昌农商银行</w:t>
      </w:r>
      <w:r w:rsidRPr="00395374">
        <w:rPr>
          <w:rFonts w:ascii="宋体" w:hAnsi="宋体" w:cs="宋体" w:hint="eastAsia"/>
          <w:kern w:val="0"/>
          <w:sz w:val="18"/>
          <w:szCs w:val="18"/>
        </w:rPr>
        <w:t>账户，该账户用于本产品的理财资金划转及兑付，您应确保持有本产品期间所指定账户不做销户。</w:t>
      </w:r>
    </w:p>
    <w:p w:rsidR="00BC3EEE" w:rsidRPr="00395374" w:rsidRDefault="00BC3EEE" w:rsidP="00BC3EEE">
      <w:pPr>
        <w:widowControl/>
        <w:ind w:firstLineChars="200" w:firstLine="360"/>
        <w:jc w:val="left"/>
        <w:rPr>
          <w:rFonts w:ascii="宋体" w:hAnsi="宋体" w:cs="宋体"/>
          <w:kern w:val="0"/>
          <w:sz w:val="24"/>
        </w:rPr>
      </w:pPr>
      <w:r w:rsidRPr="00395374">
        <w:rPr>
          <w:rFonts w:ascii="宋体" w:hAnsi="宋体" w:cs="宋体" w:hint="eastAsia"/>
          <w:kern w:val="0"/>
          <w:sz w:val="18"/>
          <w:szCs w:val="18"/>
        </w:rPr>
        <w:t>2、接受并完成我行对您的风险承受能力评估，并根据风险评估结果选择适合的产品。</w:t>
      </w:r>
    </w:p>
    <w:p w:rsidR="00BC3EEE" w:rsidRPr="00395374" w:rsidRDefault="00BC3EEE" w:rsidP="00BC3EEE">
      <w:pPr>
        <w:widowControl/>
        <w:ind w:firstLineChars="200" w:firstLine="360"/>
        <w:jc w:val="left"/>
        <w:rPr>
          <w:rFonts w:ascii="宋体" w:hAnsi="宋体" w:cs="宋体"/>
          <w:kern w:val="0"/>
          <w:sz w:val="24"/>
        </w:rPr>
      </w:pPr>
      <w:r w:rsidRPr="00395374">
        <w:rPr>
          <w:rFonts w:ascii="宋体" w:hAnsi="宋体" w:cs="宋体" w:hint="eastAsia"/>
          <w:kern w:val="0"/>
          <w:sz w:val="18"/>
          <w:szCs w:val="18"/>
        </w:rPr>
        <w:t>3、请仔细阅读《产品协议书》、《产品说明书》、《风险揭示书》、《</w:t>
      </w:r>
      <w:r>
        <w:rPr>
          <w:rFonts w:ascii="宋体" w:hAnsi="宋体" w:cs="宋体" w:hint="eastAsia"/>
          <w:kern w:val="0"/>
          <w:sz w:val="18"/>
          <w:szCs w:val="18"/>
        </w:rPr>
        <w:t>投资者</w:t>
      </w:r>
      <w:r w:rsidRPr="00395374">
        <w:rPr>
          <w:rFonts w:ascii="宋体" w:hAnsi="宋体" w:cs="宋体" w:hint="eastAsia"/>
          <w:kern w:val="0"/>
          <w:sz w:val="18"/>
          <w:szCs w:val="18"/>
        </w:rPr>
        <w:t>权益须知》、《认购申请书》、《申购申请书》和《赎回申请书》以及其他有关文件（如有），确认已同意相关内容、充分了解相关风险并无疑问和异议后，签署相关销售文件，并办理购买手续。</w:t>
      </w:r>
    </w:p>
    <w:p w:rsidR="00BC3EEE" w:rsidRPr="00395374" w:rsidRDefault="00BC3EEE" w:rsidP="00BC3EEE">
      <w:pPr>
        <w:widowControl/>
        <w:ind w:firstLineChars="200" w:firstLine="360"/>
        <w:jc w:val="left"/>
        <w:rPr>
          <w:rFonts w:ascii="宋体" w:hAnsi="宋体" w:cs="宋体"/>
          <w:kern w:val="0"/>
          <w:sz w:val="24"/>
        </w:rPr>
      </w:pPr>
      <w:r w:rsidRPr="00395374">
        <w:rPr>
          <w:rFonts w:ascii="宋体" w:hAnsi="宋体" w:cs="宋体" w:hint="eastAsia"/>
          <w:kern w:val="0"/>
          <w:sz w:val="18"/>
          <w:szCs w:val="18"/>
        </w:rPr>
        <w:t>4、我行营业网点或者电子银行（包括但不限于网上银行、</w:t>
      </w:r>
      <w:r w:rsidR="000A0A31">
        <w:rPr>
          <w:rFonts w:ascii="宋体" w:hAnsi="宋体" w:cs="宋体" w:hint="eastAsia"/>
          <w:kern w:val="0"/>
          <w:sz w:val="18"/>
          <w:szCs w:val="18"/>
        </w:rPr>
        <w:t>丰收互联</w:t>
      </w:r>
      <w:r w:rsidRPr="00395374">
        <w:rPr>
          <w:rFonts w:ascii="宋体" w:hAnsi="宋体" w:cs="宋体" w:hint="eastAsia"/>
          <w:kern w:val="0"/>
          <w:sz w:val="18"/>
          <w:szCs w:val="18"/>
        </w:rPr>
        <w:t>和手机银行）均可办理理财产品的购买手续，但是对于具体理财产品，我行将根据产品风险等级和市场情况自行确定发售渠道。</w:t>
      </w:r>
    </w:p>
    <w:p w:rsidR="00BC3EEE" w:rsidRPr="00395374" w:rsidRDefault="00BC3EEE" w:rsidP="00BC3EEE">
      <w:pPr>
        <w:widowControl/>
        <w:ind w:firstLineChars="200" w:firstLine="361"/>
        <w:jc w:val="left"/>
        <w:rPr>
          <w:rFonts w:ascii="宋体" w:hAnsi="宋体" w:cs="宋体"/>
          <w:kern w:val="0"/>
          <w:sz w:val="24"/>
        </w:rPr>
      </w:pPr>
      <w:r w:rsidRPr="00395374">
        <w:rPr>
          <w:rFonts w:ascii="宋体" w:hAnsi="宋体" w:cs="宋体" w:hint="eastAsia"/>
          <w:b/>
          <w:kern w:val="0"/>
          <w:sz w:val="18"/>
        </w:rPr>
        <w:t>二、客户风险承受能力评估</w:t>
      </w:r>
    </w:p>
    <w:p w:rsidR="00BC3EEE" w:rsidRPr="00395374" w:rsidRDefault="00BC3EEE" w:rsidP="00BC3EEE">
      <w:pPr>
        <w:widowControl/>
        <w:ind w:firstLineChars="200" w:firstLine="360"/>
        <w:jc w:val="left"/>
        <w:rPr>
          <w:rFonts w:ascii="宋体" w:hAnsi="宋体" w:cs="宋体"/>
          <w:kern w:val="0"/>
          <w:sz w:val="24"/>
        </w:rPr>
      </w:pPr>
      <w:r w:rsidRPr="00395374">
        <w:rPr>
          <w:rFonts w:ascii="宋体" w:hAnsi="宋体" w:cs="宋体" w:hint="eastAsia"/>
          <w:kern w:val="0"/>
          <w:sz w:val="18"/>
          <w:szCs w:val="18"/>
        </w:rPr>
        <w:t>您首次购买我行理财产品前，需要在我行营业网点进行风险承受</w:t>
      </w:r>
      <w:r w:rsidR="000A0A31">
        <w:rPr>
          <w:rFonts w:ascii="宋体" w:hAnsi="宋体" w:cs="宋体" w:hint="eastAsia"/>
          <w:kern w:val="0"/>
          <w:sz w:val="18"/>
          <w:szCs w:val="18"/>
        </w:rPr>
        <w:t>能力评估，填写《个人客户风险承受能力评估问卷》，我行理财销售</w:t>
      </w:r>
      <w:r w:rsidRPr="00395374">
        <w:rPr>
          <w:rFonts w:ascii="宋体" w:hAnsi="宋体" w:cs="宋体" w:hint="eastAsia"/>
          <w:kern w:val="0"/>
          <w:sz w:val="18"/>
          <w:szCs w:val="18"/>
        </w:rPr>
        <w:t>系统会记录客户身份信息及风险评估结果信息。该评估结果有效期一年，并将作为评价您是否适合购买理财产品的重要因素。您可以通过我行营业网点或网上银行进行风险承受能力持续评估。</w:t>
      </w:r>
      <w:r w:rsidRPr="00395374">
        <w:rPr>
          <w:rFonts w:ascii="宋体" w:hAnsi="宋体" w:cs="仿宋_GB2312" w:hint="eastAsia"/>
          <w:b/>
          <w:kern w:val="0"/>
          <w:sz w:val="18"/>
        </w:rPr>
        <w:t>如影响您风险承受能力的因素发生变化，请您及时重新完成风险承受能力评估。</w:t>
      </w:r>
    </w:p>
    <w:p w:rsidR="00BC3EEE" w:rsidRPr="00395374" w:rsidRDefault="00BC3EEE" w:rsidP="00BC3EEE">
      <w:pPr>
        <w:widowControl/>
        <w:ind w:firstLineChars="200" w:firstLine="360"/>
        <w:jc w:val="left"/>
        <w:rPr>
          <w:rFonts w:ascii="宋体" w:hAnsi="宋体" w:cs="宋体"/>
          <w:kern w:val="0"/>
          <w:sz w:val="24"/>
        </w:rPr>
      </w:pPr>
      <w:r w:rsidRPr="00395374">
        <w:rPr>
          <w:rFonts w:ascii="宋体" w:hAnsi="宋体" w:cs="宋体" w:hint="eastAsia"/>
          <w:kern w:val="0"/>
          <w:sz w:val="18"/>
          <w:szCs w:val="18"/>
        </w:rPr>
        <w:t>我行客户根据风险承受能力，客户由低至高分为保守型、谨慎型、稳健型、进取型、激进型五个等级。其中，保守型为风险承受能力最低类别，激进型为风险承受能力最高类别。风险承受能力评级越高适合购买的理财产品风险评级越高，适合购买的理财产品类型越丰富，客户风险承受能力风险评级类型与适合购买的理财产品的对应关系为：</w:t>
      </w:r>
    </w:p>
    <w:tbl>
      <w:tblPr>
        <w:tblW w:w="8482"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70"/>
        <w:gridCol w:w="2057"/>
      </w:tblGrid>
      <w:tr w:rsidR="00BC3EEE" w:rsidRPr="00395374" w:rsidTr="00BC3EEE">
        <w:trPr>
          <w:trHeight w:val="28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after="160" w:line="240" w:lineRule="exact"/>
              <w:jc w:val="center"/>
              <w:rPr>
                <w:rFonts w:ascii="宋体" w:hAnsi="宋体" w:cs="宋体"/>
                <w:kern w:val="0"/>
                <w:sz w:val="24"/>
              </w:rPr>
            </w:pPr>
            <w:r w:rsidRPr="00395374">
              <w:rPr>
                <w:rFonts w:ascii="宋体" w:hAnsi="宋体" w:cs="宋体" w:hint="eastAsia"/>
                <w:kern w:val="0"/>
                <w:sz w:val="18"/>
                <w:szCs w:val="18"/>
              </w:rPr>
              <w:t>风险评级</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after="160" w:line="240" w:lineRule="exact"/>
              <w:jc w:val="center"/>
              <w:rPr>
                <w:rFonts w:ascii="宋体" w:hAnsi="宋体" w:cs="宋体"/>
                <w:kern w:val="0"/>
                <w:sz w:val="24"/>
              </w:rPr>
            </w:pPr>
            <w:r w:rsidRPr="00395374">
              <w:rPr>
                <w:rFonts w:ascii="宋体" w:hAnsi="宋体" w:cs="宋体" w:hint="eastAsia"/>
                <w:kern w:val="0"/>
                <w:sz w:val="18"/>
                <w:szCs w:val="18"/>
              </w:rPr>
              <w:t>评级说明</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after="160" w:line="240" w:lineRule="exact"/>
              <w:jc w:val="center"/>
              <w:rPr>
                <w:rFonts w:ascii="宋体" w:hAnsi="宋体" w:cs="宋体"/>
                <w:kern w:val="0"/>
                <w:sz w:val="24"/>
              </w:rPr>
            </w:pPr>
            <w:r w:rsidRPr="00395374">
              <w:rPr>
                <w:rFonts w:ascii="宋体" w:hAnsi="宋体" w:cs="宋体" w:hint="eastAsia"/>
                <w:kern w:val="0"/>
                <w:sz w:val="18"/>
                <w:szCs w:val="18"/>
              </w:rPr>
              <w:t>客户对象</w:t>
            </w:r>
          </w:p>
        </w:tc>
      </w:tr>
      <w:tr w:rsidR="00BC3EEE" w:rsidRPr="00395374" w:rsidTr="00BC3EEE">
        <w:trPr>
          <w:trHeight w:val="3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center"/>
              <w:rPr>
                <w:rFonts w:ascii="宋体" w:hAnsi="宋体" w:cs="宋体"/>
                <w:kern w:val="0"/>
                <w:sz w:val="24"/>
              </w:rPr>
            </w:pPr>
            <w:r w:rsidRPr="00395374">
              <w:rPr>
                <w:rFonts w:ascii="宋体" w:hAnsi="宋体" w:cs="宋体" w:hint="eastAsia"/>
                <w:kern w:val="0"/>
                <w:sz w:val="18"/>
                <w:szCs w:val="18"/>
              </w:rPr>
              <w:t>PR1</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adjustRightInd w:val="0"/>
              <w:jc w:val="left"/>
              <w:rPr>
                <w:rFonts w:ascii="宋体" w:hAnsi="宋体" w:cs="宋体"/>
                <w:kern w:val="0"/>
                <w:sz w:val="24"/>
              </w:rPr>
            </w:pPr>
            <w:r w:rsidRPr="00395374">
              <w:rPr>
                <w:rFonts w:ascii="宋体" w:hAnsi="宋体" w:cs="宋体" w:hint="eastAsia"/>
                <w:kern w:val="0"/>
                <w:sz w:val="18"/>
                <w:szCs w:val="18"/>
              </w:rPr>
              <w:t>投资本金没有风险，实现产品预期目标的可能性极高；或产品不保障本金，但受风险因素影响很小，且具有很高流动性。</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center"/>
              <w:rPr>
                <w:rFonts w:ascii="宋体" w:hAnsi="宋体" w:cs="宋体"/>
                <w:kern w:val="0"/>
                <w:sz w:val="24"/>
              </w:rPr>
            </w:pPr>
            <w:r w:rsidRPr="00395374">
              <w:rPr>
                <w:rFonts w:ascii="宋体" w:hAnsi="宋体" w:cs="Arial" w:hint="eastAsia"/>
                <w:kern w:val="0"/>
                <w:sz w:val="18"/>
                <w:szCs w:val="18"/>
              </w:rPr>
              <w:t>保守型</w:t>
            </w:r>
            <w:r w:rsidRPr="00395374">
              <w:rPr>
                <w:rFonts w:ascii="宋体" w:hAnsi="宋体" w:cs="宋体" w:hint="eastAsia"/>
                <w:kern w:val="0"/>
                <w:sz w:val="18"/>
                <w:szCs w:val="18"/>
              </w:rPr>
              <w:t>及以上</w:t>
            </w:r>
          </w:p>
        </w:tc>
      </w:tr>
      <w:tr w:rsidR="00BC3EEE" w:rsidRPr="00395374" w:rsidTr="00BC3EEE">
        <w:trPr>
          <w:trHeight w:val="77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center"/>
              <w:rPr>
                <w:rFonts w:ascii="宋体" w:hAnsi="宋体" w:cs="宋体"/>
                <w:kern w:val="0"/>
                <w:sz w:val="24"/>
              </w:rPr>
            </w:pPr>
            <w:r w:rsidRPr="00395374">
              <w:rPr>
                <w:rFonts w:ascii="宋体" w:hAnsi="宋体" w:cs="宋体" w:hint="eastAsia"/>
                <w:kern w:val="0"/>
                <w:sz w:val="18"/>
                <w:szCs w:val="18"/>
              </w:rPr>
              <w:t>PR2</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left"/>
              <w:rPr>
                <w:rFonts w:ascii="宋体" w:hAnsi="宋体" w:cs="宋体"/>
                <w:kern w:val="0"/>
                <w:sz w:val="24"/>
              </w:rPr>
            </w:pPr>
            <w:r w:rsidRPr="00395374">
              <w:rPr>
                <w:rFonts w:ascii="宋体" w:hAnsi="宋体" w:cs="宋体" w:hint="eastAsia"/>
                <w:kern w:val="0"/>
                <w:sz w:val="18"/>
                <w:szCs w:val="18"/>
              </w:rPr>
              <w:t>产品结构简单，过往业绩及净值的历史波动率低，投资标的流动性很好，估值政策清晰。</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center"/>
              <w:rPr>
                <w:rFonts w:ascii="宋体" w:hAnsi="宋体" w:cs="宋体"/>
                <w:kern w:val="0"/>
                <w:sz w:val="24"/>
              </w:rPr>
            </w:pPr>
            <w:r w:rsidRPr="00395374">
              <w:rPr>
                <w:rFonts w:ascii="宋体" w:hAnsi="宋体" w:cs="Arial" w:hint="eastAsia"/>
                <w:kern w:val="0"/>
                <w:sz w:val="18"/>
                <w:szCs w:val="18"/>
              </w:rPr>
              <w:t>谨慎型</w:t>
            </w:r>
            <w:r w:rsidRPr="00395374">
              <w:rPr>
                <w:rFonts w:ascii="宋体" w:hAnsi="宋体" w:cs="宋体" w:hint="eastAsia"/>
                <w:kern w:val="0"/>
                <w:sz w:val="18"/>
                <w:szCs w:val="18"/>
              </w:rPr>
              <w:t>及以上</w:t>
            </w:r>
          </w:p>
        </w:tc>
      </w:tr>
      <w:tr w:rsidR="00BC3EEE" w:rsidRPr="00395374" w:rsidTr="00BC3EEE">
        <w:trPr>
          <w:trHeight w:val="61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center"/>
              <w:rPr>
                <w:rFonts w:ascii="宋体" w:hAnsi="宋体" w:cs="宋体"/>
                <w:kern w:val="0"/>
                <w:sz w:val="24"/>
              </w:rPr>
            </w:pPr>
            <w:r w:rsidRPr="00395374">
              <w:rPr>
                <w:rFonts w:ascii="宋体" w:hAnsi="宋体" w:cs="宋体" w:hint="eastAsia"/>
                <w:kern w:val="0"/>
                <w:sz w:val="18"/>
                <w:szCs w:val="18"/>
              </w:rPr>
              <w:t>PR3</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after="160" w:line="240" w:lineRule="exact"/>
              <w:jc w:val="left"/>
              <w:rPr>
                <w:rFonts w:ascii="宋体" w:hAnsi="宋体" w:cs="宋体"/>
                <w:kern w:val="0"/>
                <w:sz w:val="24"/>
              </w:rPr>
            </w:pPr>
            <w:r w:rsidRPr="00395374">
              <w:rPr>
                <w:rFonts w:ascii="宋体" w:hAnsi="宋体" w:cs="宋体" w:hint="eastAsia"/>
                <w:kern w:val="0"/>
                <w:sz w:val="18"/>
                <w:szCs w:val="18"/>
              </w:rPr>
              <w:t>产品结构简单，过往业绩及净值的历史波动率较低，投资标的流动性好、投资衍生品以套期保值为目的，估值政策清晰。</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spacing w:after="160" w:line="240" w:lineRule="exact"/>
              <w:jc w:val="center"/>
              <w:rPr>
                <w:rFonts w:ascii="宋体" w:hAnsi="宋体" w:cs="宋体"/>
                <w:kern w:val="0"/>
                <w:sz w:val="24"/>
              </w:rPr>
            </w:pPr>
            <w:r w:rsidRPr="00395374">
              <w:rPr>
                <w:rFonts w:ascii="宋体" w:hAnsi="宋体" w:cs="Arial" w:hint="eastAsia"/>
                <w:kern w:val="0"/>
                <w:sz w:val="18"/>
                <w:szCs w:val="18"/>
              </w:rPr>
              <w:t>稳健型</w:t>
            </w:r>
            <w:r w:rsidRPr="00395374">
              <w:rPr>
                <w:rFonts w:ascii="宋体" w:hAnsi="宋体" w:cs="宋体" w:hint="eastAsia"/>
                <w:kern w:val="0"/>
                <w:sz w:val="18"/>
                <w:szCs w:val="18"/>
              </w:rPr>
              <w:t>及以上</w:t>
            </w:r>
          </w:p>
        </w:tc>
      </w:tr>
      <w:tr w:rsidR="00BC3EEE" w:rsidRPr="00395374" w:rsidTr="00BC3EEE">
        <w:trPr>
          <w:trHeight w:val="60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center"/>
              <w:rPr>
                <w:rFonts w:ascii="宋体" w:hAnsi="宋体" w:cs="宋体"/>
                <w:kern w:val="0"/>
                <w:sz w:val="24"/>
              </w:rPr>
            </w:pPr>
            <w:r w:rsidRPr="00395374">
              <w:rPr>
                <w:rFonts w:ascii="宋体" w:hAnsi="宋体" w:cs="宋体" w:hint="eastAsia"/>
                <w:kern w:val="0"/>
                <w:sz w:val="18"/>
                <w:szCs w:val="18"/>
              </w:rPr>
              <w:t>PR4</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left"/>
              <w:rPr>
                <w:rFonts w:ascii="宋体" w:hAnsi="宋体" w:cs="宋体"/>
                <w:kern w:val="0"/>
                <w:sz w:val="24"/>
              </w:rPr>
            </w:pPr>
            <w:r w:rsidRPr="00395374">
              <w:rPr>
                <w:rFonts w:ascii="宋体" w:hAnsi="宋体" w:cs="宋体" w:hint="eastAsia"/>
                <w:kern w:val="0"/>
                <w:sz w:val="18"/>
                <w:szCs w:val="18"/>
              </w:rPr>
              <w:t>产品结构较简单，过往业绩及净值的历史波动率较高，投资标的流动性较好、投资衍生品以套期保值为目的，估值政策清晰。</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center"/>
              <w:rPr>
                <w:rFonts w:ascii="宋体" w:hAnsi="宋体" w:cs="宋体"/>
                <w:kern w:val="0"/>
                <w:sz w:val="24"/>
              </w:rPr>
            </w:pPr>
            <w:r w:rsidRPr="00395374">
              <w:rPr>
                <w:rFonts w:ascii="宋体" w:hAnsi="宋体" w:cs="Arial" w:hint="eastAsia"/>
                <w:kern w:val="0"/>
                <w:sz w:val="18"/>
                <w:szCs w:val="18"/>
              </w:rPr>
              <w:t>进取型</w:t>
            </w:r>
            <w:r w:rsidRPr="00395374">
              <w:rPr>
                <w:rFonts w:ascii="宋体" w:hAnsi="宋体" w:cs="宋体" w:hint="eastAsia"/>
                <w:kern w:val="0"/>
                <w:sz w:val="18"/>
                <w:szCs w:val="18"/>
              </w:rPr>
              <w:t>及以上</w:t>
            </w:r>
          </w:p>
        </w:tc>
      </w:tr>
      <w:tr w:rsidR="00BC3EEE" w:rsidRPr="00395374" w:rsidTr="00BC3EEE">
        <w:trPr>
          <w:trHeight w:val="72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center"/>
              <w:rPr>
                <w:rFonts w:ascii="宋体" w:hAnsi="宋体" w:cs="宋体"/>
                <w:kern w:val="0"/>
                <w:sz w:val="24"/>
              </w:rPr>
            </w:pPr>
            <w:r w:rsidRPr="00395374">
              <w:rPr>
                <w:rFonts w:ascii="宋体" w:hAnsi="宋体" w:cs="宋体" w:hint="eastAsia"/>
                <w:kern w:val="0"/>
                <w:sz w:val="18"/>
                <w:szCs w:val="18"/>
              </w:rPr>
              <w:t>PR5</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left"/>
              <w:rPr>
                <w:rFonts w:ascii="宋体" w:hAnsi="宋体" w:cs="宋体"/>
                <w:kern w:val="0"/>
                <w:sz w:val="24"/>
              </w:rPr>
            </w:pPr>
            <w:r w:rsidRPr="00395374">
              <w:rPr>
                <w:rFonts w:ascii="宋体" w:hAnsi="宋体" w:cs="宋体" w:hint="eastAsia"/>
                <w:kern w:val="0"/>
                <w:sz w:val="18"/>
                <w:szCs w:val="18"/>
              </w:rPr>
              <w:t>产品结构较复杂，过往业绩及净值的历史波动率高，投资标的流动性较差，投资衍生品以追求收益为目的，估值政策较清晰。</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BC3EEE" w:rsidRPr="00395374" w:rsidRDefault="00BC3EEE" w:rsidP="00BC3EEE">
            <w:pPr>
              <w:widowControl/>
              <w:jc w:val="center"/>
              <w:rPr>
                <w:rFonts w:ascii="宋体" w:hAnsi="宋体" w:cs="宋体"/>
                <w:kern w:val="0"/>
                <w:sz w:val="24"/>
              </w:rPr>
            </w:pPr>
            <w:r w:rsidRPr="00395374">
              <w:rPr>
                <w:rFonts w:ascii="宋体" w:hAnsi="宋体" w:cs="Arial" w:hint="eastAsia"/>
                <w:kern w:val="0"/>
                <w:sz w:val="18"/>
                <w:szCs w:val="18"/>
              </w:rPr>
              <w:t>激进型</w:t>
            </w:r>
          </w:p>
        </w:tc>
      </w:tr>
    </w:tbl>
    <w:p w:rsidR="00BC3EEE" w:rsidRPr="00395374" w:rsidRDefault="00BC3EEE" w:rsidP="00BC3EEE">
      <w:pPr>
        <w:widowControl/>
        <w:ind w:firstLineChars="200" w:firstLine="360"/>
        <w:jc w:val="left"/>
        <w:rPr>
          <w:rFonts w:ascii="宋体" w:hAnsi="宋体" w:cs="宋体"/>
          <w:kern w:val="0"/>
          <w:sz w:val="24"/>
        </w:rPr>
      </w:pPr>
      <w:r w:rsidRPr="00395374">
        <w:rPr>
          <w:rFonts w:ascii="宋体" w:hAnsi="宋体" w:cs="宋体" w:hint="eastAsia"/>
          <w:kern w:val="0"/>
          <w:sz w:val="18"/>
          <w:szCs w:val="18"/>
        </w:rPr>
        <w:t>三、理财产品的信息披露将通过</w:t>
      </w:r>
      <w:r w:rsidR="000A0A31">
        <w:rPr>
          <w:rFonts w:ascii="宋体" w:hAnsi="宋体" w:cs="宋体" w:hint="eastAsia"/>
          <w:kern w:val="0"/>
          <w:sz w:val="18"/>
          <w:szCs w:val="18"/>
        </w:rPr>
        <w:t>新昌农商银行</w:t>
      </w:r>
      <w:r w:rsidRPr="00395374">
        <w:rPr>
          <w:rFonts w:ascii="宋体" w:hAnsi="宋体" w:cs="宋体" w:hint="eastAsia"/>
          <w:kern w:val="0"/>
          <w:sz w:val="18"/>
          <w:szCs w:val="18"/>
        </w:rPr>
        <w:t>营业网点或网站（</w:t>
      </w:r>
      <w:r w:rsidR="000A0A31">
        <w:rPr>
          <w:rFonts w:ascii="宋体" w:hAnsi="宋体" w:cs="宋体" w:hint="eastAsia"/>
          <w:kern w:val="0"/>
          <w:sz w:val="18"/>
          <w:szCs w:val="18"/>
        </w:rPr>
        <w:t>www.xc</w:t>
      </w:r>
      <w:r w:rsidRPr="00395374">
        <w:rPr>
          <w:rFonts w:ascii="宋体" w:hAnsi="宋体" w:cs="宋体" w:hint="eastAsia"/>
          <w:kern w:val="0"/>
          <w:sz w:val="18"/>
          <w:szCs w:val="18"/>
        </w:rPr>
        <w:t>bank.com）等渠道进行，具体方式、渠道及频率以《产品说明书》中“信息披露”约定为准。</w:t>
      </w:r>
    </w:p>
    <w:p w:rsidR="00BC3EEE" w:rsidRPr="00395374" w:rsidRDefault="00BC3EEE" w:rsidP="00BC3EEE">
      <w:pPr>
        <w:widowControl/>
        <w:ind w:firstLineChars="200" w:firstLine="360"/>
        <w:jc w:val="left"/>
        <w:rPr>
          <w:rFonts w:ascii="宋体" w:hAnsi="宋体" w:cs="宋体"/>
          <w:kern w:val="0"/>
          <w:sz w:val="24"/>
        </w:rPr>
      </w:pPr>
      <w:r w:rsidRPr="00395374">
        <w:rPr>
          <w:rFonts w:ascii="宋体" w:hAnsi="宋体" w:cs="宋体" w:hint="eastAsia"/>
          <w:kern w:val="0"/>
          <w:sz w:val="18"/>
          <w:szCs w:val="18"/>
        </w:rPr>
        <w:t>四、您对本产品有任何意见或异议，可反馈至我行营业网点，也可致电我行客户服务热线</w:t>
      </w:r>
      <w:r w:rsidR="000A0A31">
        <w:rPr>
          <w:rFonts w:ascii="宋体" w:hAnsi="宋体" w:cs="宋体" w:hint="eastAsia"/>
          <w:kern w:val="0"/>
          <w:sz w:val="18"/>
          <w:szCs w:val="18"/>
        </w:rPr>
        <w:t>0575-86266991</w:t>
      </w:r>
      <w:r w:rsidRPr="00395374">
        <w:rPr>
          <w:rFonts w:ascii="宋体" w:hAnsi="宋体" w:cs="宋体" w:hint="eastAsia"/>
          <w:kern w:val="0"/>
          <w:sz w:val="18"/>
          <w:szCs w:val="18"/>
        </w:rPr>
        <w:t>。</w:t>
      </w:r>
    </w:p>
    <w:p w:rsidR="00BC3EEE" w:rsidRPr="00395374" w:rsidRDefault="00BC3EEE" w:rsidP="00BC3EEE">
      <w:pPr>
        <w:widowControl/>
        <w:ind w:rightChars="40" w:right="84" w:firstLineChars="3550" w:firstLine="8520"/>
        <w:jc w:val="left"/>
        <w:rPr>
          <w:rFonts w:ascii="宋体" w:hAnsi="宋体" w:cs="宋体"/>
          <w:kern w:val="0"/>
          <w:sz w:val="24"/>
        </w:rPr>
      </w:pPr>
      <w:r w:rsidRPr="00395374">
        <w:rPr>
          <w:rFonts w:ascii="宋体" w:hAnsi="宋体" w:cs="宋体" w:hint="eastAsia"/>
          <w:kern w:val="0"/>
          <w:sz w:val="24"/>
        </w:rPr>
        <w:t> </w:t>
      </w:r>
    </w:p>
    <w:p w:rsidR="00BC3EEE" w:rsidRPr="00395374" w:rsidRDefault="000A0A31" w:rsidP="00BC3EEE">
      <w:pPr>
        <w:widowControl/>
        <w:ind w:rightChars="40" w:right="84" w:firstLineChars="900" w:firstLine="1620"/>
        <w:jc w:val="right"/>
        <w:rPr>
          <w:rFonts w:ascii="宋体" w:hAnsi="宋体" w:cs="宋体"/>
          <w:kern w:val="0"/>
          <w:sz w:val="24"/>
        </w:rPr>
      </w:pPr>
      <w:r>
        <w:rPr>
          <w:rFonts w:ascii="宋体" w:hAnsi="宋体" w:cs="宋体" w:hint="eastAsia"/>
          <w:kern w:val="0"/>
          <w:sz w:val="18"/>
          <w:szCs w:val="18"/>
        </w:rPr>
        <w:t>浙江新昌</w:t>
      </w:r>
      <w:r w:rsidR="00BC3EEE" w:rsidRPr="00395374">
        <w:rPr>
          <w:rFonts w:ascii="宋体" w:hAnsi="宋体" w:cs="宋体" w:hint="eastAsia"/>
          <w:kern w:val="0"/>
          <w:sz w:val="18"/>
          <w:szCs w:val="18"/>
        </w:rPr>
        <w:t>农村商业银行股份有限公司</w:t>
      </w:r>
    </w:p>
    <w:p w:rsidR="00BC3EEE" w:rsidRPr="00B37E45" w:rsidRDefault="00BC3EEE" w:rsidP="00BC3EEE">
      <w:pPr>
        <w:tabs>
          <w:tab w:val="left" w:pos="3136"/>
        </w:tabs>
        <w:spacing w:line="400" w:lineRule="exact"/>
        <w:rPr>
          <w:rFonts w:eastAsia="仿宋_GB2312"/>
          <w:sz w:val="28"/>
          <w:szCs w:val="28"/>
        </w:rPr>
      </w:pPr>
    </w:p>
    <w:p w:rsidR="003539DA" w:rsidRPr="00BC3EEE" w:rsidRDefault="003539DA" w:rsidP="00BC3EEE"/>
    <w:sectPr w:rsidR="003539DA" w:rsidRPr="00BC3EEE">
      <w:headerReference w:type="default" r:id="rId8"/>
      <w:footerReference w:type="default" r:id="rId9"/>
      <w:pgSz w:w="11906" w:h="16838"/>
      <w:pgMar w:top="851"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1D" w:rsidRDefault="0054071D" w:rsidP="00C03E6A">
      <w:r>
        <w:separator/>
      </w:r>
    </w:p>
  </w:endnote>
  <w:endnote w:type="continuationSeparator" w:id="0">
    <w:p w:rsidR="0054071D" w:rsidRDefault="0054071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71D" w:rsidRDefault="0054071D" w:rsidP="00BC3EEE">
    <w:pPr>
      <w:pStyle w:val="a4"/>
      <w:jc w:val="right"/>
    </w:pPr>
    <w:r>
      <w:fldChar w:fldCharType="begin"/>
    </w:r>
    <w:r>
      <w:instrText xml:space="preserve"> PAGE   \* MERGEFORMAT </w:instrText>
    </w:r>
    <w:r>
      <w:fldChar w:fldCharType="separate"/>
    </w:r>
    <w:r w:rsidR="00EA4929" w:rsidRPr="00EA4929">
      <w:rPr>
        <w:noProof/>
        <w:lang w:val="zh-CN"/>
      </w:rPr>
      <w:t>1</w:t>
    </w:r>
    <w:r>
      <w:fldChar w:fldCharType="end"/>
    </w:r>
  </w:p>
  <w:p w:rsidR="0054071D" w:rsidRDefault="0054071D" w:rsidP="00BC3EEE">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1D" w:rsidRDefault="0054071D" w:rsidP="00C03E6A">
      <w:r>
        <w:separator/>
      </w:r>
    </w:p>
  </w:footnote>
  <w:footnote w:type="continuationSeparator" w:id="0">
    <w:p w:rsidR="0054071D" w:rsidRDefault="0054071D" w:rsidP="00C03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71D" w:rsidRDefault="0054071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5167520"/>
    <w:multiLevelType w:val="hybridMultilevel"/>
    <w:tmpl w:val="8DCEA870"/>
    <w:lvl w:ilvl="0" w:tplc="487AD2F2">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A0A31"/>
    <w:rsid w:val="000D457F"/>
    <w:rsid w:val="000F0C2A"/>
    <w:rsid w:val="001864A1"/>
    <w:rsid w:val="001B1BCB"/>
    <w:rsid w:val="001B7921"/>
    <w:rsid w:val="001D0CAB"/>
    <w:rsid w:val="001F6119"/>
    <w:rsid w:val="00200ECD"/>
    <w:rsid w:val="00201FD7"/>
    <w:rsid w:val="00202961"/>
    <w:rsid w:val="00204720"/>
    <w:rsid w:val="002E0218"/>
    <w:rsid w:val="003270C5"/>
    <w:rsid w:val="003539DA"/>
    <w:rsid w:val="003E5C7A"/>
    <w:rsid w:val="004075B4"/>
    <w:rsid w:val="004547E1"/>
    <w:rsid w:val="00456C39"/>
    <w:rsid w:val="004D4E52"/>
    <w:rsid w:val="00507C59"/>
    <w:rsid w:val="005313F7"/>
    <w:rsid w:val="0054071D"/>
    <w:rsid w:val="00553890"/>
    <w:rsid w:val="005606C4"/>
    <w:rsid w:val="00562F65"/>
    <w:rsid w:val="0058236E"/>
    <w:rsid w:val="005D156D"/>
    <w:rsid w:val="005D197E"/>
    <w:rsid w:val="005F32BA"/>
    <w:rsid w:val="00632C22"/>
    <w:rsid w:val="00670548"/>
    <w:rsid w:val="00671AF4"/>
    <w:rsid w:val="00684E08"/>
    <w:rsid w:val="006956CC"/>
    <w:rsid w:val="006A5040"/>
    <w:rsid w:val="006B38CA"/>
    <w:rsid w:val="006B7722"/>
    <w:rsid w:val="00706981"/>
    <w:rsid w:val="00730A98"/>
    <w:rsid w:val="007616EF"/>
    <w:rsid w:val="007761F9"/>
    <w:rsid w:val="00803B7C"/>
    <w:rsid w:val="00805DA0"/>
    <w:rsid w:val="00865AA0"/>
    <w:rsid w:val="00883B64"/>
    <w:rsid w:val="008870DE"/>
    <w:rsid w:val="008F52BF"/>
    <w:rsid w:val="0090172D"/>
    <w:rsid w:val="00911AF1"/>
    <w:rsid w:val="00932F83"/>
    <w:rsid w:val="00936692"/>
    <w:rsid w:val="00941F4A"/>
    <w:rsid w:val="00976F47"/>
    <w:rsid w:val="00A01B89"/>
    <w:rsid w:val="00A0472D"/>
    <w:rsid w:val="00A948A6"/>
    <w:rsid w:val="00AA2DA2"/>
    <w:rsid w:val="00AC2E6D"/>
    <w:rsid w:val="00AE1895"/>
    <w:rsid w:val="00AE3383"/>
    <w:rsid w:val="00AF331C"/>
    <w:rsid w:val="00B068F3"/>
    <w:rsid w:val="00B41F69"/>
    <w:rsid w:val="00B6453F"/>
    <w:rsid w:val="00BB2884"/>
    <w:rsid w:val="00BC3EEE"/>
    <w:rsid w:val="00C03E6A"/>
    <w:rsid w:val="00C234CF"/>
    <w:rsid w:val="00C269D6"/>
    <w:rsid w:val="00C55CE9"/>
    <w:rsid w:val="00C632D4"/>
    <w:rsid w:val="00C85400"/>
    <w:rsid w:val="00CE020C"/>
    <w:rsid w:val="00D807AE"/>
    <w:rsid w:val="00DB1EBC"/>
    <w:rsid w:val="00DC3E03"/>
    <w:rsid w:val="00DE3C23"/>
    <w:rsid w:val="00E4485B"/>
    <w:rsid w:val="00E6239E"/>
    <w:rsid w:val="00E96A0E"/>
    <w:rsid w:val="00EA4929"/>
    <w:rsid w:val="00EA61A2"/>
    <w:rsid w:val="00EC6F91"/>
    <w:rsid w:val="00F17D8E"/>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Normal (Web)"/>
    <w:basedOn w:val="a"/>
    <w:rsid w:val="00AE3383"/>
    <w:rPr>
      <w:rFonts w:asciiTheme="minorHAnsi" w:eastAsiaTheme="minorEastAsia" w:hAnsiTheme="minorHAnsi" w:cstheme="minorBidi"/>
      <w:sz w:val="24"/>
      <w:szCs w:val="24"/>
    </w:rPr>
  </w:style>
  <w:style w:type="character" w:styleId="a8">
    <w:name w:val="Hyperlink"/>
    <w:basedOn w:val="a0"/>
    <w:uiPriority w:val="99"/>
    <w:unhideWhenUsed/>
    <w:rsid w:val="00AE33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Normal (Web)"/>
    <w:basedOn w:val="a"/>
    <w:rsid w:val="00AE3383"/>
    <w:rPr>
      <w:rFonts w:asciiTheme="minorHAnsi" w:eastAsiaTheme="minorEastAsia" w:hAnsiTheme="minorHAnsi" w:cstheme="minorBidi"/>
      <w:sz w:val="24"/>
      <w:szCs w:val="24"/>
    </w:rPr>
  </w:style>
  <w:style w:type="character" w:styleId="a8">
    <w:name w:val="Hyperlink"/>
    <w:basedOn w:val="a0"/>
    <w:uiPriority w:val="99"/>
    <w:unhideWhenUsed/>
    <w:rsid w:val="00AE3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66</cp:revision>
  <dcterms:created xsi:type="dcterms:W3CDTF">2020-04-28T03:10:00Z</dcterms:created>
  <dcterms:modified xsi:type="dcterms:W3CDTF">2022-03-24T07:29:00Z</dcterms:modified>
</cp:coreProperties>
</file>