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D41EC2" w:rsidRPr="00D41EC2">
        <w:rPr>
          <w:rFonts w:ascii="宋体" w:hAnsi="宋体" w:hint="eastAsia"/>
          <w:b/>
          <w:sz w:val="32"/>
          <w:szCs w:val="32"/>
        </w:rPr>
        <w:t>丰收喜悦周周赢开放式</w:t>
      </w:r>
      <w:r w:rsidR="000B0FA7" w:rsidRPr="000B0FA7">
        <w:rPr>
          <w:rFonts w:ascii="宋体" w:hAnsi="宋体" w:hint="eastAsia"/>
          <w:b/>
          <w:sz w:val="32"/>
          <w:szCs w:val="32"/>
        </w:rPr>
        <w:t>净值型理财产品</w:t>
      </w:r>
      <w:r w:rsidRPr="006E6B2E">
        <w:rPr>
          <w:rFonts w:ascii="宋体" w:hAnsi="宋体" w:hint="eastAsia"/>
          <w:b/>
          <w:sz w:val="32"/>
          <w:szCs w:val="32"/>
        </w:rPr>
        <w:t>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D41EC2">
        <w:rPr>
          <w:rFonts w:ascii="宋体" w:hAnsi="宋体" w:cs="宋体" w:hint="eastAsia"/>
          <w:kern w:val="0"/>
        </w:rPr>
        <w:t>丰收喜悦周周赢开放式净值型理财产品</w:t>
      </w:r>
      <w:r w:rsidRPr="006E6B2E">
        <w:rPr>
          <w:rFonts w:ascii="宋体" w:hAnsi="宋体" w:cs="宋体" w:hint="eastAsia"/>
          <w:kern w:val="0"/>
        </w:rPr>
        <w:t>，属于</w:t>
      </w:r>
      <w:r w:rsidRPr="006E6B2E">
        <w:rPr>
          <w:rFonts w:ascii="宋体" w:hAnsi="宋体" w:cs="宋体" w:hint="eastAsia"/>
          <w:b/>
          <w:kern w:val="0"/>
          <w:sz w:val="24"/>
          <w:szCs w:val="24"/>
        </w:rPr>
        <w:t>封闭式非保本</w:t>
      </w:r>
      <w:r w:rsidR="000B0FA7">
        <w:rPr>
          <w:rFonts w:ascii="宋体" w:hAnsi="宋体" w:cs="宋体" w:hint="eastAsia"/>
          <w:b/>
          <w:kern w:val="0"/>
          <w:sz w:val="24"/>
          <w:szCs w:val="24"/>
        </w:rPr>
        <w:t>开放式</w:t>
      </w:r>
      <w:r w:rsidRPr="006E6B2E">
        <w:rPr>
          <w:rFonts w:ascii="宋体" w:hAnsi="宋体" w:cs="宋体" w:hint="eastAsia"/>
          <w:b/>
          <w:kern w:val="0"/>
          <w:sz w:val="24"/>
          <w:szCs w:val="24"/>
        </w:rPr>
        <w:t>净值型</w:t>
      </w:r>
      <w:r w:rsidRPr="006E6B2E">
        <w:rPr>
          <w:rFonts w:ascii="宋体" w:hAnsi="宋体" w:cs="宋体" w:hint="eastAsia"/>
          <w:bCs/>
          <w:kern w:val="0"/>
        </w:rPr>
        <w:t>理财产品</w:t>
      </w:r>
      <w:r w:rsidRPr="006E6B2E">
        <w:rPr>
          <w:rFonts w:ascii="宋体" w:hAnsi="宋体" w:cs="宋体" w:hint="eastAsia"/>
          <w:kern w:val="0"/>
        </w:rPr>
        <w:t>，</w:t>
      </w:r>
      <w:r w:rsidR="000B0FA7" w:rsidRPr="000B0FA7">
        <w:rPr>
          <w:rFonts w:ascii="宋体" w:hAnsi="宋体" w:cs="宋体" w:hint="eastAsia"/>
          <w:kern w:val="0"/>
        </w:rPr>
        <w:t>产品期限为无固定期限</w:t>
      </w:r>
      <w:r w:rsidR="000B0FA7">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w:t>
      </w:r>
      <w:r w:rsidR="000B0FA7">
        <w:rPr>
          <w:rFonts w:ascii="宋体" w:hAnsi="宋体" w:cs="宋体" w:hint="eastAsia"/>
          <w:color w:val="000000"/>
          <w:kern w:val="0"/>
        </w:rPr>
        <w:t>赎回日/</w:t>
      </w:r>
      <w:r w:rsidRPr="006E6B2E">
        <w:rPr>
          <w:rFonts w:ascii="宋体" w:hAnsi="宋体" w:cs="宋体" w:hint="eastAsia"/>
          <w:color w:val="000000"/>
          <w:kern w:val="0"/>
        </w:rPr>
        <w:t>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（五）信息传递风险：理财产品面临的信息传递风险是指由于客户未能及时主动了解产</w:t>
      </w:r>
      <w:r w:rsidRPr="006E6B2E">
        <w:rPr>
          <w:rFonts w:ascii="宋体" w:hAnsi="宋体" w:cs="宋体" w:hint="eastAsia"/>
        </w:rPr>
        <w:lastRenderedPageBreak/>
        <w:t xml:space="preserve">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Pr="00D41EC2"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w:t>
      </w:r>
      <w:r w:rsidR="000B0FA7" w:rsidRPr="000B0FA7">
        <w:rPr>
          <w:rFonts w:ascii="宋体" w:hAnsi="宋体" w:cs="宋体" w:hint="eastAsia"/>
        </w:rPr>
        <w:t>固定收益类非保本浮动收益开放式净值型</w:t>
      </w:r>
      <w:r w:rsidRPr="006E6B2E">
        <w:rPr>
          <w:rFonts w:ascii="宋体" w:hAnsi="宋体" w:cs="宋体" w:hint="eastAsia"/>
        </w:rPr>
        <w:t>；本理财产品风险评级结果：根据本行理财产品内部风险评级，该产品风险评级结果为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w:t>
      </w:r>
      <w:r w:rsidR="000B0FA7">
        <w:rPr>
          <w:rFonts w:ascii="宋体" w:hAnsi="宋体" w:cs="宋体" w:hint="eastAsia"/>
          <w:b/>
        </w:rPr>
        <w:t>、稳健型、进取型、激进型的个人投资者，不向保守型个人投资者发售，</w:t>
      </w:r>
      <w:r w:rsidR="000B0FA7" w:rsidRPr="000B0FA7">
        <w:rPr>
          <w:rFonts w:ascii="宋体" w:hAnsi="宋体" w:cs="宋体" w:hint="eastAsia"/>
          <w:b/>
        </w:rPr>
        <w:t>产品要素详见《产品说明书》</w:t>
      </w:r>
      <w:r w:rsidR="000B0FA7">
        <w:rPr>
          <w:rFonts w:ascii="宋体" w:hAnsi="宋体" w:cs="宋体" w:hint="eastAsia"/>
          <w:b/>
        </w:rPr>
        <w:t>。</w:t>
      </w: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w:t>
      </w:r>
      <w:r w:rsidRPr="00D41EC2">
        <w:rPr>
          <w:rFonts w:ascii="宋体" w:hAnsi="宋体" w:cs="宋体" w:hint="eastAsia"/>
          <w:b/>
        </w:rPr>
        <w:lastRenderedPageBreak/>
        <w:t>在发生最不利投资情形下（可能但并不一定发生），客户可能无法取得收益并可能面临损失本金的风险。客户应充分认识投资风险，谨慎投资。</w:t>
      </w:r>
    </w:p>
    <w:p w:rsidR="00D964F8" w:rsidRPr="00D41EC2" w:rsidRDefault="00D964F8" w:rsidP="00D41EC2">
      <w:pPr>
        <w:autoSpaceDE w:val="0"/>
        <w:autoSpaceDN w:val="0"/>
        <w:ind w:firstLineChars="200" w:firstLine="422"/>
        <w:rPr>
          <w:rFonts w:ascii="宋体" w:hAnsi="宋体" w:cs="宋体"/>
          <w:b/>
        </w:rPr>
      </w:pPr>
      <w:r w:rsidRPr="00D41EC2">
        <w:rPr>
          <w:rFonts w:ascii="宋体" w:hAnsi="宋体" w:cs="宋体" w:hint="eastAsia"/>
          <w:b/>
        </w:rPr>
        <w:t>客户在投资者签字栏签字的行为即表示客户已详细阅知《</w:t>
      </w:r>
      <w:r w:rsidR="000B0FA7" w:rsidRPr="00D41EC2">
        <w:rPr>
          <w:rFonts w:ascii="宋体" w:hAnsi="宋体" w:cs="宋体" w:hint="eastAsia"/>
          <w:b/>
        </w:rPr>
        <w:t>新昌农商银行</w:t>
      </w:r>
      <w:r w:rsidR="00D41EC2" w:rsidRPr="00D41EC2">
        <w:rPr>
          <w:rFonts w:ascii="宋体" w:hAnsi="宋体" w:cs="宋体" w:hint="eastAsia"/>
          <w:b/>
        </w:rPr>
        <w:t>丰收喜悦周周赢开放式净值型理财产品</w:t>
      </w:r>
      <w:r w:rsidRPr="00D41EC2">
        <w:rPr>
          <w:rFonts w:ascii="宋体" w:hAnsi="宋体" w:cs="宋体" w:hint="eastAsia"/>
          <w:b/>
        </w:rPr>
        <w:t>说明书》、《</w:t>
      </w:r>
      <w:r w:rsidR="000B0FA7" w:rsidRPr="00D41EC2">
        <w:rPr>
          <w:rFonts w:ascii="宋体" w:hAnsi="宋体" w:cs="宋体" w:hint="eastAsia"/>
          <w:b/>
        </w:rPr>
        <w:t>新昌农商银行</w:t>
      </w:r>
      <w:r w:rsidR="00D41EC2" w:rsidRPr="00D41EC2">
        <w:rPr>
          <w:rFonts w:ascii="宋体" w:hAnsi="宋体" w:cs="宋体" w:hint="eastAsia"/>
          <w:b/>
        </w:rPr>
        <w:t>丰收喜悦周周赢开放式净值型理财产品</w:t>
      </w:r>
      <w:r w:rsidRPr="00D41EC2">
        <w:rPr>
          <w:rFonts w:ascii="宋体" w:hAnsi="宋体" w:cs="宋体" w:hint="eastAsia"/>
          <w:b/>
        </w:rPr>
        <w:t>客户权益需知》、《</w:t>
      </w:r>
      <w:r w:rsidR="000B0FA7" w:rsidRPr="00D41EC2">
        <w:rPr>
          <w:rFonts w:ascii="宋体" w:hAnsi="宋体" w:cs="宋体" w:hint="eastAsia"/>
          <w:b/>
        </w:rPr>
        <w:t>新昌农商银行</w:t>
      </w:r>
      <w:r w:rsidR="00D41EC2" w:rsidRPr="00D41EC2">
        <w:rPr>
          <w:rFonts w:ascii="宋体" w:hAnsi="宋体" w:cs="宋体" w:hint="eastAsia"/>
          <w:b/>
        </w:rPr>
        <w:t>丰收喜悦周周赢开放式净值型理财产品</w:t>
      </w:r>
      <w:r w:rsidRPr="00D41EC2">
        <w:rPr>
          <w:rFonts w:ascii="宋体" w:hAnsi="宋体" w:cs="宋体" w:hint="eastAsia"/>
          <w:b/>
        </w:rPr>
        <w:t>风险揭示书》、《</w:t>
      </w:r>
      <w:r w:rsidR="000B0FA7" w:rsidRPr="00D41EC2">
        <w:rPr>
          <w:rFonts w:ascii="宋体" w:hAnsi="宋体" w:cs="宋体" w:hint="eastAsia"/>
          <w:b/>
        </w:rPr>
        <w:t>新昌农商银行</w:t>
      </w:r>
      <w:r w:rsidR="00D41EC2" w:rsidRPr="00D41EC2">
        <w:rPr>
          <w:rFonts w:ascii="宋体" w:hAnsi="宋体" w:cs="宋体" w:hint="eastAsia"/>
          <w:b/>
        </w:rPr>
        <w:t>丰收喜悦周周赢开放式净值型理财产品</w:t>
      </w:r>
      <w:r w:rsidRPr="00D41EC2">
        <w:rPr>
          <w:rFonts w:ascii="宋体" w:hAnsi="宋体" w:cs="宋体" w:hint="eastAsia"/>
          <w:b/>
        </w:rPr>
        <w:t>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B0FA7"/>
    <w:rsid w:val="000F10FE"/>
    <w:rsid w:val="001100FC"/>
    <w:rsid w:val="001647B9"/>
    <w:rsid w:val="001C640F"/>
    <w:rsid w:val="001F5344"/>
    <w:rsid w:val="00207B52"/>
    <w:rsid w:val="002510D4"/>
    <w:rsid w:val="0026579A"/>
    <w:rsid w:val="002D7ABA"/>
    <w:rsid w:val="00341534"/>
    <w:rsid w:val="003D0735"/>
    <w:rsid w:val="00486EC5"/>
    <w:rsid w:val="00490FAD"/>
    <w:rsid w:val="004C0459"/>
    <w:rsid w:val="004C4C47"/>
    <w:rsid w:val="004D1190"/>
    <w:rsid w:val="0060577B"/>
    <w:rsid w:val="00611BC9"/>
    <w:rsid w:val="00743388"/>
    <w:rsid w:val="00792794"/>
    <w:rsid w:val="007A7D29"/>
    <w:rsid w:val="007B0BC2"/>
    <w:rsid w:val="008B154D"/>
    <w:rsid w:val="00995CB3"/>
    <w:rsid w:val="009D3632"/>
    <w:rsid w:val="00A4755F"/>
    <w:rsid w:val="00A6559F"/>
    <w:rsid w:val="00AA74EF"/>
    <w:rsid w:val="00B02DA9"/>
    <w:rsid w:val="00BB12A4"/>
    <w:rsid w:val="00C91573"/>
    <w:rsid w:val="00CE7111"/>
    <w:rsid w:val="00D41EC2"/>
    <w:rsid w:val="00D50278"/>
    <w:rsid w:val="00D779E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5830-A214-4831-998B-465187C3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42</cp:revision>
  <dcterms:created xsi:type="dcterms:W3CDTF">2020-04-28T03:10:00Z</dcterms:created>
  <dcterms:modified xsi:type="dcterms:W3CDTF">2022-03-28T05:06:00Z</dcterms:modified>
</cp:coreProperties>
</file>