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9088" w14:textId="77777777" w:rsidR="00060B5C" w:rsidRDefault="00060B5C" w:rsidP="00060B5C">
      <w:pPr>
        <w:spacing w:line="360" w:lineRule="auto"/>
        <w:jc w:val="center"/>
        <w:rPr>
          <w:rFonts w:ascii="宋体" w:eastAsia="宋体" w:hAnsi="宋体" w:cs="宋体"/>
          <w:b/>
          <w:kern w:val="0"/>
          <w:sz w:val="28"/>
          <w:szCs w:val="28"/>
        </w:rPr>
      </w:pPr>
      <w:proofErr w:type="gramStart"/>
      <w:r>
        <w:rPr>
          <w:rFonts w:ascii="宋体" w:eastAsia="宋体" w:hAnsi="宋体" w:cs="宋体" w:hint="eastAsia"/>
          <w:b/>
          <w:kern w:val="0"/>
          <w:sz w:val="28"/>
          <w:szCs w:val="28"/>
        </w:rPr>
        <w:t>杭银理财</w:t>
      </w:r>
      <w:proofErr w:type="gramEnd"/>
      <w:r>
        <w:rPr>
          <w:rFonts w:ascii="宋体" w:eastAsia="宋体" w:hAnsi="宋体" w:cs="宋体" w:hint="eastAsia"/>
          <w:b/>
          <w:kern w:val="0"/>
          <w:sz w:val="28"/>
          <w:szCs w:val="28"/>
        </w:rPr>
        <w:t>幸福99零钱包开放式理财计划D款产品说明书</w:t>
      </w:r>
    </w:p>
    <w:p w14:paraId="04EF8960" w14:textId="77777777" w:rsidR="00060B5C" w:rsidRDefault="00060B5C" w:rsidP="00060B5C">
      <w:pPr>
        <w:spacing w:line="360" w:lineRule="auto"/>
        <w:jc w:val="right"/>
        <w:rPr>
          <w:rFonts w:ascii="宋体" w:eastAsia="宋体" w:hAnsi="宋体" w:cs="宋体"/>
        </w:rPr>
      </w:pPr>
      <w:r>
        <w:rPr>
          <w:rFonts w:ascii="宋体" w:eastAsia="宋体" w:hAnsi="宋体" w:cs="宋体" w:hint="eastAsia"/>
        </w:rPr>
        <w:t>备案编号Z7002220000004</w:t>
      </w:r>
    </w:p>
    <w:p w14:paraId="7475E4CA"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重要须知</w:t>
      </w:r>
    </w:p>
    <w:p w14:paraId="69D70D12" w14:textId="77777777" w:rsidR="00060B5C" w:rsidRDefault="00060B5C" w:rsidP="00060B5C">
      <w:pPr>
        <w:pStyle w:val="Default"/>
        <w:numPr>
          <w:ilvl w:val="0"/>
          <w:numId w:val="2"/>
        </w:numPr>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本产品不等同于银行存款和预期收益型理财产品。 </w:t>
      </w:r>
    </w:p>
    <w:p w14:paraId="7A1D56C2" w14:textId="77777777" w:rsidR="00060B5C" w:rsidRDefault="00060B5C" w:rsidP="00060B5C">
      <w:pPr>
        <w:pStyle w:val="Default"/>
        <w:numPr>
          <w:ilvl w:val="0"/>
          <w:numId w:val="2"/>
        </w:numPr>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本产品仅向依据中华人民共和国有关法律法规及本产品说明书规定可以购买本理财计划的投资者发售。</w:t>
      </w:r>
    </w:p>
    <w:p w14:paraId="52964DE8" w14:textId="77777777" w:rsidR="00060B5C" w:rsidRDefault="00060B5C" w:rsidP="00060B5C">
      <w:pPr>
        <w:pStyle w:val="Default"/>
        <w:numPr>
          <w:ilvl w:val="0"/>
          <w:numId w:val="2"/>
        </w:numPr>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在购买本理财计划前，请投资者确保完全明白本理财计划的性质、其中涉及的风险以及投资者的自身情况。投资者若对本产品说明书的内容有任何疑问，请向管理人或销售机构咨询。 </w:t>
      </w:r>
    </w:p>
    <w:p w14:paraId="6B3799D1" w14:textId="77777777" w:rsidR="00060B5C" w:rsidRDefault="00060B5C" w:rsidP="00060B5C">
      <w:pPr>
        <w:pStyle w:val="Default"/>
        <w:numPr>
          <w:ilvl w:val="0"/>
          <w:numId w:val="2"/>
        </w:numPr>
        <w:adjustRightInd/>
        <w:spacing w:line="520" w:lineRule="exact"/>
        <w:ind w:firstLineChars="200" w:firstLine="422"/>
        <w:jc w:val="both"/>
        <w:rPr>
          <w:rFonts w:ascii="宋体" w:eastAsia="宋体" w:hAnsi="宋体" w:cs="宋体"/>
          <w:sz w:val="21"/>
          <w:szCs w:val="22"/>
        </w:rPr>
      </w:pPr>
      <w:r>
        <w:rPr>
          <w:rFonts w:ascii="宋体" w:eastAsia="宋体" w:hAnsi="宋体" w:cs="宋体" w:hint="eastAsia"/>
          <w:b/>
          <w:bCs/>
          <w:sz w:val="21"/>
          <w:szCs w:val="21"/>
        </w:rPr>
        <w:t>本产品是非保本净值型产品。管理人对本理财产品的本金和收益不提供保证承诺。</w:t>
      </w:r>
      <w:r>
        <w:rPr>
          <w:rFonts w:ascii="宋体" w:eastAsia="宋体" w:hAnsi="宋体" w:cs="宋体" w:hint="eastAsia"/>
          <w:sz w:val="21"/>
          <w:szCs w:val="21"/>
        </w:rPr>
        <w:t>您应充分认识投资风险，谨慎投资。本产品主要风险为理财本金及收益风险，</w:t>
      </w:r>
      <w:r>
        <w:rPr>
          <w:rFonts w:ascii="宋体" w:eastAsia="宋体" w:hAnsi="宋体" w:cs="宋体" w:hint="eastAsia"/>
          <w:b/>
          <w:bCs/>
          <w:sz w:val="21"/>
          <w:szCs w:val="21"/>
        </w:rPr>
        <w:t>在极端市场情况下，投资者将损失本金。</w:t>
      </w:r>
      <w:r>
        <w:rPr>
          <w:rFonts w:ascii="宋体" w:eastAsia="宋体" w:hAnsi="宋体" w:cs="宋体" w:hint="eastAsia"/>
          <w:sz w:val="21"/>
          <w:szCs w:val="21"/>
        </w:rPr>
        <w:t>请投资者基于自身的独立判断进行投资决策</w:t>
      </w:r>
      <w:r>
        <w:rPr>
          <w:rFonts w:ascii="宋体" w:eastAsia="宋体" w:hAnsi="宋体" w:cs="宋体" w:hint="eastAsia"/>
          <w:sz w:val="21"/>
          <w:szCs w:val="22"/>
        </w:rPr>
        <w:t>。</w:t>
      </w:r>
    </w:p>
    <w:p w14:paraId="4F14CD47" w14:textId="77777777" w:rsidR="00060B5C" w:rsidRDefault="00060B5C" w:rsidP="00060B5C">
      <w:pPr>
        <w:pStyle w:val="Default"/>
        <w:numPr>
          <w:ilvl w:val="0"/>
          <w:numId w:val="2"/>
        </w:numPr>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杭银理财幸福99零钱包开放式理财计划风险揭示书》《杭银理财投资者权益须知》《杭银理财理财计划投资协议书》《杭银理财理财计划销售协议书》，将共同构成投资者与管理人之间的理财计划交易合同。</w:t>
      </w:r>
    </w:p>
    <w:p w14:paraId="6C13FB6D"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6. 投资者在认购本产品后，应随时关注本产品的信息披露情况，及时获取相关信息。如对本产品有任何疑问、异议或意见，请联系管理人或销售机构。</w:t>
      </w:r>
    </w:p>
    <w:p w14:paraId="55A16E3F"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7. 投资者承诺其用于认购理财计划的资金来源合法合</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不存在使用贷款、发行债券等筹集的非自有资金投资本理财产品的情形；不存在他人持有或投资理财的情形；仅为合法目的持有本理财计划。如发生异常情况，投资者应配合管理人或销售机构开展客户身份识别及尽职调查等反洗钱、反恐怖融资及非居民金融账户涉税、反欺诈活动，真实、准确提供相关身份与资金来源信息。</w:t>
      </w:r>
    </w:p>
    <w:p w14:paraId="2D0F4539" w14:textId="77777777" w:rsidR="00060B5C" w:rsidRDefault="00060B5C" w:rsidP="00060B5C">
      <w:pPr>
        <w:spacing w:line="360" w:lineRule="auto"/>
        <w:ind w:firstLineChars="202" w:firstLine="424"/>
        <w:rPr>
          <w:rFonts w:ascii="宋体" w:eastAsia="宋体" w:hAnsi="宋体" w:cs="宋体"/>
        </w:rPr>
      </w:pPr>
      <w:r>
        <w:rPr>
          <w:rFonts w:ascii="宋体" w:eastAsia="宋体" w:hAnsi="宋体" w:cs="宋体" w:hint="eastAsia"/>
        </w:rPr>
        <w:t>8.</w:t>
      </w:r>
      <w:r>
        <w:rPr>
          <w:rFonts w:ascii="宋体" w:eastAsia="宋体" w:hAnsi="宋体" w:cs="宋体" w:hint="eastAsia"/>
          <w:color w:val="000000"/>
          <w:kern w:val="0"/>
        </w:rPr>
        <w:t xml:space="preserve"> 管理人及销售机构将依据相关法律、法规严格履行投资者信息保密责任，除监管机</w:t>
      </w:r>
      <w:r>
        <w:rPr>
          <w:rFonts w:ascii="宋体" w:eastAsia="宋体" w:hAnsi="宋体" w:cs="宋体" w:hint="eastAsia"/>
          <w:color w:val="000000"/>
          <w:kern w:val="0"/>
        </w:rPr>
        <w:lastRenderedPageBreak/>
        <w:t>构或司法机关等有权机构外，不得对</w:t>
      </w:r>
      <w:proofErr w:type="gramStart"/>
      <w:r>
        <w:rPr>
          <w:rFonts w:ascii="宋体" w:eastAsia="宋体" w:hAnsi="宋体" w:cs="宋体" w:hint="eastAsia"/>
          <w:color w:val="000000"/>
          <w:kern w:val="0"/>
        </w:rPr>
        <w:t>其他第三方商业</w:t>
      </w:r>
      <w:proofErr w:type="gramEnd"/>
      <w:r>
        <w:rPr>
          <w:rFonts w:ascii="宋体" w:eastAsia="宋体" w:hAnsi="宋体" w:cs="宋体" w:hint="eastAsia"/>
          <w:color w:val="000000"/>
          <w:kern w:val="0"/>
        </w:rPr>
        <w:t>机构提供任何投资者信息。</w:t>
      </w:r>
    </w:p>
    <w:p w14:paraId="3DDF697C"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9. 在本产品存续期内，如因监管政策或法律法规发生变化，在不损害投资者利益的前提下，管理人有权单方对本产品说明书条款进行修订。</w:t>
      </w:r>
    </w:p>
    <w:p w14:paraId="3EDE825A"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10. 管理人有权依法对本产品说明书进行解释。</w:t>
      </w:r>
    </w:p>
    <w:p w14:paraId="793B9B65"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释义</w:t>
      </w:r>
    </w:p>
    <w:p w14:paraId="7EC576B0" w14:textId="77777777" w:rsidR="00060B5C" w:rsidRDefault="00060B5C" w:rsidP="00060B5C">
      <w:pPr>
        <w:pStyle w:val="Default"/>
        <w:spacing w:line="360" w:lineRule="auto"/>
        <w:ind w:firstLineChars="200" w:firstLine="420"/>
        <w:jc w:val="both"/>
        <w:rPr>
          <w:rFonts w:ascii="宋体" w:eastAsia="宋体" w:hAnsi="宋体" w:cs="宋体"/>
          <w:sz w:val="21"/>
          <w:szCs w:val="22"/>
        </w:rPr>
      </w:pPr>
      <w:r>
        <w:rPr>
          <w:rFonts w:ascii="宋体" w:eastAsia="宋体" w:hAnsi="宋体" w:cs="宋体" w:hint="eastAsia"/>
          <w:sz w:val="21"/>
          <w:szCs w:val="22"/>
        </w:rPr>
        <w:t>本说明书中，除非另有明确说明，否则下列词语或简称具有如下含义：</w:t>
      </w:r>
    </w:p>
    <w:p w14:paraId="786727A9" w14:textId="77777777" w:rsidR="00060B5C" w:rsidRDefault="00060B5C" w:rsidP="00060B5C">
      <w:pPr>
        <w:pStyle w:val="Default"/>
        <w:spacing w:line="360" w:lineRule="auto"/>
        <w:ind w:firstLineChars="200" w:firstLine="420"/>
        <w:jc w:val="both"/>
        <w:rPr>
          <w:rFonts w:ascii="宋体" w:eastAsia="宋体" w:hAnsi="宋体" w:cs="宋体"/>
          <w:sz w:val="21"/>
          <w:szCs w:val="22"/>
        </w:rPr>
      </w:pPr>
      <w:r>
        <w:rPr>
          <w:rFonts w:ascii="宋体" w:eastAsia="宋体" w:hAnsi="宋体" w:cs="宋体" w:hint="eastAsia"/>
          <w:sz w:val="21"/>
          <w:szCs w:val="22"/>
        </w:rPr>
        <w:t>产品/理财计划：</w:t>
      </w:r>
      <w:proofErr w:type="gramStart"/>
      <w:r>
        <w:rPr>
          <w:rFonts w:ascii="宋体" w:eastAsia="宋体" w:hAnsi="宋体" w:cs="宋体" w:hint="eastAsia"/>
          <w:sz w:val="21"/>
          <w:szCs w:val="22"/>
        </w:rPr>
        <w:t>指杭银</w:t>
      </w:r>
      <w:proofErr w:type="gramEnd"/>
      <w:r>
        <w:rPr>
          <w:rFonts w:ascii="宋体" w:eastAsia="宋体" w:hAnsi="宋体" w:cs="宋体" w:hint="eastAsia"/>
          <w:sz w:val="21"/>
          <w:szCs w:val="22"/>
        </w:rPr>
        <w:t>理财</w:t>
      </w:r>
      <w:r>
        <w:rPr>
          <w:rFonts w:ascii="宋体" w:eastAsia="宋体" w:hAnsi="宋体" w:cs="宋体" w:hint="eastAsia"/>
          <w:sz w:val="21"/>
        </w:rPr>
        <w:t>幸福99零钱包开放式理财计划D款</w:t>
      </w:r>
      <w:r>
        <w:rPr>
          <w:rFonts w:ascii="宋体" w:eastAsia="宋体" w:hAnsi="宋体" w:cs="宋体" w:hint="eastAsia"/>
          <w:sz w:val="21"/>
          <w:szCs w:val="22"/>
        </w:rPr>
        <w:t>。</w:t>
      </w:r>
    </w:p>
    <w:p w14:paraId="286963A0"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2"/>
        </w:rPr>
        <w:t>产品管理人：</w:t>
      </w:r>
      <w:proofErr w:type="gramStart"/>
      <w:r>
        <w:rPr>
          <w:rFonts w:ascii="宋体" w:eastAsia="宋体" w:hAnsi="宋体" w:cs="宋体" w:hint="eastAsia"/>
          <w:sz w:val="21"/>
          <w:szCs w:val="21"/>
        </w:rPr>
        <w:t>指杭银</w:t>
      </w:r>
      <w:proofErr w:type="gramEnd"/>
      <w:r>
        <w:rPr>
          <w:rFonts w:ascii="宋体" w:eastAsia="宋体" w:hAnsi="宋体" w:cs="宋体" w:hint="eastAsia"/>
          <w:sz w:val="21"/>
          <w:szCs w:val="21"/>
        </w:rPr>
        <w:t>理财有限责任公司。</w:t>
      </w:r>
      <w:proofErr w:type="gramStart"/>
      <w:r>
        <w:rPr>
          <w:rFonts w:ascii="宋体" w:eastAsia="宋体" w:hAnsi="宋体" w:cs="宋体" w:hint="eastAsia"/>
          <w:sz w:val="21"/>
          <w:szCs w:val="21"/>
        </w:rPr>
        <w:t>杭银理财</w:t>
      </w:r>
      <w:proofErr w:type="gramEnd"/>
      <w:r>
        <w:rPr>
          <w:rFonts w:ascii="宋体" w:eastAsia="宋体" w:hAnsi="宋体" w:cs="宋体" w:hint="eastAsia"/>
          <w:sz w:val="21"/>
          <w:szCs w:val="21"/>
        </w:rPr>
        <w:t>有限责任公司是杭州银行全资子公司，注册地在杭州。</w:t>
      </w:r>
      <w:proofErr w:type="gramStart"/>
      <w:r>
        <w:rPr>
          <w:rFonts w:ascii="宋体" w:eastAsia="宋体" w:hAnsi="宋体" w:cs="宋体" w:hint="eastAsia"/>
          <w:sz w:val="21"/>
          <w:szCs w:val="21"/>
        </w:rPr>
        <w:t>杭银理财</w:t>
      </w:r>
      <w:proofErr w:type="gramEnd"/>
      <w:r>
        <w:rPr>
          <w:rFonts w:ascii="宋体" w:eastAsia="宋体" w:hAnsi="宋体" w:cs="宋体" w:hint="eastAsia"/>
          <w:sz w:val="21"/>
          <w:szCs w:val="21"/>
        </w:rPr>
        <w:t>有限责任公司前身是杭州银行总行资产管理部,主要从事面向不特定社会公众公开发行理财产品、面向合格投资者非公开发行理财产品、理财顾问和咨询服务等相关业务。</w:t>
      </w:r>
    </w:p>
    <w:p w14:paraId="6E1FB3E2"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销售机构：银行业金融机构或者国务院银行业监督管理机构认可的其他机构。</w:t>
      </w:r>
    </w:p>
    <w:p w14:paraId="5144DF3C" w14:textId="77777777" w:rsidR="00060B5C" w:rsidRDefault="00060B5C" w:rsidP="00060B5C">
      <w:pPr>
        <w:pStyle w:val="Default"/>
        <w:spacing w:line="520" w:lineRule="exact"/>
        <w:ind w:firstLineChars="200" w:firstLine="420"/>
        <w:jc w:val="both"/>
        <w:rPr>
          <w:rFonts w:ascii="宋体" w:eastAsia="宋体" w:hAnsi="宋体" w:cs="宋体"/>
          <w:sz w:val="21"/>
          <w:szCs w:val="22"/>
        </w:rPr>
      </w:pPr>
      <w:r>
        <w:rPr>
          <w:rFonts w:ascii="宋体" w:eastAsia="宋体" w:hAnsi="宋体" w:cs="宋体" w:hint="eastAsia"/>
          <w:sz w:val="21"/>
          <w:szCs w:val="22"/>
        </w:rPr>
        <w:t>产品托管人：指杭州银行股份有限公司。</w:t>
      </w:r>
    </w:p>
    <w:p w14:paraId="5A34DDA2"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理财计划合同/销售文件：指《理财计划产品说明书》《风险揭示书》《投资者权益须知》《理财计划投资协议书》《理财计划销售协议书》五个部分。</w:t>
      </w:r>
    </w:p>
    <w:p w14:paraId="39276BB7" w14:textId="77777777" w:rsidR="00060B5C" w:rsidRDefault="00060B5C" w:rsidP="00060B5C">
      <w:pPr>
        <w:pStyle w:val="Default"/>
        <w:adjustRightInd/>
        <w:spacing w:line="520" w:lineRule="exact"/>
        <w:ind w:firstLineChars="200" w:firstLine="420"/>
        <w:rPr>
          <w:rFonts w:ascii="宋体" w:eastAsia="宋体" w:hAnsi="宋体" w:cs="宋体"/>
          <w:sz w:val="21"/>
          <w:szCs w:val="21"/>
        </w:rPr>
      </w:pPr>
      <w:r>
        <w:rPr>
          <w:rFonts w:ascii="宋体" w:eastAsia="宋体" w:hAnsi="宋体" w:cs="宋体" w:hint="eastAsia"/>
          <w:sz w:val="21"/>
          <w:szCs w:val="21"/>
        </w:rPr>
        <w:t>理财计划销售协议书：指</w:t>
      </w:r>
      <w:proofErr w:type="gramStart"/>
      <w:r>
        <w:rPr>
          <w:rFonts w:ascii="宋体" w:eastAsia="宋体" w:hAnsi="宋体" w:cs="宋体" w:hint="eastAsia"/>
          <w:sz w:val="21"/>
          <w:szCs w:val="21"/>
        </w:rPr>
        <w:t>作为杭银理财</w:t>
      </w:r>
      <w:proofErr w:type="gramEnd"/>
      <w:r>
        <w:rPr>
          <w:rFonts w:ascii="宋体" w:eastAsia="宋体" w:hAnsi="宋体" w:cs="宋体" w:hint="eastAsia"/>
          <w:sz w:val="21"/>
          <w:szCs w:val="21"/>
        </w:rPr>
        <w:t>幸福99零钱包开放式理财计划合同不可分割组成部分的理财计划销售协议书，以及对该文件的有效修改与补充。</w:t>
      </w:r>
    </w:p>
    <w:p w14:paraId="385C197B"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工作日：除双休日和国家法定假日外的法定工作日。</w:t>
      </w:r>
    </w:p>
    <w:p w14:paraId="404A60E5"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产品开放日：指本产品的每一个申购、赎回开放日。</w:t>
      </w:r>
    </w:p>
    <w:p w14:paraId="00740989" w14:textId="77777777" w:rsidR="00060B5C" w:rsidRDefault="00060B5C" w:rsidP="00060B5C">
      <w:pPr>
        <w:pStyle w:val="Default"/>
        <w:adjustRightInd/>
        <w:spacing w:line="5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理财收益：根据理财资产实际运作收益扣除产品托管费、固定管理费、销售服务费等相关费用后计算得出。管理人将根据产品实际投资运作情况计算每一产品开放日的理财万份收益、</w:t>
      </w:r>
      <w:proofErr w:type="gramStart"/>
      <w:r>
        <w:rPr>
          <w:rFonts w:ascii="宋体" w:eastAsia="宋体" w:hAnsi="宋体" w:cs="宋体" w:hint="eastAsia"/>
          <w:sz w:val="21"/>
          <w:szCs w:val="21"/>
        </w:rPr>
        <w:t>七日年化收益率</w:t>
      </w:r>
      <w:proofErr w:type="gramEnd"/>
      <w:r>
        <w:rPr>
          <w:rFonts w:ascii="宋体" w:eastAsia="宋体" w:hAnsi="宋体" w:cs="宋体" w:hint="eastAsia"/>
          <w:sz w:val="21"/>
          <w:szCs w:val="21"/>
        </w:rPr>
        <w:t>等，并于下一产品开放日公布。非产品开放日的理财万份收益、</w:t>
      </w:r>
      <w:proofErr w:type="gramStart"/>
      <w:r>
        <w:rPr>
          <w:rFonts w:ascii="宋体" w:eastAsia="宋体" w:hAnsi="宋体" w:cs="宋体" w:hint="eastAsia"/>
          <w:sz w:val="21"/>
          <w:szCs w:val="21"/>
        </w:rPr>
        <w:t>七日年化收益率</w:t>
      </w:r>
      <w:proofErr w:type="gramEnd"/>
      <w:r>
        <w:rPr>
          <w:rFonts w:ascii="宋体" w:eastAsia="宋体" w:hAnsi="宋体" w:cs="宋体" w:hint="eastAsia"/>
          <w:sz w:val="21"/>
          <w:szCs w:val="21"/>
        </w:rPr>
        <w:t>等将于下一产品开放日公布。</w:t>
      </w:r>
    </w:p>
    <w:p w14:paraId="7E9E8629" w14:textId="77777777" w:rsidR="00060B5C" w:rsidRDefault="00060B5C" w:rsidP="00060B5C">
      <w:pPr>
        <w:pStyle w:val="Default"/>
        <w:adjustRightInd/>
        <w:spacing w:line="520" w:lineRule="exact"/>
        <w:ind w:firstLineChars="200" w:firstLine="420"/>
        <w:rPr>
          <w:rFonts w:ascii="宋体" w:eastAsia="宋体" w:hAnsi="宋体" w:cs="宋体"/>
          <w:sz w:val="21"/>
          <w:szCs w:val="21"/>
        </w:rPr>
      </w:pPr>
      <w:r>
        <w:rPr>
          <w:rFonts w:ascii="宋体" w:eastAsia="宋体" w:hAnsi="宋体" w:cs="宋体" w:hint="eastAsia"/>
          <w:sz w:val="21"/>
          <w:szCs w:val="21"/>
        </w:rPr>
        <w:t>流动性受限资产：是指由于法律法规、监管、合同或操作障碍等原因无法以合理价格予以变现的资产，包括到期日在10个交易日以上的逆回购与银行定期存款（</w:t>
      </w:r>
      <w:proofErr w:type="gramStart"/>
      <w:r>
        <w:rPr>
          <w:rFonts w:ascii="宋体" w:eastAsia="宋体" w:hAnsi="宋体" w:cs="宋体" w:hint="eastAsia"/>
          <w:sz w:val="21"/>
          <w:szCs w:val="21"/>
        </w:rPr>
        <w:t>含协议</w:t>
      </w:r>
      <w:proofErr w:type="gramEnd"/>
      <w:r>
        <w:rPr>
          <w:rFonts w:ascii="宋体" w:eastAsia="宋体" w:hAnsi="宋体" w:cs="宋体" w:hint="eastAsia"/>
          <w:sz w:val="21"/>
          <w:szCs w:val="21"/>
        </w:rPr>
        <w:t>约定有条件提前支取的银行存款）、距可赎回日在10个交易日以上的资产管理产品、停牌股票、</w:t>
      </w:r>
      <w:r>
        <w:rPr>
          <w:rFonts w:ascii="宋体" w:eastAsia="宋体" w:hAnsi="宋体" w:cs="宋体" w:hint="eastAsia"/>
          <w:sz w:val="21"/>
          <w:szCs w:val="21"/>
        </w:rPr>
        <w:lastRenderedPageBreak/>
        <w:t>流通受限的新股及非公开发行股票、资产支持证券（票据），因发行人债务违约无法进行转让或交易的债券和非金融企业债务融资工具，以及其他流动性受限资产。</w:t>
      </w:r>
    </w:p>
    <w:p w14:paraId="228DD858" w14:textId="77777777" w:rsidR="00060B5C" w:rsidRDefault="00060B5C" w:rsidP="00060B5C">
      <w:pPr>
        <w:pStyle w:val="Default"/>
        <w:adjustRightInd/>
        <w:spacing w:line="520" w:lineRule="exact"/>
        <w:ind w:firstLineChars="200" w:firstLine="420"/>
        <w:rPr>
          <w:rFonts w:ascii="宋体" w:eastAsia="宋体" w:hAnsi="宋体" w:cs="宋体"/>
          <w:sz w:val="21"/>
          <w:szCs w:val="21"/>
        </w:rPr>
      </w:pPr>
      <w:r>
        <w:rPr>
          <w:rFonts w:ascii="宋体" w:eastAsia="宋体" w:hAnsi="宋体" w:cs="宋体" w:hint="eastAsia"/>
          <w:sz w:val="21"/>
          <w:szCs w:val="21"/>
        </w:rPr>
        <w:t>7日工作日可变现资产：包括但不限于可在交易所、银行间市场正常交易的股票、债券、非金融企业债务融资工具、期货及期权合约以及同业存单，7个工作日内到期或可支取的买入返售、银行存款，7个工作日内能够确认收到的各类应收款项等。</w:t>
      </w:r>
    </w:p>
    <w:p w14:paraId="36B17A51"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产品风险等级：R1</w:t>
      </w:r>
    </w:p>
    <w:p w14:paraId="51AE40CE" w14:textId="77777777" w:rsidR="00060B5C" w:rsidRDefault="00060B5C" w:rsidP="00060B5C">
      <w:pPr>
        <w:pStyle w:val="Default"/>
        <w:spacing w:line="360" w:lineRule="auto"/>
        <w:jc w:val="both"/>
        <w:rPr>
          <w:rFonts w:ascii="宋体" w:eastAsia="宋体" w:hAnsi="宋体" w:cs="宋体"/>
          <w:sz w:val="22"/>
          <w:szCs w:val="22"/>
        </w:rPr>
      </w:pPr>
      <w:r>
        <w:rPr>
          <w:rFonts w:ascii="宋体" w:eastAsia="宋体" w:hAnsi="宋体" w:cs="宋体" w:hint="eastAsia"/>
          <w:noProof/>
          <w:sz w:val="22"/>
          <w:szCs w:val="22"/>
        </w:rPr>
        <mc:AlternateContent>
          <mc:Choice Requires="wpg">
            <w:drawing>
              <wp:inline distT="0" distB="0" distL="114300" distR="114300" wp14:anchorId="40544E17" wp14:editId="7D4499A6">
                <wp:extent cx="5829300" cy="2674620"/>
                <wp:effectExtent l="0" t="0" r="0" b="12065"/>
                <wp:docPr id="1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5829300" cy="2674620"/>
                          <a:chOff x="0" y="0"/>
                          <a:chExt cx="6929" cy="3159"/>
                        </a:xfrm>
                        <a:effectLst/>
                      </wpg:grpSpPr>
                      <wps:wsp>
                        <wps:cNvPr id="1" name="Picture 13"/>
                        <wps:cNvSpPr>
                          <a:spLocks noChangeAspect="1" noTextEdit="1"/>
                        </wps:cNvSpPr>
                        <wps:spPr>
                          <a:xfrm>
                            <a:off x="0" y="0"/>
                            <a:ext cx="6929" cy="3159"/>
                          </a:xfrm>
                          <a:prstGeom prst="rect">
                            <a:avLst/>
                          </a:prstGeom>
                          <a:noFill/>
                          <a:ln>
                            <a:noFill/>
                          </a:ln>
                          <a:effectLst/>
                        </wps:spPr>
                        <wps:bodyPr wrap="square" upright="1"/>
                      </wps:wsp>
                      <wps:wsp>
                        <wps:cNvPr id="2" name="Line 14"/>
                        <wps:cNvCnPr/>
                        <wps:spPr>
                          <a:xfrm>
                            <a:off x="544" y="2691"/>
                            <a:ext cx="5026" cy="1"/>
                          </a:xfrm>
                          <a:prstGeom prst="line">
                            <a:avLst/>
                          </a:prstGeom>
                          <a:ln w="9525" cap="flat" cmpd="sng">
                            <a:solidFill>
                              <a:srgbClr val="000000"/>
                            </a:solidFill>
                            <a:prstDash val="solid"/>
                            <a:headEnd type="none" w="med" len="med"/>
                            <a:tailEnd type="triangle" w="med" len="med"/>
                          </a:ln>
                          <a:effectLst/>
                        </wps:spPr>
                        <wps:bodyPr/>
                      </wps:wsp>
                      <wps:wsp>
                        <wps:cNvPr id="3" name="Line 15"/>
                        <wps:cNvCnPr/>
                        <wps:spPr>
                          <a:xfrm flipV="1">
                            <a:off x="815" y="234"/>
                            <a:ext cx="0" cy="2574"/>
                          </a:xfrm>
                          <a:prstGeom prst="line">
                            <a:avLst/>
                          </a:prstGeom>
                          <a:ln w="9525" cap="flat" cmpd="sng">
                            <a:solidFill>
                              <a:srgbClr val="000000"/>
                            </a:solidFill>
                            <a:prstDash val="solid"/>
                            <a:headEnd type="none" w="med" len="med"/>
                            <a:tailEnd type="triangle" w="med" len="med"/>
                          </a:ln>
                          <a:effectLst/>
                        </wps:spPr>
                        <wps:bodyPr/>
                      </wps:wsp>
                      <wps:wsp>
                        <wps:cNvPr id="4" name="Rectangle 17"/>
                        <wps:cNvSpPr/>
                        <wps:spPr>
                          <a:xfrm>
                            <a:off x="1495" y="1872"/>
                            <a:ext cx="543" cy="351"/>
                          </a:xfrm>
                          <a:prstGeom prst="rect">
                            <a:avLst/>
                          </a:prstGeom>
                          <a:noFill/>
                          <a:ln w="9525" cap="flat" cmpd="sng">
                            <a:solidFill>
                              <a:srgbClr val="000000"/>
                            </a:solidFill>
                            <a:prstDash val="solid"/>
                            <a:miter/>
                            <a:headEnd type="none" w="med" len="med"/>
                            <a:tailEnd type="none" w="med" len="med"/>
                          </a:ln>
                          <a:effectLst/>
                        </wps:spPr>
                        <wps:txbx>
                          <w:txbxContent>
                            <w:p w14:paraId="7AB25390" w14:textId="77777777" w:rsidR="00060B5C" w:rsidRDefault="00060B5C" w:rsidP="00060B5C">
                              <w:pPr>
                                <w:ind w:firstLineChars="49" w:firstLine="103"/>
                                <w:rPr>
                                  <w:b/>
                                  <w:bCs/>
                                </w:rPr>
                              </w:pPr>
                              <w:r>
                                <w:rPr>
                                  <w:b/>
                                  <w:bCs/>
                                </w:rPr>
                                <w:t>R2</w:t>
                              </w:r>
                            </w:p>
                          </w:txbxContent>
                        </wps:txbx>
                        <wps:bodyPr wrap="square" upright="1"/>
                      </wps:wsp>
                      <wps:wsp>
                        <wps:cNvPr id="5" name="Rectangle 18"/>
                        <wps:cNvSpPr/>
                        <wps:spPr>
                          <a:xfrm>
                            <a:off x="2038" y="1521"/>
                            <a:ext cx="543" cy="351"/>
                          </a:xfrm>
                          <a:prstGeom prst="rect">
                            <a:avLst/>
                          </a:prstGeom>
                          <a:noFill/>
                          <a:ln w="9525" cap="flat" cmpd="sng">
                            <a:solidFill>
                              <a:srgbClr val="000000"/>
                            </a:solidFill>
                            <a:prstDash val="solid"/>
                            <a:miter/>
                            <a:headEnd type="none" w="med" len="med"/>
                            <a:tailEnd type="none" w="med" len="med"/>
                          </a:ln>
                          <a:effectLst/>
                        </wps:spPr>
                        <wps:txbx>
                          <w:txbxContent>
                            <w:p w14:paraId="038DC1B8" w14:textId="77777777" w:rsidR="00060B5C" w:rsidRDefault="00060B5C" w:rsidP="00060B5C">
                              <w:pPr>
                                <w:ind w:firstLineChars="49" w:firstLine="103"/>
                                <w:rPr>
                                  <w:b/>
                                  <w:bCs/>
                                </w:rPr>
                              </w:pPr>
                              <w:r>
                                <w:rPr>
                                  <w:b/>
                                  <w:bCs/>
                                </w:rPr>
                                <w:t>R3</w:t>
                              </w:r>
                            </w:p>
                          </w:txbxContent>
                        </wps:txbx>
                        <wps:bodyPr wrap="square" upright="1"/>
                      </wps:wsp>
                      <wps:wsp>
                        <wps:cNvPr id="6" name="Rectangle 19"/>
                        <wps:cNvSpPr/>
                        <wps:spPr>
                          <a:xfrm>
                            <a:off x="951" y="2223"/>
                            <a:ext cx="543" cy="351"/>
                          </a:xfrm>
                          <a:prstGeom prst="rect">
                            <a:avLst/>
                          </a:prstGeom>
                          <a:solidFill>
                            <a:srgbClr val="FFFF00"/>
                          </a:solidFill>
                          <a:ln w="9525" cap="flat" cmpd="sng">
                            <a:solidFill>
                              <a:srgbClr val="000000"/>
                            </a:solidFill>
                            <a:prstDash val="solid"/>
                            <a:miter/>
                            <a:headEnd type="none" w="med" len="med"/>
                            <a:tailEnd type="none" w="med" len="med"/>
                          </a:ln>
                          <a:effectLst/>
                        </wps:spPr>
                        <wps:txbx>
                          <w:txbxContent>
                            <w:p w14:paraId="66075A04" w14:textId="77777777" w:rsidR="00060B5C" w:rsidRDefault="00060B5C" w:rsidP="00060B5C">
                              <w:pPr>
                                <w:ind w:firstLineChars="49" w:firstLine="103"/>
                                <w:rPr>
                                  <w:b/>
                                  <w:bCs/>
                                </w:rPr>
                              </w:pPr>
                              <w:r>
                                <w:rPr>
                                  <w:b/>
                                  <w:bCs/>
                                </w:rPr>
                                <w:t>R</w:t>
                              </w:r>
                              <w:r>
                                <w:rPr>
                                  <w:rFonts w:hint="eastAsia"/>
                                  <w:b/>
                                  <w:bCs/>
                                </w:rPr>
                                <w:t>1</w:t>
                              </w:r>
                            </w:p>
                          </w:txbxContent>
                        </wps:txbx>
                        <wps:bodyPr wrap="square" upright="1"/>
                      </wps:wsp>
                      <wps:wsp>
                        <wps:cNvPr id="7" name="Rectangle 20"/>
                        <wps:cNvSpPr/>
                        <wps:spPr>
                          <a:xfrm>
                            <a:off x="3125" y="819"/>
                            <a:ext cx="543" cy="351"/>
                          </a:xfrm>
                          <a:prstGeom prst="rect">
                            <a:avLst/>
                          </a:prstGeom>
                          <a:noFill/>
                          <a:ln w="9525" cap="flat" cmpd="sng">
                            <a:solidFill>
                              <a:srgbClr val="000000"/>
                            </a:solidFill>
                            <a:prstDash val="solid"/>
                            <a:miter/>
                            <a:headEnd type="none" w="med" len="med"/>
                            <a:tailEnd type="none" w="med" len="med"/>
                          </a:ln>
                          <a:effectLst/>
                        </wps:spPr>
                        <wps:txbx>
                          <w:txbxContent>
                            <w:p w14:paraId="21385266" w14:textId="77777777" w:rsidR="00060B5C" w:rsidRDefault="00060B5C" w:rsidP="00060B5C">
                              <w:pPr>
                                <w:ind w:firstLineChars="49" w:firstLine="103"/>
                                <w:rPr>
                                  <w:b/>
                                  <w:bCs/>
                                </w:rPr>
                              </w:pPr>
                              <w:r>
                                <w:rPr>
                                  <w:b/>
                                  <w:bCs/>
                                </w:rPr>
                                <w:t>R5</w:t>
                              </w:r>
                            </w:p>
                          </w:txbxContent>
                        </wps:txbx>
                        <wps:bodyPr wrap="square" upright="1"/>
                      </wps:wsp>
                      <wps:wsp>
                        <wps:cNvPr id="8" name="Rectangle 21"/>
                        <wps:cNvSpPr/>
                        <wps:spPr>
                          <a:xfrm>
                            <a:off x="1630" y="2808"/>
                            <a:ext cx="3940" cy="351"/>
                          </a:xfrm>
                          <a:prstGeom prst="rect">
                            <a:avLst/>
                          </a:prstGeom>
                          <a:solidFill>
                            <a:srgbClr val="FFFFFF"/>
                          </a:solidFill>
                          <a:ln>
                            <a:noFill/>
                          </a:ln>
                          <a:effectLst/>
                        </wps:spPr>
                        <wps:txbx>
                          <w:txbxContent>
                            <w:p w14:paraId="7478D570" w14:textId="77777777" w:rsidR="00060B5C" w:rsidRDefault="00060B5C" w:rsidP="00060B5C">
                              <w:pPr>
                                <w:jc w:val="center"/>
                                <w:rPr>
                                  <w:sz w:val="18"/>
                                  <w:szCs w:val="18"/>
                                </w:rPr>
                              </w:pPr>
                              <w:r>
                                <w:rPr>
                                  <w:rFonts w:cs="宋体" w:hint="eastAsia"/>
                                  <w:sz w:val="18"/>
                                  <w:szCs w:val="18"/>
                                </w:rPr>
                                <w:t>风险程度</w:t>
                              </w:r>
                            </w:p>
                          </w:txbxContent>
                        </wps:txbx>
                        <wps:bodyPr wrap="square" upright="1"/>
                      </wps:wsp>
                      <wps:wsp>
                        <wps:cNvPr id="9" name="Rectangle 22"/>
                        <wps:cNvSpPr/>
                        <wps:spPr>
                          <a:xfrm>
                            <a:off x="2582" y="1170"/>
                            <a:ext cx="544" cy="351"/>
                          </a:xfrm>
                          <a:prstGeom prst="rect">
                            <a:avLst/>
                          </a:prstGeom>
                          <a:noFill/>
                          <a:ln w="9525" cap="flat" cmpd="sng">
                            <a:solidFill>
                              <a:srgbClr val="000000"/>
                            </a:solidFill>
                            <a:prstDash val="solid"/>
                            <a:miter/>
                            <a:headEnd type="none" w="med" len="med"/>
                            <a:tailEnd type="none" w="med" len="med"/>
                          </a:ln>
                          <a:effectLst/>
                        </wps:spPr>
                        <wps:txbx>
                          <w:txbxContent>
                            <w:p w14:paraId="6FE88E94" w14:textId="77777777" w:rsidR="00060B5C" w:rsidRDefault="00060B5C" w:rsidP="00060B5C">
                              <w:pPr>
                                <w:ind w:firstLineChars="49" w:firstLine="103"/>
                                <w:rPr>
                                  <w:b/>
                                  <w:bCs/>
                                </w:rPr>
                              </w:pPr>
                              <w:r>
                                <w:rPr>
                                  <w:b/>
                                  <w:bCs/>
                                </w:rPr>
                                <w:t>R</w:t>
                              </w:r>
                              <w:r>
                                <w:rPr>
                                  <w:rFonts w:hint="eastAsia"/>
                                  <w:b/>
                                  <w:bCs/>
                                </w:rPr>
                                <w:t>4</w:t>
                              </w:r>
                            </w:p>
                          </w:txbxContent>
                        </wps:txbx>
                        <wps:bodyPr wrap="square" upright="1"/>
                      </wps:wsp>
                    </wpg:wgp>
                  </a:graphicData>
                </a:graphic>
              </wp:inline>
            </w:drawing>
          </mc:Choice>
          <mc:Fallback>
            <w:pict>
              <v:group w14:anchorId="40544E17" id="组合 10"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">
                <o:lock v:ext="edit" rotation="t"/>
                <v:rect id="Picture 13" o:spid="_x0000_s1027" style="position:absolute;width:6929;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o:lock v:ext="edit" aspectratio="t" text="t"/>
                </v:rect>
                <v:line id="Line 14" o:spid="_x0000_s1028" style="position:absolute;visibility:visible;mso-wrap-style:square" from="544,2691" to="5570,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15" o:spid="_x0000_s1029" style="position:absolute;flip:y;visibility:visible;mso-wrap-style:square" from="815,234" to="81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ect id="Rectangle 17" o:spid="_x0000_s1030" style="position:absolute;left:1495;top:1872;width:54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textbox>
                    <w:txbxContent>
                      <w:p w14:paraId="7AB25390" w14:textId="77777777" w:rsidR="00060B5C" w:rsidRDefault="00060B5C" w:rsidP="00060B5C">
                        <w:pPr>
                          <w:ind w:firstLineChars="49" w:firstLine="103"/>
                          <w:rPr>
                            <w:b/>
                            <w:bCs/>
                          </w:rPr>
                        </w:pPr>
                        <w:r>
                          <w:rPr>
                            <w:b/>
                            <w:bCs/>
                          </w:rPr>
                          <w:t>R2</w:t>
                        </w:r>
                      </w:p>
                    </w:txbxContent>
                  </v:textbox>
                </v:rect>
                <v:rect id="Rectangle 18" o:spid="_x0000_s1031" style="position:absolute;left:2038;top:1521;width:54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textbox>
                    <w:txbxContent>
                      <w:p w14:paraId="038DC1B8" w14:textId="77777777" w:rsidR="00060B5C" w:rsidRDefault="00060B5C" w:rsidP="00060B5C">
                        <w:pPr>
                          <w:ind w:firstLineChars="49" w:firstLine="103"/>
                          <w:rPr>
                            <w:b/>
                            <w:bCs/>
                          </w:rPr>
                        </w:pPr>
                        <w:r>
                          <w:rPr>
                            <w:b/>
                            <w:bCs/>
                          </w:rPr>
                          <w:t>R3</w:t>
                        </w:r>
                      </w:p>
                    </w:txbxContent>
                  </v:textbox>
                </v:rect>
                <v:rect id="Rectangle 19" o:spid="_x0000_s1032" style="position:absolute;left:951;top:2223;width:54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" fillcolor="yellow">
                  <v:textbox>
                    <w:txbxContent>
                      <w:p w14:paraId="66075A04" w14:textId="77777777" w:rsidR="00060B5C" w:rsidRDefault="00060B5C" w:rsidP="00060B5C">
                        <w:pPr>
                          <w:ind w:firstLineChars="49" w:firstLine="103"/>
                          <w:rPr>
                            <w:b/>
                            <w:bCs/>
                          </w:rPr>
                        </w:pPr>
                        <w:r>
                          <w:rPr>
                            <w:b/>
                            <w:bCs/>
                          </w:rPr>
                          <w:t>R</w:t>
                        </w:r>
                        <w:r>
                          <w:rPr>
                            <w:rFonts w:hint="eastAsia"/>
                            <w:b/>
                            <w:bCs/>
                          </w:rPr>
                          <w:t>1</w:t>
                        </w:r>
                      </w:p>
                    </w:txbxContent>
                  </v:textbox>
                </v:rect>
                <v:rect id="Rectangle 20" o:spid="_x0000_s1033" style="position:absolute;left:3125;top:819;width:54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textbox>
                    <w:txbxContent>
                      <w:p w14:paraId="21385266" w14:textId="77777777" w:rsidR="00060B5C" w:rsidRDefault="00060B5C" w:rsidP="00060B5C">
                        <w:pPr>
                          <w:ind w:firstLineChars="49" w:firstLine="103"/>
                          <w:rPr>
                            <w:b/>
                            <w:bCs/>
                          </w:rPr>
                        </w:pPr>
                        <w:r>
                          <w:rPr>
                            <w:b/>
                            <w:bCs/>
                          </w:rPr>
                          <w:t>R5</w:t>
                        </w:r>
                      </w:p>
                    </w:txbxContent>
                  </v:textbox>
                </v:rect>
                <v:rect id="Rectangle 21" o:spid="_x0000_s1034" style="position:absolute;left:1630;top:2808;width:394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14:paraId="7478D570" w14:textId="77777777" w:rsidR="00060B5C" w:rsidRDefault="00060B5C" w:rsidP="00060B5C">
                        <w:pPr>
                          <w:jc w:val="center"/>
                          <w:rPr>
                            <w:sz w:val="18"/>
                            <w:szCs w:val="18"/>
                          </w:rPr>
                        </w:pPr>
                        <w:r>
                          <w:rPr>
                            <w:rFonts w:cs="宋体" w:hint="eastAsia"/>
                            <w:sz w:val="18"/>
                            <w:szCs w:val="18"/>
                          </w:rPr>
                          <w:t>风险程度</w:t>
                        </w:r>
                      </w:p>
                    </w:txbxContent>
                  </v:textbox>
                </v:rect>
                <v:rect id="Rectangle 22" o:spid="_x0000_s1035" style="position:absolute;left:2582;top:1170;width:5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textbox>
                    <w:txbxContent>
                      <w:p w14:paraId="6FE88E94" w14:textId="77777777" w:rsidR="00060B5C" w:rsidRDefault="00060B5C" w:rsidP="00060B5C">
                        <w:pPr>
                          <w:ind w:firstLineChars="49" w:firstLine="103"/>
                          <w:rPr>
                            <w:b/>
                            <w:bCs/>
                          </w:rPr>
                        </w:pPr>
                        <w:r>
                          <w:rPr>
                            <w:b/>
                            <w:bCs/>
                          </w:rPr>
                          <w:t>R</w:t>
                        </w:r>
                        <w:r>
                          <w:rPr>
                            <w:rFonts w:hint="eastAsia"/>
                            <w:b/>
                            <w:bCs/>
                          </w:rPr>
                          <w:t>4</w:t>
                        </w:r>
                      </w:p>
                    </w:txbxContent>
                  </v:textbox>
                </v:rect>
                <w10:anchorlock/>
              </v:group>
            </w:pict>
          </mc:Fallback>
        </mc:AlternateContent>
      </w:r>
    </w:p>
    <w:p w14:paraId="24F8EE56" w14:textId="77777777" w:rsidR="00060B5C" w:rsidRDefault="00060B5C" w:rsidP="00060B5C">
      <w:pPr>
        <w:pStyle w:val="Default"/>
        <w:spacing w:line="360" w:lineRule="auto"/>
        <w:ind w:firstLineChars="200" w:firstLine="420"/>
        <w:jc w:val="both"/>
        <w:rPr>
          <w:rFonts w:ascii="宋体" w:eastAsia="宋体" w:hAnsi="宋体" w:cs="宋体"/>
          <w:b/>
          <w:bCs/>
          <w:sz w:val="21"/>
          <w:szCs w:val="22"/>
        </w:rPr>
      </w:pPr>
      <w:r>
        <w:rPr>
          <w:rFonts w:ascii="宋体" w:eastAsia="宋体" w:hAnsi="宋体" w:cs="宋体" w:hint="eastAsia"/>
          <w:sz w:val="21"/>
          <w:szCs w:val="22"/>
        </w:rPr>
        <w:t>产品风险评级由管理人根据产品投资对象、实际的风险控制情况、投资运作情况等合理确定。根据管理人内部风险评级标准，本产品的风险等级为R1，低风险。</w:t>
      </w:r>
      <w:r>
        <w:rPr>
          <w:rFonts w:ascii="宋体" w:eastAsia="宋体" w:hAnsi="宋体" w:cs="宋体" w:hint="eastAsia"/>
          <w:b/>
          <w:bCs/>
          <w:sz w:val="21"/>
          <w:szCs w:val="22"/>
        </w:rPr>
        <w:t>该评级仅是管理人内部测评结果，仅供投资者参考，不具有任何法律约束力。</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82"/>
        <w:gridCol w:w="4755"/>
      </w:tblGrid>
      <w:tr w:rsidR="00060B5C" w14:paraId="0D13B5E4" w14:textId="77777777" w:rsidTr="00397A29">
        <w:trPr>
          <w:jc w:val="center"/>
        </w:trPr>
        <w:tc>
          <w:tcPr>
            <w:tcW w:w="1710" w:type="dxa"/>
          </w:tcPr>
          <w:p w14:paraId="7CDC285D"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内部风险评级</w:t>
            </w:r>
          </w:p>
        </w:tc>
        <w:tc>
          <w:tcPr>
            <w:tcW w:w="1382" w:type="dxa"/>
          </w:tcPr>
          <w:p w14:paraId="250570CC"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风险程度</w:t>
            </w:r>
          </w:p>
        </w:tc>
        <w:tc>
          <w:tcPr>
            <w:tcW w:w="4755" w:type="dxa"/>
          </w:tcPr>
          <w:p w14:paraId="5CC50312"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适合的投资者</w:t>
            </w:r>
          </w:p>
        </w:tc>
      </w:tr>
      <w:tr w:rsidR="00060B5C" w14:paraId="4DE88408" w14:textId="77777777" w:rsidTr="00397A29">
        <w:trPr>
          <w:jc w:val="center"/>
        </w:trPr>
        <w:tc>
          <w:tcPr>
            <w:tcW w:w="1710" w:type="dxa"/>
          </w:tcPr>
          <w:p w14:paraId="483591F7" w14:textId="77777777" w:rsidR="00060B5C" w:rsidRDefault="00060B5C" w:rsidP="00397A29">
            <w:pPr>
              <w:pStyle w:val="Default"/>
              <w:adjustRightInd/>
              <w:spacing w:line="360" w:lineRule="auto"/>
              <w:jc w:val="center"/>
              <w:rPr>
                <w:rFonts w:ascii="宋体" w:eastAsia="宋体" w:hAnsi="宋体" w:cs="宋体"/>
                <w:b/>
                <w:color w:val="auto"/>
                <w:kern w:val="2"/>
                <w:sz w:val="21"/>
                <w:szCs w:val="21"/>
              </w:rPr>
            </w:pPr>
            <w:r>
              <w:rPr>
                <w:rFonts w:ascii="宋体" w:eastAsia="宋体" w:hAnsi="宋体" w:cs="宋体" w:hint="eastAsia"/>
                <w:b/>
                <w:color w:val="auto"/>
                <w:kern w:val="2"/>
                <w:sz w:val="21"/>
                <w:szCs w:val="21"/>
              </w:rPr>
              <w:t>R1</w:t>
            </w:r>
          </w:p>
        </w:tc>
        <w:tc>
          <w:tcPr>
            <w:tcW w:w="1382" w:type="dxa"/>
          </w:tcPr>
          <w:p w14:paraId="4A2D9C07" w14:textId="77777777" w:rsidR="00060B5C" w:rsidRDefault="00060B5C" w:rsidP="00397A29">
            <w:pPr>
              <w:pStyle w:val="Default"/>
              <w:adjustRightInd/>
              <w:spacing w:line="360" w:lineRule="auto"/>
              <w:jc w:val="center"/>
              <w:rPr>
                <w:rFonts w:ascii="宋体" w:eastAsia="宋体" w:hAnsi="宋体" w:cs="宋体"/>
                <w:b/>
                <w:color w:val="auto"/>
                <w:kern w:val="2"/>
                <w:sz w:val="21"/>
                <w:szCs w:val="21"/>
              </w:rPr>
            </w:pPr>
            <w:r>
              <w:rPr>
                <w:rFonts w:ascii="宋体" w:eastAsia="宋体" w:hAnsi="宋体" w:cs="宋体" w:hint="eastAsia"/>
                <w:b/>
                <w:color w:val="auto"/>
                <w:kern w:val="2"/>
                <w:sz w:val="21"/>
                <w:szCs w:val="21"/>
              </w:rPr>
              <w:t>低</w:t>
            </w:r>
          </w:p>
        </w:tc>
        <w:tc>
          <w:tcPr>
            <w:tcW w:w="4755" w:type="dxa"/>
          </w:tcPr>
          <w:p w14:paraId="52C79694"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highlight w:val="yellow"/>
              </w:rPr>
            </w:pPr>
            <w:r>
              <w:rPr>
                <w:rFonts w:ascii="宋体" w:eastAsia="宋体" w:hAnsi="宋体" w:cs="宋体" w:hint="eastAsia"/>
                <w:b/>
                <w:color w:val="auto"/>
                <w:kern w:val="2"/>
                <w:sz w:val="21"/>
                <w:szCs w:val="21"/>
              </w:rPr>
              <w:t>保守型、稳健型、平衡型、成长型、进取型</w:t>
            </w:r>
          </w:p>
        </w:tc>
      </w:tr>
      <w:tr w:rsidR="00060B5C" w14:paraId="4699147E" w14:textId="77777777" w:rsidTr="00397A29">
        <w:trPr>
          <w:jc w:val="center"/>
        </w:trPr>
        <w:tc>
          <w:tcPr>
            <w:tcW w:w="1710" w:type="dxa"/>
          </w:tcPr>
          <w:p w14:paraId="6C1DFFB2"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R2</w:t>
            </w:r>
          </w:p>
        </w:tc>
        <w:tc>
          <w:tcPr>
            <w:tcW w:w="1382" w:type="dxa"/>
          </w:tcPr>
          <w:p w14:paraId="55E732DE"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中低</w:t>
            </w:r>
          </w:p>
        </w:tc>
        <w:tc>
          <w:tcPr>
            <w:tcW w:w="4755" w:type="dxa"/>
          </w:tcPr>
          <w:p w14:paraId="21975B5F"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highlight w:val="yellow"/>
              </w:rPr>
            </w:pPr>
            <w:r>
              <w:rPr>
                <w:rFonts w:ascii="宋体" w:eastAsia="宋体" w:hAnsi="宋体" w:cs="宋体" w:hint="eastAsia"/>
                <w:bCs/>
                <w:color w:val="auto"/>
                <w:kern w:val="2"/>
                <w:sz w:val="21"/>
                <w:szCs w:val="21"/>
              </w:rPr>
              <w:t>稳健型、平衡型、成长型、进取型</w:t>
            </w:r>
          </w:p>
        </w:tc>
      </w:tr>
      <w:tr w:rsidR="00060B5C" w14:paraId="5645B926" w14:textId="77777777" w:rsidTr="00397A29">
        <w:trPr>
          <w:jc w:val="center"/>
        </w:trPr>
        <w:tc>
          <w:tcPr>
            <w:tcW w:w="1710" w:type="dxa"/>
          </w:tcPr>
          <w:p w14:paraId="79B3FC76"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R3</w:t>
            </w:r>
          </w:p>
        </w:tc>
        <w:tc>
          <w:tcPr>
            <w:tcW w:w="1382" w:type="dxa"/>
          </w:tcPr>
          <w:p w14:paraId="08E94124"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中等</w:t>
            </w:r>
          </w:p>
        </w:tc>
        <w:tc>
          <w:tcPr>
            <w:tcW w:w="4755" w:type="dxa"/>
          </w:tcPr>
          <w:p w14:paraId="7774C8BC"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highlight w:val="yellow"/>
              </w:rPr>
            </w:pPr>
            <w:r>
              <w:rPr>
                <w:rFonts w:ascii="宋体" w:eastAsia="宋体" w:hAnsi="宋体" w:cs="宋体" w:hint="eastAsia"/>
                <w:bCs/>
                <w:color w:val="auto"/>
                <w:kern w:val="2"/>
                <w:sz w:val="21"/>
                <w:szCs w:val="21"/>
              </w:rPr>
              <w:t>平衡型、成长型、进取型</w:t>
            </w:r>
          </w:p>
        </w:tc>
      </w:tr>
      <w:tr w:rsidR="00060B5C" w14:paraId="0B1BDA00" w14:textId="77777777" w:rsidTr="00397A29">
        <w:trPr>
          <w:jc w:val="center"/>
        </w:trPr>
        <w:tc>
          <w:tcPr>
            <w:tcW w:w="1710" w:type="dxa"/>
          </w:tcPr>
          <w:p w14:paraId="4BDCD386"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R4</w:t>
            </w:r>
          </w:p>
        </w:tc>
        <w:tc>
          <w:tcPr>
            <w:tcW w:w="1382" w:type="dxa"/>
          </w:tcPr>
          <w:p w14:paraId="71ABAB05"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中高</w:t>
            </w:r>
          </w:p>
        </w:tc>
        <w:tc>
          <w:tcPr>
            <w:tcW w:w="4755" w:type="dxa"/>
          </w:tcPr>
          <w:p w14:paraId="61CCDBDF"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highlight w:val="yellow"/>
              </w:rPr>
            </w:pPr>
            <w:r>
              <w:rPr>
                <w:rFonts w:ascii="宋体" w:eastAsia="宋体" w:hAnsi="宋体" w:cs="宋体" w:hint="eastAsia"/>
                <w:bCs/>
                <w:color w:val="auto"/>
                <w:kern w:val="2"/>
                <w:sz w:val="21"/>
                <w:szCs w:val="21"/>
              </w:rPr>
              <w:t>成长型、进取型</w:t>
            </w:r>
          </w:p>
        </w:tc>
      </w:tr>
      <w:tr w:rsidR="00060B5C" w14:paraId="5C0DF5EE" w14:textId="77777777" w:rsidTr="00397A29">
        <w:trPr>
          <w:jc w:val="center"/>
        </w:trPr>
        <w:tc>
          <w:tcPr>
            <w:tcW w:w="1710" w:type="dxa"/>
          </w:tcPr>
          <w:p w14:paraId="4686D943"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R5</w:t>
            </w:r>
          </w:p>
        </w:tc>
        <w:tc>
          <w:tcPr>
            <w:tcW w:w="1382" w:type="dxa"/>
          </w:tcPr>
          <w:p w14:paraId="3E49C013"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rPr>
            </w:pPr>
            <w:r>
              <w:rPr>
                <w:rFonts w:ascii="宋体" w:eastAsia="宋体" w:hAnsi="宋体" w:cs="宋体" w:hint="eastAsia"/>
                <w:bCs/>
                <w:color w:val="auto"/>
                <w:kern w:val="2"/>
                <w:sz w:val="21"/>
                <w:szCs w:val="21"/>
              </w:rPr>
              <w:t>高</w:t>
            </w:r>
          </w:p>
        </w:tc>
        <w:tc>
          <w:tcPr>
            <w:tcW w:w="4755" w:type="dxa"/>
          </w:tcPr>
          <w:p w14:paraId="2E5A5F7C" w14:textId="77777777" w:rsidR="00060B5C" w:rsidRDefault="00060B5C" w:rsidP="00397A29">
            <w:pPr>
              <w:pStyle w:val="Default"/>
              <w:adjustRightInd/>
              <w:spacing w:line="360" w:lineRule="auto"/>
              <w:jc w:val="center"/>
              <w:rPr>
                <w:rFonts w:ascii="宋体" w:eastAsia="宋体" w:hAnsi="宋体" w:cs="宋体"/>
                <w:bCs/>
                <w:color w:val="auto"/>
                <w:kern w:val="2"/>
                <w:sz w:val="21"/>
                <w:szCs w:val="21"/>
                <w:highlight w:val="yellow"/>
              </w:rPr>
            </w:pPr>
            <w:r>
              <w:rPr>
                <w:rFonts w:ascii="宋体" w:eastAsia="宋体" w:hAnsi="宋体" w:cs="宋体" w:hint="eastAsia"/>
                <w:bCs/>
                <w:color w:val="auto"/>
                <w:kern w:val="2"/>
                <w:sz w:val="21"/>
                <w:szCs w:val="21"/>
              </w:rPr>
              <w:t>进取型</w:t>
            </w:r>
          </w:p>
        </w:tc>
      </w:tr>
    </w:tbl>
    <w:p w14:paraId="1EA09C28"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产品概述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4"/>
        <w:gridCol w:w="7421"/>
      </w:tblGrid>
      <w:tr w:rsidR="00060B5C" w14:paraId="3FD68BF3" w14:textId="77777777" w:rsidTr="00397A29">
        <w:trPr>
          <w:trHeight w:val="443"/>
          <w:jc w:val="center"/>
        </w:trPr>
        <w:tc>
          <w:tcPr>
            <w:tcW w:w="1774" w:type="dxa"/>
            <w:tcMar>
              <w:top w:w="15" w:type="dxa"/>
              <w:left w:w="15" w:type="dxa"/>
              <w:bottom w:w="0" w:type="dxa"/>
              <w:right w:w="15" w:type="dxa"/>
            </w:tcMar>
            <w:vAlign w:val="center"/>
          </w:tcPr>
          <w:p w14:paraId="12936534"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产品名称</w:t>
            </w:r>
          </w:p>
        </w:tc>
        <w:tc>
          <w:tcPr>
            <w:tcW w:w="7421" w:type="dxa"/>
            <w:tcMar>
              <w:top w:w="15" w:type="dxa"/>
              <w:left w:w="15" w:type="dxa"/>
              <w:bottom w:w="0" w:type="dxa"/>
              <w:right w:w="15" w:type="dxa"/>
            </w:tcMar>
            <w:vAlign w:val="bottom"/>
          </w:tcPr>
          <w:p w14:paraId="3B9E37FC" w14:textId="77777777" w:rsidR="00060B5C" w:rsidRDefault="00060B5C" w:rsidP="00397A29">
            <w:pPr>
              <w:spacing w:line="360" w:lineRule="auto"/>
              <w:rPr>
                <w:rFonts w:ascii="宋体" w:eastAsia="宋体" w:hAnsi="宋体" w:cs="宋体"/>
                <w:sz w:val="18"/>
                <w:szCs w:val="18"/>
              </w:rPr>
            </w:pPr>
            <w:proofErr w:type="gramStart"/>
            <w:r>
              <w:rPr>
                <w:rFonts w:ascii="宋体" w:eastAsia="宋体" w:hAnsi="宋体" w:cs="宋体" w:hint="eastAsia"/>
                <w:sz w:val="18"/>
                <w:szCs w:val="18"/>
              </w:rPr>
              <w:t>杭银理财</w:t>
            </w:r>
            <w:proofErr w:type="gramEnd"/>
            <w:r>
              <w:rPr>
                <w:rFonts w:ascii="宋体" w:eastAsia="宋体" w:hAnsi="宋体" w:cs="宋体" w:hint="eastAsia"/>
                <w:sz w:val="18"/>
                <w:szCs w:val="18"/>
              </w:rPr>
              <w:t>幸福99零钱包开放式理财计划D款</w:t>
            </w:r>
          </w:p>
        </w:tc>
      </w:tr>
      <w:tr w:rsidR="00060B5C" w14:paraId="56888BE0" w14:textId="77777777" w:rsidTr="00397A29">
        <w:trPr>
          <w:trHeight w:val="440"/>
          <w:jc w:val="center"/>
        </w:trPr>
        <w:tc>
          <w:tcPr>
            <w:tcW w:w="1774" w:type="dxa"/>
            <w:tcMar>
              <w:top w:w="15" w:type="dxa"/>
              <w:left w:w="15" w:type="dxa"/>
              <w:bottom w:w="0" w:type="dxa"/>
              <w:right w:w="15" w:type="dxa"/>
            </w:tcMar>
            <w:vAlign w:val="center"/>
          </w:tcPr>
          <w:p w14:paraId="24C3B51B" w14:textId="77777777" w:rsidR="00060B5C" w:rsidRDefault="00060B5C" w:rsidP="00397A29">
            <w:pPr>
              <w:jc w:val="center"/>
              <w:rPr>
                <w:rFonts w:ascii="宋体" w:eastAsia="宋体" w:hAnsi="宋体" w:cs="宋体"/>
                <w:kern w:val="0"/>
                <w:sz w:val="18"/>
                <w:szCs w:val="18"/>
              </w:rPr>
            </w:pPr>
            <w:r>
              <w:rPr>
                <w:rFonts w:ascii="宋体" w:eastAsia="宋体" w:hAnsi="宋体" w:cs="宋体" w:hint="eastAsia"/>
                <w:kern w:val="0"/>
                <w:sz w:val="18"/>
                <w:szCs w:val="18"/>
              </w:rPr>
              <w:lastRenderedPageBreak/>
              <w:t>产品编号</w:t>
            </w:r>
          </w:p>
        </w:tc>
        <w:tc>
          <w:tcPr>
            <w:tcW w:w="7421" w:type="dxa"/>
            <w:tcMar>
              <w:top w:w="15" w:type="dxa"/>
              <w:left w:w="15" w:type="dxa"/>
              <w:bottom w:w="0" w:type="dxa"/>
              <w:right w:w="15" w:type="dxa"/>
            </w:tcMar>
            <w:vAlign w:val="bottom"/>
          </w:tcPr>
          <w:p w14:paraId="03079FC2" w14:textId="77777777" w:rsidR="00060B5C" w:rsidRDefault="00060B5C" w:rsidP="00397A29">
            <w:pPr>
              <w:spacing w:line="360" w:lineRule="auto"/>
              <w:rPr>
                <w:rFonts w:ascii="宋体" w:eastAsia="宋体" w:hAnsi="宋体" w:cs="宋体"/>
                <w:kern w:val="0"/>
                <w:sz w:val="18"/>
                <w:szCs w:val="18"/>
              </w:rPr>
            </w:pPr>
            <w:r>
              <w:rPr>
                <w:rFonts w:ascii="宋体" w:eastAsia="宋体" w:hAnsi="宋体" w:cs="宋体" w:hint="eastAsia"/>
                <w:kern w:val="0"/>
                <w:sz w:val="18"/>
                <w:szCs w:val="18"/>
              </w:rPr>
              <w:t>LQB2001</w:t>
            </w:r>
          </w:p>
        </w:tc>
      </w:tr>
      <w:tr w:rsidR="00060B5C" w14:paraId="07053893" w14:textId="77777777" w:rsidTr="00397A29">
        <w:trPr>
          <w:trHeight w:val="440"/>
          <w:jc w:val="center"/>
        </w:trPr>
        <w:tc>
          <w:tcPr>
            <w:tcW w:w="1774" w:type="dxa"/>
            <w:tcMar>
              <w:top w:w="15" w:type="dxa"/>
              <w:left w:w="15" w:type="dxa"/>
              <w:bottom w:w="0" w:type="dxa"/>
              <w:right w:w="15" w:type="dxa"/>
            </w:tcMar>
            <w:vAlign w:val="center"/>
          </w:tcPr>
          <w:p w14:paraId="4F6AE545"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产品销售代码</w:t>
            </w:r>
          </w:p>
        </w:tc>
        <w:tc>
          <w:tcPr>
            <w:tcW w:w="7421" w:type="dxa"/>
            <w:tcMar>
              <w:top w:w="15" w:type="dxa"/>
              <w:left w:w="15" w:type="dxa"/>
              <w:bottom w:w="0" w:type="dxa"/>
              <w:right w:w="15" w:type="dxa"/>
            </w:tcMar>
            <w:vAlign w:val="center"/>
          </w:tcPr>
          <w:p w14:paraId="52EA7131" w14:textId="77777777" w:rsidR="00060B5C" w:rsidRDefault="00060B5C" w:rsidP="00397A29">
            <w:pPr>
              <w:spacing w:line="360" w:lineRule="auto"/>
              <w:rPr>
                <w:rFonts w:ascii="宋体" w:eastAsia="宋体" w:hAnsi="宋体" w:cs="宋体"/>
                <w:sz w:val="18"/>
                <w:szCs w:val="18"/>
              </w:rPr>
            </w:pPr>
            <w:r>
              <w:rPr>
                <w:rFonts w:ascii="宋体" w:eastAsia="宋体" w:hAnsi="宋体" w:cs="宋体" w:hint="eastAsia"/>
                <w:kern w:val="0"/>
                <w:sz w:val="18"/>
                <w:szCs w:val="18"/>
              </w:rPr>
              <w:t>LQB2001D</w:t>
            </w:r>
          </w:p>
        </w:tc>
      </w:tr>
      <w:tr w:rsidR="00060B5C" w14:paraId="583E3461" w14:textId="77777777" w:rsidTr="00397A29">
        <w:trPr>
          <w:trHeight w:val="440"/>
          <w:jc w:val="center"/>
        </w:trPr>
        <w:tc>
          <w:tcPr>
            <w:tcW w:w="1774" w:type="dxa"/>
            <w:tcMar>
              <w:top w:w="15" w:type="dxa"/>
              <w:left w:w="15" w:type="dxa"/>
              <w:bottom w:w="0" w:type="dxa"/>
              <w:right w:w="15" w:type="dxa"/>
            </w:tcMar>
            <w:vAlign w:val="center"/>
          </w:tcPr>
          <w:p w14:paraId="6E5815B9"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产品登记编码</w:t>
            </w:r>
          </w:p>
        </w:tc>
        <w:tc>
          <w:tcPr>
            <w:tcW w:w="7421" w:type="dxa"/>
            <w:tcMar>
              <w:top w:w="15" w:type="dxa"/>
              <w:left w:w="15" w:type="dxa"/>
              <w:bottom w:w="0" w:type="dxa"/>
              <w:right w:w="15" w:type="dxa"/>
            </w:tcMar>
            <w:vAlign w:val="center"/>
          </w:tcPr>
          <w:p w14:paraId="44464E7F" w14:textId="77777777" w:rsidR="00060B5C" w:rsidRDefault="00060B5C" w:rsidP="00397A29">
            <w:pPr>
              <w:spacing w:line="360" w:lineRule="auto"/>
              <w:rPr>
                <w:rFonts w:ascii="宋体" w:eastAsia="宋体" w:hAnsi="宋体" w:cs="宋体"/>
                <w:color w:val="000000"/>
                <w:kern w:val="0"/>
                <w:sz w:val="18"/>
                <w:szCs w:val="18"/>
              </w:rPr>
            </w:pPr>
            <w:r>
              <w:rPr>
                <w:rFonts w:ascii="宋体" w:eastAsia="宋体" w:hAnsi="宋体" w:cs="宋体" w:hint="eastAsia"/>
                <w:sz w:val="18"/>
                <w:szCs w:val="18"/>
              </w:rPr>
              <w:t>该产品在全国银行业理财信息登记系统的登记编码是Z7002220000004，投资者可依据该编码在“中国理财网（www.chinawealth.com.cn）”查询该产品信息。</w:t>
            </w:r>
          </w:p>
        </w:tc>
      </w:tr>
      <w:tr w:rsidR="00060B5C" w14:paraId="61BD3616" w14:textId="77777777" w:rsidTr="00397A29">
        <w:trPr>
          <w:trHeight w:val="445"/>
          <w:jc w:val="center"/>
        </w:trPr>
        <w:tc>
          <w:tcPr>
            <w:tcW w:w="1774" w:type="dxa"/>
            <w:tcMar>
              <w:top w:w="15" w:type="dxa"/>
              <w:left w:w="15" w:type="dxa"/>
              <w:bottom w:w="0" w:type="dxa"/>
              <w:right w:w="15" w:type="dxa"/>
            </w:tcMar>
            <w:vAlign w:val="center"/>
          </w:tcPr>
          <w:p w14:paraId="656C49B3"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适用投资者</w:t>
            </w:r>
          </w:p>
        </w:tc>
        <w:tc>
          <w:tcPr>
            <w:tcW w:w="7421" w:type="dxa"/>
            <w:tcMar>
              <w:top w:w="15" w:type="dxa"/>
              <w:left w:w="15" w:type="dxa"/>
              <w:bottom w:w="0" w:type="dxa"/>
              <w:right w:w="15" w:type="dxa"/>
            </w:tcMar>
            <w:vAlign w:val="bottom"/>
          </w:tcPr>
          <w:p w14:paraId="0654376A"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本理财产品适合机构投资者以及</w:t>
            </w:r>
            <w:r>
              <w:rPr>
                <w:rFonts w:ascii="宋体" w:eastAsia="宋体" w:hAnsi="宋体" w:cs="宋体" w:hint="eastAsia"/>
                <w:b/>
                <w:sz w:val="18"/>
                <w:szCs w:val="18"/>
              </w:rPr>
              <w:t>保守型、稳健型、平衡型、成长型、进取型</w:t>
            </w:r>
            <w:r>
              <w:rPr>
                <w:rFonts w:ascii="宋体" w:eastAsia="宋体" w:hAnsi="宋体" w:cs="宋体" w:hint="eastAsia"/>
                <w:sz w:val="18"/>
                <w:szCs w:val="18"/>
              </w:rPr>
              <w:t>的个人投资者。</w:t>
            </w:r>
          </w:p>
          <w:p w14:paraId="67DE99C0" w14:textId="77777777" w:rsidR="00060B5C" w:rsidRDefault="00060B5C" w:rsidP="00397A29">
            <w:pPr>
              <w:rPr>
                <w:rFonts w:ascii="宋体" w:eastAsia="宋体" w:hAnsi="宋体" w:cs="宋体"/>
                <w:sz w:val="18"/>
                <w:szCs w:val="18"/>
              </w:rPr>
            </w:pPr>
            <w:r>
              <w:rPr>
                <w:rFonts w:ascii="宋体" w:hAnsi="宋体" w:hint="eastAsia"/>
                <w:sz w:val="18"/>
                <w:szCs w:val="18"/>
              </w:rPr>
              <w:t>D</w:t>
            </w:r>
            <w:r>
              <w:rPr>
                <w:rFonts w:ascii="宋体" w:eastAsia="宋体" w:hAnsi="宋体" w:cs="宋体" w:hint="eastAsia"/>
                <w:sz w:val="18"/>
                <w:szCs w:val="18"/>
              </w:rPr>
              <w:t>份额（销售代码〖L</w:t>
            </w:r>
            <w:r>
              <w:rPr>
                <w:rFonts w:ascii="宋体" w:eastAsia="宋体" w:hAnsi="宋体" w:cs="宋体" w:hint="eastAsia"/>
                <w:kern w:val="0"/>
                <w:sz w:val="18"/>
                <w:szCs w:val="18"/>
              </w:rPr>
              <w:t>QB2001D</w:t>
            </w:r>
            <w:r>
              <w:rPr>
                <w:rFonts w:ascii="宋体" w:eastAsia="宋体" w:hAnsi="宋体" w:cs="宋体" w:hint="eastAsia"/>
                <w:sz w:val="18"/>
                <w:szCs w:val="18"/>
              </w:rPr>
              <w:t>〗）:普通个人投资者和机构客户。</w:t>
            </w:r>
          </w:p>
        </w:tc>
      </w:tr>
      <w:tr w:rsidR="00060B5C" w14:paraId="3E607E9B" w14:textId="77777777" w:rsidTr="00397A29">
        <w:trPr>
          <w:trHeight w:val="452"/>
          <w:jc w:val="center"/>
        </w:trPr>
        <w:tc>
          <w:tcPr>
            <w:tcW w:w="1774" w:type="dxa"/>
            <w:tcMar>
              <w:top w:w="15" w:type="dxa"/>
              <w:left w:w="15" w:type="dxa"/>
              <w:bottom w:w="0" w:type="dxa"/>
              <w:right w:w="15" w:type="dxa"/>
            </w:tcMar>
            <w:vAlign w:val="center"/>
          </w:tcPr>
          <w:p w14:paraId="32D0D3F1"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销售范围</w:t>
            </w:r>
          </w:p>
        </w:tc>
        <w:tc>
          <w:tcPr>
            <w:tcW w:w="7421" w:type="dxa"/>
            <w:tcMar>
              <w:top w:w="15" w:type="dxa"/>
              <w:left w:w="15" w:type="dxa"/>
              <w:bottom w:w="0" w:type="dxa"/>
              <w:right w:w="15" w:type="dxa"/>
            </w:tcMar>
            <w:vAlign w:val="center"/>
          </w:tcPr>
          <w:p w14:paraId="105F9840"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全国</w:t>
            </w:r>
          </w:p>
        </w:tc>
      </w:tr>
      <w:tr w:rsidR="00060B5C" w14:paraId="3619DE15" w14:textId="77777777" w:rsidTr="00397A29">
        <w:trPr>
          <w:trHeight w:val="430"/>
          <w:jc w:val="center"/>
        </w:trPr>
        <w:tc>
          <w:tcPr>
            <w:tcW w:w="1774" w:type="dxa"/>
            <w:tcMar>
              <w:top w:w="15" w:type="dxa"/>
              <w:left w:w="15" w:type="dxa"/>
              <w:bottom w:w="0" w:type="dxa"/>
              <w:right w:w="15" w:type="dxa"/>
            </w:tcMar>
            <w:vAlign w:val="center"/>
          </w:tcPr>
          <w:p w14:paraId="16E5D25C"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销售渠道</w:t>
            </w:r>
          </w:p>
        </w:tc>
        <w:tc>
          <w:tcPr>
            <w:tcW w:w="7421" w:type="dxa"/>
            <w:tcMar>
              <w:top w:w="15" w:type="dxa"/>
              <w:left w:w="15" w:type="dxa"/>
              <w:bottom w:w="0" w:type="dxa"/>
              <w:right w:w="15" w:type="dxa"/>
            </w:tcMar>
            <w:vAlign w:val="center"/>
          </w:tcPr>
          <w:p w14:paraId="09C3C2EE"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rPr>
              <w:t>可</w:t>
            </w:r>
            <w:r>
              <w:rPr>
                <w:rFonts w:ascii="宋体" w:eastAsia="宋体" w:hAnsi="宋体" w:cs="宋体" w:hint="eastAsia"/>
                <w:sz w:val="18"/>
                <w:szCs w:val="18"/>
              </w:rPr>
              <w:t>通过销售机构的营业网点、网上银行、手机银行、直销银行等渠道购买。</w:t>
            </w:r>
          </w:p>
        </w:tc>
      </w:tr>
      <w:tr w:rsidR="00060B5C" w14:paraId="5EA3A3EA" w14:textId="77777777" w:rsidTr="00397A29">
        <w:trPr>
          <w:trHeight w:val="450"/>
          <w:jc w:val="center"/>
        </w:trPr>
        <w:tc>
          <w:tcPr>
            <w:tcW w:w="1774" w:type="dxa"/>
            <w:tcMar>
              <w:top w:w="15" w:type="dxa"/>
              <w:left w:w="15" w:type="dxa"/>
              <w:bottom w:w="0" w:type="dxa"/>
              <w:right w:w="15" w:type="dxa"/>
            </w:tcMar>
            <w:vAlign w:val="center"/>
          </w:tcPr>
          <w:p w14:paraId="19699942"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理财期限</w:t>
            </w:r>
          </w:p>
        </w:tc>
        <w:tc>
          <w:tcPr>
            <w:tcW w:w="7421" w:type="dxa"/>
            <w:tcMar>
              <w:top w:w="15" w:type="dxa"/>
              <w:left w:w="15" w:type="dxa"/>
              <w:bottom w:w="0" w:type="dxa"/>
              <w:right w:w="15" w:type="dxa"/>
            </w:tcMar>
            <w:vAlign w:val="center"/>
          </w:tcPr>
          <w:p w14:paraId="0329335A"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无固定期限</w:t>
            </w:r>
          </w:p>
        </w:tc>
      </w:tr>
      <w:tr w:rsidR="00060B5C" w14:paraId="539423A5" w14:textId="77777777" w:rsidTr="00397A29">
        <w:trPr>
          <w:trHeight w:val="442"/>
          <w:jc w:val="center"/>
        </w:trPr>
        <w:tc>
          <w:tcPr>
            <w:tcW w:w="1774" w:type="dxa"/>
            <w:tcMar>
              <w:top w:w="15" w:type="dxa"/>
              <w:left w:w="15" w:type="dxa"/>
              <w:bottom w:w="0" w:type="dxa"/>
              <w:right w:w="15" w:type="dxa"/>
            </w:tcMar>
            <w:vAlign w:val="center"/>
          </w:tcPr>
          <w:p w14:paraId="46D425E5"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交易币种</w:t>
            </w:r>
          </w:p>
        </w:tc>
        <w:tc>
          <w:tcPr>
            <w:tcW w:w="7421" w:type="dxa"/>
            <w:tcMar>
              <w:top w:w="15" w:type="dxa"/>
              <w:left w:w="15" w:type="dxa"/>
              <w:bottom w:w="0" w:type="dxa"/>
              <w:right w:w="15" w:type="dxa"/>
            </w:tcMar>
            <w:vAlign w:val="center"/>
          </w:tcPr>
          <w:p w14:paraId="53BEA386"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人民币</w:t>
            </w:r>
          </w:p>
        </w:tc>
      </w:tr>
      <w:tr w:rsidR="00060B5C" w14:paraId="3CCA6B0E" w14:textId="77777777" w:rsidTr="00397A29">
        <w:trPr>
          <w:trHeight w:val="433"/>
          <w:jc w:val="center"/>
        </w:trPr>
        <w:tc>
          <w:tcPr>
            <w:tcW w:w="1774" w:type="dxa"/>
            <w:tcMar>
              <w:top w:w="15" w:type="dxa"/>
              <w:left w:w="15" w:type="dxa"/>
              <w:bottom w:w="0" w:type="dxa"/>
              <w:right w:w="15" w:type="dxa"/>
            </w:tcMar>
            <w:vAlign w:val="center"/>
          </w:tcPr>
          <w:p w14:paraId="75285438"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起点认购/申购金额</w:t>
            </w:r>
          </w:p>
        </w:tc>
        <w:tc>
          <w:tcPr>
            <w:tcW w:w="7421" w:type="dxa"/>
            <w:tcMar>
              <w:top w:w="15" w:type="dxa"/>
              <w:left w:w="15" w:type="dxa"/>
              <w:bottom w:w="0" w:type="dxa"/>
              <w:right w:w="15" w:type="dxa"/>
            </w:tcMar>
            <w:vAlign w:val="center"/>
          </w:tcPr>
          <w:p w14:paraId="2733DC09"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D份额首次认购/申购起点金额〖0.01〗元，超过起点部分，应为〖0.01〗元的整数</w:t>
            </w:r>
            <w:proofErr w:type="gramStart"/>
            <w:r>
              <w:rPr>
                <w:rFonts w:ascii="宋体" w:eastAsia="宋体" w:hAnsi="宋体" w:cs="宋体" w:hint="eastAsia"/>
                <w:sz w:val="18"/>
                <w:szCs w:val="18"/>
              </w:rPr>
              <w:t>倍</w:t>
            </w:r>
            <w:proofErr w:type="gramEnd"/>
            <w:r>
              <w:rPr>
                <w:rFonts w:ascii="宋体" w:eastAsia="宋体" w:hAnsi="宋体" w:cs="宋体" w:hint="eastAsia"/>
                <w:sz w:val="18"/>
                <w:szCs w:val="18"/>
              </w:rPr>
              <w:t>。</w:t>
            </w:r>
          </w:p>
          <w:p w14:paraId="0B8D0A22"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投资者全额赎回不再持有本产品份额后再次申购，视同首次申购处理。认购/申购起点金额和追加金额具体以代销机构销售要素为准。</w:t>
            </w:r>
          </w:p>
        </w:tc>
      </w:tr>
      <w:tr w:rsidR="00060B5C" w14:paraId="27A3693D" w14:textId="77777777" w:rsidTr="00397A29">
        <w:trPr>
          <w:trHeight w:val="453"/>
          <w:jc w:val="center"/>
        </w:trPr>
        <w:tc>
          <w:tcPr>
            <w:tcW w:w="1774" w:type="dxa"/>
            <w:tcMar>
              <w:top w:w="15" w:type="dxa"/>
              <w:left w:w="15" w:type="dxa"/>
              <w:bottom w:w="0" w:type="dxa"/>
              <w:right w:w="15" w:type="dxa"/>
            </w:tcMar>
            <w:vAlign w:val="center"/>
          </w:tcPr>
          <w:p w14:paraId="3C79D479"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产品类型</w:t>
            </w:r>
          </w:p>
        </w:tc>
        <w:tc>
          <w:tcPr>
            <w:tcW w:w="7421" w:type="dxa"/>
            <w:tcMar>
              <w:top w:w="15" w:type="dxa"/>
              <w:left w:w="15" w:type="dxa"/>
              <w:bottom w:w="0" w:type="dxa"/>
              <w:right w:w="15" w:type="dxa"/>
            </w:tcMar>
            <w:vAlign w:val="center"/>
          </w:tcPr>
          <w:p w14:paraId="28D8FE60"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公募开放式净值产品</w:t>
            </w:r>
          </w:p>
        </w:tc>
      </w:tr>
      <w:tr w:rsidR="00060B5C" w14:paraId="49F83C3C" w14:textId="77777777" w:rsidTr="00397A29">
        <w:trPr>
          <w:trHeight w:val="453"/>
          <w:jc w:val="center"/>
        </w:trPr>
        <w:tc>
          <w:tcPr>
            <w:tcW w:w="1774" w:type="dxa"/>
            <w:tcMar>
              <w:top w:w="15" w:type="dxa"/>
              <w:left w:w="15" w:type="dxa"/>
              <w:bottom w:w="0" w:type="dxa"/>
              <w:right w:w="15" w:type="dxa"/>
            </w:tcMar>
            <w:vAlign w:val="center"/>
          </w:tcPr>
          <w:p w14:paraId="43092420"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投资性质</w:t>
            </w:r>
          </w:p>
        </w:tc>
        <w:tc>
          <w:tcPr>
            <w:tcW w:w="7421" w:type="dxa"/>
            <w:tcMar>
              <w:top w:w="15" w:type="dxa"/>
              <w:left w:w="15" w:type="dxa"/>
              <w:bottom w:w="0" w:type="dxa"/>
              <w:right w:w="15" w:type="dxa"/>
            </w:tcMar>
            <w:vAlign w:val="center"/>
          </w:tcPr>
          <w:p w14:paraId="50BBA6BB"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固定收益类</w:t>
            </w:r>
          </w:p>
        </w:tc>
      </w:tr>
      <w:tr w:rsidR="00060B5C" w14:paraId="2A83479A" w14:textId="77777777" w:rsidTr="00397A29">
        <w:trPr>
          <w:trHeight w:val="458"/>
          <w:jc w:val="center"/>
        </w:trPr>
        <w:tc>
          <w:tcPr>
            <w:tcW w:w="1774" w:type="dxa"/>
            <w:tcMar>
              <w:top w:w="15" w:type="dxa"/>
              <w:left w:w="15" w:type="dxa"/>
              <w:bottom w:w="0" w:type="dxa"/>
              <w:right w:w="15" w:type="dxa"/>
            </w:tcMar>
          </w:tcPr>
          <w:p w14:paraId="532B9DA4" w14:textId="77777777" w:rsidR="00060B5C" w:rsidRDefault="00060B5C" w:rsidP="00397A29">
            <w:pPr>
              <w:jc w:val="center"/>
              <w:rPr>
                <w:rFonts w:ascii="宋体" w:eastAsia="宋体" w:hAnsi="宋体" w:cs="宋体"/>
                <w:kern w:val="0"/>
                <w:sz w:val="18"/>
                <w:szCs w:val="18"/>
              </w:rPr>
            </w:pPr>
            <w:r>
              <w:rPr>
                <w:rFonts w:ascii="宋体" w:eastAsia="宋体" w:hAnsi="宋体" w:cs="宋体" w:hint="eastAsia"/>
                <w:kern w:val="0"/>
                <w:sz w:val="18"/>
                <w:szCs w:val="18"/>
              </w:rPr>
              <w:t>产品认购期</w:t>
            </w:r>
          </w:p>
        </w:tc>
        <w:tc>
          <w:tcPr>
            <w:tcW w:w="7421" w:type="dxa"/>
            <w:tcMar>
              <w:top w:w="15" w:type="dxa"/>
              <w:left w:w="15" w:type="dxa"/>
              <w:bottom w:w="0" w:type="dxa"/>
              <w:right w:w="15" w:type="dxa"/>
            </w:tcMar>
          </w:tcPr>
          <w:p w14:paraId="4B4B803B" w14:textId="77777777" w:rsidR="00060B5C" w:rsidRDefault="00060B5C" w:rsidP="00397A29">
            <w:pPr>
              <w:rPr>
                <w:rFonts w:ascii="宋体" w:eastAsia="宋体" w:hAnsi="宋体" w:cs="宋体"/>
                <w:kern w:val="0"/>
                <w:sz w:val="18"/>
                <w:szCs w:val="18"/>
              </w:rPr>
            </w:pPr>
            <w:r>
              <w:rPr>
                <w:rFonts w:ascii="宋体" w:eastAsia="宋体" w:hAnsi="宋体" w:cs="宋体" w:hint="eastAsia"/>
                <w:kern w:val="0"/>
                <w:sz w:val="18"/>
                <w:szCs w:val="18"/>
              </w:rPr>
              <w:t>2020年6月16日至2020年6月22日，产品认购期内不接受赎回申请。</w:t>
            </w:r>
          </w:p>
        </w:tc>
      </w:tr>
      <w:tr w:rsidR="00060B5C" w14:paraId="64C33E64" w14:textId="77777777" w:rsidTr="00397A29">
        <w:trPr>
          <w:trHeight w:val="438"/>
          <w:jc w:val="center"/>
        </w:trPr>
        <w:tc>
          <w:tcPr>
            <w:tcW w:w="1774" w:type="dxa"/>
            <w:tcMar>
              <w:top w:w="15" w:type="dxa"/>
              <w:left w:w="15" w:type="dxa"/>
              <w:bottom w:w="0" w:type="dxa"/>
              <w:right w:w="15" w:type="dxa"/>
            </w:tcMar>
          </w:tcPr>
          <w:p w14:paraId="095EB591" w14:textId="77777777" w:rsidR="00060B5C" w:rsidRDefault="00060B5C" w:rsidP="00397A29">
            <w:pPr>
              <w:jc w:val="center"/>
              <w:rPr>
                <w:rFonts w:ascii="宋体" w:eastAsia="宋体" w:hAnsi="宋体" w:cs="宋体"/>
                <w:kern w:val="0"/>
                <w:sz w:val="18"/>
                <w:szCs w:val="18"/>
              </w:rPr>
            </w:pPr>
            <w:r>
              <w:rPr>
                <w:rFonts w:ascii="宋体" w:eastAsia="宋体" w:hAnsi="宋体" w:cs="宋体" w:hint="eastAsia"/>
                <w:kern w:val="0"/>
                <w:sz w:val="18"/>
                <w:szCs w:val="18"/>
              </w:rPr>
              <w:t>产品成立日</w:t>
            </w:r>
          </w:p>
        </w:tc>
        <w:tc>
          <w:tcPr>
            <w:tcW w:w="7421" w:type="dxa"/>
            <w:tcMar>
              <w:top w:w="15" w:type="dxa"/>
              <w:left w:w="15" w:type="dxa"/>
              <w:bottom w:w="0" w:type="dxa"/>
              <w:right w:w="15" w:type="dxa"/>
            </w:tcMar>
          </w:tcPr>
          <w:p w14:paraId="11682E41" w14:textId="77777777" w:rsidR="00060B5C" w:rsidRDefault="00060B5C" w:rsidP="00397A29">
            <w:pPr>
              <w:rPr>
                <w:rFonts w:ascii="宋体" w:eastAsia="宋体" w:hAnsi="宋体" w:cs="宋体"/>
                <w:kern w:val="0"/>
                <w:sz w:val="18"/>
                <w:szCs w:val="18"/>
              </w:rPr>
            </w:pPr>
            <w:r>
              <w:rPr>
                <w:rFonts w:ascii="宋体" w:eastAsia="宋体" w:hAnsi="宋体" w:cs="宋体" w:hint="eastAsia"/>
                <w:kern w:val="0"/>
                <w:sz w:val="18"/>
                <w:szCs w:val="18"/>
              </w:rPr>
              <w:t>2020年6月23日，本理财产品自该日起计算收益。</w:t>
            </w:r>
          </w:p>
        </w:tc>
      </w:tr>
      <w:tr w:rsidR="00060B5C" w14:paraId="1231661D" w14:textId="77777777" w:rsidTr="00397A29">
        <w:trPr>
          <w:trHeight w:val="438"/>
          <w:jc w:val="center"/>
        </w:trPr>
        <w:tc>
          <w:tcPr>
            <w:tcW w:w="1774" w:type="dxa"/>
            <w:tcMar>
              <w:top w:w="15" w:type="dxa"/>
              <w:left w:w="15" w:type="dxa"/>
              <w:bottom w:w="0" w:type="dxa"/>
              <w:right w:w="15" w:type="dxa"/>
            </w:tcMar>
          </w:tcPr>
          <w:p w14:paraId="313D66CF" w14:textId="77777777" w:rsidR="00060B5C" w:rsidRDefault="00060B5C" w:rsidP="00397A29">
            <w:pPr>
              <w:jc w:val="center"/>
              <w:rPr>
                <w:rFonts w:ascii="宋体" w:eastAsia="宋体" w:hAnsi="宋体" w:cs="宋体"/>
                <w:kern w:val="0"/>
                <w:sz w:val="18"/>
                <w:szCs w:val="18"/>
              </w:rPr>
            </w:pPr>
            <w:r>
              <w:rPr>
                <w:rFonts w:ascii="宋体" w:eastAsia="宋体" w:hAnsi="宋体" w:cs="宋体" w:hint="eastAsia"/>
                <w:kern w:val="0"/>
                <w:sz w:val="18"/>
                <w:szCs w:val="18"/>
              </w:rPr>
              <w:t>产品封闭期</w:t>
            </w:r>
          </w:p>
        </w:tc>
        <w:tc>
          <w:tcPr>
            <w:tcW w:w="7421" w:type="dxa"/>
            <w:tcMar>
              <w:top w:w="15" w:type="dxa"/>
              <w:left w:w="15" w:type="dxa"/>
              <w:bottom w:w="0" w:type="dxa"/>
              <w:right w:w="15" w:type="dxa"/>
            </w:tcMar>
          </w:tcPr>
          <w:p w14:paraId="1B9DDCEE" w14:textId="77777777" w:rsidR="00060B5C" w:rsidRDefault="00060B5C" w:rsidP="00397A29">
            <w:pPr>
              <w:rPr>
                <w:rFonts w:ascii="宋体" w:eastAsia="宋体" w:hAnsi="宋体" w:cs="宋体"/>
                <w:kern w:val="0"/>
                <w:sz w:val="18"/>
                <w:szCs w:val="18"/>
              </w:rPr>
            </w:pPr>
            <w:r>
              <w:rPr>
                <w:rFonts w:ascii="宋体" w:eastAsia="宋体" w:hAnsi="宋体" w:cs="宋体" w:hint="eastAsia"/>
                <w:kern w:val="0"/>
                <w:sz w:val="18"/>
                <w:szCs w:val="18"/>
              </w:rPr>
              <w:t>2020年6月23日至2020年6月30日，投资封闭期内不接收申购或赎回申请。</w:t>
            </w:r>
          </w:p>
        </w:tc>
      </w:tr>
      <w:tr w:rsidR="00060B5C" w14:paraId="418D8E61" w14:textId="77777777" w:rsidTr="00397A29">
        <w:trPr>
          <w:trHeight w:val="1105"/>
          <w:jc w:val="center"/>
        </w:trPr>
        <w:tc>
          <w:tcPr>
            <w:tcW w:w="1774" w:type="dxa"/>
            <w:tcMar>
              <w:top w:w="15" w:type="dxa"/>
              <w:left w:w="15" w:type="dxa"/>
              <w:bottom w:w="0" w:type="dxa"/>
              <w:right w:w="15" w:type="dxa"/>
            </w:tcMar>
            <w:vAlign w:val="center"/>
          </w:tcPr>
          <w:p w14:paraId="0C271D3C"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产品开放日</w:t>
            </w:r>
          </w:p>
        </w:tc>
        <w:tc>
          <w:tcPr>
            <w:tcW w:w="7421" w:type="dxa"/>
            <w:tcMar>
              <w:top w:w="15" w:type="dxa"/>
              <w:left w:w="15" w:type="dxa"/>
              <w:bottom w:w="0" w:type="dxa"/>
              <w:right w:w="15" w:type="dxa"/>
            </w:tcMar>
          </w:tcPr>
          <w:p w14:paraId="53995133"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产品封闭期结束后每个</w:t>
            </w:r>
            <w:r>
              <w:rPr>
                <w:rFonts w:ascii="宋体" w:eastAsia="宋体" w:hAnsi="宋体" w:cs="宋体" w:hint="eastAsia"/>
                <w:sz w:val="18"/>
                <w:szCs w:val="18"/>
              </w:rPr>
              <w:t>国家法定工作日</w:t>
            </w:r>
            <w:r>
              <w:rPr>
                <w:rFonts w:ascii="宋体" w:eastAsia="宋体" w:hAnsi="宋体" w:cs="宋体" w:hint="eastAsia"/>
                <w:color w:val="000000"/>
                <w:kern w:val="0"/>
                <w:sz w:val="18"/>
                <w:szCs w:val="18"/>
              </w:rPr>
              <w:t>为申购赎回开放日。</w:t>
            </w:r>
          </w:p>
          <w:p w14:paraId="3BCCF987"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在理财产品存续期内，管理人有权根据市场情况变化暂停本理财产品的申购、赎回，暂停申购、赎回的公告将通过管理人或者销售机构网站发布。</w:t>
            </w:r>
          </w:p>
        </w:tc>
      </w:tr>
      <w:tr w:rsidR="00060B5C" w14:paraId="34D24942" w14:textId="77777777" w:rsidTr="00397A29">
        <w:trPr>
          <w:trHeight w:val="321"/>
          <w:jc w:val="center"/>
        </w:trPr>
        <w:tc>
          <w:tcPr>
            <w:tcW w:w="1774" w:type="dxa"/>
            <w:tcMar>
              <w:top w:w="15" w:type="dxa"/>
              <w:left w:w="15" w:type="dxa"/>
              <w:bottom w:w="0" w:type="dxa"/>
              <w:right w:w="15" w:type="dxa"/>
            </w:tcMar>
            <w:vAlign w:val="center"/>
          </w:tcPr>
          <w:p w14:paraId="6E9BED03" w14:textId="77777777" w:rsidR="00060B5C" w:rsidRDefault="00060B5C" w:rsidP="00397A29">
            <w:pPr>
              <w:jc w:val="center"/>
              <w:rPr>
                <w:rFonts w:ascii="宋体" w:eastAsia="宋体" w:hAnsi="宋体" w:cs="宋体"/>
                <w:kern w:val="0"/>
                <w:sz w:val="18"/>
                <w:szCs w:val="18"/>
              </w:rPr>
            </w:pPr>
            <w:r>
              <w:rPr>
                <w:rFonts w:ascii="宋体" w:eastAsia="宋体" w:hAnsi="宋体" w:cs="宋体" w:hint="eastAsia"/>
                <w:kern w:val="0"/>
                <w:sz w:val="18"/>
                <w:szCs w:val="18"/>
              </w:rPr>
              <w:t>申购/赎回交易时段</w:t>
            </w:r>
          </w:p>
        </w:tc>
        <w:tc>
          <w:tcPr>
            <w:tcW w:w="7421" w:type="dxa"/>
            <w:tcMar>
              <w:top w:w="15" w:type="dxa"/>
              <w:left w:w="15" w:type="dxa"/>
              <w:bottom w:w="0" w:type="dxa"/>
              <w:right w:w="15" w:type="dxa"/>
            </w:tcMar>
          </w:tcPr>
          <w:p w14:paraId="6EE07AC2" w14:textId="77777777" w:rsidR="00060B5C" w:rsidRDefault="00060B5C" w:rsidP="00397A29">
            <w:pPr>
              <w:rPr>
                <w:rFonts w:ascii="宋体" w:eastAsia="宋体" w:hAnsi="宋体" w:cs="宋体"/>
                <w:kern w:val="0"/>
                <w:sz w:val="18"/>
                <w:szCs w:val="18"/>
              </w:rPr>
            </w:pPr>
            <w:r>
              <w:rPr>
                <w:rFonts w:ascii="宋体" w:eastAsia="宋体" w:hAnsi="宋体" w:cs="宋体" w:hint="eastAsia"/>
                <w:kern w:val="0"/>
                <w:sz w:val="18"/>
                <w:szCs w:val="18"/>
              </w:rPr>
              <w:t>本理财产品交易时段为每个产品开放日北京时间9：00起至15：</w:t>
            </w:r>
            <w:r>
              <w:rPr>
                <w:rFonts w:ascii="宋体" w:hAnsi="宋体" w:cs="宋体" w:hint="eastAsia"/>
                <w:kern w:val="0"/>
                <w:sz w:val="18"/>
                <w:szCs w:val="18"/>
              </w:rPr>
              <w:t>45</w:t>
            </w:r>
            <w:r>
              <w:rPr>
                <w:rFonts w:ascii="宋体" w:eastAsia="宋体" w:hAnsi="宋体" w:cs="宋体" w:hint="eastAsia"/>
                <w:kern w:val="0"/>
                <w:sz w:val="18"/>
                <w:szCs w:val="18"/>
              </w:rPr>
              <w:t>止。（详见第八款（一）条）</w:t>
            </w:r>
          </w:p>
        </w:tc>
      </w:tr>
      <w:tr w:rsidR="00060B5C" w14:paraId="2CB300E8" w14:textId="77777777" w:rsidTr="00397A29">
        <w:trPr>
          <w:trHeight w:val="998"/>
          <w:jc w:val="center"/>
        </w:trPr>
        <w:tc>
          <w:tcPr>
            <w:tcW w:w="1774" w:type="dxa"/>
            <w:tcMar>
              <w:top w:w="15" w:type="dxa"/>
              <w:left w:w="15" w:type="dxa"/>
              <w:bottom w:w="0" w:type="dxa"/>
              <w:right w:w="15" w:type="dxa"/>
            </w:tcMar>
          </w:tcPr>
          <w:p w14:paraId="0251284C" w14:textId="77777777" w:rsidR="00060B5C" w:rsidRDefault="00060B5C" w:rsidP="00397A29">
            <w:pPr>
              <w:spacing w:line="72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产品规模</w:t>
            </w:r>
          </w:p>
        </w:tc>
        <w:tc>
          <w:tcPr>
            <w:tcW w:w="7421" w:type="dxa"/>
            <w:tcMar>
              <w:top w:w="15" w:type="dxa"/>
              <w:left w:w="15" w:type="dxa"/>
              <w:bottom w:w="0" w:type="dxa"/>
              <w:right w:w="15" w:type="dxa"/>
            </w:tcMar>
          </w:tcPr>
          <w:p w14:paraId="7E838B60" w14:textId="77777777" w:rsidR="00060B5C" w:rsidRDefault="00060B5C" w:rsidP="00397A29">
            <w:pPr>
              <w:tabs>
                <w:tab w:val="left" w:pos="360"/>
              </w:tabs>
              <w:rPr>
                <w:rFonts w:ascii="宋体" w:eastAsia="宋体" w:hAnsi="宋体" w:cs="宋体"/>
                <w:kern w:val="0"/>
                <w:sz w:val="18"/>
                <w:szCs w:val="18"/>
              </w:rPr>
            </w:pPr>
            <w:r>
              <w:rPr>
                <w:rFonts w:ascii="宋体" w:eastAsia="宋体" w:hAnsi="宋体" w:cs="宋体" w:hint="eastAsia"/>
                <w:kern w:val="0"/>
                <w:sz w:val="18"/>
                <w:szCs w:val="18"/>
              </w:rPr>
              <w:t>1.本理财产品D份额规模上限为</w:t>
            </w:r>
            <w:r>
              <w:rPr>
                <w:rFonts w:ascii="宋体" w:eastAsia="宋体" w:hAnsi="宋体" w:cs="宋体" w:hint="eastAsia"/>
                <w:sz w:val="18"/>
                <w:szCs w:val="18"/>
              </w:rPr>
              <w:t>〖</w:t>
            </w:r>
            <w:r>
              <w:rPr>
                <w:rFonts w:ascii="宋体" w:eastAsia="宋体" w:hAnsi="宋体" w:cs="宋体" w:hint="eastAsia"/>
                <w:kern w:val="0"/>
                <w:sz w:val="18"/>
                <w:szCs w:val="18"/>
              </w:rPr>
              <w:t>45</w:t>
            </w:r>
            <w:r>
              <w:rPr>
                <w:rFonts w:ascii="宋体" w:eastAsia="宋体" w:hAnsi="宋体" w:cs="宋体" w:hint="eastAsia"/>
                <w:sz w:val="18"/>
                <w:szCs w:val="18"/>
              </w:rPr>
              <w:t>〗</w:t>
            </w:r>
            <w:r>
              <w:rPr>
                <w:rFonts w:ascii="宋体" w:eastAsia="宋体" w:hAnsi="宋体" w:cs="宋体" w:hint="eastAsia"/>
                <w:kern w:val="0"/>
                <w:sz w:val="18"/>
                <w:szCs w:val="18"/>
              </w:rPr>
              <w:t>亿元，若产品募集金额超出规模上限管理人有权暂停接受认购或申购申请。</w:t>
            </w:r>
          </w:p>
          <w:p w14:paraId="1786E2AF" w14:textId="77777777" w:rsidR="00060B5C" w:rsidRDefault="00060B5C" w:rsidP="00397A29">
            <w:pPr>
              <w:tabs>
                <w:tab w:val="left" w:pos="360"/>
              </w:tabs>
              <w:rPr>
                <w:rFonts w:ascii="宋体" w:eastAsia="宋体" w:hAnsi="宋体" w:cs="宋体"/>
                <w:kern w:val="0"/>
                <w:sz w:val="18"/>
                <w:szCs w:val="18"/>
              </w:rPr>
            </w:pPr>
            <w:r>
              <w:rPr>
                <w:rFonts w:ascii="宋体" w:eastAsia="宋体" w:hAnsi="宋体" w:cs="宋体" w:hint="eastAsia"/>
                <w:kern w:val="0"/>
                <w:sz w:val="18"/>
                <w:szCs w:val="18"/>
              </w:rPr>
              <w:t>2.管理人有权对本理财产品规模上限进行调整。</w:t>
            </w:r>
          </w:p>
        </w:tc>
      </w:tr>
      <w:tr w:rsidR="00060B5C" w14:paraId="26EE4F0E" w14:textId="77777777" w:rsidTr="00397A29">
        <w:trPr>
          <w:trHeight w:val="1064"/>
          <w:jc w:val="center"/>
        </w:trPr>
        <w:tc>
          <w:tcPr>
            <w:tcW w:w="1774" w:type="dxa"/>
            <w:tcMar>
              <w:top w:w="15" w:type="dxa"/>
              <w:left w:w="15" w:type="dxa"/>
              <w:bottom w:w="0" w:type="dxa"/>
              <w:right w:w="15" w:type="dxa"/>
            </w:tcMar>
            <w:vAlign w:val="center"/>
          </w:tcPr>
          <w:p w14:paraId="6A3699FF"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单位净值</w:t>
            </w:r>
          </w:p>
        </w:tc>
        <w:tc>
          <w:tcPr>
            <w:tcW w:w="7421" w:type="dxa"/>
            <w:tcMar>
              <w:top w:w="15" w:type="dxa"/>
              <w:left w:w="15" w:type="dxa"/>
              <w:bottom w:w="0" w:type="dxa"/>
              <w:right w:w="15" w:type="dxa"/>
            </w:tcMar>
          </w:tcPr>
          <w:p w14:paraId="4BBEC40C" w14:textId="77777777" w:rsidR="00060B5C" w:rsidRDefault="00060B5C" w:rsidP="00397A29">
            <w:pPr>
              <w:tabs>
                <w:tab w:val="left" w:pos="360"/>
              </w:tabs>
              <w:rPr>
                <w:rFonts w:ascii="宋体" w:eastAsia="宋体" w:hAnsi="宋体" w:cs="宋体"/>
                <w:color w:val="000000"/>
                <w:kern w:val="0"/>
                <w:sz w:val="18"/>
                <w:szCs w:val="18"/>
              </w:rPr>
            </w:pPr>
            <w:r>
              <w:rPr>
                <w:rFonts w:ascii="宋体" w:eastAsia="宋体" w:hAnsi="宋体" w:cs="宋体" w:hint="eastAsia"/>
                <w:color w:val="000000"/>
                <w:kern w:val="0"/>
                <w:sz w:val="18"/>
                <w:szCs w:val="18"/>
              </w:rPr>
              <w:t>1.本产品采用1.00元固定份额净值交易方式。</w:t>
            </w:r>
          </w:p>
          <w:p w14:paraId="7073D639"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2.若产品开放日估值时，出现理财</w:t>
            </w:r>
            <w:r>
              <w:rPr>
                <w:rFonts w:ascii="宋体" w:eastAsia="宋体" w:hAnsi="宋体" w:cs="宋体" w:hint="eastAsia"/>
                <w:sz w:val="18"/>
                <w:szCs w:val="18"/>
              </w:rPr>
              <w:t>单位份额净值小于1的情况，</w:t>
            </w:r>
            <w:r>
              <w:rPr>
                <w:rFonts w:ascii="宋体" w:eastAsia="宋体" w:hAnsi="宋体" w:cs="宋体" w:hint="eastAsia"/>
                <w:color w:val="000000"/>
                <w:kern w:val="0"/>
                <w:sz w:val="18"/>
                <w:szCs w:val="18"/>
              </w:rPr>
              <w:t>管理人将暂停本理财产品的申购、赎回，暂停申购、赎回的公告将通过管理人或者销售机构网站发布。</w:t>
            </w:r>
          </w:p>
        </w:tc>
      </w:tr>
      <w:tr w:rsidR="00060B5C" w14:paraId="428DCAAB" w14:textId="77777777" w:rsidTr="00397A29">
        <w:trPr>
          <w:trHeight w:val="424"/>
          <w:jc w:val="center"/>
        </w:trPr>
        <w:tc>
          <w:tcPr>
            <w:tcW w:w="1774" w:type="dxa"/>
            <w:tcMar>
              <w:top w:w="15" w:type="dxa"/>
              <w:left w:w="15" w:type="dxa"/>
              <w:bottom w:w="0" w:type="dxa"/>
              <w:right w:w="15" w:type="dxa"/>
            </w:tcMar>
          </w:tcPr>
          <w:p w14:paraId="1F5B99CA"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本金和理财收益</w:t>
            </w:r>
          </w:p>
        </w:tc>
        <w:tc>
          <w:tcPr>
            <w:tcW w:w="7421" w:type="dxa"/>
            <w:tcMar>
              <w:top w:w="15" w:type="dxa"/>
              <w:left w:w="15" w:type="dxa"/>
              <w:bottom w:w="0" w:type="dxa"/>
              <w:right w:w="15" w:type="dxa"/>
            </w:tcMar>
          </w:tcPr>
          <w:p w14:paraId="18279BB9" w14:textId="77777777" w:rsidR="00060B5C" w:rsidRDefault="00060B5C" w:rsidP="00397A29">
            <w:pPr>
              <w:widowControl/>
              <w:rPr>
                <w:rFonts w:ascii="宋体" w:eastAsia="宋体" w:hAnsi="宋体" w:cs="宋体"/>
                <w:sz w:val="18"/>
                <w:szCs w:val="18"/>
              </w:rPr>
            </w:pPr>
            <w:r>
              <w:rPr>
                <w:rFonts w:ascii="宋体" w:eastAsia="宋体" w:hAnsi="宋体" w:cs="宋体" w:hint="eastAsia"/>
                <w:color w:val="000000"/>
                <w:kern w:val="0"/>
                <w:sz w:val="18"/>
                <w:szCs w:val="18"/>
              </w:rPr>
              <w:t>本理财产品不保障本金和收益。</w:t>
            </w:r>
            <w:r>
              <w:rPr>
                <w:rFonts w:ascii="宋体" w:eastAsia="宋体" w:hAnsi="宋体" w:cs="宋体" w:hint="eastAsia"/>
                <w:color w:val="000000"/>
                <w:kern w:val="0"/>
                <w:sz w:val="18"/>
                <w:szCs w:val="18"/>
                <w:lang w:bidi="ar"/>
              </w:rPr>
              <w:t>收益每日计提，按日结转为份额。</w:t>
            </w:r>
          </w:p>
        </w:tc>
      </w:tr>
      <w:tr w:rsidR="00060B5C" w14:paraId="5AF1EBD7" w14:textId="77777777" w:rsidTr="00397A29">
        <w:trPr>
          <w:trHeight w:val="4065"/>
          <w:jc w:val="center"/>
        </w:trPr>
        <w:tc>
          <w:tcPr>
            <w:tcW w:w="1774" w:type="dxa"/>
            <w:tcMar>
              <w:top w:w="15" w:type="dxa"/>
              <w:left w:w="15" w:type="dxa"/>
              <w:bottom w:w="0" w:type="dxa"/>
              <w:right w:w="15" w:type="dxa"/>
            </w:tcMar>
            <w:vAlign w:val="center"/>
          </w:tcPr>
          <w:p w14:paraId="54A4E061"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销售规则</w:t>
            </w:r>
          </w:p>
          <w:p w14:paraId="5440D668" w14:textId="77777777" w:rsidR="00060B5C" w:rsidRDefault="00060B5C" w:rsidP="00397A29">
            <w:pPr>
              <w:jc w:val="center"/>
              <w:rPr>
                <w:rFonts w:ascii="宋体" w:eastAsia="宋体" w:hAnsi="宋体" w:cs="宋体"/>
                <w:color w:val="000000"/>
                <w:kern w:val="0"/>
                <w:sz w:val="18"/>
                <w:szCs w:val="18"/>
              </w:rPr>
            </w:pPr>
          </w:p>
        </w:tc>
        <w:tc>
          <w:tcPr>
            <w:tcW w:w="7421" w:type="dxa"/>
            <w:tcMar>
              <w:top w:w="15" w:type="dxa"/>
              <w:left w:w="15" w:type="dxa"/>
              <w:bottom w:w="0" w:type="dxa"/>
              <w:right w:w="15" w:type="dxa"/>
            </w:tcMar>
          </w:tcPr>
          <w:p w14:paraId="566E4692"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1.按1份/元的价格认购/申购本理财产品，D份额投资者首次购买的最低金额为0.01元，超出部分应为0.01元的整数</w:t>
            </w:r>
            <w:proofErr w:type="gramStart"/>
            <w:r>
              <w:rPr>
                <w:rFonts w:ascii="宋体" w:eastAsia="宋体" w:hAnsi="宋体" w:cs="宋体" w:hint="eastAsia"/>
                <w:color w:val="000000"/>
                <w:kern w:val="0"/>
                <w:sz w:val="18"/>
                <w:szCs w:val="18"/>
              </w:rPr>
              <w:t>倍</w:t>
            </w:r>
            <w:proofErr w:type="gramEnd"/>
            <w:r>
              <w:rPr>
                <w:rFonts w:ascii="宋体" w:eastAsia="宋体" w:hAnsi="宋体" w:cs="宋体" w:hint="eastAsia"/>
                <w:color w:val="000000"/>
                <w:kern w:val="0"/>
                <w:sz w:val="18"/>
                <w:szCs w:val="18"/>
              </w:rPr>
              <w:t>。</w:t>
            </w:r>
          </w:p>
          <w:p w14:paraId="5F96335E"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2.单笔赎回最低份额为0.01份，超过部分应为0.01元的整数</w:t>
            </w:r>
            <w:proofErr w:type="gramStart"/>
            <w:r>
              <w:rPr>
                <w:rFonts w:ascii="宋体" w:eastAsia="宋体" w:hAnsi="宋体" w:cs="宋体" w:hint="eastAsia"/>
                <w:color w:val="000000"/>
                <w:kern w:val="0"/>
                <w:sz w:val="18"/>
                <w:szCs w:val="18"/>
              </w:rPr>
              <w:t>倍</w:t>
            </w:r>
            <w:proofErr w:type="gramEnd"/>
            <w:r>
              <w:rPr>
                <w:rFonts w:ascii="宋体" w:eastAsia="宋体" w:hAnsi="宋体" w:cs="宋体" w:hint="eastAsia"/>
                <w:color w:val="000000"/>
                <w:kern w:val="0"/>
                <w:sz w:val="18"/>
                <w:szCs w:val="18"/>
              </w:rPr>
              <w:t>。</w:t>
            </w:r>
          </w:p>
          <w:p w14:paraId="203D7F4F"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color w:val="000000"/>
                <w:kern w:val="0"/>
                <w:sz w:val="18"/>
                <w:szCs w:val="18"/>
              </w:rPr>
              <w:t>3.认购/申购份额=认购/申购金额÷1元/份，赎回金额=赎回份额×1元/份。</w:t>
            </w:r>
          </w:p>
          <w:p w14:paraId="7249AB39" w14:textId="77777777" w:rsidR="00060B5C" w:rsidRDefault="00060B5C" w:rsidP="00397A29">
            <w:pPr>
              <w:rPr>
                <w:rFonts w:ascii="宋体" w:eastAsia="宋体" w:hAnsi="宋体" w:cs="宋体"/>
                <w:b/>
                <w:color w:val="000000"/>
                <w:kern w:val="0"/>
                <w:sz w:val="18"/>
                <w:szCs w:val="18"/>
              </w:rPr>
            </w:pPr>
            <w:r>
              <w:rPr>
                <w:rFonts w:ascii="宋体" w:eastAsia="宋体" w:hAnsi="宋体" w:cs="宋体" w:hint="eastAsia"/>
                <w:color w:val="000000"/>
                <w:kern w:val="0"/>
                <w:sz w:val="18"/>
                <w:szCs w:val="18"/>
              </w:rPr>
              <w:t>4.单户最低存续份额为0.01份。</w:t>
            </w:r>
            <w:r>
              <w:rPr>
                <w:rFonts w:ascii="宋体" w:eastAsia="宋体" w:hAnsi="宋体" w:cs="宋体" w:hint="eastAsia"/>
                <w:b/>
                <w:color w:val="000000"/>
                <w:kern w:val="0"/>
                <w:sz w:val="18"/>
                <w:szCs w:val="18"/>
              </w:rPr>
              <w:t>受理财收益分配去尾规则的影响，投资者持有产品份额较低时可能无法取得收益。</w:t>
            </w:r>
          </w:p>
          <w:p w14:paraId="0F3AAC63" w14:textId="77777777" w:rsidR="00060B5C" w:rsidRDefault="00060B5C" w:rsidP="00397A29">
            <w:pPr>
              <w:snapToGrid w:val="0"/>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rPr>
              <w:t>.</w:t>
            </w:r>
            <w:r>
              <w:rPr>
                <w:rFonts w:ascii="宋体" w:eastAsia="宋体" w:hAnsi="宋体" w:cs="宋体" w:hint="eastAsia"/>
                <w:color w:val="000000"/>
                <w:kern w:val="0"/>
                <w:sz w:val="18"/>
                <w:szCs w:val="18"/>
              </w:rPr>
              <w:t>D份额单户持有上限为</w:t>
            </w:r>
            <w:r>
              <w:rPr>
                <w:rFonts w:ascii="宋体" w:hAnsi="宋体" w:cs="宋体" w:hint="eastAsia"/>
                <w:color w:val="000000"/>
                <w:kern w:val="0"/>
                <w:sz w:val="18"/>
                <w:szCs w:val="18"/>
              </w:rPr>
              <w:t>500</w:t>
            </w:r>
            <w:r>
              <w:rPr>
                <w:rFonts w:ascii="宋体" w:hAnsi="宋体" w:cs="宋体" w:hint="eastAsia"/>
                <w:color w:val="000000"/>
                <w:kern w:val="0"/>
                <w:sz w:val="18"/>
                <w:szCs w:val="18"/>
              </w:rPr>
              <w:t>万</w:t>
            </w:r>
            <w:r>
              <w:rPr>
                <w:rFonts w:ascii="宋体" w:eastAsia="宋体" w:hAnsi="宋体" w:cs="宋体" w:hint="eastAsia"/>
                <w:color w:val="000000"/>
                <w:kern w:val="0"/>
                <w:sz w:val="18"/>
                <w:szCs w:val="18"/>
              </w:rPr>
              <w:t>，同时管理人有权拒绝超过本理财产品规模上限部分的申购申请。</w:t>
            </w:r>
          </w:p>
          <w:p w14:paraId="58F3FD0C" w14:textId="77777777" w:rsidR="00060B5C" w:rsidRDefault="00060B5C" w:rsidP="00397A29">
            <w:pPr>
              <w:snapToGrid w:val="0"/>
              <w:spacing w:line="360" w:lineRule="auto"/>
              <w:rPr>
                <w:rFonts w:ascii="宋体" w:eastAsia="宋体" w:hAnsi="宋体" w:cs="宋体"/>
                <w:b/>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b/>
                <w:color w:val="000000"/>
                <w:kern w:val="0"/>
                <w:sz w:val="18"/>
                <w:szCs w:val="18"/>
              </w:rPr>
              <w:t>理财产品存续期内任</w:t>
            </w:r>
            <w:proofErr w:type="gramStart"/>
            <w:r>
              <w:rPr>
                <w:rFonts w:ascii="宋体" w:eastAsia="宋体" w:hAnsi="宋体" w:cs="宋体" w:hint="eastAsia"/>
                <w:b/>
                <w:color w:val="000000"/>
                <w:kern w:val="0"/>
                <w:sz w:val="18"/>
                <w:szCs w:val="18"/>
              </w:rPr>
              <w:t>一</w:t>
            </w:r>
            <w:proofErr w:type="gramEnd"/>
            <w:r>
              <w:rPr>
                <w:rFonts w:ascii="宋体" w:eastAsia="宋体" w:hAnsi="宋体" w:cs="宋体" w:hint="eastAsia"/>
                <w:b/>
                <w:color w:val="000000"/>
                <w:kern w:val="0"/>
                <w:sz w:val="18"/>
                <w:szCs w:val="18"/>
              </w:rPr>
              <w:t>产品开放日，若理财产品当日净申购额或净赎回额超过本理财产品</w:t>
            </w:r>
            <w:r>
              <w:rPr>
                <w:rFonts w:ascii="宋体" w:eastAsia="宋体" w:hAnsi="宋体" w:cs="宋体" w:hint="eastAsia"/>
                <w:b/>
                <w:kern w:val="0"/>
                <w:sz w:val="18"/>
                <w:szCs w:val="18"/>
              </w:rPr>
              <w:t>上一产品开放日产品余额20%时，管理人有权暂停接受申购或赎回申请，并最迟于下一工作日通过管理人或者销售机构网站进行公告。</w:t>
            </w:r>
          </w:p>
          <w:p w14:paraId="233FA036" w14:textId="77777777" w:rsidR="00060B5C" w:rsidRDefault="00060B5C" w:rsidP="00397A29">
            <w:pPr>
              <w:snapToGrid w:val="0"/>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7.在理财产</w:t>
            </w:r>
            <w:r>
              <w:rPr>
                <w:rFonts w:ascii="宋体" w:eastAsia="宋体" w:hAnsi="宋体" w:cs="宋体" w:hint="eastAsia"/>
                <w:kern w:val="0"/>
                <w:sz w:val="18"/>
                <w:szCs w:val="18"/>
              </w:rPr>
              <w:t>品存续期内，管理人有权根据市场情况变化调整巨额赎回金额上限比例，相关公告最迟于下一工作日通过管理人或者销售机构网站</w:t>
            </w:r>
            <w:r>
              <w:rPr>
                <w:rFonts w:ascii="宋体" w:eastAsia="宋体" w:hAnsi="宋体" w:cs="宋体" w:hint="eastAsia"/>
                <w:color w:val="000000"/>
                <w:kern w:val="0"/>
                <w:sz w:val="18"/>
                <w:szCs w:val="18"/>
              </w:rPr>
              <w:t>进行公告。</w:t>
            </w:r>
          </w:p>
        </w:tc>
      </w:tr>
      <w:tr w:rsidR="00060B5C" w14:paraId="5587B85E" w14:textId="77777777" w:rsidTr="00397A29">
        <w:trPr>
          <w:trHeight w:val="315"/>
          <w:jc w:val="center"/>
        </w:trPr>
        <w:tc>
          <w:tcPr>
            <w:tcW w:w="1774" w:type="dxa"/>
            <w:tcMar>
              <w:top w:w="15" w:type="dxa"/>
              <w:left w:w="15" w:type="dxa"/>
              <w:bottom w:w="0" w:type="dxa"/>
              <w:right w:w="15" w:type="dxa"/>
            </w:tcMar>
            <w:vAlign w:val="center"/>
          </w:tcPr>
          <w:p w14:paraId="0DF1881A"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相关费用</w:t>
            </w:r>
          </w:p>
        </w:tc>
        <w:tc>
          <w:tcPr>
            <w:tcW w:w="7421" w:type="dxa"/>
            <w:tcMar>
              <w:top w:w="15" w:type="dxa"/>
              <w:left w:w="15" w:type="dxa"/>
              <w:bottom w:w="0" w:type="dxa"/>
              <w:right w:w="15" w:type="dxa"/>
            </w:tcMar>
            <w:vAlign w:val="center"/>
          </w:tcPr>
          <w:p w14:paraId="05FEFDA1" w14:textId="77777777" w:rsidR="00060B5C" w:rsidRDefault="00060B5C" w:rsidP="00397A29">
            <w:pPr>
              <w:widowControl/>
              <w:rPr>
                <w:rFonts w:ascii="宋体" w:eastAsia="宋体" w:hAnsi="宋体" w:cs="宋体"/>
                <w:sz w:val="18"/>
                <w:szCs w:val="18"/>
              </w:rPr>
            </w:pPr>
            <w:r>
              <w:rPr>
                <w:rFonts w:ascii="宋体" w:eastAsia="宋体" w:hAnsi="宋体" w:cs="宋体" w:hint="eastAsia"/>
                <w:sz w:val="18"/>
                <w:szCs w:val="18"/>
              </w:rPr>
              <w:t>1.本产品不收取认购费、申购费和赎回费。</w:t>
            </w:r>
          </w:p>
          <w:p w14:paraId="2254B519" w14:textId="77777777" w:rsidR="00060B5C" w:rsidRDefault="00060B5C" w:rsidP="00397A29">
            <w:pPr>
              <w:widowControl/>
              <w:rPr>
                <w:rFonts w:ascii="宋体" w:eastAsia="宋体" w:hAnsi="宋体" w:cs="宋体"/>
                <w:sz w:val="18"/>
                <w:szCs w:val="18"/>
              </w:rPr>
            </w:pPr>
            <w:r>
              <w:rPr>
                <w:rFonts w:ascii="宋体" w:eastAsia="宋体" w:hAnsi="宋体" w:cs="宋体" w:hint="eastAsia"/>
                <w:sz w:val="18"/>
                <w:szCs w:val="18"/>
              </w:rPr>
              <w:t>2.本产品托管人按照产品资产净值</w:t>
            </w:r>
            <w:proofErr w:type="gramStart"/>
            <w:r>
              <w:rPr>
                <w:rFonts w:ascii="宋体" w:eastAsia="宋体" w:hAnsi="宋体" w:cs="宋体" w:hint="eastAsia"/>
                <w:sz w:val="18"/>
                <w:szCs w:val="18"/>
              </w:rPr>
              <w:t>收取年化</w:t>
            </w:r>
            <w:proofErr w:type="gramEnd"/>
            <w:r>
              <w:rPr>
                <w:rFonts w:ascii="宋体" w:eastAsia="宋体" w:hAnsi="宋体" w:cs="宋体" w:hint="eastAsia"/>
                <w:sz w:val="18"/>
                <w:szCs w:val="18"/>
              </w:rPr>
              <w:t>0.025%的托管费。每日计提。</w:t>
            </w:r>
          </w:p>
          <w:p w14:paraId="26B44EFC" w14:textId="77777777" w:rsidR="00060B5C" w:rsidRDefault="00060B5C" w:rsidP="00397A29">
            <w:pPr>
              <w:widowControl/>
              <w:rPr>
                <w:rFonts w:ascii="宋体" w:eastAsia="宋体" w:hAnsi="宋体" w:cs="宋体"/>
                <w:sz w:val="18"/>
                <w:szCs w:val="18"/>
              </w:rPr>
            </w:pPr>
            <w:r>
              <w:rPr>
                <w:rFonts w:ascii="宋体" w:eastAsia="宋体" w:hAnsi="宋体" w:cs="宋体" w:hint="eastAsia"/>
                <w:sz w:val="18"/>
                <w:szCs w:val="18"/>
              </w:rPr>
              <w:t>3.本产品D份额按照产品资产净值</w:t>
            </w:r>
            <w:proofErr w:type="gramStart"/>
            <w:r>
              <w:rPr>
                <w:rFonts w:ascii="宋体" w:eastAsia="宋体" w:hAnsi="宋体" w:cs="宋体" w:hint="eastAsia"/>
                <w:sz w:val="18"/>
                <w:szCs w:val="18"/>
              </w:rPr>
              <w:t>收取年化</w:t>
            </w:r>
            <w:proofErr w:type="gramEnd"/>
            <w:r>
              <w:rPr>
                <w:rFonts w:ascii="宋体" w:eastAsia="宋体" w:hAnsi="宋体" w:cs="宋体" w:hint="eastAsia"/>
                <w:sz w:val="18"/>
                <w:szCs w:val="18"/>
              </w:rPr>
              <w:t>0.40%的固定管理费。每日计提。</w:t>
            </w:r>
          </w:p>
          <w:p w14:paraId="6E46D749" w14:textId="77777777" w:rsidR="00060B5C" w:rsidRDefault="00060B5C" w:rsidP="00397A29">
            <w:pPr>
              <w:widowControl/>
              <w:ind w:firstLineChars="150" w:firstLine="270"/>
              <w:rPr>
                <w:rFonts w:ascii="宋体" w:eastAsia="宋体" w:hAnsi="宋体" w:cs="宋体"/>
                <w:sz w:val="18"/>
                <w:szCs w:val="18"/>
              </w:rPr>
            </w:pPr>
            <w:r>
              <w:rPr>
                <w:rFonts w:ascii="宋体" w:eastAsia="宋体" w:hAnsi="宋体" w:cs="宋体" w:hint="eastAsia"/>
                <w:sz w:val="18"/>
                <w:szCs w:val="18"/>
              </w:rPr>
              <w:t>若理财资产运作实际收益率低于0.50%/年，则不收取固定管理费。</w:t>
            </w:r>
          </w:p>
          <w:p w14:paraId="2EBDFF23" w14:textId="77777777" w:rsidR="00060B5C" w:rsidRDefault="00060B5C" w:rsidP="00397A29">
            <w:pPr>
              <w:widowControl/>
              <w:rPr>
                <w:rFonts w:ascii="宋体" w:eastAsia="宋体" w:hAnsi="宋体" w:cs="宋体"/>
                <w:sz w:val="18"/>
                <w:szCs w:val="18"/>
              </w:rPr>
            </w:pPr>
            <w:r>
              <w:rPr>
                <w:rFonts w:ascii="宋体" w:eastAsia="宋体" w:hAnsi="宋体" w:cs="宋体" w:hint="eastAsia"/>
                <w:sz w:val="18"/>
                <w:szCs w:val="18"/>
              </w:rPr>
              <w:t>4.本产品D份额按照产品资产净值</w:t>
            </w:r>
            <w:proofErr w:type="gramStart"/>
            <w:r>
              <w:rPr>
                <w:rFonts w:ascii="宋体" w:eastAsia="宋体" w:hAnsi="宋体" w:cs="宋体" w:hint="eastAsia"/>
                <w:sz w:val="18"/>
                <w:szCs w:val="18"/>
              </w:rPr>
              <w:t>收取年化</w:t>
            </w:r>
            <w:proofErr w:type="gramEnd"/>
            <w:r>
              <w:rPr>
                <w:rFonts w:ascii="宋体" w:eastAsia="宋体" w:hAnsi="宋体" w:cs="宋体" w:hint="eastAsia"/>
                <w:sz w:val="18"/>
                <w:szCs w:val="18"/>
              </w:rPr>
              <w:t>0.10%的销售服务费。每日计提。</w:t>
            </w:r>
          </w:p>
          <w:p w14:paraId="49F19FAE" w14:textId="77777777" w:rsidR="00060B5C" w:rsidRDefault="00060B5C" w:rsidP="00397A29">
            <w:pPr>
              <w:widowControl/>
              <w:rPr>
                <w:rFonts w:ascii="宋体" w:eastAsia="宋体" w:hAnsi="宋体" w:cs="宋体"/>
                <w:sz w:val="18"/>
                <w:szCs w:val="18"/>
              </w:rPr>
            </w:pPr>
            <w:r>
              <w:rPr>
                <w:rFonts w:ascii="宋体" w:eastAsia="宋体" w:hAnsi="宋体" w:cs="宋体" w:hint="eastAsia"/>
                <w:color w:val="000000"/>
                <w:kern w:val="0"/>
                <w:sz w:val="18"/>
                <w:szCs w:val="18"/>
              </w:rPr>
              <w:t>5.管理人有权根据市场情况和产品运作情况，对本理财计划的收费项目、条件、标准和方式进行调整。如有变更，将提前一个工作日在管理人或者销售机构网站公告。</w:t>
            </w:r>
          </w:p>
        </w:tc>
      </w:tr>
      <w:tr w:rsidR="00060B5C" w14:paraId="282B9A5D" w14:textId="77777777" w:rsidTr="00397A29">
        <w:trPr>
          <w:trHeight w:val="315"/>
          <w:jc w:val="center"/>
        </w:trPr>
        <w:tc>
          <w:tcPr>
            <w:tcW w:w="1774" w:type="dxa"/>
            <w:tcMar>
              <w:top w:w="15" w:type="dxa"/>
              <w:left w:w="15" w:type="dxa"/>
              <w:bottom w:w="0" w:type="dxa"/>
              <w:right w:w="15" w:type="dxa"/>
            </w:tcMar>
            <w:vAlign w:val="center"/>
          </w:tcPr>
          <w:p w14:paraId="52B8C60A" w14:textId="77777777" w:rsidR="00060B5C" w:rsidRDefault="00060B5C" w:rsidP="00397A29">
            <w:pPr>
              <w:jc w:val="center"/>
              <w:rPr>
                <w:rFonts w:ascii="宋体" w:eastAsia="宋体" w:hAnsi="宋体" w:cs="宋体"/>
                <w:color w:val="000000"/>
                <w:kern w:val="0"/>
                <w:sz w:val="18"/>
                <w:szCs w:val="18"/>
              </w:rPr>
            </w:pPr>
            <w:r>
              <w:rPr>
                <w:rFonts w:ascii="宋体" w:eastAsia="宋体" w:hAnsi="宋体" w:cs="宋体" w:hint="eastAsia"/>
                <w:sz w:val="18"/>
                <w:szCs w:val="18"/>
              </w:rPr>
              <w:t>提前终止权</w:t>
            </w:r>
          </w:p>
        </w:tc>
        <w:tc>
          <w:tcPr>
            <w:tcW w:w="7421" w:type="dxa"/>
            <w:tcMar>
              <w:top w:w="15" w:type="dxa"/>
              <w:left w:w="15" w:type="dxa"/>
              <w:bottom w:w="0" w:type="dxa"/>
              <w:right w:w="15" w:type="dxa"/>
            </w:tcMar>
            <w:vAlign w:val="center"/>
          </w:tcPr>
          <w:p w14:paraId="159249F3" w14:textId="77777777" w:rsidR="00060B5C" w:rsidRDefault="00060B5C" w:rsidP="00397A29">
            <w:pPr>
              <w:rPr>
                <w:rFonts w:ascii="宋体" w:eastAsia="宋体" w:hAnsi="宋体" w:cs="宋体"/>
                <w:color w:val="000000"/>
                <w:kern w:val="0"/>
                <w:sz w:val="18"/>
                <w:szCs w:val="18"/>
              </w:rPr>
            </w:pPr>
            <w:r>
              <w:rPr>
                <w:rFonts w:ascii="宋体" w:eastAsia="宋体" w:hAnsi="宋体" w:cs="宋体" w:hint="eastAsia"/>
                <w:sz w:val="18"/>
                <w:szCs w:val="18"/>
              </w:rPr>
              <w:t>理财计划存续期内，管理人有权宣布提前终止本理财计划。详见“提前终止”条款。</w:t>
            </w:r>
          </w:p>
        </w:tc>
      </w:tr>
      <w:tr w:rsidR="00060B5C" w14:paraId="75DE1AA8" w14:textId="77777777" w:rsidTr="00397A29">
        <w:trPr>
          <w:trHeight w:val="315"/>
          <w:jc w:val="center"/>
        </w:trPr>
        <w:tc>
          <w:tcPr>
            <w:tcW w:w="1774" w:type="dxa"/>
            <w:tcMar>
              <w:top w:w="15" w:type="dxa"/>
              <w:left w:w="15" w:type="dxa"/>
              <w:bottom w:w="0" w:type="dxa"/>
              <w:right w:w="15" w:type="dxa"/>
            </w:tcMar>
            <w:vAlign w:val="center"/>
          </w:tcPr>
          <w:p w14:paraId="2BCDA645"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融资服务</w:t>
            </w:r>
          </w:p>
        </w:tc>
        <w:tc>
          <w:tcPr>
            <w:tcW w:w="7421" w:type="dxa"/>
            <w:tcMar>
              <w:top w:w="15" w:type="dxa"/>
              <w:left w:w="15" w:type="dxa"/>
              <w:bottom w:w="0" w:type="dxa"/>
              <w:right w:w="15" w:type="dxa"/>
            </w:tcMar>
            <w:vAlign w:val="center"/>
          </w:tcPr>
          <w:p w14:paraId="0B707FA9"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如需质押按销售机构相关规定执行。</w:t>
            </w:r>
          </w:p>
        </w:tc>
      </w:tr>
      <w:tr w:rsidR="00060B5C" w14:paraId="0D868BAB" w14:textId="77777777" w:rsidTr="00397A29">
        <w:trPr>
          <w:trHeight w:val="315"/>
          <w:jc w:val="center"/>
        </w:trPr>
        <w:tc>
          <w:tcPr>
            <w:tcW w:w="1774" w:type="dxa"/>
            <w:tcMar>
              <w:top w:w="15" w:type="dxa"/>
              <w:left w:w="15" w:type="dxa"/>
              <w:bottom w:w="0" w:type="dxa"/>
              <w:right w:w="15" w:type="dxa"/>
            </w:tcMar>
            <w:vAlign w:val="center"/>
          </w:tcPr>
          <w:p w14:paraId="64B19BEF"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工作日</w:t>
            </w:r>
          </w:p>
        </w:tc>
        <w:tc>
          <w:tcPr>
            <w:tcW w:w="7421" w:type="dxa"/>
            <w:tcMar>
              <w:top w:w="15" w:type="dxa"/>
              <w:left w:w="15" w:type="dxa"/>
              <w:bottom w:w="0" w:type="dxa"/>
              <w:right w:w="15" w:type="dxa"/>
            </w:tcMar>
            <w:vAlign w:val="center"/>
          </w:tcPr>
          <w:p w14:paraId="0CB8183D"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国家法定工作日</w:t>
            </w:r>
          </w:p>
        </w:tc>
      </w:tr>
      <w:tr w:rsidR="00060B5C" w14:paraId="7D8D9136" w14:textId="77777777" w:rsidTr="00397A29">
        <w:trPr>
          <w:trHeight w:val="315"/>
          <w:jc w:val="center"/>
        </w:trPr>
        <w:tc>
          <w:tcPr>
            <w:tcW w:w="1774" w:type="dxa"/>
            <w:tcMar>
              <w:top w:w="15" w:type="dxa"/>
              <w:left w:w="15" w:type="dxa"/>
              <w:bottom w:w="0" w:type="dxa"/>
              <w:right w:w="15" w:type="dxa"/>
            </w:tcMar>
            <w:vAlign w:val="center"/>
          </w:tcPr>
          <w:p w14:paraId="7DA8D8BD"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税费规定</w:t>
            </w:r>
          </w:p>
        </w:tc>
        <w:tc>
          <w:tcPr>
            <w:tcW w:w="7421" w:type="dxa"/>
            <w:tcMar>
              <w:top w:w="15" w:type="dxa"/>
              <w:left w:w="15" w:type="dxa"/>
              <w:bottom w:w="0" w:type="dxa"/>
              <w:right w:w="15" w:type="dxa"/>
            </w:tcMar>
            <w:vAlign w:val="center"/>
          </w:tcPr>
          <w:p w14:paraId="518FBEA6" w14:textId="77777777" w:rsidR="00060B5C" w:rsidRDefault="00060B5C" w:rsidP="00397A29">
            <w:pPr>
              <w:widowControl/>
              <w:rPr>
                <w:rFonts w:ascii="宋体" w:eastAsia="宋体" w:hAnsi="宋体" w:cs="宋体"/>
                <w:sz w:val="18"/>
                <w:szCs w:val="18"/>
              </w:rPr>
            </w:pPr>
            <w:r>
              <w:rPr>
                <w:rFonts w:ascii="宋体" w:eastAsia="宋体" w:hAnsi="宋体" w:cs="宋体" w:hint="eastAsia"/>
                <w:sz w:val="18"/>
                <w:szCs w:val="18"/>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w:t>
            </w:r>
            <w:proofErr w:type="gramStart"/>
            <w:r>
              <w:rPr>
                <w:rFonts w:ascii="宋体" w:eastAsia="宋体" w:hAnsi="宋体" w:cs="宋体" w:hint="eastAsia"/>
                <w:sz w:val="18"/>
                <w:szCs w:val="18"/>
              </w:rPr>
              <w:t>照应税</w:t>
            </w:r>
            <w:proofErr w:type="gramEnd"/>
            <w:r>
              <w:rPr>
                <w:rFonts w:ascii="宋体" w:eastAsia="宋体" w:hAnsi="宋体" w:cs="宋体" w:hint="eastAsia"/>
                <w:sz w:val="18"/>
                <w:szCs w:val="18"/>
              </w:rPr>
              <w:t>行为发生时有效的相关法律法规的规定执行。</w:t>
            </w:r>
          </w:p>
          <w:p w14:paraId="1291C70A"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支付给投资者的理财收益的应纳税款由投资者自行申报及缴纳。</w:t>
            </w:r>
          </w:p>
        </w:tc>
      </w:tr>
      <w:tr w:rsidR="00060B5C" w14:paraId="76273A45" w14:textId="77777777" w:rsidTr="00397A29">
        <w:trPr>
          <w:trHeight w:val="315"/>
          <w:jc w:val="center"/>
        </w:trPr>
        <w:tc>
          <w:tcPr>
            <w:tcW w:w="1774" w:type="dxa"/>
            <w:tcMar>
              <w:top w:w="15" w:type="dxa"/>
              <w:left w:w="15" w:type="dxa"/>
              <w:bottom w:w="0" w:type="dxa"/>
              <w:right w:w="15" w:type="dxa"/>
            </w:tcMar>
            <w:vAlign w:val="center"/>
          </w:tcPr>
          <w:p w14:paraId="3B08C8DE" w14:textId="77777777" w:rsidR="00060B5C" w:rsidRDefault="00060B5C" w:rsidP="00397A29">
            <w:pPr>
              <w:jc w:val="center"/>
              <w:rPr>
                <w:rFonts w:ascii="宋体" w:eastAsia="宋体" w:hAnsi="宋体" w:cs="宋体"/>
                <w:sz w:val="18"/>
                <w:szCs w:val="18"/>
              </w:rPr>
            </w:pPr>
            <w:r>
              <w:rPr>
                <w:rFonts w:ascii="宋体" w:eastAsia="宋体" w:hAnsi="宋体" w:cs="宋体" w:hint="eastAsia"/>
                <w:sz w:val="18"/>
                <w:szCs w:val="18"/>
              </w:rPr>
              <w:t>其他规定</w:t>
            </w:r>
          </w:p>
        </w:tc>
        <w:tc>
          <w:tcPr>
            <w:tcW w:w="7421" w:type="dxa"/>
            <w:tcMar>
              <w:top w:w="15" w:type="dxa"/>
              <w:left w:w="15" w:type="dxa"/>
              <w:bottom w:w="0" w:type="dxa"/>
              <w:right w:w="15" w:type="dxa"/>
            </w:tcMar>
            <w:vAlign w:val="center"/>
          </w:tcPr>
          <w:p w14:paraId="5B0EB70D"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1.认购期内，投资者认购资金按当时实行的活期利率计息，募集期内的利息所得不计入认购金额。（具体以代销机构为准）。</w:t>
            </w:r>
          </w:p>
          <w:p w14:paraId="5E9155B9"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2.理财申购本金在产品当期确认日前，按当时实行的活期利率计息，且利息所得不计入申购金额。（具体以代销机构为准）。</w:t>
            </w:r>
          </w:p>
          <w:p w14:paraId="0892788C" w14:textId="77777777" w:rsidR="00060B5C" w:rsidRDefault="00060B5C" w:rsidP="00397A29">
            <w:pPr>
              <w:rPr>
                <w:rFonts w:ascii="宋体" w:eastAsia="宋体" w:hAnsi="宋体" w:cs="宋体"/>
                <w:sz w:val="18"/>
                <w:szCs w:val="18"/>
              </w:rPr>
            </w:pPr>
            <w:r>
              <w:rPr>
                <w:rFonts w:ascii="宋体" w:eastAsia="宋体" w:hAnsi="宋体" w:cs="宋体" w:hint="eastAsia"/>
                <w:sz w:val="18"/>
                <w:szCs w:val="18"/>
              </w:rPr>
              <w:t>3.产品赎回确认日或终止日（含）至资金实际到账日（含）为清算期，清算期内不计</w:t>
            </w:r>
            <w:proofErr w:type="gramStart"/>
            <w:r>
              <w:rPr>
                <w:rFonts w:ascii="宋体" w:eastAsia="宋体" w:hAnsi="宋体" w:cs="宋体" w:hint="eastAsia"/>
                <w:sz w:val="18"/>
                <w:szCs w:val="18"/>
              </w:rPr>
              <w:t>付投资</w:t>
            </w:r>
            <w:proofErr w:type="gramEnd"/>
            <w:r>
              <w:rPr>
                <w:rFonts w:ascii="宋体" w:eastAsia="宋体" w:hAnsi="宋体" w:cs="宋体" w:hint="eastAsia"/>
                <w:sz w:val="18"/>
                <w:szCs w:val="18"/>
              </w:rPr>
              <w:t>收益及利息。</w:t>
            </w:r>
          </w:p>
        </w:tc>
      </w:tr>
    </w:tbl>
    <w:p w14:paraId="59F357BC"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产品投资</w:t>
      </w:r>
    </w:p>
    <w:p w14:paraId="6779AC13" w14:textId="77777777" w:rsidR="00060B5C" w:rsidRDefault="00060B5C" w:rsidP="00060B5C">
      <w:pPr>
        <w:pStyle w:val="ListParagraph1"/>
        <w:spacing w:line="360" w:lineRule="auto"/>
        <w:ind w:firstLine="422"/>
        <w:rPr>
          <w:rFonts w:ascii="宋体" w:eastAsia="宋体" w:hAnsi="宋体" w:cs="宋体"/>
          <w:b/>
          <w:bCs/>
          <w:color w:val="000000"/>
          <w:kern w:val="0"/>
        </w:rPr>
      </w:pPr>
      <w:r>
        <w:rPr>
          <w:rFonts w:ascii="宋体" w:eastAsia="宋体" w:hAnsi="宋体" w:cs="宋体" w:hint="eastAsia"/>
          <w:b/>
          <w:bCs/>
          <w:color w:val="000000"/>
          <w:kern w:val="0"/>
        </w:rPr>
        <w:t>（一） 投资范围</w:t>
      </w:r>
    </w:p>
    <w:p w14:paraId="41CB3A81" w14:textId="77777777" w:rsidR="00060B5C" w:rsidRDefault="00060B5C" w:rsidP="00060B5C">
      <w:pPr>
        <w:pStyle w:val="Default"/>
        <w:spacing w:line="360" w:lineRule="auto"/>
        <w:ind w:firstLineChars="200" w:firstLine="422"/>
        <w:jc w:val="both"/>
        <w:rPr>
          <w:rFonts w:ascii="宋体" w:eastAsia="宋体" w:hAnsi="宋体" w:cs="宋体"/>
          <w:b/>
          <w:sz w:val="21"/>
          <w:szCs w:val="22"/>
        </w:rPr>
      </w:pPr>
      <w:r>
        <w:rPr>
          <w:rFonts w:ascii="宋体" w:eastAsia="宋体" w:hAnsi="宋体" w:cs="宋体" w:hint="eastAsia"/>
          <w:b/>
          <w:sz w:val="21"/>
          <w:szCs w:val="22"/>
        </w:rPr>
        <w:t>本理财产品为固定收益类产品，全部投资于以下符合监管要求的各类资产：</w:t>
      </w:r>
    </w:p>
    <w:p w14:paraId="2C904C65" w14:textId="77777777" w:rsidR="00060B5C" w:rsidRDefault="00060B5C" w:rsidP="00060B5C">
      <w:pPr>
        <w:pStyle w:val="Default"/>
        <w:spacing w:line="360" w:lineRule="auto"/>
        <w:ind w:firstLineChars="200" w:firstLine="422"/>
        <w:jc w:val="both"/>
        <w:rPr>
          <w:rFonts w:ascii="宋体" w:eastAsia="宋体" w:hAnsi="宋体" w:cs="宋体"/>
          <w:b/>
          <w:sz w:val="21"/>
          <w:szCs w:val="22"/>
        </w:rPr>
      </w:pPr>
      <w:r>
        <w:rPr>
          <w:rFonts w:ascii="宋体" w:eastAsia="宋体" w:hAnsi="宋体" w:cs="宋体" w:hint="eastAsia"/>
          <w:b/>
          <w:sz w:val="21"/>
          <w:szCs w:val="22"/>
        </w:rPr>
        <w:t>固定收益类资产，包括但不限于各类债券、存款、货币市场金融工具等高流动性资产、债券基金、质押式及买断式回购，其他符合监管要求的固定收益类资产。</w:t>
      </w:r>
    </w:p>
    <w:p w14:paraId="36CF76E3"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lastRenderedPageBreak/>
        <w:t>（二） 投资比例</w:t>
      </w:r>
    </w:p>
    <w:tbl>
      <w:tblPr>
        <w:tblW w:w="8336" w:type="dxa"/>
        <w:tblLayout w:type="fixed"/>
        <w:tblCellMar>
          <w:left w:w="0" w:type="dxa"/>
          <w:right w:w="0" w:type="dxa"/>
        </w:tblCellMar>
        <w:tblLook w:val="04A0" w:firstRow="1" w:lastRow="0" w:firstColumn="1" w:lastColumn="0" w:noHBand="0" w:noVBand="1"/>
      </w:tblPr>
      <w:tblGrid>
        <w:gridCol w:w="1753"/>
        <w:gridCol w:w="5291"/>
        <w:gridCol w:w="1292"/>
      </w:tblGrid>
      <w:tr w:rsidR="00060B5C" w14:paraId="5B14D10C" w14:textId="77777777" w:rsidTr="00397A29">
        <w:trPr>
          <w:trHeight w:val="471"/>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10C525" w14:textId="77777777" w:rsidR="00060B5C" w:rsidRDefault="00060B5C" w:rsidP="00397A29">
            <w:pPr>
              <w:widowControl/>
              <w:spacing w:line="360" w:lineRule="auto"/>
              <w:contextualSpacing/>
              <w:jc w:val="center"/>
              <w:rPr>
                <w:rFonts w:ascii="宋体" w:eastAsia="宋体" w:hAnsi="宋体" w:cs="宋体"/>
                <w:szCs w:val="21"/>
              </w:rPr>
            </w:pPr>
            <w:r>
              <w:rPr>
                <w:rFonts w:ascii="宋体" w:eastAsia="宋体" w:hAnsi="宋体" w:cs="宋体" w:hint="eastAsia"/>
                <w:szCs w:val="21"/>
              </w:rPr>
              <w:t>资产类别</w:t>
            </w:r>
          </w:p>
        </w:tc>
        <w:tc>
          <w:tcPr>
            <w:tcW w:w="5291"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E67FEC0" w14:textId="77777777" w:rsidR="00060B5C" w:rsidRDefault="00060B5C" w:rsidP="00397A29">
            <w:pPr>
              <w:widowControl/>
              <w:spacing w:line="360" w:lineRule="auto"/>
              <w:contextualSpacing/>
              <w:jc w:val="center"/>
              <w:rPr>
                <w:rFonts w:ascii="宋体" w:eastAsia="宋体" w:hAnsi="宋体" w:cs="宋体"/>
                <w:szCs w:val="21"/>
              </w:rPr>
            </w:pPr>
            <w:r>
              <w:rPr>
                <w:rFonts w:ascii="宋体" w:eastAsia="宋体" w:hAnsi="宋体" w:cs="宋体" w:hint="eastAsia"/>
                <w:szCs w:val="21"/>
              </w:rPr>
              <w:t>资产种类</w:t>
            </w:r>
          </w:p>
        </w:tc>
        <w:tc>
          <w:tcPr>
            <w:tcW w:w="1292"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6A4CB36" w14:textId="77777777" w:rsidR="00060B5C" w:rsidRDefault="00060B5C" w:rsidP="00397A29">
            <w:pPr>
              <w:widowControl/>
              <w:spacing w:line="360" w:lineRule="auto"/>
              <w:contextualSpacing/>
              <w:jc w:val="center"/>
              <w:rPr>
                <w:rFonts w:ascii="宋体" w:eastAsia="宋体" w:hAnsi="宋体" w:cs="宋体"/>
                <w:szCs w:val="21"/>
              </w:rPr>
            </w:pPr>
            <w:r>
              <w:rPr>
                <w:rFonts w:ascii="宋体" w:eastAsia="宋体" w:hAnsi="宋体" w:cs="宋体" w:hint="eastAsia"/>
                <w:szCs w:val="21"/>
              </w:rPr>
              <w:t>投资比例</w:t>
            </w:r>
          </w:p>
        </w:tc>
      </w:tr>
      <w:tr w:rsidR="00060B5C" w14:paraId="53A566CE" w14:textId="77777777" w:rsidTr="00397A29">
        <w:trPr>
          <w:trHeight w:val="471"/>
        </w:trPr>
        <w:tc>
          <w:tcPr>
            <w:tcW w:w="1753"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14:paraId="48A4B1EB" w14:textId="77777777" w:rsidR="00060B5C" w:rsidRDefault="00060B5C" w:rsidP="00397A29">
            <w:pPr>
              <w:widowControl/>
              <w:spacing w:line="360" w:lineRule="auto"/>
              <w:contextualSpacing/>
              <w:jc w:val="center"/>
              <w:rPr>
                <w:rFonts w:ascii="宋体" w:eastAsia="宋体" w:hAnsi="宋体" w:cs="宋体"/>
                <w:szCs w:val="21"/>
              </w:rPr>
            </w:pPr>
            <w:r>
              <w:rPr>
                <w:rFonts w:ascii="宋体" w:eastAsia="宋体" w:hAnsi="宋体" w:cs="宋体" w:hint="eastAsia"/>
                <w:szCs w:val="21"/>
              </w:rPr>
              <w:t>固定收益类</w:t>
            </w:r>
          </w:p>
        </w:tc>
        <w:tc>
          <w:tcPr>
            <w:tcW w:w="5291" w:type="dxa"/>
            <w:tcBorders>
              <w:top w:val="nil"/>
              <w:left w:val="nil"/>
              <w:bottom w:val="single" w:sz="4" w:space="0" w:color="auto"/>
              <w:right w:val="single" w:sz="4" w:space="0" w:color="auto"/>
            </w:tcBorders>
            <w:tcMar>
              <w:top w:w="15" w:type="dxa"/>
              <w:left w:w="15" w:type="dxa"/>
              <w:right w:w="15" w:type="dxa"/>
            </w:tcMar>
            <w:vAlign w:val="center"/>
          </w:tcPr>
          <w:p w14:paraId="714A682C" w14:textId="77777777" w:rsidR="00060B5C" w:rsidRDefault="00060B5C" w:rsidP="00397A29">
            <w:pPr>
              <w:widowControl/>
              <w:spacing w:line="360" w:lineRule="auto"/>
              <w:contextualSpacing/>
              <w:rPr>
                <w:rFonts w:ascii="宋体" w:eastAsia="宋体" w:hAnsi="宋体" w:cs="宋体"/>
                <w:szCs w:val="21"/>
              </w:rPr>
            </w:pPr>
            <w:r>
              <w:rPr>
                <w:rFonts w:ascii="宋体" w:eastAsia="宋体" w:hAnsi="宋体" w:cs="宋体" w:hint="eastAsia"/>
                <w:szCs w:val="21"/>
              </w:rPr>
              <w:t>货币市场工具类</w:t>
            </w:r>
          </w:p>
        </w:tc>
        <w:tc>
          <w:tcPr>
            <w:tcW w:w="1292"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4E8B5E17" w14:textId="77777777" w:rsidR="00060B5C" w:rsidRDefault="00060B5C" w:rsidP="00397A29">
            <w:pPr>
              <w:widowControl/>
              <w:spacing w:line="360" w:lineRule="auto"/>
              <w:contextualSpacing/>
              <w:rPr>
                <w:rFonts w:ascii="宋体" w:eastAsia="宋体" w:hAnsi="宋体" w:cs="宋体"/>
                <w:szCs w:val="21"/>
              </w:rPr>
            </w:pPr>
            <w:r>
              <w:rPr>
                <w:rFonts w:ascii="宋体" w:eastAsia="宋体" w:hAnsi="宋体" w:cs="宋体" w:hint="eastAsia"/>
                <w:szCs w:val="21"/>
              </w:rPr>
              <w:t>100%</w:t>
            </w:r>
          </w:p>
        </w:tc>
      </w:tr>
      <w:tr w:rsidR="00060B5C" w14:paraId="1B18C76F" w14:textId="77777777" w:rsidTr="00397A29">
        <w:trPr>
          <w:trHeight w:val="471"/>
        </w:trPr>
        <w:tc>
          <w:tcPr>
            <w:tcW w:w="1753"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14:paraId="0B65CD7F" w14:textId="77777777" w:rsidR="00060B5C" w:rsidRDefault="00060B5C" w:rsidP="00397A29">
            <w:pPr>
              <w:widowControl/>
              <w:spacing w:line="360" w:lineRule="auto"/>
              <w:contextualSpacing/>
              <w:rPr>
                <w:rFonts w:ascii="宋体" w:eastAsia="宋体" w:hAnsi="宋体" w:cs="宋体"/>
                <w:szCs w:val="21"/>
              </w:rPr>
            </w:pPr>
          </w:p>
        </w:tc>
        <w:tc>
          <w:tcPr>
            <w:tcW w:w="5291" w:type="dxa"/>
            <w:tcBorders>
              <w:top w:val="nil"/>
              <w:left w:val="nil"/>
              <w:bottom w:val="single" w:sz="4" w:space="0" w:color="auto"/>
              <w:right w:val="single" w:sz="4" w:space="0" w:color="auto"/>
            </w:tcBorders>
            <w:tcMar>
              <w:top w:w="15" w:type="dxa"/>
              <w:left w:w="15" w:type="dxa"/>
              <w:right w:w="15" w:type="dxa"/>
            </w:tcMar>
            <w:vAlign w:val="center"/>
          </w:tcPr>
          <w:p w14:paraId="5B8940C0" w14:textId="77777777" w:rsidR="00060B5C" w:rsidRDefault="00060B5C" w:rsidP="00397A29">
            <w:pPr>
              <w:widowControl/>
              <w:spacing w:line="360" w:lineRule="auto"/>
              <w:contextualSpacing/>
              <w:rPr>
                <w:rFonts w:ascii="宋体" w:eastAsia="宋体" w:hAnsi="宋体" w:cs="宋体"/>
                <w:szCs w:val="21"/>
              </w:rPr>
            </w:pPr>
            <w:r>
              <w:rPr>
                <w:rFonts w:ascii="宋体" w:eastAsia="宋体" w:hAnsi="宋体" w:cs="宋体" w:hint="eastAsia"/>
                <w:szCs w:val="21"/>
              </w:rPr>
              <w:t>债券类</w:t>
            </w:r>
          </w:p>
        </w:tc>
        <w:tc>
          <w:tcPr>
            <w:tcW w:w="1292"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14:paraId="3B85E7C2" w14:textId="77777777" w:rsidR="00060B5C" w:rsidRDefault="00060B5C" w:rsidP="00397A29">
            <w:pPr>
              <w:widowControl/>
              <w:spacing w:line="360" w:lineRule="auto"/>
              <w:contextualSpacing/>
              <w:rPr>
                <w:rFonts w:ascii="宋体" w:eastAsia="宋体" w:hAnsi="宋体" w:cs="宋体"/>
                <w:szCs w:val="21"/>
              </w:rPr>
            </w:pPr>
          </w:p>
        </w:tc>
      </w:tr>
      <w:tr w:rsidR="00060B5C" w14:paraId="6BAB5499" w14:textId="77777777" w:rsidTr="00397A29">
        <w:trPr>
          <w:trHeight w:val="481"/>
        </w:trPr>
        <w:tc>
          <w:tcPr>
            <w:tcW w:w="1753"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14:paraId="20A7AB84" w14:textId="77777777" w:rsidR="00060B5C" w:rsidRDefault="00060B5C" w:rsidP="00397A29">
            <w:pPr>
              <w:widowControl/>
              <w:spacing w:line="360" w:lineRule="auto"/>
              <w:contextualSpacing/>
              <w:rPr>
                <w:rFonts w:ascii="宋体" w:eastAsia="宋体" w:hAnsi="宋体" w:cs="宋体"/>
                <w:szCs w:val="21"/>
              </w:rPr>
            </w:pPr>
          </w:p>
        </w:tc>
        <w:tc>
          <w:tcPr>
            <w:tcW w:w="5291" w:type="dxa"/>
            <w:tcBorders>
              <w:top w:val="nil"/>
              <w:left w:val="nil"/>
              <w:bottom w:val="single" w:sz="4" w:space="0" w:color="auto"/>
              <w:right w:val="single" w:sz="4" w:space="0" w:color="auto"/>
            </w:tcBorders>
            <w:tcMar>
              <w:top w:w="15" w:type="dxa"/>
              <w:left w:w="15" w:type="dxa"/>
              <w:right w:w="15" w:type="dxa"/>
            </w:tcMar>
            <w:vAlign w:val="center"/>
          </w:tcPr>
          <w:p w14:paraId="5B6BB7A6" w14:textId="77777777" w:rsidR="00060B5C" w:rsidRDefault="00060B5C" w:rsidP="00397A29">
            <w:pPr>
              <w:widowControl/>
              <w:spacing w:line="360" w:lineRule="auto"/>
              <w:contextualSpacing/>
              <w:rPr>
                <w:rFonts w:ascii="宋体" w:eastAsia="宋体" w:hAnsi="宋体" w:cs="宋体"/>
                <w:szCs w:val="21"/>
              </w:rPr>
            </w:pPr>
            <w:r>
              <w:rPr>
                <w:rFonts w:ascii="宋体" w:eastAsia="宋体" w:hAnsi="宋体" w:cs="宋体" w:hint="eastAsia"/>
                <w:szCs w:val="21"/>
              </w:rPr>
              <w:t>其他符合监管要求的固定收益类资产</w:t>
            </w:r>
          </w:p>
        </w:tc>
        <w:tc>
          <w:tcPr>
            <w:tcW w:w="1292"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14:paraId="4E714D32" w14:textId="77777777" w:rsidR="00060B5C" w:rsidRDefault="00060B5C" w:rsidP="00397A29">
            <w:pPr>
              <w:widowControl/>
              <w:spacing w:line="360" w:lineRule="auto"/>
              <w:contextualSpacing/>
              <w:rPr>
                <w:rFonts w:ascii="宋体" w:eastAsia="宋体" w:hAnsi="宋体" w:cs="宋体"/>
                <w:szCs w:val="21"/>
              </w:rPr>
            </w:pPr>
          </w:p>
        </w:tc>
      </w:tr>
    </w:tbl>
    <w:p w14:paraId="26D95ED4"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（三） 投资策略</w:t>
      </w:r>
    </w:p>
    <w:p w14:paraId="7C17BE8F"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本理财产品采用安全性、流动性优先的投资策略，在资产配置中以较大比例配置投资级别的债券、回购、存放同业等资产，通过组合管理实现稳健收益。</w:t>
      </w:r>
    </w:p>
    <w:p w14:paraId="35F66218"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（四）投资限制</w:t>
      </w:r>
    </w:p>
    <w:p w14:paraId="481E0D28"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1. 本理财产品投资于单只债券或者单只公</w:t>
      </w:r>
      <w:proofErr w:type="gramStart"/>
      <w:r>
        <w:rPr>
          <w:rFonts w:ascii="宋体" w:eastAsia="宋体" w:hAnsi="宋体" w:cs="宋体" w:hint="eastAsia"/>
          <w:color w:val="000000"/>
          <w:kern w:val="0"/>
          <w:szCs w:val="21"/>
        </w:rPr>
        <w:t>募证券</w:t>
      </w:r>
      <w:proofErr w:type="gramEnd"/>
      <w:r>
        <w:rPr>
          <w:rFonts w:ascii="宋体" w:eastAsia="宋体" w:hAnsi="宋体" w:cs="宋体" w:hint="eastAsia"/>
          <w:color w:val="000000"/>
          <w:kern w:val="0"/>
          <w:szCs w:val="21"/>
        </w:rPr>
        <w:t>基金的市值占本产品净资产不高于10%。</w:t>
      </w:r>
    </w:p>
    <w:p w14:paraId="43EB9A96"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2. 现金、国债、中央银行票据、政策性金融债券等高流动性资产占本产品资产净值不低于5%。</w:t>
      </w:r>
    </w:p>
    <w:p w14:paraId="40964B47"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3. 本理财产品总资产不得超过净资产140%。</w:t>
      </w:r>
    </w:p>
    <w:p w14:paraId="60D2B403"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4. 本理财计划直接投资于流动性受限资产的市值在开放日不得超过该理财计划资产净值的15%。</w:t>
      </w:r>
    </w:p>
    <w:p w14:paraId="0E50D366"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5. 产品应当持有不低于产品资产净值5%的现金或者到期日在一年以内的国债、中央银行票据和政策性金融债。</w:t>
      </w:r>
    </w:p>
    <w:p w14:paraId="4DCAB0A4"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6.本理财计划计划投资不存在活跃交易市场，并且需要采用估值技术确定公允价值的资产比例不得超过理财产品净资产50%以上。</w:t>
      </w:r>
    </w:p>
    <w:p w14:paraId="73E77371"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产品管理人应当在封闭期结束前使理财计划的各项投资比例符合约定。</w:t>
      </w:r>
    </w:p>
    <w:p w14:paraId="1144BD86"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如</w:t>
      </w:r>
      <w:proofErr w:type="gramStart"/>
      <w:r>
        <w:rPr>
          <w:rFonts w:ascii="宋体" w:eastAsia="宋体" w:hAnsi="宋体" w:cs="宋体" w:hint="eastAsia"/>
          <w:color w:val="000000"/>
          <w:kern w:val="0"/>
          <w:szCs w:val="21"/>
        </w:rPr>
        <w:t>遇市场</w:t>
      </w:r>
      <w:proofErr w:type="gramEnd"/>
      <w:r>
        <w:rPr>
          <w:rFonts w:ascii="宋体" w:eastAsia="宋体" w:hAnsi="宋体" w:cs="宋体" w:hint="eastAsia"/>
          <w:color w:val="000000"/>
          <w:kern w:val="0"/>
          <w:szCs w:val="21"/>
        </w:rPr>
        <w:t>变化导致各类投资</w:t>
      </w:r>
      <w:proofErr w:type="gramStart"/>
      <w:r>
        <w:rPr>
          <w:rFonts w:ascii="宋体" w:eastAsia="宋体" w:hAnsi="宋体" w:cs="宋体" w:hint="eastAsia"/>
          <w:color w:val="000000"/>
          <w:kern w:val="0"/>
          <w:szCs w:val="21"/>
        </w:rPr>
        <w:t>品投资</w:t>
      </w:r>
      <w:proofErr w:type="gramEnd"/>
      <w:r>
        <w:rPr>
          <w:rFonts w:ascii="宋体" w:eastAsia="宋体" w:hAnsi="宋体" w:cs="宋体" w:hint="eastAsia"/>
          <w:color w:val="000000"/>
          <w:kern w:val="0"/>
          <w:szCs w:val="21"/>
        </w:rPr>
        <w:t>比例暂时超出以上范围，为保护投资者利益，管理人将在10个工作日内调整至上述比例范围。</w:t>
      </w:r>
    </w:p>
    <w:p w14:paraId="152780BE"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（五）拟投资市场、资产的流动性风险评估</w:t>
      </w:r>
    </w:p>
    <w:p w14:paraId="2782C24E"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本理财计划拟投资市场可能面临的流动性风险如下：</w:t>
      </w:r>
    </w:p>
    <w:p w14:paraId="5E64F689"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1.投资于标准化</w:t>
      </w:r>
      <w:proofErr w:type="gramStart"/>
      <w:r>
        <w:rPr>
          <w:rFonts w:ascii="宋体" w:eastAsia="宋体" w:hAnsi="宋体" w:cs="宋体" w:hint="eastAsia"/>
          <w:color w:val="000000"/>
          <w:kern w:val="0"/>
          <w:szCs w:val="21"/>
        </w:rPr>
        <w:t>固收类</w:t>
      </w:r>
      <w:proofErr w:type="gramEnd"/>
      <w:r>
        <w:rPr>
          <w:rFonts w:ascii="宋体" w:eastAsia="宋体" w:hAnsi="宋体" w:cs="宋体" w:hint="eastAsia"/>
          <w:color w:val="000000"/>
          <w:kern w:val="0"/>
          <w:szCs w:val="21"/>
        </w:rPr>
        <w:t>的可能流动性风险：各类债券、存款、货币基金、债券基金、质押式及买断式回购等标准化资产具体规范的交易场所，市场透明度较高，运作方式规范，可支持产品的投资和应对</w:t>
      </w:r>
      <w:proofErr w:type="gramStart"/>
      <w:r>
        <w:rPr>
          <w:rFonts w:ascii="宋体" w:eastAsia="宋体" w:hAnsi="宋体" w:cs="宋体" w:hint="eastAsia"/>
          <w:color w:val="000000"/>
          <w:kern w:val="0"/>
          <w:szCs w:val="21"/>
        </w:rPr>
        <w:t>日常申赎的</w:t>
      </w:r>
      <w:proofErr w:type="gramEnd"/>
      <w:r>
        <w:rPr>
          <w:rFonts w:ascii="宋体" w:eastAsia="宋体" w:hAnsi="宋体" w:cs="宋体" w:hint="eastAsia"/>
          <w:color w:val="000000"/>
          <w:kern w:val="0"/>
          <w:szCs w:val="21"/>
        </w:rPr>
        <w:t>需要。上述资产受限于市场交易活跃度，或当出现风险事</w:t>
      </w:r>
      <w:r>
        <w:rPr>
          <w:rFonts w:ascii="宋体" w:eastAsia="宋体" w:hAnsi="宋体" w:cs="宋体" w:hint="eastAsia"/>
          <w:color w:val="000000"/>
          <w:kern w:val="0"/>
          <w:szCs w:val="21"/>
        </w:rPr>
        <w:lastRenderedPageBreak/>
        <w:t>件后，可能会难以以合理价格变现，同时市场资金面紧张也可能降低市场参与者的交易意愿，进而带来流动性风险。</w:t>
      </w:r>
    </w:p>
    <w:p w14:paraId="6252DB8E"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2.投资于非标准化固定收益类资产的可能流动性风险（如有）：非标准化固定收益类资产项下的基础资产现金</w:t>
      </w:r>
      <w:proofErr w:type="gramStart"/>
      <w:r>
        <w:rPr>
          <w:rFonts w:ascii="宋体" w:eastAsia="宋体" w:hAnsi="宋体" w:cs="宋体" w:hint="eastAsia"/>
          <w:color w:val="000000"/>
          <w:kern w:val="0"/>
          <w:szCs w:val="21"/>
        </w:rPr>
        <w:t>流未能</w:t>
      </w:r>
      <w:proofErr w:type="gramEnd"/>
      <w:r>
        <w:rPr>
          <w:rFonts w:ascii="宋体" w:eastAsia="宋体" w:hAnsi="宋体" w:cs="宋体" w:hint="eastAsia"/>
          <w:color w:val="000000"/>
          <w:kern w:val="0"/>
          <w:szCs w:val="21"/>
        </w:rPr>
        <w:t>及时完整取得而产生信用风险，从而无法如期兑付进一步引发流动性风险。</w:t>
      </w:r>
    </w:p>
    <w:p w14:paraId="1FBDC51C"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3.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14:paraId="4E3F7393" w14:textId="77777777" w:rsidR="00060B5C" w:rsidRDefault="00060B5C" w:rsidP="00060B5C">
      <w:pPr>
        <w:widowControl/>
        <w:tabs>
          <w:tab w:val="left" w:pos="7740"/>
        </w:tabs>
        <w:spacing w:line="360" w:lineRule="auto"/>
        <w:ind w:firstLineChars="200" w:firstLine="420"/>
        <w:contextualSpacing/>
        <w:rPr>
          <w:rFonts w:ascii="宋体" w:eastAsia="宋体" w:hAnsi="宋体" w:cs="宋体"/>
          <w:color w:val="000000"/>
          <w:kern w:val="0"/>
          <w:szCs w:val="21"/>
        </w:rPr>
      </w:pPr>
      <w:r>
        <w:rPr>
          <w:rFonts w:ascii="宋体" w:eastAsia="宋体" w:hAnsi="宋体" w:cs="宋体" w:hint="eastAsia"/>
          <w:color w:val="000000"/>
          <w:kern w:val="0"/>
          <w:szCs w:val="21"/>
        </w:rPr>
        <w:t>以上风险仅为列举性质，未能详尽列明拟投资市场和资产面临的全部流动性风险可能导致投资者投资本金及收益损失或延期兑付的所有因素。管理人会进行标的</w:t>
      </w:r>
      <w:proofErr w:type="gramStart"/>
      <w:r>
        <w:rPr>
          <w:rFonts w:ascii="宋体" w:eastAsia="宋体" w:hAnsi="宋体" w:cs="宋体" w:hint="eastAsia"/>
          <w:color w:val="000000"/>
          <w:kern w:val="0"/>
          <w:szCs w:val="21"/>
        </w:rPr>
        <w:t>的</w:t>
      </w:r>
      <w:proofErr w:type="gramEnd"/>
      <w:r>
        <w:rPr>
          <w:rFonts w:ascii="宋体" w:eastAsia="宋体" w:hAnsi="宋体" w:cs="宋体" w:hint="eastAsia"/>
          <w:color w:val="000000"/>
          <w:kern w:val="0"/>
          <w:szCs w:val="21"/>
        </w:rPr>
        <w:t>分散化投资并结合对各类标的资产的预期流动性合理进行资产配置，最大程度防范流动性风险。</w:t>
      </w:r>
    </w:p>
    <w:p w14:paraId="7341B547"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理财产品估值</w:t>
      </w:r>
    </w:p>
    <w:p w14:paraId="3AD44DB1"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（一）估值日 </w:t>
      </w:r>
    </w:p>
    <w:p w14:paraId="7DB56487" w14:textId="77777777" w:rsidR="00060B5C" w:rsidRDefault="00060B5C" w:rsidP="00060B5C">
      <w:pPr>
        <w:spacing w:line="360" w:lineRule="auto"/>
        <w:ind w:firstLineChars="200" w:firstLine="420"/>
        <w:rPr>
          <w:rFonts w:ascii="宋体" w:eastAsia="宋体" w:hAnsi="宋体" w:cs="宋体"/>
          <w:color w:val="000000"/>
          <w:kern w:val="0"/>
        </w:rPr>
      </w:pPr>
      <w:r>
        <w:rPr>
          <w:rFonts w:ascii="宋体" w:eastAsia="宋体" w:hAnsi="宋体" w:cs="宋体" w:hint="eastAsia"/>
          <w:color w:val="000000"/>
          <w:kern w:val="0"/>
        </w:rPr>
        <w:t>本理财产品估值日为每个国家法定工作日，产品管理人和产品托管人核对估值结果并向投资人披露。</w:t>
      </w:r>
    </w:p>
    <w:p w14:paraId="32DE7818"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（二）估值对象</w:t>
      </w:r>
    </w:p>
    <w:p w14:paraId="1BB1FDAC" w14:textId="77777777" w:rsidR="00060B5C" w:rsidRDefault="00060B5C" w:rsidP="00060B5C">
      <w:pPr>
        <w:spacing w:line="360" w:lineRule="auto"/>
        <w:ind w:firstLineChars="200" w:firstLine="420"/>
        <w:rPr>
          <w:rFonts w:ascii="宋体" w:eastAsia="宋体" w:hAnsi="宋体" w:cs="宋体"/>
          <w:color w:val="000000"/>
          <w:kern w:val="0"/>
        </w:rPr>
      </w:pPr>
      <w:r>
        <w:rPr>
          <w:rFonts w:ascii="宋体" w:eastAsia="宋体" w:hAnsi="宋体" w:cs="宋体" w:hint="eastAsia"/>
          <w:color w:val="000000"/>
          <w:kern w:val="0"/>
        </w:rPr>
        <w:t>本理财产品所拥有的所有资产及负债。</w:t>
      </w:r>
    </w:p>
    <w:p w14:paraId="165D77DE"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（三）估值目的 </w:t>
      </w:r>
    </w:p>
    <w:p w14:paraId="1ACC44F6" w14:textId="77777777" w:rsidR="00060B5C" w:rsidRDefault="00060B5C" w:rsidP="00060B5C">
      <w:pPr>
        <w:spacing w:line="360" w:lineRule="auto"/>
        <w:ind w:firstLineChars="200" w:firstLine="420"/>
        <w:rPr>
          <w:rFonts w:ascii="宋体" w:eastAsia="宋体" w:hAnsi="宋体" w:cs="宋体"/>
          <w:color w:val="000000"/>
          <w:kern w:val="0"/>
        </w:rPr>
      </w:pPr>
      <w:r>
        <w:rPr>
          <w:rFonts w:ascii="宋体" w:eastAsia="宋体" w:hAnsi="宋体" w:cs="宋体" w:hint="eastAsia"/>
          <w:color w:val="000000"/>
          <w:kern w:val="0"/>
        </w:rPr>
        <w:t xml:space="preserve">客观、准确反映理财产品的价值。 </w:t>
      </w:r>
    </w:p>
    <w:p w14:paraId="297E4585"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（四）估值方式</w:t>
      </w:r>
    </w:p>
    <w:p w14:paraId="6C3DC2F9"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估值方法中列示的资产品种不代表管理人的实际投向，本理财计划投资范围以“投资范围”章节表述为准。</w:t>
      </w:r>
    </w:p>
    <w:p w14:paraId="186DCB7C"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理财计划所投资各类资产按照会计准则和监管要求进行会计分类，并按如下规则进行计量：</w:t>
      </w:r>
    </w:p>
    <w:p w14:paraId="472425CB"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1．货币市场工具类资产</w:t>
      </w:r>
    </w:p>
    <w:p w14:paraId="50CABD1A"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银行存款及回购，以本金列示，按商定利率在实际持有期间内逐日计提利息。</w:t>
      </w:r>
    </w:p>
    <w:p w14:paraId="0CC57EEB"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2．债券及同业存单类资产</w:t>
      </w:r>
    </w:p>
    <w:p w14:paraId="0FA2A323"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以收取合同现金流量为目的并持有到期的债券及同业存单类资产，</w:t>
      </w:r>
      <w:proofErr w:type="gramStart"/>
      <w:r>
        <w:rPr>
          <w:rFonts w:ascii="宋体" w:eastAsia="宋体" w:hAnsi="宋体" w:cs="宋体" w:hint="eastAsia"/>
          <w:color w:val="000000"/>
          <w:kern w:val="0"/>
        </w:rPr>
        <w:t>按摊余成本</w:t>
      </w:r>
      <w:proofErr w:type="gramEnd"/>
      <w:r>
        <w:rPr>
          <w:rFonts w:ascii="宋体" w:eastAsia="宋体" w:hAnsi="宋体" w:cs="宋体" w:hint="eastAsia"/>
          <w:color w:val="000000"/>
          <w:kern w:val="0"/>
        </w:rPr>
        <w:t>法进行计</w:t>
      </w:r>
      <w:r>
        <w:rPr>
          <w:rFonts w:ascii="宋体" w:eastAsia="宋体" w:hAnsi="宋体" w:cs="宋体" w:hint="eastAsia"/>
          <w:color w:val="000000"/>
          <w:kern w:val="0"/>
        </w:rPr>
        <w:lastRenderedPageBreak/>
        <w:t>量。其余债券及同业存单类资产，按市价法估值。市价法不能确定公允价值的，采用估值技术进行估值。</w:t>
      </w:r>
    </w:p>
    <w:p w14:paraId="6D593E2B"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3．债权类资产</w:t>
      </w:r>
    </w:p>
    <w:p w14:paraId="13B2EA44"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对于符合监管要求的债权类资产，按照摊</w:t>
      </w:r>
      <w:proofErr w:type="gramStart"/>
      <w:r>
        <w:rPr>
          <w:rFonts w:ascii="宋体" w:eastAsia="宋体" w:hAnsi="宋体" w:cs="宋体" w:hint="eastAsia"/>
          <w:color w:val="000000"/>
          <w:kern w:val="0"/>
        </w:rPr>
        <w:t>余成本</w:t>
      </w:r>
      <w:proofErr w:type="gramEnd"/>
      <w:r>
        <w:rPr>
          <w:rFonts w:ascii="宋体" w:eastAsia="宋体" w:hAnsi="宋体" w:cs="宋体" w:hint="eastAsia"/>
          <w:color w:val="000000"/>
          <w:kern w:val="0"/>
        </w:rPr>
        <w:t>法进行计量。其余债权类资产，按市价法估值。市价法不能确定其公允价值的，采用估值技术进行估值。</w:t>
      </w:r>
    </w:p>
    <w:p w14:paraId="51D1E2E2"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4．股权类资产</w:t>
      </w:r>
    </w:p>
    <w:p w14:paraId="7BF9CA12"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（1）上市流通股票按估值日其所在证券交易所的收盘价估值；估值日无交易，且最近交易日后未发生影响公允价值计量的重大事件的，以最近交易日的收盘价估值。</w:t>
      </w:r>
    </w:p>
    <w:p w14:paraId="38CA09CD"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（2）未上市股票的估值：</w:t>
      </w:r>
    </w:p>
    <w:p w14:paraId="39E6E1A7"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  1）送股、转增股、配股和公开增发新股等发行未上市的股票，按估值日在证券交易所挂牌的同一股票的市价估值；</w:t>
      </w:r>
    </w:p>
    <w:p w14:paraId="696B97E3"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  2）首次公开发行有明确锁定期的股票，同一股票在交易所上市后，按交易所上市的同一股票的市价估值；</w:t>
      </w:r>
    </w:p>
    <w:p w14:paraId="5FAEBF99"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  3）首次发行未上市的股票，按发行价格进行估值；</w:t>
      </w:r>
    </w:p>
    <w:p w14:paraId="4DF92C25"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 xml:space="preserve">  4)因持有股票而享有的配股权，采用估值技术确定公允价值。</w:t>
      </w:r>
    </w:p>
    <w:p w14:paraId="6B1F5FEE"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（3）非上市股权的估值：</w:t>
      </w:r>
    </w:p>
    <w:p w14:paraId="2DB01B28"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非上市股权类资产，按照国家最新规定，采用合理的估值技术进行估值。</w:t>
      </w:r>
    </w:p>
    <w:p w14:paraId="580EA45F"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5．基金、资产管理计划类资产</w:t>
      </w:r>
    </w:p>
    <w:p w14:paraId="44C4BE5B" w14:textId="77777777" w:rsidR="00060B5C" w:rsidRDefault="00060B5C" w:rsidP="00060B5C">
      <w:pPr>
        <w:pStyle w:val="ListParagraph1"/>
        <w:spacing w:line="360" w:lineRule="auto"/>
        <w:rPr>
          <w:rFonts w:ascii="宋体" w:eastAsia="宋体" w:hAnsi="宋体" w:cs="宋体"/>
          <w:color w:val="000000"/>
          <w:kern w:val="0"/>
        </w:rPr>
      </w:pPr>
      <w:proofErr w:type="gramStart"/>
      <w:r>
        <w:rPr>
          <w:rFonts w:ascii="宋体" w:eastAsia="宋体" w:hAnsi="宋体" w:cs="宋体" w:hint="eastAsia"/>
          <w:color w:val="000000"/>
          <w:kern w:val="0"/>
        </w:rPr>
        <w:t>若合同</w:t>
      </w:r>
      <w:proofErr w:type="gramEnd"/>
      <w:r>
        <w:rPr>
          <w:rFonts w:ascii="宋体" w:eastAsia="宋体" w:hAnsi="宋体" w:cs="宋体" w:hint="eastAsia"/>
          <w:color w:val="000000"/>
          <w:kern w:val="0"/>
        </w:rPr>
        <w:t>约定估值方案，以基金、信托计划、资产管理计划的管理人提供的最新报价估值。报价包括资产的单位净值、每万份收益以及其他形式的投资收益。</w:t>
      </w:r>
    </w:p>
    <w:p w14:paraId="4AC78DD6" w14:textId="77777777" w:rsidR="00060B5C" w:rsidRDefault="00060B5C" w:rsidP="00060B5C">
      <w:pPr>
        <w:pStyle w:val="ListParagraph1"/>
        <w:spacing w:line="360" w:lineRule="auto"/>
        <w:rPr>
          <w:rFonts w:ascii="宋体" w:eastAsia="宋体" w:hAnsi="宋体" w:cs="宋体"/>
          <w:color w:val="000000"/>
          <w:kern w:val="0"/>
        </w:rPr>
      </w:pPr>
      <w:proofErr w:type="gramStart"/>
      <w:r>
        <w:rPr>
          <w:rFonts w:ascii="宋体" w:eastAsia="宋体" w:hAnsi="宋体" w:cs="宋体" w:hint="eastAsia"/>
          <w:color w:val="000000"/>
          <w:kern w:val="0"/>
        </w:rPr>
        <w:t>若合同</w:t>
      </w:r>
      <w:proofErr w:type="gramEnd"/>
      <w:r>
        <w:rPr>
          <w:rFonts w:ascii="宋体" w:eastAsia="宋体" w:hAnsi="宋体" w:cs="宋体" w:hint="eastAsia"/>
          <w:color w:val="000000"/>
          <w:kern w:val="0"/>
        </w:rPr>
        <w:t>未约定估值方案，但有确定的预期收益率的，按商定利率每日计提投资收益。如该类资产存续期间发生影响资产未来现金流的重大事件的，经管理人合理判断对资产价值进行重估。</w:t>
      </w:r>
    </w:p>
    <w:p w14:paraId="64993058"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6．其他资产的估值方法</w:t>
      </w:r>
    </w:p>
    <w:p w14:paraId="63E0857F"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其他资产存在公允价值的，按照监管要求进行公允价值估值，公允价值不能确定的按国家最新规定进行估值。</w:t>
      </w:r>
    </w:p>
    <w:p w14:paraId="376E37B2"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以摊</w:t>
      </w:r>
      <w:proofErr w:type="gramStart"/>
      <w:r>
        <w:rPr>
          <w:rFonts w:ascii="宋体" w:eastAsia="宋体" w:hAnsi="宋体" w:cs="宋体" w:hint="eastAsia"/>
          <w:color w:val="000000"/>
          <w:kern w:val="0"/>
        </w:rPr>
        <w:t>余成本</w:t>
      </w:r>
      <w:proofErr w:type="gramEnd"/>
      <w:r>
        <w:rPr>
          <w:rFonts w:ascii="宋体" w:eastAsia="宋体" w:hAnsi="宋体" w:cs="宋体" w:hint="eastAsia"/>
          <w:color w:val="000000"/>
          <w:kern w:val="0"/>
        </w:rPr>
        <w:t>法计量的资产，按照会计准则规定采用合理的减值计量模型或第三方减值计量结果进行减值计提。计提减值不等同于金融资产已发生损失，仅为对未来风险的审慎预期。</w:t>
      </w:r>
    </w:p>
    <w:p w14:paraId="1A5B8A59"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当理财计划管理人或托管人认为按上述方法对理财计划进行估值不能客观反映其公允价值的，可以在满足监管要求的前提下协商一致后，按最能反映公允价值的价格估值，并自</w:t>
      </w:r>
      <w:r>
        <w:rPr>
          <w:rFonts w:ascii="宋体" w:eastAsia="宋体" w:hAnsi="宋体" w:cs="宋体" w:hint="eastAsia"/>
          <w:color w:val="000000"/>
          <w:kern w:val="0"/>
        </w:rPr>
        <w:lastRenderedPageBreak/>
        <w:t>协商一致日后执行。</w:t>
      </w:r>
    </w:p>
    <w:p w14:paraId="44D73446"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如在本理财计划发行、募集、管理期间，有权管理机关对财务报告准则、估值核算方法标准进行调整，管理人有权根据相关机关要求对本理财计划的估值方法进行相应修改。</w:t>
      </w:r>
    </w:p>
    <w:p w14:paraId="0EFD4743"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（五）偏离度管理</w:t>
      </w:r>
    </w:p>
    <w:p w14:paraId="25A3830C" w14:textId="77777777" w:rsidR="00060B5C" w:rsidRDefault="00060B5C" w:rsidP="00060B5C">
      <w:pPr>
        <w:pStyle w:val="Default"/>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由于</w:t>
      </w:r>
      <w:proofErr w:type="gramStart"/>
      <w:r>
        <w:rPr>
          <w:rFonts w:ascii="宋体" w:eastAsia="宋体" w:hAnsi="宋体" w:cs="宋体" w:hint="eastAsia"/>
          <w:sz w:val="21"/>
          <w:szCs w:val="21"/>
        </w:rPr>
        <w:t>按摊余成本</w:t>
      </w:r>
      <w:proofErr w:type="gramEnd"/>
      <w:r>
        <w:rPr>
          <w:rFonts w:ascii="宋体" w:eastAsia="宋体" w:hAnsi="宋体" w:cs="宋体" w:hint="eastAsia"/>
          <w:sz w:val="21"/>
          <w:szCs w:val="21"/>
        </w:rPr>
        <w:t>法估值可能会出现估值对象的公允</w:t>
      </w:r>
      <w:proofErr w:type="gramStart"/>
      <w:r>
        <w:rPr>
          <w:rFonts w:ascii="宋体" w:eastAsia="宋体" w:hAnsi="宋体" w:cs="宋体" w:hint="eastAsia"/>
          <w:sz w:val="21"/>
          <w:szCs w:val="21"/>
        </w:rPr>
        <w:t>价值和摊余</w:t>
      </w:r>
      <w:proofErr w:type="gramEnd"/>
      <w:r>
        <w:rPr>
          <w:rFonts w:ascii="宋体" w:eastAsia="宋体" w:hAnsi="宋体" w:cs="宋体" w:hint="eastAsia"/>
          <w:sz w:val="21"/>
          <w:szCs w:val="21"/>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Pr>
          <w:rFonts w:ascii="宋体" w:eastAsia="宋体" w:hAnsi="宋体" w:cs="宋体" w:hint="eastAsia"/>
          <w:sz w:val="21"/>
          <w:szCs w:val="21"/>
        </w:rPr>
        <w:t>余成本</w:t>
      </w:r>
      <w:proofErr w:type="gramEnd"/>
      <w:r>
        <w:rPr>
          <w:rFonts w:ascii="宋体" w:eastAsia="宋体" w:hAnsi="宋体" w:cs="宋体" w:hint="eastAsia"/>
          <w:sz w:val="21"/>
          <w:szCs w:val="21"/>
        </w:rPr>
        <w:t>法计算的产品资产净值的偏离</w:t>
      </w:r>
      <w:proofErr w:type="gramStart"/>
      <w:r>
        <w:rPr>
          <w:rFonts w:ascii="宋体" w:eastAsia="宋体" w:hAnsi="宋体" w:cs="宋体" w:hint="eastAsia"/>
          <w:sz w:val="21"/>
          <w:szCs w:val="21"/>
        </w:rPr>
        <w:t>度导致</w:t>
      </w:r>
      <w:proofErr w:type="gramEnd"/>
      <w:r>
        <w:rPr>
          <w:rFonts w:ascii="宋体" w:eastAsia="宋体" w:hAnsi="宋体" w:cs="宋体" w:hint="eastAsia"/>
          <w:sz w:val="21"/>
          <w:szCs w:val="21"/>
        </w:rPr>
        <w:t>产品持有人权益稀释或者不公平的结果，产品管理人可根据风险控制的需要做相应调整。</w:t>
      </w:r>
    </w:p>
    <w:p w14:paraId="0CE7358F"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（六）估值差错处理</w:t>
      </w:r>
    </w:p>
    <w:p w14:paraId="1CFE6C65" w14:textId="77777777" w:rsidR="00060B5C" w:rsidRDefault="00060B5C" w:rsidP="00060B5C">
      <w:pPr>
        <w:pStyle w:val="Default"/>
        <w:spacing w:line="360" w:lineRule="auto"/>
        <w:ind w:firstLineChars="200" w:firstLine="420"/>
        <w:jc w:val="both"/>
        <w:rPr>
          <w:rFonts w:ascii="宋体" w:eastAsia="宋体" w:hAnsi="宋体" w:cs="宋体"/>
        </w:rPr>
      </w:pPr>
      <w:r>
        <w:rPr>
          <w:rFonts w:ascii="宋体" w:eastAsia="宋体" w:hAnsi="宋体" w:cs="宋体" w:hint="eastAsia"/>
          <w:sz w:val="21"/>
          <w:szCs w:val="21"/>
        </w:rPr>
        <w:t>如产品管理人或产品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产品管理人意见为准。当委托财产估值提交委托人后发现存在错误时，理财管理人和理财托管人应该立即报告理财委托人并及时更正。</w:t>
      </w:r>
    </w:p>
    <w:p w14:paraId="67911011" w14:textId="77777777" w:rsidR="00060B5C" w:rsidRDefault="00060B5C" w:rsidP="00060B5C">
      <w:pPr>
        <w:pStyle w:val="ListParagraph1"/>
        <w:spacing w:line="360" w:lineRule="auto"/>
        <w:rPr>
          <w:rFonts w:ascii="宋体" w:eastAsia="宋体" w:hAnsi="宋体" w:cs="宋体"/>
          <w:color w:val="000000"/>
          <w:kern w:val="0"/>
        </w:rPr>
      </w:pPr>
      <w:r>
        <w:rPr>
          <w:rFonts w:ascii="宋体" w:eastAsia="宋体" w:hAnsi="宋体" w:cs="宋体" w:hint="eastAsia"/>
          <w:color w:val="000000"/>
          <w:kern w:val="0"/>
        </w:rPr>
        <w:t>（七）资产账册的建立</w:t>
      </w:r>
    </w:p>
    <w:p w14:paraId="432250EA" w14:textId="77777777" w:rsidR="00060B5C" w:rsidRDefault="00060B5C" w:rsidP="00060B5C">
      <w:pPr>
        <w:pStyle w:val="Default"/>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产品管理人和产品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产品管理人的处理方法为准。</w:t>
      </w:r>
    </w:p>
    <w:p w14:paraId="1686FAB3" w14:textId="77777777" w:rsidR="00060B5C" w:rsidRDefault="00060B5C" w:rsidP="00060B5C">
      <w:pPr>
        <w:pStyle w:val="Default"/>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（八）相关法律法规以及监管部门有强制规定的，从其规定。如有新增事项，按国家最新规定估值。</w:t>
      </w:r>
    </w:p>
    <w:p w14:paraId="534C68C3" w14:textId="77777777" w:rsidR="00060B5C" w:rsidRDefault="00060B5C" w:rsidP="00060B5C">
      <w:pPr>
        <w:pStyle w:val="Default"/>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九）在任何情况下，管理人如采用上述规定的方法对理财财产进行估值，均应被认为采用了适当的估值方法。但是，如果管理人认为上述方法不能客观反映理财财产公允价值的，可根据具体情况与产品托管人商定后，按最能反映公允价值的价格估值。</w:t>
      </w:r>
    </w:p>
    <w:p w14:paraId="355BE279"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本金及理财收益</w:t>
      </w:r>
    </w:p>
    <w:p w14:paraId="210C096F" w14:textId="77777777" w:rsidR="00060B5C" w:rsidRDefault="00060B5C" w:rsidP="00060B5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（一）本金及理财收益说明</w:t>
      </w:r>
    </w:p>
    <w:p w14:paraId="65D2BA1E"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1.理财收益计算方式</w:t>
      </w:r>
    </w:p>
    <w:p w14:paraId="603B0616" w14:textId="77777777" w:rsidR="00060B5C" w:rsidRDefault="00060B5C" w:rsidP="00060B5C">
      <w:pPr>
        <w:widowControl/>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 xml:space="preserve">本产品每份产品份额享有同等分配权。投资者自认购/申购份额确认当日开始享有产品的收益分配权益；自赎回确认当日开始不再享有产品的收益分配权益。 </w:t>
      </w:r>
    </w:p>
    <w:p w14:paraId="53655721" w14:textId="77777777" w:rsidR="00060B5C" w:rsidRDefault="00060B5C" w:rsidP="00060B5C">
      <w:pPr>
        <w:widowControl/>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理财产品存续期间，以当日每万份理财产品收益为基准，每日为投资者计算当日理财收益并进行分配，结转为理财产品份额。</w:t>
      </w:r>
      <w:r>
        <w:rPr>
          <w:rFonts w:ascii="宋体" w:eastAsia="宋体" w:hAnsi="宋体" w:cs="宋体" w:hint="eastAsia"/>
          <w:szCs w:val="21"/>
          <w:lang w:bidi="ar"/>
        </w:rPr>
        <w:t>如投资者的当日收益为正，则为投资者增加相应的产品份额；如投资者的当日收益为零，则投资者份额不变；如投资者的当日收益为负，则为投资者核减相应的产品份额。</w:t>
      </w:r>
      <w:r>
        <w:rPr>
          <w:rFonts w:ascii="宋体" w:eastAsia="宋体" w:hAnsi="宋体" w:cs="宋体" w:hint="eastAsia"/>
          <w:szCs w:val="21"/>
        </w:rPr>
        <w:t>投资者当日收益分配的计算保留到小数点后 2 位，小数点后第 3 位按去尾法处理，因去尾形成的余额进行再次分配，直到分完为止。</w:t>
      </w:r>
    </w:p>
    <w:p w14:paraId="71CC5E5C" w14:textId="77777777" w:rsidR="00060B5C" w:rsidRDefault="00060B5C" w:rsidP="00060B5C">
      <w:pPr>
        <w:widowControl/>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测算方法如下：</w:t>
      </w:r>
    </w:p>
    <w:p w14:paraId="484CD34D"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当日每万份理财产品收益=(当日资产组合投资收益-当日理财产品托管费-当日理财产品固定管理费-当日理财产品销售服务费-其他税费)/当日理财产品份额×10000</w:t>
      </w:r>
    </w:p>
    <w:p w14:paraId="46530FC2" w14:textId="77777777" w:rsidR="00060B5C" w:rsidRDefault="00060B5C" w:rsidP="00060B5C">
      <w:pPr>
        <w:spacing w:line="360" w:lineRule="auto"/>
        <w:ind w:firstLineChars="200" w:firstLine="420"/>
        <w:rPr>
          <w:rFonts w:ascii="宋体" w:eastAsia="宋体" w:hAnsi="宋体" w:cs="宋体"/>
          <w:szCs w:val="21"/>
        </w:rPr>
      </w:pPr>
      <w:r>
        <w:rPr>
          <w:rFonts w:ascii="宋体" w:eastAsia="宋体" w:hAnsi="宋体" w:cs="宋体" w:hint="eastAsia"/>
          <w:szCs w:val="21"/>
        </w:rPr>
        <w:t>当日理财产品托管费=当日理财产品余额×0.025%/365</w:t>
      </w:r>
    </w:p>
    <w:p w14:paraId="7B9056B2" w14:textId="77777777" w:rsidR="00060B5C" w:rsidRDefault="00060B5C" w:rsidP="00060B5C">
      <w:pPr>
        <w:spacing w:line="360" w:lineRule="auto"/>
        <w:ind w:firstLineChars="200" w:firstLine="420"/>
        <w:rPr>
          <w:rFonts w:ascii="宋体" w:eastAsia="宋体" w:hAnsi="宋体" w:cs="宋体"/>
          <w:szCs w:val="21"/>
        </w:rPr>
      </w:pPr>
      <w:r>
        <w:rPr>
          <w:rFonts w:ascii="宋体" w:eastAsia="宋体" w:hAnsi="宋体" w:cs="宋体" w:hint="eastAsia"/>
          <w:szCs w:val="21"/>
        </w:rPr>
        <w:t>当日理财产品固定管理费=当日理财产品余额×0.40%/365</w:t>
      </w:r>
    </w:p>
    <w:p w14:paraId="6B5AE6F8" w14:textId="77777777" w:rsidR="00060B5C" w:rsidRDefault="00060B5C" w:rsidP="00060B5C">
      <w:pPr>
        <w:widowControl/>
        <w:spacing w:line="360" w:lineRule="auto"/>
        <w:ind w:firstLineChars="200" w:firstLine="420"/>
        <w:contextualSpacing/>
        <w:outlineLvl w:val="0"/>
        <w:rPr>
          <w:rFonts w:ascii="宋体" w:eastAsia="宋体" w:hAnsi="宋体" w:cs="宋体"/>
          <w:szCs w:val="21"/>
        </w:rPr>
      </w:pPr>
      <w:r>
        <w:rPr>
          <w:rFonts w:ascii="宋体" w:eastAsia="宋体" w:hAnsi="宋体" w:cs="宋体" w:hint="eastAsia"/>
          <w:color w:val="000000"/>
        </w:rPr>
        <w:t>当日理财产品销售服务费=</w:t>
      </w:r>
      <w:r>
        <w:rPr>
          <w:rFonts w:ascii="宋体" w:eastAsia="宋体" w:hAnsi="宋体" w:cs="宋体" w:hint="eastAsia"/>
          <w:szCs w:val="21"/>
        </w:rPr>
        <w:t>当日理财产品余额×</w:t>
      </w:r>
      <w:r>
        <w:rPr>
          <w:rFonts w:ascii="宋体" w:eastAsia="宋体" w:hAnsi="宋体" w:cs="宋体" w:hint="eastAsia"/>
          <w:color w:val="000000"/>
        </w:rPr>
        <w:t>0.10%/365</w:t>
      </w:r>
    </w:p>
    <w:p w14:paraId="195B9F1F" w14:textId="77777777" w:rsidR="00060B5C" w:rsidRDefault="00060B5C" w:rsidP="00060B5C">
      <w:pPr>
        <w:spacing w:line="360" w:lineRule="auto"/>
        <w:ind w:firstLineChars="200" w:firstLine="420"/>
        <w:rPr>
          <w:rFonts w:ascii="宋体" w:eastAsia="宋体" w:hAnsi="宋体" w:cs="宋体"/>
          <w:szCs w:val="21"/>
        </w:rPr>
      </w:pPr>
      <w:r>
        <w:rPr>
          <w:rFonts w:ascii="宋体" w:eastAsia="宋体" w:hAnsi="宋体" w:cs="宋体" w:hint="eastAsia"/>
          <w:szCs w:val="21"/>
        </w:rPr>
        <w:t>当日理财产品份额=当日理财产品余额=上一日理财产品份额＋上一日理财产品结转份额＋当日申购确认理财产品份额－当日赎回确认理财产品份额</w:t>
      </w:r>
    </w:p>
    <w:p w14:paraId="6AF438CF"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2.投资者的理财收益测算方法及测算依据 </w:t>
      </w:r>
    </w:p>
    <w:p w14:paraId="3634412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投资者当日持有理财产品份额＝投资者上一日持有的理财产品份额＋上一日结转的理财产品份额＋投资者当日申购确认理财产品份额－投资者当日赎回确认理财产品份额</w:t>
      </w:r>
    </w:p>
    <w:p w14:paraId="0DB45B00"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投资者当日理财收益＝投资者当日持有理财产品份额×当日每万份理财产品收益/10000</w:t>
      </w:r>
    </w:p>
    <w:p w14:paraId="5B13BCB4" w14:textId="77777777" w:rsidR="00060B5C" w:rsidRDefault="00060B5C" w:rsidP="00060B5C">
      <w:pPr>
        <w:widowControl/>
        <w:snapToGrid w:val="0"/>
        <w:spacing w:line="360" w:lineRule="auto"/>
        <w:ind w:firstLineChars="202" w:firstLine="424"/>
        <w:rPr>
          <w:rFonts w:ascii="宋体" w:eastAsia="宋体" w:hAnsi="宋体" w:cs="宋体"/>
          <w:szCs w:val="21"/>
          <w:lang w:bidi="ar"/>
        </w:rPr>
      </w:pPr>
      <w:r>
        <w:rPr>
          <w:rFonts w:ascii="宋体" w:eastAsia="宋体" w:hAnsi="宋体" w:cs="宋体" w:hint="eastAsia"/>
          <w:szCs w:val="21"/>
          <w:lang w:bidi="ar"/>
        </w:rPr>
        <w:t>按日结转份额的</w:t>
      </w:r>
      <w:proofErr w:type="gramStart"/>
      <w:r>
        <w:rPr>
          <w:rFonts w:ascii="宋体" w:eastAsia="宋体" w:hAnsi="宋体" w:cs="宋体" w:hint="eastAsia"/>
          <w:szCs w:val="21"/>
          <w:lang w:bidi="ar"/>
        </w:rPr>
        <w:t>七日年化收益率</w:t>
      </w:r>
      <w:proofErr w:type="gramEnd"/>
      <w:r>
        <w:rPr>
          <w:rFonts w:ascii="宋体" w:eastAsia="宋体" w:hAnsi="宋体" w:cs="宋体" w:hint="eastAsia"/>
          <w:szCs w:val="21"/>
          <w:lang w:bidi="ar"/>
        </w:rPr>
        <w:t>=</w:t>
      </w:r>
      <w:r>
        <w:rPr>
          <w:rFonts w:ascii="宋体" w:eastAsia="宋体" w:hAnsi="宋体" w:cs="宋体" w:hint="eastAsia"/>
          <w:position w:val="-46"/>
          <w:szCs w:val="21"/>
          <w:lang w:bidi="ar"/>
        </w:rPr>
        <w:object w:dxaOrig="3240" w:dyaOrig="1043" w14:anchorId="11A1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25pt;height:51.95pt" o:ole="">
            <v:imagedata r:id="rId5" o:title=""/>
          </v:shape>
          <o:OLEObject Type="Embed" ProgID="Equation.KSEE3" ShapeID="_x0000_i1025" DrawAspect="Content" ObjectID="_1728109104" r:id="rId6"/>
        </w:object>
      </w:r>
      <w:r>
        <w:rPr>
          <w:rFonts w:ascii="宋体" w:eastAsia="宋体" w:hAnsi="宋体" w:cs="宋体" w:hint="eastAsia"/>
          <w:szCs w:val="21"/>
          <w:lang w:bidi="ar"/>
        </w:rPr>
        <w:t xml:space="preserve"> </w:t>
      </w:r>
    </w:p>
    <w:p w14:paraId="1F3B3DF4" w14:textId="77777777" w:rsidR="00060B5C" w:rsidRDefault="00060B5C" w:rsidP="00060B5C">
      <w:pPr>
        <w:widowControl/>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R</w:t>
      </w:r>
      <w:r>
        <w:rPr>
          <w:rFonts w:ascii="宋体" w:eastAsia="宋体" w:hAnsi="宋体" w:cs="宋体" w:hint="eastAsia"/>
          <w:szCs w:val="21"/>
          <w:vertAlign w:val="subscript"/>
          <w:lang w:bidi="ar"/>
        </w:rPr>
        <w:t>i</w:t>
      </w:r>
      <w:r>
        <w:rPr>
          <w:rFonts w:ascii="宋体" w:eastAsia="宋体" w:hAnsi="宋体" w:cs="宋体" w:hint="eastAsia"/>
          <w:szCs w:val="21"/>
          <w:lang w:bidi="ar"/>
        </w:rPr>
        <w:t>为最近第</w:t>
      </w:r>
      <w:proofErr w:type="spellStart"/>
      <w:r>
        <w:rPr>
          <w:rFonts w:ascii="宋体" w:eastAsia="宋体" w:hAnsi="宋体" w:cs="宋体" w:hint="eastAsia"/>
          <w:szCs w:val="21"/>
          <w:lang w:bidi="ar"/>
        </w:rPr>
        <w:t>i</w:t>
      </w:r>
      <w:proofErr w:type="spellEnd"/>
      <w:proofErr w:type="gramStart"/>
      <w:r>
        <w:rPr>
          <w:rFonts w:ascii="宋体" w:eastAsia="宋体" w:hAnsi="宋体" w:cs="宋体" w:hint="eastAsia"/>
          <w:szCs w:val="21"/>
          <w:lang w:bidi="ar"/>
        </w:rPr>
        <w:t>个</w:t>
      </w:r>
      <w:proofErr w:type="gramEnd"/>
      <w:r>
        <w:rPr>
          <w:rFonts w:ascii="宋体" w:eastAsia="宋体" w:hAnsi="宋体" w:cs="宋体" w:hint="eastAsia"/>
          <w:szCs w:val="21"/>
          <w:lang w:bidi="ar"/>
        </w:rPr>
        <w:t>自然日的</w:t>
      </w:r>
      <w:r>
        <w:rPr>
          <w:rFonts w:ascii="宋体" w:eastAsia="宋体" w:hAnsi="宋体" w:cs="宋体" w:hint="eastAsia"/>
          <w:szCs w:val="21"/>
        </w:rPr>
        <w:t>当日每万份理财产品收益</w:t>
      </w:r>
      <w:r>
        <w:rPr>
          <w:rFonts w:ascii="宋体" w:eastAsia="宋体" w:hAnsi="宋体" w:cs="宋体" w:hint="eastAsia"/>
          <w:szCs w:val="21"/>
          <w:lang w:bidi="ar"/>
        </w:rPr>
        <w:t>。</w:t>
      </w:r>
      <w:proofErr w:type="gramStart"/>
      <w:r>
        <w:rPr>
          <w:rFonts w:ascii="宋体" w:eastAsia="宋体" w:hAnsi="宋体" w:cs="宋体" w:hint="eastAsia"/>
          <w:szCs w:val="21"/>
          <w:lang w:bidi="ar"/>
        </w:rPr>
        <w:t>七日年化收益率</w:t>
      </w:r>
      <w:proofErr w:type="gramEnd"/>
      <w:r>
        <w:rPr>
          <w:rFonts w:ascii="宋体" w:eastAsia="宋体" w:hAnsi="宋体" w:cs="宋体" w:hint="eastAsia"/>
          <w:szCs w:val="21"/>
          <w:lang w:bidi="ar"/>
        </w:rPr>
        <w:t>采取四舍五入后精确到小数点后4位。</w:t>
      </w:r>
    </w:p>
    <w:p w14:paraId="3EC47715"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投资者总收益＝自理财产品申购确认日（或产品成立日）当日（含当日）起至赎回确认日或理财产品到期日（提前终止日）（不含当日）止期间相应投资者理财收益总和</w:t>
      </w:r>
    </w:p>
    <w:p w14:paraId="12193860"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其中，投资者当日持有理财产品份额以管理人理财系统完成当日清算</w:t>
      </w:r>
      <w:proofErr w:type="gramStart"/>
      <w:r>
        <w:rPr>
          <w:rFonts w:ascii="宋体" w:eastAsia="宋体" w:hAnsi="宋体" w:cs="宋体" w:hint="eastAsia"/>
          <w:szCs w:val="21"/>
        </w:rPr>
        <w:t>后记录</w:t>
      </w:r>
      <w:proofErr w:type="gramEnd"/>
      <w:r>
        <w:rPr>
          <w:rFonts w:ascii="宋体" w:eastAsia="宋体" w:hAnsi="宋体" w:cs="宋体" w:hint="eastAsia"/>
          <w:szCs w:val="21"/>
        </w:rPr>
        <w:t>的份额为准；投资者当日理财收益计算结果按去尾法保留两位小数。</w:t>
      </w:r>
    </w:p>
    <w:p w14:paraId="6C9462E2"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3.测算示例（下列示例均采用假设数据，仅为举例之用，不代表投资者实际可获得的收益，也不作为最终收益的计算依据）</w:t>
      </w:r>
    </w:p>
    <w:p w14:paraId="13A2782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（1）投资者当日持有理财产品D份额10万份，若当日每万份理财产品收益为0.9590，则该投资者的当日理财收益为：</w:t>
      </w:r>
    </w:p>
    <w:p w14:paraId="5AE85A57"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100,000×0.9590/10000=9.59元</w:t>
      </w:r>
    </w:p>
    <w:p w14:paraId="1EDEA435"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投资者当日结转份额为：</w:t>
      </w:r>
    </w:p>
    <w:p w14:paraId="5E4E4E9B"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9.59/1=9.59份</w:t>
      </w:r>
    </w:p>
    <w:p w14:paraId="7D2A89D7"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本理财产品实际收益情况容易受到所投资资产相关债务人信用状况变化、市场利率的变化、投资组合的运作情况以及投资管理方投资能力的影响，有可能导致本理财产品收益为零甚至为负，投资者在赎回或者到期时有可能损失理财本金，在最不利的情况下，本理财产品有可能损失全部本金，理财收益可能为零甚至为负，则由此产生的本金和理财收益不确定的风险由投资者自行承担。</w:t>
      </w:r>
    </w:p>
    <w:p w14:paraId="63F6EEC5"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4.信息公告方式</w:t>
      </w:r>
    </w:p>
    <w:p w14:paraId="1332EA8A" w14:textId="77777777" w:rsidR="00060B5C" w:rsidRDefault="00060B5C" w:rsidP="00060B5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本理财产品不保障本金及理财收益，管理人将根据产品实际投资运作情况计算产品存续期内每个产品开放日的理财万份收益、</w:t>
      </w:r>
      <w:proofErr w:type="gramStart"/>
      <w:r>
        <w:rPr>
          <w:rFonts w:ascii="宋体" w:eastAsia="宋体" w:hAnsi="宋体" w:cs="宋体" w:hint="eastAsia"/>
          <w:szCs w:val="21"/>
        </w:rPr>
        <w:t>七日年化收益率</w:t>
      </w:r>
      <w:proofErr w:type="gramEnd"/>
      <w:r>
        <w:rPr>
          <w:rFonts w:ascii="宋体" w:eastAsia="宋体" w:hAnsi="宋体" w:cs="宋体" w:hint="eastAsia"/>
          <w:szCs w:val="21"/>
        </w:rPr>
        <w:t>等（扣除产品年托管费、固定管理费、销售服务费以及其他税费后），并于下一产品开放日公布。非产品开放日的理财万份收益、</w:t>
      </w:r>
      <w:proofErr w:type="gramStart"/>
      <w:r>
        <w:rPr>
          <w:rFonts w:ascii="宋体" w:eastAsia="宋体" w:hAnsi="宋体" w:cs="宋体" w:hint="eastAsia"/>
          <w:szCs w:val="21"/>
        </w:rPr>
        <w:t>七日年化收益率</w:t>
      </w:r>
      <w:proofErr w:type="gramEnd"/>
      <w:r>
        <w:rPr>
          <w:rFonts w:ascii="宋体" w:eastAsia="宋体" w:hAnsi="宋体" w:cs="宋体" w:hint="eastAsia"/>
          <w:szCs w:val="21"/>
        </w:rPr>
        <w:t>等将于下一产品开放日公布。</w:t>
      </w:r>
    </w:p>
    <w:p w14:paraId="235C63FC" w14:textId="77777777" w:rsidR="00060B5C" w:rsidRDefault="00060B5C" w:rsidP="00060B5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（二）本金及理财收益支付</w:t>
      </w:r>
    </w:p>
    <w:p w14:paraId="2A7488B3"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1.理财产品收益结转，提前终止的本金及收益支付 </w:t>
      </w:r>
    </w:p>
    <w:p w14:paraId="53ACFFD0"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（1）若投资者未赎回理财产品，管理人每日为投资者计算当日收益，并将该收益结转为产品份额。 </w:t>
      </w:r>
    </w:p>
    <w:p w14:paraId="2EDE9EAA"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（2）若理财产品提前终止，管理人将投资者在提前终止日所持有的产品份额对应的本金与理财收益于提前终止日后的3个工作日内划转至投资者指定理财账户。</w:t>
      </w:r>
    </w:p>
    <w:p w14:paraId="2D7999E7"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2.理财产品赎回时的本金及收益支付： </w:t>
      </w:r>
    </w:p>
    <w:p w14:paraId="2D120AF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全部赎回时的本金及收益支付：投资者申请全部赎回理财产品时，产品份额对应的理财收益于赎回日当晚清算后正常结转为份额，管理人在赎回确认日当日将投资者持有的理财产品全部份额对应的本金划转至投资者指定理财账户（具体以销售机构要求为准）。投资者当日全部赎回的理财资金于赎回确认当日不再享有对应的理财收益。</w:t>
      </w:r>
    </w:p>
    <w:p w14:paraId="283B434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部分赎回时的本金及收益支付：投资者申请部分赎回理财产品份额时，部分赎回的产品份额对应的理财收益于赎回日当晚清算后正常结转为份额，管理人在赎回确认日当日将投资者申请赎回的理财产品份额对应的本金划转至投资者指定理财账户。部分赎回后投资者持有本理财产品的实时余额不得低于0.01份。 </w:t>
      </w:r>
    </w:p>
    <w:p w14:paraId="048FDDD2"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示例：a、假设投资者持有理财产品D份额20万份，若投资者在某一产品开放日申请赎回10万份，则赎回确认日当日，管理人将10万元本金划转至投资者指定账户。该部分收益（10万份对应的收益）在赎回日当晚清算后正常结转为份额继续留存。</w:t>
      </w:r>
    </w:p>
    <w:p w14:paraId="1E3D868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b、假设投资者持有理财产品D份额10万份，若投资者选择全额赎回，管理人在赎回确认日当日将投资者持有的10万份及赎回日当晚清算后正常结转的份额合计对应的本金全部划转至投资者指定理财账户。</w:t>
      </w:r>
    </w:p>
    <w:p w14:paraId="395E963A"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3.理财计划终止或提前终止时，管理人将尽快变现非现金类资产，并将变现后的非现金类资产扣除应承担的费用后向本理财产品投资者支付。相应的分配方案将通过管理人或者销售机构网站进行公告。</w:t>
      </w:r>
    </w:p>
    <w:p w14:paraId="7CB5F6D9"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产品申购、赎回及提前终止</w:t>
      </w:r>
    </w:p>
    <w:p w14:paraId="6BCBE37B"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（一）申购赎回确认规则</w:t>
      </w:r>
    </w:p>
    <w:p w14:paraId="07E2E13E" w14:textId="77777777" w:rsidR="00060B5C" w:rsidRDefault="00060B5C" w:rsidP="00060B5C">
      <w:pPr>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理财产品存续期内，投资者在任</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产品开放日15：</w:t>
      </w:r>
      <w:r>
        <w:rPr>
          <w:rFonts w:ascii="宋体" w:hAnsi="宋体" w:hint="eastAsia"/>
          <w:b/>
          <w:bCs/>
          <w:szCs w:val="21"/>
        </w:rPr>
        <w:t>45</w:t>
      </w:r>
      <w:r>
        <w:rPr>
          <w:rFonts w:ascii="宋体" w:eastAsia="宋体" w:hAnsi="宋体" w:cs="宋体" w:hint="eastAsia"/>
          <w:b/>
          <w:bCs/>
          <w:szCs w:val="21"/>
        </w:rPr>
        <w:t>前提出申购或赎回本理财产品的申请，申购和赎回申请将下一个产品开放日确认和清算。若投资者在开放日15</w:t>
      </w:r>
      <w:r>
        <w:rPr>
          <w:rFonts w:ascii="宋体" w:hAnsi="宋体" w:hint="eastAsia"/>
          <w:b/>
          <w:bCs/>
          <w:szCs w:val="21"/>
        </w:rPr>
        <w:t>:45</w:t>
      </w:r>
      <w:r>
        <w:rPr>
          <w:rFonts w:ascii="宋体" w:eastAsia="宋体" w:hAnsi="宋体" w:cs="宋体" w:hint="eastAsia"/>
          <w:b/>
          <w:bCs/>
          <w:szCs w:val="21"/>
        </w:rPr>
        <w:t>以后或非产品开放日内提出申购或赎回本理财产品的申请，申购或赎回申请将在第二个产品开放日交易时段内予以确认。未确认的申购或赎回申请可以在份额确认前撤销。产品赎回资金到账时间具体以销售机构说明规则为准。</w:t>
      </w:r>
    </w:p>
    <w:tbl>
      <w:tblPr>
        <w:tblW w:w="8240" w:type="dxa"/>
        <w:tblInd w:w="93" w:type="dxa"/>
        <w:tblLayout w:type="fixed"/>
        <w:tblLook w:val="04A0" w:firstRow="1" w:lastRow="0" w:firstColumn="1" w:lastColumn="0" w:noHBand="0" w:noVBand="1"/>
      </w:tblPr>
      <w:tblGrid>
        <w:gridCol w:w="2100"/>
        <w:gridCol w:w="3676"/>
        <w:gridCol w:w="2464"/>
      </w:tblGrid>
      <w:tr w:rsidR="00060B5C" w14:paraId="39487959" w14:textId="77777777" w:rsidTr="00397A29">
        <w:trPr>
          <w:trHeight w:val="270"/>
        </w:trPr>
        <w:tc>
          <w:tcPr>
            <w:tcW w:w="2100" w:type="dxa"/>
            <w:tcBorders>
              <w:top w:val="single" w:sz="4" w:space="0" w:color="auto"/>
              <w:left w:val="single" w:sz="4" w:space="0" w:color="auto"/>
              <w:bottom w:val="single" w:sz="4" w:space="0" w:color="auto"/>
              <w:right w:val="single" w:sz="4" w:space="0" w:color="auto"/>
            </w:tcBorders>
            <w:noWrap/>
            <w:vAlign w:val="bottom"/>
          </w:tcPr>
          <w:p w14:paraId="25E7CF3B" w14:textId="77777777" w:rsidR="00060B5C" w:rsidRDefault="00060B5C" w:rsidP="00397A2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申请操作</w:t>
            </w:r>
          </w:p>
        </w:tc>
        <w:tc>
          <w:tcPr>
            <w:tcW w:w="3676" w:type="dxa"/>
            <w:tcBorders>
              <w:top w:val="single" w:sz="4" w:space="0" w:color="auto"/>
              <w:left w:val="nil"/>
              <w:bottom w:val="single" w:sz="4" w:space="0" w:color="auto"/>
              <w:right w:val="single" w:sz="4" w:space="0" w:color="auto"/>
            </w:tcBorders>
            <w:noWrap/>
            <w:vAlign w:val="bottom"/>
          </w:tcPr>
          <w:p w14:paraId="4905DDC1" w14:textId="77777777" w:rsidR="00060B5C" w:rsidRDefault="00060B5C" w:rsidP="00397A2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申请时间</w:t>
            </w:r>
          </w:p>
        </w:tc>
        <w:tc>
          <w:tcPr>
            <w:tcW w:w="2464" w:type="dxa"/>
            <w:tcBorders>
              <w:top w:val="single" w:sz="4" w:space="0" w:color="auto"/>
              <w:left w:val="nil"/>
              <w:bottom w:val="single" w:sz="4" w:space="0" w:color="auto"/>
              <w:right w:val="single" w:sz="4" w:space="0" w:color="auto"/>
            </w:tcBorders>
            <w:vAlign w:val="bottom"/>
          </w:tcPr>
          <w:p w14:paraId="01190E5B" w14:textId="77777777" w:rsidR="00060B5C" w:rsidRDefault="00060B5C" w:rsidP="00397A2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确认日期</w:t>
            </w:r>
          </w:p>
        </w:tc>
      </w:tr>
      <w:tr w:rsidR="00060B5C" w14:paraId="0B452EEB" w14:textId="77777777" w:rsidTr="00397A29">
        <w:trPr>
          <w:trHeight w:val="540"/>
        </w:trPr>
        <w:tc>
          <w:tcPr>
            <w:tcW w:w="2100" w:type="dxa"/>
            <w:vMerge w:val="restart"/>
            <w:tcBorders>
              <w:top w:val="nil"/>
              <w:left w:val="single" w:sz="4" w:space="0" w:color="auto"/>
              <w:bottom w:val="single" w:sz="4" w:space="0" w:color="auto"/>
              <w:right w:val="single" w:sz="4" w:space="0" w:color="auto"/>
            </w:tcBorders>
            <w:vAlign w:val="center"/>
          </w:tcPr>
          <w:p w14:paraId="2C641F54" w14:textId="77777777" w:rsidR="00060B5C" w:rsidRDefault="00060B5C" w:rsidP="00397A2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申购</w:t>
            </w:r>
          </w:p>
        </w:tc>
        <w:tc>
          <w:tcPr>
            <w:tcW w:w="3676" w:type="dxa"/>
            <w:tcBorders>
              <w:top w:val="nil"/>
              <w:left w:val="nil"/>
              <w:bottom w:val="single" w:sz="4" w:space="0" w:color="auto"/>
              <w:right w:val="single" w:sz="4" w:space="0" w:color="auto"/>
            </w:tcBorders>
            <w:noWrap/>
            <w:vAlign w:val="bottom"/>
          </w:tcPr>
          <w:p w14:paraId="1812B036"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T日0:00-15:</w:t>
            </w:r>
            <w:r>
              <w:rPr>
                <w:rFonts w:ascii="宋体" w:hAnsi="宋体" w:cs="宋体" w:hint="eastAsia"/>
                <w:b/>
                <w:bCs/>
                <w:color w:val="000000"/>
                <w:kern w:val="0"/>
                <w:sz w:val="22"/>
                <w:szCs w:val="22"/>
              </w:rPr>
              <w:t>45</w:t>
            </w:r>
            <w:r>
              <w:rPr>
                <w:rFonts w:ascii="宋体" w:eastAsia="宋体" w:hAnsi="宋体" w:cs="宋体" w:hint="eastAsia"/>
                <w:b/>
                <w:bCs/>
                <w:color w:val="000000"/>
                <w:kern w:val="0"/>
                <w:sz w:val="22"/>
                <w:szCs w:val="22"/>
              </w:rPr>
              <w:t>（T为产品开放日）</w:t>
            </w:r>
          </w:p>
        </w:tc>
        <w:tc>
          <w:tcPr>
            <w:tcW w:w="2464" w:type="dxa"/>
            <w:tcBorders>
              <w:top w:val="nil"/>
              <w:left w:val="nil"/>
              <w:bottom w:val="single" w:sz="4" w:space="0" w:color="auto"/>
              <w:right w:val="single" w:sz="4" w:space="0" w:color="auto"/>
            </w:tcBorders>
            <w:vAlign w:val="bottom"/>
          </w:tcPr>
          <w:p w14:paraId="1FFEC12A"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申购申请日后第一个产品开放日确认</w:t>
            </w:r>
          </w:p>
        </w:tc>
      </w:tr>
      <w:tr w:rsidR="00060B5C" w14:paraId="3842D584" w14:textId="77777777" w:rsidTr="00397A29">
        <w:trPr>
          <w:trHeight w:val="540"/>
        </w:trPr>
        <w:tc>
          <w:tcPr>
            <w:tcW w:w="2100" w:type="dxa"/>
            <w:vMerge/>
            <w:tcBorders>
              <w:top w:val="nil"/>
              <w:left w:val="single" w:sz="4" w:space="0" w:color="auto"/>
              <w:bottom w:val="single" w:sz="4" w:space="0" w:color="auto"/>
              <w:right w:val="single" w:sz="4" w:space="0" w:color="auto"/>
            </w:tcBorders>
            <w:vAlign w:val="center"/>
          </w:tcPr>
          <w:p w14:paraId="7825ABDC" w14:textId="77777777" w:rsidR="00060B5C" w:rsidRDefault="00060B5C" w:rsidP="00397A29">
            <w:pPr>
              <w:widowControl/>
              <w:jc w:val="center"/>
              <w:rPr>
                <w:rFonts w:ascii="宋体" w:eastAsia="宋体" w:hAnsi="宋体" w:cs="宋体"/>
                <w:b/>
                <w:bCs/>
                <w:color w:val="000000"/>
                <w:kern w:val="0"/>
                <w:sz w:val="22"/>
                <w:szCs w:val="22"/>
              </w:rPr>
            </w:pPr>
          </w:p>
        </w:tc>
        <w:tc>
          <w:tcPr>
            <w:tcW w:w="3676" w:type="dxa"/>
            <w:tcBorders>
              <w:top w:val="nil"/>
              <w:left w:val="nil"/>
              <w:bottom w:val="single" w:sz="4" w:space="0" w:color="auto"/>
              <w:right w:val="single" w:sz="4" w:space="0" w:color="auto"/>
            </w:tcBorders>
            <w:noWrap/>
            <w:vAlign w:val="bottom"/>
          </w:tcPr>
          <w:p w14:paraId="583F037E"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T日15:</w:t>
            </w:r>
            <w:r>
              <w:rPr>
                <w:rFonts w:ascii="宋体" w:hAnsi="宋体" w:cs="宋体" w:hint="eastAsia"/>
                <w:b/>
                <w:bCs/>
                <w:color w:val="000000"/>
                <w:kern w:val="0"/>
                <w:sz w:val="22"/>
                <w:szCs w:val="22"/>
              </w:rPr>
              <w:t>45</w:t>
            </w:r>
            <w:r>
              <w:rPr>
                <w:rFonts w:ascii="宋体" w:eastAsia="宋体" w:hAnsi="宋体" w:cs="宋体" w:hint="eastAsia"/>
                <w:b/>
                <w:bCs/>
                <w:color w:val="000000"/>
                <w:kern w:val="0"/>
                <w:sz w:val="22"/>
                <w:szCs w:val="22"/>
              </w:rPr>
              <w:t>-24:00（T为产品开放日）</w:t>
            </w:r>
          </w:p>
        </w:tc>
        <w:tc>
          <w:tcPr>
            <w:tcW w:w="2464" w:type="dxa"/>
            <w:tcBorders>
              <w:top w:val="nil"/>
              <w:left w:val="nil"/>
              <w:bottom w:val="single" w:sz="4" w:space="0" w:color="auto"/>
              <w:right w:val="single" w:sz="4" w:space="0" w:color="auto"/>
            </w:tcBorders>
            <w:vAlign w:val="bottom"/>
          </w:tcPr>
          <w:p w14:paraId="0475DA42"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申购申请日后第二个产品开放日确认</w:t>
            </w:r>
          </w:p>
        </w:tc>
      </w:tr>
      <w:tr w:rsidR="00060B5C" w14:paraId="6195A48D" w14:textId="77777777" w:rsidTr="00397A29">
        <w:trPr>
          <w:trHeight w:val="540"/>
        </w:trPr>
        <w:tc>
          <w:tcPr>
            <w:tcW w:w="2100" w:type="dxa"/>
            <w:vMerge/>
            <w:tcBorders>
              <w:top w:val="nil"/>
              <w:left w:val="single" w:sz="4" w:space="0" w:color="auto"/>
              <w:bottom w:val="single" w:sz="4" w:space="0" w:color="auto"/>
              <w:right w:val="single" w:sz="4" w:space="0" w:color="auto"/>
            </w:tcBorders>
            <w:vAlign w:val="center"/>
          </w:tcPr>
          <w:p w14:paraId="770603FD" w14:textId="77777777" w:rsidR="00060B5C" w:rsidRDefault="00060B5C" w:rsidP="00397A29">
            <w:pPr>
              <w:widowControl/>
              <w:jc w:val="center"/>
              <w:rPr>
                <w:rFonts w:ascii="宋体" w:eastAsia="宋体" w:hAnsi="宋体" w:cs="宋体"/>
                <w:b/>
                <w:bCs/>
                <w:color w:val="000000"/>
                <w:kern w:val="0"/>
                <w:sz w:val="22"/>
                <w:szCs w:val="22"/>
              </w:rPr>
            </w:pPr>
          </w:p>
        </w:tc>
        <w:tc>
          <w:tcPr>
            <w:tcW w:w="3676" w:type="dxa"/>
            <w:tcBorders>
              <w:top w:val="nil"/>
              <w:left w:val="nil"/>
              <w:bottom w:val="single" w:sz="4" w:space="0" w:color="auto"/>
              <w:right w:val="single" w:sz="4" w:space="0" w:color="auto"/>
            </w:tcBorders>
            <w:noWrap/>
            <w:vAlign w:val="bottom"/>
          </w:tcPr>
          <w:p w14:paraId="3CD3F559"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非产品开放日全时段</w:t>
            </w:r>
          </w:p>
        </w:tc>
        <w:tc>
          <w:tcPr>
            <w:tcW w:w="2464" w:type="dxa"/>
            <w:tcBorders>
              <w:top w:val="nil"/>
              <w:left w:val="nil"/>
              <w:bottom w:val="single" w:sz="4" w:space="0" w:color="auto"/>
              <w:right w:val="single" w:sz="4" w:space="0" w:color="auto"/>
            </w:tcBorders>
            <w:vAlign w:val="bottom"/>
          </w:tcPr>
          <w:p w14:paraId="2A783BAA"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申购申请日后第二个产品开放日确认</w:t>
            </w:r>
          </w:p>
        </w:tc>
      </w:tr>
      <w:tr w:rsidR="00060B5C" w14:paraId="229261B8" w14:textId="77777777" w:rsidTr="00397A29">
        <w:trPr>
          <w:trHeight w:val="540"/>
        </w:trPr>
        <w:tc>
          <w:tcPr>
            <w:tcW w:w="2100" w:type="dxa"/>
            <w:vMerge w:val="restart"/>
            <w:tcBorders>
              <w:top w:val="nil"/>
              <w:left w:val="single" w:sz="4" w:space="0" w:color="auto"/>
              <w:bottom w:val="single" w:sz="4" w:space="0" w:color="auto"/>
              <w:right w:val="single" w:sz="4" w:space="0" w:color="auto"/>
            </w:tcBorders>
            <w:noWrap/>
            <w:vAlign w:val="center"/>
          </w:tcPr>
          <w:p w14:paraId="44D68D1D" w14:textId="77777777" w:rsidR="00060B5C" w:rsidRDefault="00060B5C" w:rsidP="00397A2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赎回</w:t>
            </w:r>
          </w:p>
        </w:tc>
        <w:tc>
          <w:tcPr>
            <w:tcW w:w="3676" w:type="dxa"/>
            <w:tcBorders>
              <w:top w:val="nil"/>
              <w:left w:val="nil"/>
              <w:bottom w:val="single" w:sz="4" w:space="0" w:color="auto"/>
              <w:right w:val="single" w:sz="4" w:space="0" w:color="auto"/>
            </w:tcBorders>
            <w:noWrap/>
            <w:vAlign w:val="bottom"/>
          </w:tcPr>
          <w:p w14:paraId="75F06DD8"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T日0:00-15:</w:t>
            </w:r>
            <w:r>
              <w:rPr>
                <w:rFonts w:ascii="宋体" w:hAnsi="宋体" w:cs="宋体" w:hint="eastAsia"/>
                <w:b/>
                <w:bCs/>
                <w:color w:val="000000"/>
                <w:kern w:val="0"/>
                <w:sz w:val="22"/>
                <w:szCs w:val="22"/>
              </w:rPr>
              <w:t>45</w:t>
            </w:r>
            <w:r>
              <w:rPr>
                <w:rFonts w:ascii="宋体" w:eastAsia="宋体" w:hAnsi="宋体" w:cs="宋体" w:hint="eastAsia"/>
                <w:b/>
                <w:bCs/>
                <w:color w:val="000000"/>
                <w:kern w:val="0"/>
                <w:sz w:val="22"/>
                <w:szCs w:val="22"/>
              </w:rPr>
              <w:t>（T为产品开放日）</w:t>
            </w:r>
          </w:p>
        </w:tc>
        <w:tc>
          <w:tcPr>
            <w:tcW w:w="2464" w:type="dxa"/>
            <w:tcBorders>
              <w:top w:val="nil"/>
              <w:left w:val="nil"/>
              <w:bottom w:val="single" w:sz="4" w:space="0" w:color="auto"/>
              <w:right w:val="single" w:sz="4" w:space="0" w:color="auto"/>
            </w:tcBorders>
            <w:vAlign w:val="bottom"/>
          </w:tcPr>
          <w:p w14:paraId="23B2EF48"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赎回申请日后第一个产品开放日确认</w:t>
            </w:r>
          </w:p>
        </w:tc>
      </w:tr>
      <w:tr w:rsidR="00060B5C" w14:paraId="34B92116" w14:textId="77777777" w:rsidTr="00397A29">
        <w:trPr>
          <w:trHeight w:val="540"/>
        </w:trPr>
        <w:tc>
          <w:tcPr>
            <w:tcW w:w="2100" w:type="dxa"/>
            <w:vMerge/>
            <w:tcBorders>
              <w:top w:val="nil"/>
              <w:left w:val="single" w:sz="4" w:space="0" w:color="auto"/>
              <w:bottom w:val="single" w:sz="4" w:space="0" w:color="auto"/>
              <w:right w:val="single" w:sz="4" w:space="0" w:color="auto"/>
            </w:tcBorders>
            <w:vAlign w:val="center"/>
          </w:tcPr>
          <w:p w14:paraId="64BB8B09" w14:textId="77777777" w:rsidR="00060B5C" w:rsidRDefault="00060B5C" w:rsidP="00397A29">
            <w:pPr>
              <w:widowControl/>
              <w:rPr>
                <w:rFonts w:ascii="宋体" w:eastAsia="宋体" w:hAnsi="宋体" w:cs="宋体"/>
                <w:b/>
                <w:bCs/>
                <w:color w:val="000000"/>
                <w:kern w:val="0"/>
                <w:sz w:val="22"/>
                <w:szCs w:val="22"/>
              </w:rPr>
            </w:pPr>
          </w:p>
        </w:tc>
        <w:tc>
          <w:tcPr>
            <w:tcW w:w="3676" w:type="dxa"/>
            <w:tcBorders>
              <w:top w:val="nil"/>
              <w:left w:val="nil"/>
              <w:bottom w:val="single" w:sz="4" w:space="0" w:color="auto"/>
              <w:right w:val="single" w:sz="4" w:space="0" w:color="auto"/>
            </w:tcBorders>
            <w:noWrap/>
            <w:vAlign w:val="bottom"/>
          </w:tcPr>
          <w:p w14:paraId="09D1C525"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T日15:</w:t>
            </w:r>
            <w:r>
              <w:rPr>
                <w:rFonts w:ascii="宋体" w:hAnsi="宋体" w:cs="宋体" w:hint="eastAsia"/>
                <w:b/>
                <w:bCs/>
                <w:color w:val="000000"/>
                <w:kern w:val="0"/>
                <w:sz w:val="22"/>
                <w:szCs w:val="22"/>
              </w:rPr>
              <w:t>45</w:t>
            </w:r>
            <w:r>
              <w:rPr>
                <w:rFonts w:ascii="宋体" w:eastAsia="宋体" w:hAnsi="宋体" w:cs="宋体" w:hint="eastAsia"/>
                <w:b/>
                <w:bCs/>
                <w:color w:val="000000"/>
                <w:kern w:val="0"/>
                <w:sz w:val="22"/>
                <w:szCs w:val="22"/>
              </w:rPr>
              <w:t>-24:00（T为产品开放日）</w:t>
            </w:r>
          </w:p>
        </w:tc>
        <w:tc>
          <w:tcPr>
            <w:tcW w:w="2464" w:type="dxa"/>
            <w:tcBorders>
              <w:top w:val="nil"/>
              <w:left w:val="nil"/>
              <w:bottom w:val="single" w:sz="4" w:space="0" w:color="auto"/>
              <w:right w:val="single" w:sz="4" w:space="0" w:color="auto"/>
            </w:tcBorders>
            <w:vAlign w:val="bottom"/>
          </w:tcPr>
          <w:p w14:paraId="4F84CCFF"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赎回申请日后第二个产品开放日确认</w:t>
            </w:r>
          </w:p>
        </w:tc>
      </w:tr>
      <w:tr w:rsidR="00060B5C" w14:paraId="7926D435" w14:textId="77777777" w:rsidTr="00397A29">
        <w:trPr>
          <w:trHeight w:val="540"/>
        </w:trPr>
        <w:tc>
          <w:tcPr>
            <w:tcW w:w="2100" w:type="dxa"/>
            <w:vMerge/>
            <w:tcBorders>
              <w:top w:val="nil"/>
              <w:left w:val="single" w:sz="4" w:space="0" w:color="auto"/>
              <w:bottom w:val="single" w:sz="4" w:space="0" w:color="auto"/>
              <w:right w:val="single" w:sz="4" w:space="0" w:color="auto"/>
            </w:tcBorders>
            <w:vAlign w:val="center"/>
          </w:tcPr>
          <w:p w14:paraId="3D3729A6" w14:textId="77777777" w:rsidR="00060B5C" w:rsidRDefault="00060B5C" w:rsidP="00397A29">
            <w:pPr>
              <w:widowControl/>
              <w:rPr>
                <w:rFonts w:ascii="宋体" w:eastAsia="宋体" w:hAnsi="宋体" w:cs="宋体"/>
                <w:b/>
                <w:bCs/>
                <w:color w:val="000000"/>
                <w:kern w:val="0"/>
                <w:sz w:val="22"/>
                <w:szCs w:val="22"/>
              </w:rPr>
            </w:pPr>
          </w:p>
        </w:tc>
        <w:tc>
          <w:tcPr>
            <w:tcW w:w="3676" w:type="dxa"/>
            <w:tcBorders>
              <w:top w:val="nil"/>
              <w:left w:val="nil"/>
              <w:bottom w:val="single" w:sz="4" w:space="0" w:color="auto"/>
              <w:right w:val="single" w:sz="4" w:space="0" w:color="auto"/>
            </w:tcBorders>
            <w:noWrap/>
            <w:vAlign w:val="bottom"/>
          </w:tcPr>
          <w:p w14:paraId="0845AB49" w14:textId="77777777" w:rsidR="00060B5C" w:rsidRDefault="00060B5C" w:rsidP="00397A29">
            <w:pPr>
              <w:widowControl/>
              <w:spacing w:line="480" w:lineRule="auto"/>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非产品开放日全时段</w:t>
            </w:r>
          </w:p>
        </w:tc>
        <w:tc>
          <w:tcPr>
            <w:tcW w:w="2464" w:type="dxa"/>
            <w:tcBorders>
              <w:top w:val="nil"/>
              <w:left w:val="nil"/>
              <w:bottom w:val="single" w:sz="4" w:space="0" w:color="auto"/>
              <w:right w:val="single" w:sz="4" w:space="0" w:color="auto"/>
            </w:tcBorders>
            <w:vAlign w:val="bottom"/>
          </w:tcPr>
          <w:p w14:paraId="73C8CB29" w14:textId="77777777" w:rsidR="00060B5C" w:rsidRDefault="00060B5C" w:rsidP="00397A29">
            <w:pPr>
              <w:widowControl/>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赎回申请日后第二个产品开放日确认</w:t>
            </w:r>
          </w:p>
        </w:tc>
      </w:tr>
    </w:tbl>
    <w:p w14:paraId="61A8003F" w14:textId="77777777" w:rsidR="00060B5C" w:rsidRDefault="00060B5C" w:rsidP="00060B5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如新增认/申购使得单一投资者持有份额比例超过50％，管理人将不再接受超出部分的认/申购申请。非因投资管理人主观因素导致突破前款规定比例限制的，在单一投资者持有比例降至50％以下之前，管理人将不再接受该投资者对该理财产品的认/申购申请。投资者持有份额的计算以管理人登记为准。</w:t>
      </w:r>
    </w:p>
    <w:p w14:paraId="051E48A2"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（二）申购及赎回份额要求</w:t>
      </w:r>
    </w:p>
    <w:p w14:paraId="75D516DC" w14:textId="77777777" w:rsidR="00060B5C" w:rsidRDefault="00060B5C" w:rsidP="00060B5C">
      <w:pPr>
        <w:snapToGrid w:val="0"/>
        <w:spacing w:line="360" w:lineRule="auto"/>
        <w:ind w:firstLineChars="202" w:firstLine="424"/>
        <w:rPr>
          <w:rFonts w:ascii="宋体" w:eastAsia="宋体" w:hAnsi="宋体" w:cs="宋体"/>
          <w:szCs w:val="21"/>
        </w:rPr>
      </w:pPr>
      <w:r>
        <w:rPr>
          <w:rFonts w:ascii="宋体" w:eastAsia="宋体" w:hAnsi="宋体" w:cs="宋体" w:hint="eastAsia"/>
        </w:rPr>
        <w:t>1.本理财产品D份额首次购买的起点份额为0.01份，存续份额不得低于0.01份；申购份额以及赎回份额均需为0.01份或0.01的整数</w:t>
      </w:r>
      <w:proofErr w:type="gramStart"/>
      <w:r>
        <w:rPr>
          <w:rFonts w:ascii="宋体" w:eastAsia="宋体" w:hAnsi="宋体" w:cs="宋体" w:hint="eastAsia"/>
        </w:rPr>
        <w:t>倍</w:t>
      </w:r>
      <w:proofErr w:type="gramEnd"/>
      <w:r>
        <w:rPr>
          <w:rFonts w:ascii="宋体" w:eastAsia="宋体" w:hAnsi="宋体" w:cs="宋体" w:hint="eastAsia"/>
        </w:rPr>
        <w:t>；若本理财产品净赎回额超过本理财产品上一产品开放日产品余额20%时，管理人有权拒绝赎回申请。投资者可选择全额或部分赎回，部分赎回后投资者持有本理财产品D份额的实时余额不得低于0.01份。</w:t>
      </w:r>
      <w:r>
        <w:rPr>
          <w:rFonts w:ascii="宋体" w:eastAsia="宋体" w:hAnsi="宋体" w:cs="宋体" w:hint="eastAsia"/>
          <w:szCs w:val="21"/>
        </w:rPr>
        <w:t>当日净申购额：指截止产品开放日，在当日申购确认金额大于当日赎回确认金额的情况下，当日申购确认金额减去当日赎回确认金额后的余额。当日净赎回额：指截止产品开放日，在当日赎回确认金额大于当日申购确认金额的情况下，当日赎回确认金额减去当日申购确认金额后的余额。</w:t>
      </w:r>
    </w:p>
    <w:p w14:paraId="0ADAF5FA" w14:textId="77777777" w:rsidR="00060B5C" w:rsidRDefault="00060B5C" w:rsidP="00060B5C">
      <w:pPr>
        <w:snapToGrid w:val="0"/>
        <w:spacing w:line="360" w:lineRule="auto"/>
        <w:ind w:firstLineChars="202" w:firstLine="424"/>
        <w:rPr>
          <w:rFonts w:ascii="宋体" w:eastAsia="宋体" w:hAnsi="宋体" w:cs="宋体"/>
        </w:rPr>
      </w:pPr>
      <w:r>
        <w:rPr>
          <w:rFonts w:ascii="宋体" w:eastAsia="宋体" w:hAnsi="宋体" w:cs="宋体" w:hint="eastAsia"/>
        </w:rPr>
        <w:t>2.本理财产品D份额单户持有上限为</w:t>
      </w:r>
      <w:r>
        <w:rPr>
          <w:rFonts w:ascii="宋体" w:hAnsi="宋体" w:cs="宋体" w:hint="eastAsia"/>
        </w:rPr>
        <w:t>500</w:t>
      </w:r>
      <w:r>
        <w:rPr>
          <w:rFonts w:ascii="宋体" w:hAnsi="宋体" w:cs="宋体" w:hint="eastAsia"/>
        </w:rPr>
        <w:t>万</w:t>
      </w:r>
      <w:r>
        <w:rPr>
          <w:rFonts w:ascii="宋体" w:eastAsia="宋体" w:hAnsi="宋体" w:cs="宋体" w:hint="eastAsia"/>
        </w:rPr>
        <w:t>份，同时管理人有权拒绝超过本理财产品</w:t>
      </w:r>
      <w:r>
        <w:rPr>
          <w:rFonts w:ascii="宋体" w:eastAsia="宋体" w:hAnsi="宋体" w:cs="宋体" w:hint="eastAsia"/>
        </w:rPr>
        <w:lastRenderedPageBreak/>
        <w:t>规模上限部分的申购申请。</w:t>
      </w:r>
    </w:p>
    <w:p w14:paraId="0D1B3BA2"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（三）投资收益</w:t>
      </w:r>
    </w:p>
    <w:p w14:paraId="68CB781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投资收益每日计提，按日结转为份额。投资者可以通过赎回份额获得现金收益。</w:t>
      </w:r>
    </w:p>
    <w:p w14:paraId="60CAD3B5"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（四）巨额赎回及处理</w:t>
      </w:r>
    </w:p>
    <w:p w14:paraId="6028C049"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1.巨额赎回认定：理财产品存续期内任</w:t>
      </w:r>
      <w:proofErr w:type="gramStart"/>
      <w:r>
        <w:rPr>
          <w:rFonts w:ascii="宋体" w:eastAsia="宋体" w:hAnsi="宋体" w:cs="宋体" w:hint="eastAsia"/>
          <w:szCs w:val="21"/>
        </w:rPr>
        <w:t>一</w:t>
      </w:r>
      <w:proofErr w:type="gramEnd"/>
      <w:r>
        <w:rPr>
          <w:rFonts w:ascii="宋体" w:eastAsia="宋体" w:hAnsi="宋体" w:cs="宋体" w:hint="eastAsia"/>
          <w:szCs w:val="21"/>
        </w:rPr>
        <w:t>产品开放日，若理财产品当日净赎回额超过本理财产品上一产品开放日产品余额20%时，即构成巨额赎回。</w:t>
      </w:r>
    </w:p>
    <w:p w14:paraId="1665A230"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巨额赎回处理：当出现巨额赎回时，管理人有权根据资产组合状况决定采取全额赎回、延期办理超出部分的赎回申请或暂停接受赎回申请。如连续2日（含）以上开放日发生巨额赎回，对于已经接受的赎回申请，管理人可以延缓支付赎回款项，但延缓期限不得超过20个工作日。</w:t>
      </w:r>
    </w:p>
    <w:p w14:paraId="540BD3F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3.全额赎回：当管理人认为全额兑付投资者的赎回申请将不会对本理财计划净值造成较大波动或给本理财计划造成重大损失时，按正常赎回程序执行。</w:t>
      </w:r>
    </w:p>
    <w:p w14:paraId="64CFA45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4.拒绝超出部分的赎回申请：当管理人认为全部满足投资者的赎回申请可能会对本理财计划造成重大损失或可能会对理财计划净值造成较大波动时，在当日接受赎回比例不低于理财计划上一确认</w:t>
      </w:r>
      <w:proofErr w:type="gramStart"/>
      <w:r>
        <w:rPr>
          <w:rFonts w:ascii="宋体" w:eastAsia="宋体" w:hAnsi="宋体" w:cs="宋体" w:hint="eastAsia"/>
          <w:szCs w:val="21"/>
        </w:rPr>
        <w:t>日日终总份额</w:t>
      </w:r>
      <w:proofErr w:type="gramEnd"/>
      <w:r>
        <w:rPr>
          <w:rFonts w:ascii="宋体" w:eastAsia="宋体" w:hAnsi="宋体" w:cs="宋体" w:hint="eastAsia"/>
          <w:szCs w:val="21"/>
        </w:rPr>
        <w:t>的20%的前提下，对其余赎回申请予以拒绝，但投资者可于下一确认日重新进行赎回申请。</w:t>
      </w:r>
    </w:p>
    <w:p w14:paraId="0CE06FE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5.暂停申购、赎回和延缓支付赎回</w:t>
      </w:r>
    </w:p>
    <w:p w14:paraId="1930CF27"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发生以下情形，管理人可暂停接受全部或部分投资者的申购申请：</w:t>
      </w:r>
    </w:p>
    <w:p w14:paraId="0087B86E"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（1）理财计划资产规模过大，继续接受申购可能对理财计划业绩产生负面影响，从而损害现有份额持有人利益的情形时。</w:t>
      </w:r>
    </w:p>
    <w:p w14:paraId="71BAFC5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（2）当管理人认为某笔申购申请会有损于其他份额持有人利益的情形时。</w:t>
      </w:r>
    </w:p>
    <w:p w14:paraId="2D6FB88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（3）发生产品说明书约定的暂停估值的情形时。</w:t>
      </w:r>
    </w:p>
    <w:p w14:paraId="3205E789"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（4）法律法规规定或监管机构认定的其他情形。</w:t>
      </w:r>
    </w:p>
    <w:p w14:paraId="27902EDD"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发生以下情形，对超出前一日终理财产品总份额20%的赎回申请，管理人可暂停接受全部或部分、延期办理投资者的赎回申请：</w:t>
      </w:r>
    </w:p>
    <w:p w14:paraId="6162A1AF"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（1）理财计划发生巨额赎回情形时。</w:t>
      </w:r>
    </w:p>
    <w:p w14:paraId="1FE1A8C4"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（2）当继续接受赎回申请将损害存量投资者利益的情形时。</w:t>
      </w:r>
    </w:p>
    <w:p w14:paraId="2F143A2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（3）当前一估值日理财计划资产净值50%以上的资产不具备活跃交易市场或者在活跃市场中无报价，且不能采用估值技术可靠计量公允价值的情形时。</w:t>
      </w:r>
    </w:p>
    <w:p w14:paraId="3607A09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（4）发生产品说明书约定的暂停估值的情形时。</w:t>
      </w:r>
    </w:p>
    <w:p w14:paraId="5DA7AF9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（5）法律法规规定或监管机构认定的其他情形。</w:t>
      </w:r>
    </w:p>
    <w:p w14:paraId="0507462A"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发生以下情形，管理人对已接受的赎回申请，可延期支付赎回款项：</w:t>
      </w:r>
    </w:p>
    <w:p w14:paraId="031B6FBC"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（1）因不可抗力等原因，导致管理人接受赎回申请后无法及时兑付的情形时。</w:t>
      </w:r>
    </w:p>
    <w:p w14:paraId="4E9A34CC"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（2）连续2日（含）以上开放日发生巨额赎回的情形时。</w:t>
      </w:r>
    </w:p>
    <w:p w14:paraId="0CE8441E"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（3）当前一估值日理财计划资产净值50%以上的资产不具备活跃交易市场或者在活跃市场中无报价，且不能采用估值技术可靠计量公允价值的情形时。</w:t>
      </w:r>
    </w:p>
    <w:p w14:paraId="4589DA63"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（4）法律法规规定或监管机构认定的其他情形。</w:t>
      </w:r>
    </w:p>
    <w:p w14:paraId="548BD73D"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 在理财产品存续期内，管理人有权根据市场情况调整巨额赎回金额比例，相关公告最迟于下一工作日通过管理人或销售机构网站进行公告。</w:t>
      </w:r>
    </w:p>
    <w:p w14:paraId="13CD1FBF"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（五）兑付及税收</w:t>
      </w:r>
    </w:p>
    <w:p w14:paraId="3F479B0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1.提前终止权的行使：本理财产品发生全部提前终止时，管理人可以通过公告通知投资者全部兑付本理财产品，并按约定将可兑付款项支付给投资者。</w:t>
      </w:r>
    </w:p>
    <w:p w14:paraId="39136809"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2.资金清算：理财产品收益支付日后1工作日和提前终止日（实际到期日）后3工作日为资金清算期，该期间不计付利息。</w:t>
      </w:r>
    </w:p>
    <w:p w14:paraId="388AEADA"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w:t>
      </w:r>
      <w:proofErr w:type="gramStart"/>
      <w:r>
        <w:rPr>
          <w:rFonts w:ascii="宋体" w:eastAsia="宋体" w:hAnsi="宋体" w:cs="宋体" w:hint="eastAsia"/>
          <w:szCs w:val="21"/>
        </w:rPr>
        <w:t>照应税</w:t>
      </w:r>
      <w:proofErr w:type="gramEnd"/>
      <w:r>
        <w:rPr>
          <w:rFonts w:ascii="宋体" w:eastAsia="宋体" w:hAnsi="宋体" w:cs="宋体" w:hint="eastAsia"/>
          <w:szCs w:val="21"/>
        </w:rPr>
        <w:t>行为发生时有效的相关法律法规的规定执行。支付给投资者的理财收益的应纳税款由投资者自行申报及缴纳。</w:t>
      </w:r>
    </w:p>
    <w:p w14:paraId="44606EE8" w14:textId="77777777" w:rsidR="00060B5C" w:rsidRDefault="00060B5C" w:rsidP="00060B5C">
      <w:pPr>
        <w:pStyle w:val="a5"/>
        <w:snapToGrid w:val="0"/>
        <w:spacing w:line="360" w:lineRule="auto"/>
        <w:ind w:firstLineChars="0"/>
        <w:rPr>
          <w:rFonts w:ascii="宋体" w:eastAsia="宋体" w:hAnsi="宋体" w:cs="宋体"/>
          <w:szCs w:val="21"/>
        </w:rPr>
      </w:pPr>
      <w:r>
        <w:rPr>
          <w:rFonts w:ascii="宋体" w:eastAsia="宋体" w:hAnsi="宋体" w:cs="宋体" w:hint="eastAsia"/>
          <w:szCs w:val="21"/>
        </w:rPr>
        <w:t>（六）产品的提前终止</w:t>
      </w:r>
    </w:p>
    <w:p w14:paraId="428B9F96"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1.提前终止事项</w:t>
      </w:r>
    </w:p>
    <w:p w14:paraId="01760727"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发生以下事项时，管理人可对本理财产品行使全部提前终止权：</w:t>
      </w:r>
    </w:p>
    <w:p w14:paraId="27FD057D"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（1）若本理财产品当日规模持续10个工作日（含）低于2000万元时，管理人有权提前终止本理财产品；</w:t>
      </w:r>
    </w:p>
    <w:p w14:paraId="30C8473B"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（2）如因本理财产品资产运作模式等与相关政策、法律法规、规章的规定或者监管机构的要求等存在冲突导致理财产品必须提前终止的；</w:t>
      </w:r>
    </w:p>
    <w:p w14:paraId="0E6177F8"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（3）国家有关法律、法规、规章、政策的改变、紧急措施的出台、理财市场环境发生重大变化等导致理财产品必须提前终止的；</w:t>
      </w:r>
    </w:p>
    <w:p w14:paraId="4C44128A"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（4）因地震、火灾、战争、罢工等不可抗力因素导致本理财产品必须提前终止的；</w:t>
      </w:r>
    </w:p>
    <w:p w14:paraId="6A88051F"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（5）管理人认为应该提前终止本理财产品的其他情况。</w:t>
      </w:r>
    </w:p>
    <w:p w14:paraId="7F395544"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2.提前终止的信息公告</w:t>
      </w:r>
    </w:p>
    <w:p w14:paraId="55891E31" w14:textId="77777777" w:rsidR="00060B5C" w:rsidRDefault="00060B5C" w:rsidP="00060B5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如</w:t>
      </w:r>
      <w:proofErr w:type="gramStart"/>
      <w:r>
        <w:rPr>
          <w:rFonts w:ascii="宋体" w:eastAsia="宋体" w:hAnsi="宋体" w:cs="宋体" w:hint="eastAsia"/>
          <w:szCs w:val="21"/>
        </w:rPr>
        <w:t>遇本理财</w:t>
      </w:r>
      <w:proofErr w:type="gramEnd"/>
      <w:r>
        <w:rPr>
          <w:rFonts w:ascii="宋体" w:eastAsia="宋体" w:hAnsi="宋体" w:cs="宋体" w:hint="eastAsia"/>
          <w:szCs w:val="21"/>
        </w:rPr>
        <w:t>产品提前终止事项，管理人将提前1个工作日通过管理人或者销售机构网站及时公告相关信息，敬请予以关注。</w:t>
      </w:r>
    </w:p>
    <w:p w14:paraId="08582DD3"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信息披露</w:t>
      </w:r>
    </w:p>
    <w:p w14:paraId="39E299F8"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本理财计划信息披露通过管理人或销售机构网站公告或其他形式进行披露。</w:t>
      </w:r>
    </w:p>
    <w:p w14:paraId="4539A047"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管理人会在理财计划成立后5日内披露发行公告，本产品成立后，将于每个产品</w:t>
      </w:r>
      <w:r>
        <w:rPr>
          <w:rFonts w:ascii="宋体" w:eastAsia="宋体" w:hAnsi="宋体" w:cs="宋体" w:hint="eastAsia"/>
          <w:sz w:val="21"/>
          <w:szCs w:val="21"/>
        </w:rPr>
        <w:lastRenderedPageBreak/>
        <w:t>开放日披露理财计划日</w:t>
      </w:r>
      <w:proofErr w:type="gramStart"/>
      <w:r>
        <w:rPr>
          <w:rFonts w:ascii="宋体" w:eastAsia="宋体" w:hAnsi="宋体" w:cs="宋体" w:hint="eastAsia"/>
          <w:sz w:val="21"/>
          <w:szCs w:val="21"/>
        </w:rPr>
        <w:t>理财年化收益率</w:t>
      </w:r>
      <w:proofErr w:type="gramEnd"/>
      <w:r>
        <w:rPr>
          <w:rFonts w:ascii="宋体" w:eastAsia="宋体" w:hAnsi="宋体" w:cs="宋体" w:hint="eastAsia"/>
          <w:sz w:val="21"/>
          <w:szCs w:val="21"/>
        </w:rPr>
        <w:t>（扣除产品年托管费、固定管理费、销售服务费以及其他税费后）</w:t>
      </w:r>
    </w:p>
    <w:p w14:paraId="4EC68DD2"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14:paraId="323B9CD0" w14:textId="77777777" w:rsidR="00060B5C" w:rsidRDefault="00060B5C" w:rsidP="00060B5C">
      <w:pPr>
        <w:pStyle w:val="Default"/>
        <w:numPr>
          <w:ilvl w:val="0"/>
          <w:numId w:val="3"/>
        </w:numPr>
        <w:tabs>
          <w:tab w:val="left" w:pos="0"/>
        </w:tabs>
        <w:adjustRightInd/>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14:paraId="33FBA424"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管理人会在理财计划发生投资资产存在重大风险、理财计划要素发生较大改变、监管政策发生变化等通过管理人判断会影响本理财计划的收益或运作情况时，及时发布不定期或临时公告。</w:t>
      </w:r>
    </w:p>
    <w:p w14:paraId="57D4C4FB"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管理人如在特定情况下终止本产品，将于实际终止日前至少1个工作日，在管理人或销售机构网站发布相关信息公告。在理财产品终止日后5日内披露到期公告。</w:t>
      </w:r>
    </w:p>
    <w:p w14:paraId="1895AB1A"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管理人将在理财期内在管理人或销售机构网站对本产品说明书予以公示，若投资者持有的销售文件与网站公示的产品说明书不一致，应以网站公示为准。</w:t>
      </w:r>
    </w:p>
    <w:p w14:paraId="40D1B6B9" w14:textId="77777777" w:rsidR="00060B5C" w:rsidRDefault="00060B5C" w:rsidP="00060B5C">
      <w:pPr>
        <w:pStyle w:val="Default"/>
        <w:numPr>
          <w:ilvl w:val="0"/>
          <w:numId w:val="3"/>
        </w:numPr>
        <w:tabs>
          <w:tab w:val="left" w:pos="0"/>
        </w:tabs>
        <w:adjustRightInd/>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本理财产品说明书在法律许可的范围内由管理人负责解释。若投资者对本理财说明书的内容有任何疑问或异议，请致电投资者服务热线95398咨询、投诉。投资者在投资前，请仔细阅读本产品说明书，并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独立的投资决策。</w:t>
      </w:r>
    </w:p>
    <w:p w14:paraId="485BAC7A"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风险揭示及管控措施</w:t>
      </w:r>
    </w:p>
    <w:p w14:paraId="7FF492EB" w14:textId="77777777" w:rsidR="00060B5C" w:rsidRDefault="00060B5C" w:rsidP="00060B5C">
      <w:pPr>
        <w:spacing w:line="360" w:lineRule="auto"/>
        <w:ind w:firstLineChars="202" w:firstLine="426"/>
        <w:rPr>
          <w:rFonts w:ascii="宋体" w:eastAsia="宋体" w:hAnsi="宋体" w:cs="宋体"/>
          <w:b/>
          <w:bCs/>
          <w:color w:val="000000"/>
          <w:kern w:val="0"/>
        </w:rPr>
      </w:pPr>
      <w:r>
        <w:rPr>
          <w:rFonts w:ascii="宋体" w:eastAsia="宋体" w:hAnsi="宋体" w:cs="宋体" w:hint="eastAsia"/>
          <w:b/>
          <w:bCs/>
          <w:color w:val="000000"/>
          <w:kern w:val="0"/>
        </w:rPr>
        <w:t>本理财计划为非保本净值型产品，管理人不对本理财计划承诺保本或保证收益，您应充分认识投资风险，谨慎投资：</w:t>
      </w:r>
    </w:p>
    <w:p w14:paraId="64B52FF7"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w:t>
      </w:r>
      <w:r>
        <w:rPr>
          <w:rFonts w:ascii="宋体" w:eastAsia="宋体" w:hAnsi="宋体" w:cs="宋体" w:hint="eastAsia"/>
          <w:b/>
          <w:color w:val="000000"/>
          <w:kern w:val="0"/>
        </w:rPr>
        <w:lastRenderedPageBreak/>
        <w:t>约等方面的影响，由此产生本金损失和收益不确定性的风险，该等风险由投资者自行承担。在最不利的情况下，投资者有可能损失全部本金。</w:t>
      </w:r>
    </w:p>
    <w:p w14:paraId="15FDF478"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14:paraId="4A985BFC"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w:t>
      </w:r>
      <w:proofErr w:type="gramStart"/>
      <w:r>
        <w:rPr>
          <w:rFonts w:ascii="宋体" w:eastAsia="宋体" w:hAnsi="宋体" w:cs="宋体" w:hint="eastAsia"/>
          <w:b/>
          <w:color w:val="000000"/>
          <w:kern w:val="0"/>
        </w:rPr>
        <w:t>遇市场</w:t>
      </w:r>
      <w:proofErr w:type="gramEnd"/>
      <w:r>
        <w:rPr>
          <w:rFonts w:ascii="宋体" w:eastAsia="宋体" w:hAnsi="宋体" w:cs="宋体" w:hint="eastAsia"/>
          <w:b/>
          <w:color w:val="000000"/>
          <w:kern w:val="0"/>
        </w:rPr>
        <w:t xml:space="preserve">利率提高，其他资产收益率上升，使得购买本理财产品的投资者的机会成本增加，从而带来一定的机会损失。 </w:t>
      </w:r>
    </w:p>
    <w:p w14:paraId="520DBBD2"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14:paraId="73EB48FE"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（三）管理风险：由于管理人或产品投资组合项下相关的管理方受经验、技能等因素的限制，可能会影响对本理财产品或投资资产的管理，导致本产品项下的理财资金遭受损失。</w:t>
      </w:r>
    </w:p>
    <w:p w14:paraId="245C3315"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管控措施：进一步完善管理人理财产品管理的内部流程、架构、制度，加强理财业务的风险管理，提高理财资产运作效率；审慎选择合作机构，建立和健全合作机构的准入机制。</w:t>
      </w:r>
    </w:p>
    <w:p w14:paraId="00207B62"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（四）流动性风险：本理财产品存续期间，投资者只能在本理财产品说明书规定的时间内办理申购与赎回。若遇巨额赎回时，管理人有权拒绝赎回申请，可能影响投资者的资金安排，带来流动性风险。</w:t>
      </w:r>
    </w:p>
    <w:p w14:paraId="792A0E67" w14:textId="77777777" w:rsidR="00060B5C" w:rsidRDefault="00060B5C" w:rsidP="00060B5C">
      <w:pPr>
        <w:spacing w:line="360" w:lineRule="auto"/>
        <w:ind w:firstLineChars="200" w:firstLine="422"/>
        <w:rPr>
          <w:rFonts w:ascii="宋体" w:eastAsia="宋体" w:hAnsi="宋体" w:cs="宋体"/>
          <w:b/>
          <w:color w:val="000000"/>
          <w:kern w:val="0"/>
        </w:rPr>
      </w:pPr>
      <w:r>
        <w:rPr>
          <w:rFonts w:ascii="宋体" w:eastAsia="宋体" w:hAnsi="宋体" w:cs="宋体" w:hint="eastAsia"/>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巨额赎回情况，增加在相关时点的到期资产比例。</w:t>
      </w:r>
    </w:p>
    <w:p w14:paraId="5D778146"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lastRenderedPageBreak/>
        <w:t>（五）再投资风险：管理人有权提前终止本理财产品。若管理人在本理财产品存续期内执行提前终止权，投资者将面临资金的再投资风险。</w:t>
      </w:r>
    </w:p>
    <w:p w14:paraId="4CA74C65"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管控措施：若</w:t>
      </w:r>
      <w:proofErr w:type="gramStart"/>
      <w:r>
        <w:rPr>
          <w:rFonts w:ascii="宋体" w:eastAsia="宋体" w:hAnsi="宋体" w:cs="宋体" w:hint="eastAsia"/>
          <w:b/>
          <w:color w:val="000000"/>
          <w:kern w:val="0"/>
        </w:rPr>
        <w:t>遇本理财</w:t>
      </w:r>
      <w:proofErr w:type="gramEnd"/>
      <w:r>
        <w:rPr>
          <w:rFonts w:ascii="宋体" w:eastAsia="宋体" w:hAnsi="宋体" w:cs="宋体" w:hint="eastAsia"/>
          <w:b/>
          <w:color w:val="000000"/>
          <w:kern w:val="0"/>
        </w:rPr>
        <w:t>产品提前终止，管理人将提前1个工作日通过管理人或销售机构网站及时公告相关信息，敬请投资者予以关注。</w:t>
      </w:r>
    </w:p>
    <w:p w14:paraId="492AA318"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（六）理财产品不成立风险：如自本理财产品认购起始日</w:t>
      </w:r>
      <w:proofErr w:type="gramStart"/>
      <w:r>
        <w:rPr>
          <w:rFonts w:ascii="宋体" w:eastAsia="宋体" w:hAnsi="宋体" w:cs="宋体" w:hint="eastAsia"/>
          <w:b/>
          <w:color w:val="000000"/>
          <w:kern w:val="0"/>
        </w:rPr>
        <w:t>至产品</w:t>
      </w:r>
      <w:proofErr w:type="gramEnd"/>
      <w:r>
        <w:rPr>
          <w:rFonts w:ascii="宋体" w:eastAsia="宋体" w:hAnsi="宋体" w:cs="宋体" w:hint="eastAsia"/>
          <w:b/>
          <w:color w:val="000000"/>
          <w:kern w:val="0"/>
        </w:rPr>
        <w:t>成立日前，理财产品</w:t>
      </w:r>
      <w:proofErr w:type="gramStart"/>
      <w:r>
        <w:rPr>
          <w:rFonts w:ascii="宋体" w:eastAsia="宋体" w:hAnsi="宋体" w:cs="宋体" w:hint="eastAsia"/>
          <w:b/>
          <w:color w:val="000000"/>
          <w:kern w:val="0"/>
        </w:rPr>
        <w:t>认购总</w:t>
      </w:r>
      <w:proofErr w:type="gramEnd"/>
      <w:r>
        <w:rPr>
          <w:rFonts w:ascii="宋体" w:eastAsia="宋体" w:hAnsi="宋体" w:cs="宋体" w:hint="eastAsia"/>
          <w:b/>
          <w:color w:val="000000"/>
          <w:kern w:val="0"/>
        </w:rPr>
        <w:t>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14:paraId="03BFB8D9"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管控措施：若</w:t>
      </w:r>
      <w:proofErr w:type="gramStart"/>
      <w:r>
        <w:rPr>
          <w:rFonts w:ascii="宋体" w:eastAsia="宋体" w:hAnsi="宋体" w:cs="宋体" w:hint="eastAsia"/>
          <w:b/>
          <w:color w:val="000000"/>
          <w:kern w:val="0"/>
        </w:rPr>
        <w:t>遇本理财</w:t>
      </w:r>
      <w:proofErr w:type="gramEnd"/>
      <w:r>
        <w:rPr>
          <w:rFonts w:ascii="宋体" w:eastAsia="宋体" w:hAnsi="宋体" w:cs="宋体" w:hint="eastAsia"/>
          <w:b/>
          <w:color w:val="000000"/>
          <w:kern w:val="0"/>
        </w:rPr>
        <w:t>产品不成立，管理人将于产品成立日当日通过管理人或销售机构网站及时公告相关信息，敬请投资者予以关注。</w:t>
      </w:r>
    </w:p>
    <w:p w14:paraId="6D230A3C"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七）信息传递风险：管理人按照理财产品说明书有关条款的约定，发布理财产品的成立、运作、到期清算或提前终止等信息公告。投资者应根据约定及时登录管理人或销售机构网站查询。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14:paraId="744CA2D8"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管控措施：敬请投资者按照本说明书有关约定，及时获取本理财产品信息披露。</w:t>
      </w:r>
    </w:p>
    <w:p w14:paraId="3B102CD5"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14:paraId="7694C4A9"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管控措施：此风险为本产品的固有风险，敬请投资者做好相应准备。</w:t>
      </w:r>
    </w:p>
    <w:p w14:paraId="44498D11"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14:paraId="54B5A0D0"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管控措施：对于因上述原因导致的交易失败可能带来的任何损失及预期损失，投资者须</w:t>
      </w:r>
      <w:r>
        <w:rPr>
          <w:rFonts w:ascii="宋体" w:eastAsia="宋体" w:hAnsi="宋体" w:cs="宋体" w:hint="eastAsia"/>
          <w:b/>
          <w:color w:val="000000"/>
          <w:kern w:val="0"/>
        </w:rPr>
        <w:lastRenderedPageBreak/>
        <w:t>自行承担或向代销机构依法主张。</w:t>
      </w:r>
    </w:p>
    <w:p w14:paraId="56E72B05"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14:paraId="7D6A4863"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管控措施：此风险为本产品的固有风险，敬请投资者做好相应准备。</w:t>
      </w:r>
    </w:p>
    <w:p w14:paraId="7167FB8B" w14:textId="77777777" w:rsidR="00060B5C" w:rsidRDefault="00060B5C" w:rsidP="00060B5C">
      <w:pPr>
        <w:spacing w:line="360" w:lineRule="auto"/>
        <w:ind w:firstLineChars="202" w:firstLine="426"/>
        <w:rPr>
          <w:rFonts w:ascii="宋体" w:eastAsia="宋体" w:hAnsi="宋体" w:cs="宋体"/>
          <w:b/>
          <w:color w:val="000000"/>
          <w:kern w:val="0"/>
        </w:rPr>
      </w:pPr>
      <w:r>
        <w:rPr>
          <w:rFonts w:ascii="宋体" w:eastAsia="宋体" w:hAnsi="宋体" w:cs="宋体" w:hint="eastAsia"/>
          <w:b/>
          <w:color w:val="000000"/>
          <w:kern w:val="0"/>
        </w:rPr>
        <w:t>（十一）特别提示：本理财产品是非保本净值型理财产品，不保证本金和收益，管理人不对本理财计划承诺保本或保证收益。您的本金可能会因市场变动及上述风险因素而蒙受损失。您应充分认识投资风险，谨慎投资。</w:t>
      </w:r>
    </w:p>
    <w:p w14:paraId="3D29EDD2" w14:textId="77777777" w:rsidR="00060B5C" w:rsidRDefault="00060B5C" w:rsidP="00060B5C">
      <w:pPr>
        <w:spacing w:line="360" w:lineRule="auto"/>
        <w:ind w:firstLineChars="202" w:firstLine="424"/>
        <w:rPr>
          <w:rFonts w:ascii="宋体" w:eastAsia="宋体" w:hAnsi="宋体" w:cs="宋体"/>
          <w:color w:val="000000"/>
          <w:kern w:val="0"/>
        </w:rPr>
      </w:pPr>
      <w:r>
        <w:rPr>
          <w:rFonts w:ascii="宋体" w:eastAsia="宋体" w:hAnsi="宋体" w:cs="宋体" w:hint="eastAsia"/>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ascii="宋体" w:eastAsia="宋体" w:hAnsi="宋体" w:cs="宋体" w:hint="eastAsia"/>
          <w:b/>
          <w:color w:val="000000"/>
          <w:kern w:val="0"/>
        </w:rPr>
        <w:t>请致电投资者服务热线95398咨询、投诉。</w:t>
      </w:r>
    </w:p>
    <w:p w14:paraId="0C95618A"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合作机构</w:t>
      </w:r>
    </w:p>
    <w:p w14:paraId="59CBB336" w14:textId="77777777" w:rsidR="00060B5C" w:rsidRDefault="00060B5C" w:rsidP="00060B5C">
      <w:pPr>
        <w:numPr>
          <w:ilvl w:val="0"/>
          <w:numId w:val="4"/>
        </w:numPr>
        <w:spacing w:line="300" w:lineRule="auto"/>
        <w:ind w:firstLineChars="202" w:firstLine="424"/>
        <w:rPr>
          <w:rFonts w:ascii="宋体" w:eastAsia="宋体" w:hAnsi="宋体" w:cs="宋体"/>
          <w:color w:val="000000"/>
          <w:kern w:val="0"/>
          <w:szCs w:val="21"/>
        </w:rPr>
      </w:pPr>
      <w:r>
        <w:rPr>
          <w:rFonts w:ascii="宋体" w:eastAsia="宋体" w:hAnsi="宋体" w:cs="宋体" w:hint="eastAsia"/>
          <w:color w:val="000000"/>
          <w:kern w:val="0"/>
          <w:szCs w:val="21"/>
        </w:rPr>
        <w:t>托管人</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7117"/>
      </w:tblGrid>
      <w:tr w:rsidR="00060B5C" w14:paraId="409F5C68" w14:textId="77777777" w:rsidTr="00397A29">
        <w:trPr>
          <w:trHeight w:val="338"/>
          <w:jc w:val="center"/>
        </w:trPr>
        <w:tc>
          <w:tcPr>
            <w:tcW w:w="2139" w:type="dxa"/>
            <w:tcBorders>
              <w:top w:val="single" w:sz="4" w:space="0" w:color="auto"/>
              <w:left w:val="single" w:sz="4" w:space="0" w:color="auto"/>
              <w:bottom w:val="single" w:sz="4" w:space="0" w:color="auto"/>
              <w:right w:val="single" w:sz="4" w:space="0" w:color="auto"/>
            </w:tcBorders>
            <w:vAlign w:val="center"/>
          </w:tcPr>
          <w:p w14:paraId="76A714C7" w14:textId="77777777" w:rsidR="00060B5C" w:rsidRDefault="00060B5C" w:rsidP="00397A29">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托管人名称</w:t>
            </w:r>
          </w:p>
        </w:tc>
        <w:tc>
          <w:tcPr>
            <w:tcW w:w="7117" w:type="dxa"/>
            <w:tcBorders>
              <w:top w:val="single" w:sz="4" w:space="0" w:color="auto"/>
              <w:left w:val="single" w:sz="4" w:space="0" w:color="auto"/>
              <w:bottom w:val="single" w:sz="4" w:space="0" w:color="auto"/>
              <w:right w:val="single" w:sz="4" w:space="0" w:color="auto"/>
            </w:tcBorders>
          </w:tcPr>
          <w:p w14:paraId="02D5014B" w14:textId="77777777" w:rsidR="00060B5C" w:rsidRDefault="00060B5C" w:rsidP="00397A29">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杭州银行股份有限公司</w:t>
            </w:r>
          </w:p>
        </w:tc>
      </w:tr>
      <w:tr w:rsidR="00060B5C" w14:paraId="535D2840" w14:textId="77777777" w:rsidTr="00397A29">
        <w:trPr>
          <w:trHeight w:val="308"/>
          <w:jc w:val="center"/>
        </w:trPr>
        <w:tc>
          <w:tcPr>
            <w:tcW w:w="2139" w:type="dxa"/>
            <w:tcBorders>
              <w:top w:val="single" w:sz="4" w:space="0" w:color="auto"/>
              <w:left w:val="single" w:sz="4" w:space="0" w:color="auto"/>
              <w:bottom w:val="single" w:sz="4" w:space="0" w:color="auto"/>
              <w:right w:val="single" w:sz="4" w:space="0" w:color="auto"/>
            </w:tcBorders>
            <w:vAlign w:val="center"/>
          </w:tcPr>
          <w:p w14:paraId="3CA8EA89" w14:textId="77777777" w:rsidR="00060B5C" w:rsidRDefault="00060B5C" w:rsidP="00397A29">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托管人住所</w:t>
            </w:r>
          </w:p>
        </w:tc>
        <w:tc>
          <w:tcPr>
            <w:tcW w:w="7117" w:type="dxa"/>
            <w:tcBorders>
              <w:top w:val="single" w:sz="4" w:space="0" w:color="auto"/>
              <w:left w:val="single" w:sz="4" w:space="0" w:color="auto"/>
              <w:bottom w:val="single" w:sz="4" w:space="0" w:color="auto"/>
              <w:right w:val="single" w:sz="4" w:space="0" w:color="auto"/>
            </w:tcBorders>
          </w:tcPr>
          <w:p w14:paraId="373A51B4" w14:textId="77777777" w:rsidR="00060B5C" w:rsidRDefault="00060B5C" w:rsidP="00397A29">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杭州市庆春路46号杭州银行大厦</w:t>
            </w:r>
          </w:p>
        </w:tc>
      </w:tr>
      <w:tr w:rsidR="00060B5C" w14:paraId="666A53DD" w14:textId="77777777" w:rsidTr="00397A29">
        <w:trPr>
          <w:trHeight w:val="771"/>
          <w:jc w:val="center"/>
        </w:trPr>
        <w:tc>
          <w:tcPr>
            <w:tcW w:w="2139" w:type="dxa"/>
            <w:tcBorders>
              <w:top w:val="single" w:sz="4" w:space="0" w:color="auto"/>
              <w:left w:val="single" w:sz="4" w:space="0" w:color="auto"/>
              <w:bottom w:val="single" w:sz="4" w:space="0" w:color="auto"/>
              <w:right w:val="single" w:sz="4" w:space="0" w:color="auto"/>
            </w:tcBorders>
            <w:vAlign w:val="center"/>
          </w:tcPr>
          <w:p w14:paraId="37DE127E" w14:textId="77777777" w:rsidR="00060B5C" w:rsidRDefault="00060B5C" w:rsidP="00397A29">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托管人职责</w:t>
            </w:r>
          </w:p>
        </w:tc>
        <w:tc>
          <w:tcPr>
            <w:tcW w:w="7117" w:type="dxa"/>
            <w:tcBorders>
              <w:top w:val="single" w:sz="4" w:space="0" w:color="auto"/>
              <w:left w:val="single" w:sz="4" w:space="0" w:color="auto"/>
              <w:bottom w:val="single" w:sz="4" w:space="0" w:color="auto"/>
              <w:right w:val="single" w:sz="4" w:space="0" w:color="auto"/>
            </w:tcBorders>
          </w:tcPr>
          <w:p w14:paraId="5D782D2F" w14:textId="77777777" w:rsidR="00060B5C" w:rsidRDefault="00060B5C" w:rsidP="00397A29">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主要提供包括账户开立、资金保管、资金结算、估值核对等理财产品托管服务。</w:t>
            </w:r>
          </w:p>
        </w:tc>
      </w:tr>
    </w:tbl>
    <w:p w14:paraId="182045CA" w14:textId="77777777" w:rsidR="00060B5C" w:rsidRDefault="00060B5C" w:rsidP="00060B5C">
      <w:pPr>
        <w:numPr>
          <w:ilvl w:val="0"/>
          <w:numId w:val="4"/>
        </w:numPr>
        <w:spacing w:line="300" w:lineRule="auto"/>
        <w:ind w:firstLineChars="202" w:firstLine="424"/>
        <w:rPr>
          <w:rFonts w:ascii="宋体" w:eastAsia="宋体" w:hAnsi="宋体" w:cs="宋体"/>
          <w:color w:val="000000"/>
          <w:kern w:val="0"/>
          <w:szCs w:val="21"/>
        </w:rPr>
      </w:pPr>
      <w:r>
        <w:rPr>
          <w:rFonts w:ascii="宋体" w:eastAsia="宋体" w:hAnsi="宋体" w:cs="宋体" w:hint="eastAsia"/>
          <w:color w:val="000000"/>
          <w:kern w:val="0"/>
          <w:szCs w:val="21"/>
        </w:rPr>
        <w:t>销售机构</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937"/>
        <w:gridCol w:w="1370"/>
        <w:gridCol w:w="3808"/>
      </w:tblGrid>
      <w:tr w:rsidR="00060B5C" w14:paraId="7FD32159" w14:textId="77777777" w:rsidTr="00397A29">
        <w:trPr>
          <w:jc w:val="center"/>
        </w:trPr>
        <w:tc>
          <w:tcPr>
            <w:tcW w:w="1141" w:type="dxa"/>
            <w:vMerge w:val="restart"/>
            <w:tcBorders>
              <w:top w:val="single" w:sz="4" w:space="0" w:color="auto"/>
              <w:left w:val="single" w:sz="4" w:space="0" w:color="auto"/>
              <w:right w:val="single" w:sz="4" w:space="0" w:color="auto"/>
            </w:tcBorders>
            <w:vAlign w:val="center"/>
          </w:tcPr>
          <w:p w14:paraId="29221D91"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销售机构信息</w:t>
            </w:r>
          </w:p>
        </w:tc>
        <w:tc>
          <w:tcPr>
            <w:tcW w:w="2937" w:type="dxa"/>
            <w:vMerge w:val="restart"/>
            <w:tcBorders>
              <w:top w:val="single" w:sz="4" w:space="0" w:color="auto"/>
              <w:left w:val="single" w:sz="4" w:space="0" w:color="auto"/>
              <w:right w:val="single" w:sz="4" w:space="0" w:color="auto"/>
            </w:tcBorders>
            <w:vAlign w:val="center"/>
          </w:tcPr>
          <w:p w14:paraId="1CD50C95"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szCs w:val="21"/>
              </w:rPr>
              <w:t>威海蓝海银行股份有限公司</w:t>
            </w:r>
          </w:p>
        </w:tc>
        <w:tc>
          <w:tcPr>
            <w:tcW w:w="1370" w:type="dxa"/>
            <w:tcBorders>
              <w:top w:val="single" w:sz="4" w:space="0" w:color="auto"/>
              <w:left w:val="single" w:sz="4" w:space="0" w:color="auto"/>
              <w:bottom w:val="single" w:sz="4" w:space="0" w:color="auto"/>
              <w:right w:val="single" w:sz="4" w:space="0" w:color="auto"/>
            </w:tcBorders>
            <w:vAlign w:val="center"/>
          </w:tcPr>
          <w:p w14:paraId="34507FDB"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住所</w:t>
            </w:r>
          </w:p>
        </w:tc>
        <w:tc>
          <w:tcPr>
            <w:tcW w:w="3808" w:type="dxa"/>
            <w:tcBorders>
              <w:top w:val="single" w:sz="4" w:space="0" w:color="auto"/>
              <w:left w:val="single" w:sz="4" w:space="0" w:color="auto"/>
              <w:bottom w:val="single" w:sz="4" w:space="0" w:color="auto"/>
              <w:right w:val="single" w:sz="4" w:space="0" w:color="auto"/>
            </w:tcBorders>
            <w:vAlign w:val="center"/>
          </w:tcPr>
          <w:p w14:paraId="0F45B23A" w14:textId="77777777" w:rsidR="00060B5C" w:rsidRDefault="00060B5C" w:rsidP="00397A29">
            <w:pPr>
              <w:spacing w:line="360" w:lineRule="auto"/>
              <w:jc w:val="center"/>
              <w:rPr>
                <w:rFonts w:ascii="宋体" w:eastAsia="宋体" w:hAnsi="宋体" w:cs="宋体"/>
                <w:bCs/>
                <w:highlight w:val="yellow"/>
              </w:rPr>
            </w:pPr>
            <w:r>
              <w:rPr>
                <w:rFonts w:ascii="宋体" w:eastAsia="宋体" w:hAnsi="宋体" w:cs="宋体" w:hint="eastAsia"/>
                <w:bCs/>
              </w:rPr>
              <w:t>山东省威海市环翠区新威路17-2号</w:t>
            </w:r>
          </w:p>
        </w:tc>
      </w:tr>
      <w:tr w:rsidR="00060B5C" w14:paraId="21272657" w14:textId="77777777" w:rsidTr="00397A29">
        <w:trPr>
          <w:jc w:val="center"/>
        </w:trPr>
        <w:tc>
          <w:tcPr>
            <w:tcW w:w="1141" w:type="dxa"/>
            <w:vMerge/>
            <w:tcBorders>
              <w:left w:val="single" w:sz="4" w:space="0" w:color="auto"/>
              <w:right w:val="single" w:sz="4" w:space="0" w:color="auto"/>
            </w:tcBorders>
            <w:vAlign w:val="center"/>
          </w:tcPr>
          <w:p w14:paraId="61B36212" w14:textId="77777777" w:rsidR="00060B5C" w:rsidRDefault="00060B5C" w:rsidP="00397A29">
            <w:pPr>
              <w:rPr>
                <w:rFonts w:ascii="宋体" w:eastAsia="宋体" w:hAnsi="宋体" w:cs="宋体"/>
                <w:szCs w:val="22"/>
              </w:rPr>
            </w:pPr>
          </w:p>
        </w:tc>
        <w:tc>
          <w:tcPr>
            <w:tcW w:w="2937" w:type="dxa"/>
            <w:vMerge/>
            <w:tcBorders>
              <w:left w:val="single" w:sz="4" w:space="0" w:color="auto"/>
              <w:bottom w:val="single" w:sz="4" w:space="0" w:color="auto"/>
              <w:right w:val="single" w:sz="4" w:space="0" w:color="auto"/>
            </w:tcBorders>
            <w:vAlign w:val="center"/>
          </w:tcPr>
          <w:p w14:paraId="39C6276E" w14:textId="77777777" w:rsidR="00060B5C" w:rsidRDefault="00060B5C" w:rsidP="00397A29">
            <w:pPr>
              <w:rPr>
                <w:rFonts w:ascii="宋体" w:eastAsia="宋体" w:hAnsi="宋体" w:cs="宋体"/>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01E3671B"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客服热线</w:t>
            </w:r>
          </w:p>
        </w:tc>
        <w:tc>
          <w:tcPr>
            <w:tcW w:w="3808" w:type="dxa"/>
            <w:tcBorders>
              <w:top w:val="single" w:sz="4" w:space="0" w:color="auto"/>
              <w:left w:val="single" w:sz="4" w:space="0" w:color="auto"/>
              <w:bottom w:val="single" w:sz="4" w:space="0" w:color="auto"/>
              <w:right w:val="single" w:sz="4" w:space="0" w:color="auto"/>
            </w:tcBorders>
            <w:vAlign w:val="center"/>
          </w:tcPr>
          <w:p w14:paraId="0BF71682" w14:textId="77777777" w:rsidR="00060B5C" w:rsidRDefault="00060B5C" w:rsidP="00397A29">
            <w:pPr>
              <w:spacing w:line="360" w:lineRule="auto"/>
              <w:jc w:val="center"/>
              <w:rPr>
                <w:rFonts w:ascii="宋体" w:eastAsia="宋体" w:hAnsi="宋体" w:cs="宋体"/>
                <w:bCs/>
                <w:highlight w:val="yellow"/>
              </w:rPr>
            </w:pPr>
            <w:r>
              <w:rPr>
                <w:rFonts w:ascii="宋体" w:eastAsia="宋体" w:hAnsi="宋体" w:cs="宋体" w:hint="eastAsia"/>
                <w:szCs w:val="21"/>
              </w:rPr>
              <w:t>400-0631-888</w:t>
            </w:r>
          </w:p>
        </w:tc>
      </w:tr>
      <w:tr w:rsidR="00060B5C" w14:paraId="79733AED" w14:textId="77777777" w:rsidTr="00397A29">
        <w:trPr>
          <w:jc w:val="center"/>
        </w:trPr>
        <w:tc>
          <w:tcPr>
            <w:tcW w:w="1141" w:type="dxa"/>
            <w:vMerge/>
            <w:tcBorders>
              <w:left w:val="single" w:sz="4" w:space="0" w:color="auto"/>
              <w:right w:val="single" w:sz="4" w:space="0" w:color="auto"/>
            </w:tcBorders>
            <w:vAlign w:val="center"/>
          </w:tcPr>
          <w:p w14:paraId="75F6890C" w14:textId="77777777" w:rsidR="00060B5C" w:rsidRDefault="00060B5C" w:rsidP="00397A29">
            <w:pPr>
              <w:rPr>
                <w:rFonts w:ascii="宋体" w:eastAsia="宋体" w:hAnsi="宋体" w:cs="宋体"/>
                <w:szCs w:val="22"/>
              </w:rPr>
            </w:pPr>
          </w:p>
        </w:tc>
        <w:tc>
          <w:tcPr>
            <w:tcW w:w="2937" w:type="dxa"/>
            <w:vMerge w:val="restart"/>
            <w:tcBorders>
              <w:left w:val="single" w:sz="4" w:space="0" w:color="auto"/>
              <w:right w:val="single" w:sz="4" w:space="0" w:color="auto"/>
            </w:tcBorders>
            <w:vAlign w:val="center"/>
          </w:tcPr>
          <w:p w14:paraId="0DF47DD2" w14:textId="77777777" w:rsidR="00060B5C" w:rsidRDefault="00060B5C" w:rsidP="00397A29">
            <w:pPr>
              <w:jc w:val="center"/>
              <w:rPr>
                <w:rFonts w:ascii="宋体" w:eastAsia="宋体" w:hAnsi="宋体" w:cs="宋体"/>
                <w:szCs w:val="22"/>
              </w:rPr>
            </w:pPr>
            <w:r>
              <w:rPr>
                <w:rFonts w:ascii="宋体" w:eastAsia="宋体" w:hAnsi="宋体" w:cs="宋体" w:hint="eastAsia"/>
                <w:szCs w:val="22"/>
              </w:rPr>
              <w:t>江苏紫金农村商业银行股份有限公司</w:t>
            </w:r>
          </w:p>
        </w:tc>
        <w:tc>
          <w:tcPr>
            <w:tcW w:w="1370" w:type="dxa"/>
            <w:tcBorders>
              <w:top w:val="single" w:sz="4" w:space="0" w:color="auto"/>
              <w:left w:val="single" w:sz="4" w:space="0" w:color="auto"/>
              <w:bottom w:val="single" w:sz="4" w:space="0" w:color="auto"/>
              <w:right w:val="single" w:sz="4" w:space="0" w:color="auto"/>
            </w:tcBorders>
            <w:vAlign w:val="center"/>
          </w:tcPr>
          <w:p w14:paraId="778BA519"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住所</w:t>
            </w:r>
          </w:p>
        </w:tc>
        <w:tc>
          <w:tcPr>
            <w:tcW w:w="3808" w:type="dxa"/>
            <w:tcBorders>
              <w:top w:val="single" w:sz="4" w:space="0" w:color="auto"/>
              <w:left w:val="single" w:sz="4" w:space="0" w:color="auto"/>
              <w:bottom w:val="single" w:sz="4" w:space="0" w:color="auto"/>
              <w:right w:val="single" w:sz="4" w:space="0" w:color="auto"/>
            </w:tcBorders>
            <w:vAlign w:val="center"/>
          </w:tcPr>
          <w:p w14:paraId="434998AF" w14:textId="77777777" w:rsidR="00060B5C" w:rsidRDefault="00060B5C" w:rsidP="00397A29">
            <w:pPr>
              <w:spacing w:line="360" w:lineRule="auto"/>
              <w:jc w:val="center"/>
              <w:rPr>
                <w:rFonts w:ascii="宋体" w:eastAsia="宋体" w:hAnsi="宋体" w:cs="宋体"/>
                <w:szCs w:val="21"/>
              </w:rPr>
            </w:pPr>
            <w:r>
              <w:rPr>
                <w:rFonts w:ascii="宋体" w:eastAsia="宋体" w:hAnsi="宋体" w:cs="宋体" w:hint="eastAsia"/>
                <w:szCs w:val="21"/>
              </w:rPr>
              <w:t>江苏省南京市建</w:t>
            </w:r>
            <w:proofErr w:type="gramStart"/>
            <w:r>
              <w:rPr>
                <w:rFonts w:ascii="宋体" w:eastAsia="宋体" w:hAnsi="宋体" w:cs="宋体" w:hint="eastAsia"/>
                <w:szCs w:val="21"/>
              </w:rPr>
              <w:t>邺</w:t>
            </w:r>
            <w:proofErr w:type="gramEnd"/>
            <w:r>
              <w:rPr>
                <w:rFonts w:ascii="宋体" w:eastAsia="宋体" w:hAnsi="宋体" w:cs="宋体" w:hint="eastAsia"/>
                <w:szCs w:val="21"/>
              </w:rPr>
              <w:t>区江东中路381号</w:t>
            </w:r>
          </w:p>
        </w:tc>
      </w:tr>
      <w:tr w:rsidR="00060B5C" w14:paraId="733DBF20" w14:textId="77777777" w:rsidTr="00397A29">
        <w:trPr>
          <w:jc w:val="center"/>
        </w:trPr>
        <w:tc>
          <w:tcPr>
            <w:tcW w:w="1141" w:type="dxa"/>
            <w:vMerge/>
            <w:tcBorders>
              <w:left w:val="single" w:sz="4" w:space="0" w:color="auto"/>
              <w:right w:val="single" w:sz="4" w:space="0" w:color="auto"/>
            </w:tcBorders>
            <w:vAlign w:val="center"/>
          </w:tcPr>
          <w:p w14:paraId="54A88FA1" w14:textId="77777777" w:rsidR="00060B5C" w:rsidRDefault="00060B5C" w:rsidP="00397A29">
            <w:pPr>
              <w:rPr>
                <w:rFonts w:ascii="宋体" w:eastAsia="宋体" w:hAnsi="宋体" w:cs="宋体"/>
                <w:szCs w:val="22"/>
              </w:rPr>
            </w:pPr>
          </w:p>
        </w:tc>
        <w:tc>
          <w:tcPr>
            <w:tcW w:w="2937" w:type="dxa"/>
            <w:vMerge/>
            <w:tcBorders>
              <w:left w:val="single" w:sz="4" w:space="0" w:color="auto"/>
              <w:bottom w:val="single" w:sz="4" w:space="0" w:color="auto"/>
              <w:right w:val="single" w:sz="4" w:space="0" w:color="auto"/>
            </w:tcBorders>
            <w:vAlign w:val="center"/>
          </w:tcPr>
          <w:p w14:paraId="619B054D" w14:textId="77777777" w:rsidR="00060B5C" w:rsidRDefault="00060B5C" w:rsidP="00397A29">
            <w:pPr>
              <w:rPr>
                <w:rFonts w:ascii="宋体" w:eastAsia="宋体" w:hAnsi="宋体" w:cs="宋体"/>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132757CE"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客服热线</w:t>
            </w:r>
          </w:p>
        </w:tc>
        <w:tc>
          <w:tcPr>
            <w:tcW w:w="3808" w:type="dxa"/>
            <w:tcBorders>
              <w:top w:val="single" w:sz="4" w:space="0" w:color="auto"/>
              <w:left w:val="single" w:sz="4" w:space="0" w:color="auto"/>
              <w:bottom w:val="single" w:sz="4" w:space="0" w:color="auto"/>
              <w:right w:val="single" w:sz="4" w:space="0" w:color="auto"/>
            </w:tcBorders>
            <w:vAlign w:val="center"/>
          </w:tcPr>
          <w:p w14:paraId="676044D6" w14:textId="77777777" w:rsidR="00060B5C" w:rsidRDefault="00060B5C" w:rsidP="00397A29">
            <w:pPr>
              <w:spacing w:line="360" w:lineRule="auto"/>
              <w:jc w:val="center"/>
              <w:rPr>
                <w:rFonts w:ascii="宋体" w:eastAsia="宋体" w:hAnsi="宋体" w:cs="宋体"/>
                <w:szCs w:val="21"/>
              </w:rPr>
            </w:pPr>
            <w:r>
              <w:rPr>
                <w:rFonts w:ascii="宋体" w:eastAsia="宋体" w:hAnsi="宋体" w:cs="宋体" w:hint="eastAsia"/>
                <w:szCs w:val="21"/>
              </w:rPr>
              <w:t>96008</w:t>
            </w:r>
          </w:p>
        </w:tc>
      </w:tr>
      <w:tr w:rsidR="00060B5C" w14:paraId="2E5875C3" w14:textId="77777777" w:rsidTr="00397A29">
        <w:trPr>
          <w:jc w:val="center"/>
        </w:trPr>
        <w:tc>
          <w:tcPr>
            <w:tcW w:w="1141" w:type="dxa"/>
            <w:vMerge/>
            <w:tcBorders>
              <w:left w:val="single" w:sz="4" w:space="0" w:color="auto"/>
              <w:right w:val="single" w:sz="4" w:space="0" w:color="auto"/>
            </w:tcBorders>
            <w:vAlign w:val="center"/>
          </w:tcPr>
          <w:p w14:paraId="22DA125B" w14:textId="77777777" w:rsidR="00060B5C" w:rsidRDefault="00060B5C" w:rsidP="00397A29">
            <w:pPr>
              <w:rPr>
                <w:rFonts w:ascii="宋体" w:eastAsia="宋体" w:hAnsi="宋体" w:cs="宋体"/>
                <w:szCs w:val="22"/>
              </w:rPr>
            </w:pPr>
          </w:p>
        </w:tc>
        <w:tc>
          <w:tcPr>
            <w:tcW w:w="2937" w:type="dxa"/>
            <w:vMerge w:val="restart"/>
            <w:tcBorders>
              <w:left w:val="single" w:sz="4" w:space="0" w:color="auto"/>
              <w:right w:val="single" w:sz="4" w:space="0" w:color="auto"/>
            </w:tcBorders>
            <w:vAlign w:val="center"/>
          </w:tcPr>
          <w:p w14:paraId="22FEFDE9" w14:textId="77777777" w:rsidR="00060B5C" w:rsidRDefault="00060B5C" w:rsidP="00397A29">
            <w:pPr>
              <w:jc w:val="center"/>
              <w:rPr>
                <w:rFonts w:ascii="宋体" w:eastAsia="宋体" w:hAnsi="宋体" w:cs="宋体"/>
                <w:szCs w:val="22"/>
              </w:rPr>
            </w:pPr>
            <w:r>
              <w:rPr>
                <w:rFonts w:ascii="宋体" w:eastAsia="宋体" w:hAnsi="宋体" w:cs="宋体" w:hint="eastAsia"/>
                <w:szCs w:val="22"/>
              </w:rPr>
              <w:t>中信银行股份有限公司</w:t>
            </w:r>
          </w:p>
        </w:tc>
        <w:tc>
          <w:tcPr>
            <w:tcW w:w="1370" w:type="dxa"/>
            <w:tcBorders>
              <w:top w:val="single" w:sz="4" w:space="0" w:color="auto"/>
              <w:left w:val="single" w:sz="4" w:space="0" w:color="auto"/>
              <w:bottom w:val="single" w:sz="4" w:space="0" w:color="auto"/>
              <w:right w:val="single" w:sz="4" w:space="0" w:color="auto"/>
            </w:tcBorders>
            <w:vAlign w:val="center"/>
          </w:tcPr>
          <w:p w14:paraId="2B5F86BF"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住所</w:t>
            </w:r>
          </w:p>
        </w:tc>
        <w:tc>
          <w:tcPr>
            <w:tcW w:w="3808" w:type="dxa"/>
            <w:tcBorders>
              <w:top w:val="single" w:sz="4" w:space="0" w:color="auto"/>
              <w:left w:val="single" w:sz="4" w:space="0" w:color="auto"/>
              <w:bottom w:val="single" w:sz="4" w:space="0" w:color="auto"/>
              <w:right w:val="single" w:sz="4" w:space="0" w:color="auto"/>
            </w:tcBorders>
            <w:vAlign w:val="center"/>
          </w:tcPr>
          <w:p w14:paraId="0AC12295" w14:textId="77777777" w:rsidR="00060B5C" w:rsidRDefault="00060B5C" w:rsidP="00397A29">
            <w:pPr>
              <w:jc w:val="center"/>
              <w:rPr>
                <w:rFonts w:ascii="宋体" w:eastAsia="宋体" w:hAnsi="宋体" w:cs="宋体"/>
                <w:szCs w:val="21"/>
              </w:rPr>
            </w:pPr>
            <w:r>
              <w:rPr>
                <w:rFonts w:ascii="宋体" w:eastAsia="宋体" w:hAnsi="宋体" w:cs="宋体" w:hint="eastAsia"/>
                <w:szCs w:val="21"/>
              </w:rPr>
              <w:t>北京市朝阳区光华路10号院1号楼6-30层、32-42层</w:t>
            </w:r>
          </w:p>
        </w:tc>
      </w:tr>
      <w:tr w:rsidR="00060B5C" w14:paraId="72AA7355" w14:textId="77777777" w:rsidTr="00397A29">
        <w:trPr>
          <w:jc w:val="center"/>
        </w:trPr>
        <w:tc>
          <w:tcPr>
            <w:tcW w:w="1141" w:type="dxa"/>
            <w:vMerge/>
            <w:tcBorders>
              <w:left w:val="single" w:sz="4" w:space="0" w:color="auto"/>
              <w:right w:val="single" w:sz="4" w:space="0" w:color="auto"/>
            </w:tcBorders>
            <w:vAlign w:val="center"/>
          </w:tcPr>
          <w:p w14:paraId="12AA8632" w14:textId="77777777" w:rsidR="00060B5C" w:rsidRDefault="00060B5C" w:rsidP="00397A29">
            <w:pPr>
              <w:rPr>
                <w:rFonts w:ascii="宋体" w:eastAsia="宋体" w:hAnsi="宋体" w:cs="宋体"/>
                <w:szCs w:val="22"/>
              </w:rPr>
            </w:pPr>
          </w:p>
        </w:tc>
        <w:tc>
          <w:tcPr>
            <w:tcW w:w="2937" w:type="dxa"/>
            <w:vMerge/>
            <w:tcBorders>
              <w:left w:val="single" w:sz="4" w:space="0" w:color="auto"/>
              <w:bottom w:val="single" w:sz="4" w:space="0" w:color="auto"/>
              <w:right w:val="single" w:sz="4" w:space="0" w:color="auto"/>
            </w:tcBorders>
            <w:vAlign w:val="center"/>
          </w:tcPr>
          <w:p w14:paraId="32EAE32A" w14:textId="77777777" w:rsidR="00060B5C" w:rsidRDefault="00060B5C" w:rsidP="00397A29">
            <w:pPr>
              <w:rPr>
                <w:rFonts w:ascii="宋体" w:eastAsia="宋体" w:hAnsi="宋体" w:cs="宋体"/>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7819822B"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客服热线</w:t>
            </w:r>
          </w:p>
        </w:tc>
        <w:tc>
          <w:tcPr>
            <w:tcW w:w="3808" w:type="dxa"/>
            <w:tcBorders>
              <w:top w:val="single" w:sz="4" w:space="0" w:color="auto"/>
              <w:left w:val="single" w:sz="4" w:space="0" w:color="auto"/>
              <w:bottom w:val="single" w:sz="4" w:space="0" w:color="auto"/>
              <w:right w:val="single" w:sz="4" w:space="0" w:color="auto"/>
            </w:tcBorders>
            <w:vAlign w:val="center"/>
          </w:tcPr>
          <w:p w14:paraId="05A3A981" w14:textId="77777777" w:rsidR="00060B5C" w:rsidRDefault="00060B5C" w:rsidP="00397A29">
            <w:pPr>
              <w:spacing w:line="360" w:lineRule="auto"/>
              <w:jc w:val="center"/>
              <w:rPr>
                <w:rFonts w:ascii="宋体" w:eastAsia="宋体" w:hAnsi="宋体" w:cs="宋体"/>
                <w:szCs w:val="21"/>
              </w:rPr>
            </w:pPr>
            <w:r>
              <w:rPr>
                <w:rFonts w:ascii="宋体" w:eastAsia="宋体" w:hAnsi="宋体" w:cs="宋体" w:hint="eastAsia"/>
                <w:szCs w:val="21"/>
              </w:rPr>
              <w:t>95558</w:t>
            </w:r>
          </w:p>
        </w:tc>
      </w:tr>
      <w:tr w:rsidR="00060B5C" w14:paraId="3C245B49" w14:textId="77777777" w:rsidTr="00397A29">
        <w:trPr>
          <w:jc w:val="center"/>
        </w:trPr>
        <w:tc>
          <w:tcPr>
            <w:tcW w:w="1141" w:type="dxa"/>
            <w:vMerge/>
            <w:tcBorders>
              <w:left w:val="single" w:sz="4" w:space="0" w:color="auto"/>
              <w:right w:val="single" w:sz="4" w:space="0" w:color="auto"/>
            </w:tcBorders>
            <w:vAlign w:val="center"/>
          </w:tcPr>
          <w:p w14:paraId="101769EF" w14:textId="77777777" w:rsidR="00060B5C" w:rsidRDefault="00060B5C" w:rsidP="00397A29">
            <w:pPr>
              <w:rPr>
                <w:rFonts w:ascii="宋体" w:eastAsia="宋体" w:hAnsi="宋体" w:cs="宋体"/>
                <w:szCs w:val="22"/>
              </w:rPr>
            </w:pPr>
          </w:p>
        </w:tc>
        <w:tc>
          <w:tcPr>
            <w:tcW w:w="2937" w:type="dxa"/>
            <w:vMerge w:val="restart"/>
            <w:tcBorders>
              <w:left w:val="single" w:sz="4" w:space="0" w:color="auto"/>
              <w:right w:val="single" w:sz="4" w:space="0" w:color="auto"/>
            </w:tcBorders>
            <w:vAlign w:val="center"/>
          </w:tcPr>
          <w:p w14:paraId="6D47B895" w14:textId="77777777" w:rsidR="00060B5C" w:rsidRDefault="00060B5C" w:rsidP="00397A29">
            <w:pPr>
              <w:jc w:val="center"/>
              <w:rPr>
                <w:rFonts w:ascii="宋体" w:eastAsia="宋体" w:hAnsi="宋体" w:cs="宋体"/>
                <w:szCs w:val="22"/>
              </w:rPr>
            </w:pPr>
            <w:r>
              <w:rPr>
                <w:rFonts w:ascii="宋体" w:eastAsia="宋体" w:hAnsi="宋体" w:cs="宋体" w:hint="eastAsia"/>
                <w:szCs w:val="22"/>
              </w:rPr>
              <w:t>九江银行股份有限公司</w:t>
            </w:r>
          </w:p>
        </w:tc>
        <w:tc>
          <w:tcPr>
            <w:tcW w:w="1370" w:type="dxa"/>
            <w:tcBorders>
              <w:top w:val="single" w:sz="4" w:space="0" w:color="auto"/>
              <w:left w:val="single" w:sz="4" w:space="0" w:color="auto"/>
              <w:bottom w:val="single" w:sz="4" w:space="0" w:color="auto"/>
              <w:right w:val="single" w:sz="4" w:space="0" w:color="auto"/>
            </w:tcBorders>
            <w:vAlign w:val="center"/>
          </w:tcPr>
          <w:p w14:paraId="73812642"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住所</w:t>
            </w:r>
          </w:p>
        </w:tc>
        <w:tc>
          <w:tcPr>
            <w:tcW w:w="3808" w:type="dxa"/>
            <w:tcBorders>
              <w:top w:val="single" w:sz="4" w:space="0" w:color="auto"/>
              <w:left w:val="single" w:sz="4" w:space="0" w:color="auto"/>
              <w:bottom w:val="single" w:sz="4" w:space="0" w:color="auto"/>
              <w:right w:val="single" w:sz="4" w:space="0" w:color="auto"/>
            </w:tcBorders>
            <w:vAlign w:val="center"/>
          </w:tcPr>
          <w:p w14:paraId="3CA5B52D" w14:textId="77777777" w:rsidR="00060B5C" w:rsidRDefault="00060B5C" w:rsidP="00397A29">
            <w:pPr>
              <w:spacing w:line="360" w:lineRule="auto"/>
              <w:jc w:val="center"/>
              <w:rPr>
                <w:rFonts w:ascii="宋体" w:eastAsia="宋体" w:hAnsi="宋体" w:cs="宋体"/>
                <w:szCs w:val="21"/>
              </w:rPr>
            </w:pPr>
            <w:r>
              <w:rPr>
                <w:rFonts w:ascii="宋体" w:eastAsia="宋体" w:hAnsi="宋体" w:cs="宋体" w:hint="eastAsia"/>
                <w:szCs w:val="21"/>
              </w:rPr>
              <w:t>江西省九江市</w:t>
            </w:r>
            <w:proofErr w:type="gramStart"/>
            <w:r>
              <w:rPr>
                <w:rFonts w:ascii="宋体" w:eastAsia="宋体" w:hAnsi="宋体" w:cs="宋体" w:hint="eastAsia"/>
                <w:szCs w:val="21"/>
              </w:rPr>
              <w:t>濂</w:t>
            </w:r>
            <w:proofErr w:type="gramEnd"/>
            <w:r>
              <w:rPr>
                <w:rFonts w:ascii="宋体" w:eastAsia="宋体" w:hAnsi="宋体" w:cs="宋体" w:hint="eastAsia"/>
                <w:szCs w:val="21"/>
              </w:rPr>
              <w:t>溪区长虹大道619号</w:t>
            </w:r>
          </w:p>
        </w:tc>
      </w:tr>
      <w:tr w:rsidR="00060B5C" w14:paraId="765117D2" w14:textId="77777777" w:rsidTr="00397A29">
        <w:trPr>
          <w:jc w:val="center"/>
        </w:trPr>
        <w:tc>
          <w:tcPr>
            <w:tcW w:w="1141" w:type="dxa"/>
            <w:vMerge/>
            <w:tcBorders>
              <w:left w:val="single" w:sz="4" w:space="0" w:color="auto"/>
              <w:bottom w:val="single" w:sz="4" w:space="0" w:color="auto"/>
              <w:right w:val="single" w:sz="4" w:space="0" w:color="auto"/>
            </w:tcBorders>
            <w:vAlign w:val="center"/>
          </w:tcPr>
          <w:p w14:paraId="59CED47D" w14:textId="77777777" w:rsidR="00060B5C" w:rsidRDefault="00060B5C" w:rsidP="00397A29">
            <w:pPr>
              <w:rPr>
                <w:rFonts w:ascii="宋体" w:eastAsia="宋体" w:hAnsi="宋体" w:cs="宋体"/>
                <w:szCs w:val="22"/>
              </w:rPr>
            </w:pPr>
          </w:p>
        </w:tc>
        <w:tc>
          <w:tcPr>
            <w:tcW w:w="2937" w:type="dxa"/>
            <w:vMerge/>
            <w:tcBorders>
              <w:left w:val="single" w:sz="4" w:space="0" w:color="auto"/>
              <w:bottom w:val="single" w:sz="4" w:space="0" w:color="auto"/>
              <w:right w:val="single" w:sz="4" w:space="0" w:color="auto"/>
            </w:tcBorders>
            <w:vAlign w:val="center"/>
          </w:tcPr>
          <w:p w14:paraId="6EBA987F" w14:textId="77777777" w:rsidR="00060B5C" w:rsidRDefault="00060B5C" w:rsidP="00397A29">
            <w:pPr>
              <w:rPr>
                <w:rFonts w:ascii="宋体" w:eastAsia="宋体" w:hAnsi="宋体" w:cs="宋体"/>
                <w:szCs w:val="22"/>
              </w:rPr>
            </w:pPr>
          </w:p>
        </w:tc>
        <w:tc>
          <w:tcPr>
            <w:tcW w:w="1370" w:type="dxa"/>
            <w:tcBorders>
              <w:top w:val="single" w:sz="4" w:space="0" w:color="auto"/>
              <w:left w:val="single" w:sz="4" w:space="0" w:color="auto"/>
              <w:bottom w:val="single" w:sz="4" w:space="0" w:color="auto"/>
              <w:right w:val="single" w:sz="4" w:space="0" w:color="auto"/>
            </w:tcBorders>
            <w:vAlign w:val="center"/>
          </w:tcPr>
          <w:p w14:paraId="07793F38"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t>客服热线</w:t>
            </w:r>
          </w:p>
        </w:tc>
        <w:tc>
          <w:tcPr>
            <w:tcW w:w="3808" w:type="dxa"/>
            <w:tcBorders>
              <w:top w:val="single" w:sz="4" w:space="0" w:color="auto"/>
              <w:left w:val="single" w:sz="4" w:space="0" w:color="auto"/>
              <w:bottom w:val="single" w:sz="4" w:space="0" w:color="auto"/>
              <w:right w:val="single" w:sz="4" w:space="0" w:color="auto"/>
            </w:tcBorders>
            <w:vAlign w:val="center"/>
          </w:tcPr>
          <w:p w14:paraId="517AFD37" w14:textId="77777777" w:rsidR="00060B5C" w:rsidRDefault="00060B5C" w:rsidP="00397A29">
            <w:pPr>
              <w:spacing w:line="360" w:lineRule="auto"/>
              <w:jc w:val="center"/>
              <w:rPr>
                <w:rFonts w:ascii="宋体" w:eastAsia="宋体" w:hAnsi="宋体" w:cs="宋体"/>
                <w:szCs w:val="21"/>
              </w:rPr>
            </w:pPr>
            <w:r>
              <w:rPr>
                <w:rFonts w:ascii="宋体" w:eastAsia="宋体" w:hAnsi="宋体" w:cs="宋体" w:hint="eastAsia"/>
                <w:szCs w:val="21"/>
              </w:rPr>
              <w:t>95316</w:t>
            </w:r>
          </w:p>
        </w:tc>
      </w:tr>
      <w:tr w:rsidR="00060B5C" w14:paraId="64332850" w14:textId="77777777" w:rsidTr="00397A29">
        <w:trPr>
          <w:jc w:val="center"/>
        </w:trPr>
        <w:tc>
          <w:tcPr>
            <w:tcW w:w="1141" w:type="dxa"/>
            <w:tcBorders>
              <w:top w:val="single" w:sz="4" w:space="0" w:color="auto"/>
              <w:left w:val="single" w:sz="4" w:space="0" w:color="auto"/>
              <w:bottom w:val="single" w:sz="4" w:space="0" w:color="auto"/>
              <w:right w:val="single" w:sz="4" w:space="0" w:color="auto"/>
            </w:tcBorders>
            <w:vAlign w:val="center"/>
          </w:tcPr>
          <w:p w14:paraId="200BC243" w14:textId="77777777" w:rsidR="00060B5C" w:rsidRDefault="00060B5C" w:rsidP="00397A29">
            <w:pPr>
              <w:spacing w:line="360" w:lineRule="auto"/>
              <w:jc w:val="center"/>
              <w:rPr>
                <w:rFonts w:ascii="宋体" w:eastAsia="宋体" w:hAnsi="宋体" w:cs="宋体"/>
                <w:bCs/>
              </w:rPr>
            </w:pPr>
            <w:r>
              <w:rPr>
                <w:rFonts w:ascii="宋体" w:eastAsia="宋体" w:hAnsi="宋体" w:cs="宋体" w:hint="eastAsia"/>
                <w:bCs/>
              </w:rPr>
              <w:lastRenderedPageBreak/>
              <w:t>销售机构职责</w:t>
            </w:r>
          </w:p>
        </w:tc>
        <w:tc>
          <w:tcPr>
            <w:tcW w:w="8115" w:type="dxa"/>
            <w:gridSpan w:val="3"/>
            <w:tcBorders>
              <w:top w:val="single" w:sz="4" w:space="0" w:color="auto"/>
              <w:left w:val="single" w:sz="4" w:space="0" w:color="auto"/>
              <w:bottom w:val="single" w:sz="4" w:space="0" w:color="auto"/>
              <w:right w:val="single" w:sz="4" w:space="0" w:color="auto"/>
            </w:tcBorders>
          </w:tcPr>
          <w:p w14:paraId="7E283843" w14:textId="77777777" w:rsidR="00060B5C" w:rsidRDefault="00060B5C" w:rsidP="00397A29">
            <w:pPr>
              <w:spacing w:line="360" w:lineRule="auto"/>
              <w:jc w:val="left"/>
              <w:rPr>
                <w:rFonts w:ascii="宋体" w:eastAsia="宋体" w:hAnsi="宋体" w:cs="宋体"/>
                <w:bCs/>
              </w:rPr>
            </w:pPr>
            <w:r>
              <w:rPr>
                <w:rFonts w:ascii="宋体" w:eastAsia="宋体" w:hAnsi="宋体" w:cs="宋体" w:hint="eastAsia"/>
                <w:bCs/>
              </w:rPr>
              <w:t>主要负责理财计划推广、投资者风险承受能力评估、投资者适当性管理、理财计划份额认购、申购及赎回办理。</w:t>
            </w:r>
          </w:p>
          <w:p w14:paraId="68035DD2" w14:textId="77777777" w:rsidR="00060B5C" w:rsidRDefault="00060B5C" w:rsidP="00397A29">
            <w:pPr>
              <w:spacing w:line="360" w:lineRule="auto"/>
              <w:jc w:val="left"/>
              <w:rPr>
                <w:rFonts w:ascii="宋体" w:eastAsia="宋体" w:hAnsi="宋体" w:cs="宋体"/>
                <w:bCs/>
              </w:rPr>
            </w:pPr>
            <w:r>
              <w:rPr>
                <w:rFonts w:ascii="宋体" w:eastAsia="宋体" w:hAnsi="宋体" w:cs="宋体" w:hint="eastAsia"/>
                <w:bCs/>
              </w:rPr>
              <w:t>协助管理人负责与投资者签订理财计划合同、与投资者沟通及进行信息披露、接受投资者咨询和客户维护等销售服务。</w:t>
            </w:r>
          </w:p>
        </w:tc>
      </w:tr>
    </w:tbl>
    <w:p w14:paraId="199E7BE7" w14:textId="77777777" w:rsidR="00060B5C" w:rsidRDefault="00060B5C" w:rsidP="00060B5C"/>
    <w:p w14:paraId="7004038A" w14:textId="77777777" w:rsidR="00060B5C" w:rsidRDefault="00060B5C" w:rsidP="00060B5C">
      <w:pPr>
        <w:pStyle w:val="a3"/>
        <w:numPr>
          <w:ilvl w:val="0"/>
          <w:numId w:val="1"/>
        </w:numPr>
        <w:jc w:val="both"/>
        <w:rPr>
          <w:rFonts w:ascii="宋体" w:eastAsia="宋体" w:hAnsi="宋体"/>
          <w:sz w:val="28"/>
        </w:rPr>
      </w:pPr>
      <w:r>
        <w:rPr>
          <w:rFonts w:ascii="宋体" w:eastAsia="宋体" w:hAnsi="宋体" w:hint="eastAsia"/>
          <w:sz w:val="28"/>
        </w:rPr>
        <w:t>其他</w:t>
      </w:r>
    </w:p>
    <w:p w14:paraId="6508AEEE" w14:textId="77777777" w:rsidR="00060B5C" w:rsidRDefault="00060B5C" w:rsidP="00060B5C">
      <w:pPr>
        <w:spacing w:line="360" w:lineRule="auto"/>
        <w:ind w:firstLineChars="200" w:firstLine="420"/>
        <w:rPr>
          <w:rFonts w:ascii="宋体" w:eastAsia="宋体" w:hAnsi="宋体" w:cs="宋体"/>
          <w:color w:val="000000"/>
          <w:kern w:val="0"/>
        </w:rPr>
      </w:pPr>
      <w:r>
        <w:rPr>
          <w:rFonts w:ascii="宋体" w:eastAsia="宋体" w:hAnsi="宋体" w:cs="宋体" w:hint="eastAsia"/>
          <w:color w:val="000000"/>
          <w:kern w:val="0"/>
        </w:rPr>
        <w:t>法律适用和争议解决</w:t>
      </w:r>
    </w:p>
    <w:p w14:paraId="192BCC96" w14:textId="77777777" w:rsidR="00060B5C" w:rsidRDefault="00060B5C" w:rsidP="00060B5C">
      <w:pPr>
        <w:spacing w:line="360" w:lineRule="auto"/>
        <w:ind w:firstLineChars="202" w:firstLine="424"/>
        <w:rPr>
          <w:rFonts w:ascii="宋体" w:eastAsia="宋体" w:hAnsi="宋体" w:cs="宋体"/>
          <w:color w:val="000000"/>
          <w:kern w:val="0"/>
        </w:rPr>
      </w:pPr>
      <w:r>
        <w:rPr>
          <w:rFonts w:ascii="宋体" w:eastAsia="宋体" w:hAnsi="宋体" w:cs="宋体" w:hint="eastAsia"/>
          <w:color w:val="000000"/>
          <w:kern w:val="0"/>
        </w:rPr>
        <w:t>理财计划合同的订立、生效、履行、解释、修改和终止等事项的适用法律和争议解决方式按照《杭银理财理财计划投资协议书》《杭银理财理财计划销售协议书》的相关约定执行。</w:t>
      </w:r>
    </w:p>
    <w:p w14:paraId="1736A80C" w14:textId="77777777" w:rsidR="00060B5C" w:rsidRPr="00060B5C" w:rsidRDefault="00060B5C"/>
    <w:sectPr w:rsidR="00060B5C" w:rsidRPr="00060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22ACC"/>
    <w:multiLevelType w:val="singleLevel"/>
    <w:tmpl w:val="CD822ACC"/>
    <w:lvl w:ilvl="0">
      <w:start w:val="1"/>
      <w:numFmt w:val="decimal"/>
      <w:suff w:val="space"/>
      <w:lvlText w:val="%1."/>
      <w:lvlJc w:val="left"/>
    </w:lvl>
  </w:abstractNum>
  <w:abstractNum w:abstractNumId="1" w15:restartNumberingAfterBreak="0">
    <w:nsid w:val="225D6F4E"/>
    <w:multiLevelType w:val="multilevel"/>
    <w:tmpl w:val="225D6F4E"/>
    <w:lvl w:ilvl="0">
      <w:start w:val="1"/>
      <w:numFmt w:val="chineseCountingThousand"/>
      <w:suff w:val="nothing"/>
      <w:lvlText w:val="（%1）"/>
      <w:lvlJc w:val="left"/>
      <w:pPr>
        <w:ind w:left="360" w:hanging="360"/>
      </w:pPr>
      <w:rPr>
        <w:rFonts w:ascii="Times New Roman" w:eastAsia="宋体"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15:restartNumberingAfterBreak="0">
    <w:nsid w:val="40D15568"/>
    <w:multiLevelType w:val="multilevel"/>
    <w:tmpl w:val="40D15568"/>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0" w:firstLine="0"/>
      </w:pPr>
      <w:rPr>
        <w:rFonts w:ascii="Times New Roman" w:eastAsia="宋体" w:hAnsi="Times New Roman" w:cs="Times New Roman"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04F3FF"/>
    <w:multiLevelType w:val="singleLevel"/>
    <w:tmpl w:val="5404F3FF"/>
    <w:lvl w:ilvl="0">
      <w:start w:val="1"/>
      <w:numFmt w:val="chineseCounting"/>
      <w:suff w:val="nothing"/>
      <w:lvlText w:val="（%1）"/>
      <w:lvlJc w:val="left"/>
      <w:rPr>
        <w:rFonts w:hint="eastAsia"/>
      </w:rPr>
    </w:lvl>
  </w:abstractNum>
  <w:num w:numId="1" w16cid:durableId="1271283305">
    <w:abstractNumId w:val="2"/>
  </w:num>
  <w:num w:numId="2" w16cid:durableId="1987321406">
    <w:abstractNumId w:val="0"/>
  </w:num>
  <w:num w:numId="3" w16cid:durableId="1869903885">
    <w:abstractNumId w:val="1"/>
  </w:num>
  <w:num w:numId="4" w16cid:durableId="179366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C"/>
    <w:rsid w:val="0006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F4A0"/>
  <w15:chartTrackingRefBased/>
  <w15:docId w15:val="{8681C181-89FA-4E71-9C49-4474424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B5C"/>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0B5C"/>
    <w:pPr>
      <w:spacing w:before="240" w:after="60" w:line="312" w:lineRule="auto"/>
      <w:jc w:val="center"/>
      <w:outlineLvl w:val="1"/>
    </w:pPr>
    <w:rPr>
      <w:rFonts w:ascii="Cambria" w:hAnsi="Cambria"/>
      <w:b/>
      <w:bCs/>
      <w:kern w:val="28"/>
      <w:sz w:val="32"/>
      <w:szCs w:val="32"/>
    </w:rPr>
  </w:style>
  <w:style w:type="character" w:customStyle="1" w:styleId="a4">
    <w:name w:val="副标题 字符"/>
    <w:basedOn w:val="a0"/>
    <w:link w:val="a3"/>
    <w:rsid w:val="00060B5C"/>
    <w:rPr>
      <w:rFonts w:ascii="Cambria" w:eastAsia="等线" w:hAnsi="Cambria" w:cs="Times New Roman"/>
      <w:b/>
      <w:bCs/>
      <w:kern w:val="28"/>
      <w:sz w:val="32"/>
      <w:szCs w:val="32"/>
    </w:rPr>
  </w:style>
  <w:style w:type="paragraph" w:customStyle="1" w:styleId="ListParagraph1">
    <w:name w:val="List Paragraph1"/>
    <w:basedOn w:val="a"/>
    <w:uiPriority w:val="99"/>
    <w:qFormat/>
    <w:rsid w:val="00060B5C"/>
    <w:pPr>
      <w:ind w:firstLineChars="200" w:firstLine="420"/>
    </w:pPr>
  </w:style>
  <w:style w:type="paragraph" w:customStyle="1" w:styleId="Default">
    <w:name w:val="Default"/>
    <w:qFormat/>
    <w:rsid w:val="00060B5C"/>
    <w:pPr>
      <w:widowControl w:val="0"/>
      <w:autoSpaceDE w:val="0"/>
      <w:autoSpaceDN w:val="0"/>
      <w:adjustRightInd w:val="0"/>
    </w:pPr>
    <w:rPr>
      <w:rFonts w:ascii="Wingdings" w:eastAsia="等线" w:hAnsi="Wingdings" w:cs="Wingdings"/>
      <w:color w:val="000000"/>
      <w:kern w:val="0"/>
      <w:sz w:val="24"/>
      <w:szCs w:val="24"/>
    </w:rPr>
  </w:style>
  <w:style w:type="paragraph" w:styleId="a5">
    <w:name w:val="List Paragraph"/>
    <w:basedOn w:val="a"/>
    <w:uiPriority w:val="99"/>
    <w:qFormat/>
    <w:rsid w:val="00060B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2394</Words>
  <Characters>13651</Characters>
  <Application>Microsoft Office Word</Application>
  <DocSecurity>0</DocSecurity>
  <Lines>113</Lines>
  <Paragraphs>32</Paragraphs>
  <ScaleCrop>false</ScaleCrop>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chi</dc:creator>
  <cp:keywords/>
  <dc:description/>
  <cp:lastModifiedBy>zhang chi</cp:lastModifiedBy>
  <cp:revision>1</cp:revision>
  <dcterms:created xsi:type="dcterms:W3CDTF">2022-10-24T01:31:00Z</dcterms:created>
  <dcterms:modified xsi:type="dcterms:W3CDTF">2022-10-24T01:32:00Z</dcterms:modified>
</cp:coreProperties>
</file>