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23026</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产品说明书</w:t>
      </w:r>
    </w:p>
    <w:p>
      <w:pPr>
        <w:rPr>
          <w:rFonts w:ascii="仿宋" w:hAnsi="仿宋" w:eastAsia="仿宋"/>
          <w:sz w:val="22"/>
        </w:rPr>
      </w:pPr>
      <w:r>
        <w:rPr>
          <w:rFonts w:hint="eastAsia" w:ascii="仿宋" w:hAnsi="仿宋" w:eastAsia="仿宋"/>
          <w:sz w:val="22"/>
        </w:rPr>
        <w:t>重要提示：</w:t>
      </w:r>
    </w:p>
    <w:p>
      <w:pPr>
        <w:pStyle w:val="13"/>
        <w:numPr>
          <w:ilvl w:val="0"/>
          <w:numId w:val="1"/>
        </w:numPr>
        <w:ind w:firstLineChars="0"/>
        <w:rPr>
          <w:rFonts w:ascii="仿宋" w:hAnsi="仿宋" w:eastAsia="仿宋"/>
          <w:sz w:val="22"/>
        </w:rPr>
      </w:pPr>
      <w:r>
        <w:rPr>
          <w:rFonts w:hint="eastAsia" w:ascii="仿宋" w:hAnsi="仿宋" w:eastAsia="仿宋"/>
          <w:sz w:val="22"/>
        </w:rPr>
        <w:t>本理财产品《产品说明书》与《理财产品协议书》、《风险揭示书》、《投资人权益须知》共同构成完整的不可分割的理财合同。</w:t>
      </w:r>
    </w:p>
    <w:p>
      <w:pPr>
        <w:pStyle w:val="13"/>
        <w:numPr>
          <w:ilvl w:val="0"/>
          <w:numId w:val="1"/>
        </w:numPr>
        <w:ind w:firstLineChars="0"/>
        <w:rPr>
          <w:rFonts w:ascii="仿宋" w:hAnsi="仿宋" w:eastAsia="仿宋"/>
          <w:sz w:val="22"/>
        </w:rPr>
      </w:pPr>
      <w:r>
        <w:rPr>
          <w:rFonts w:hint="eastAsia" w:ascii="仿宋" w:hAnsi="仿宋" w:eastAsia="仿宋"/>
          <w:sz w:val="22"/>
        </w:rPr>
        <w:t>本理财产品是净值型理财产品，有投资风险，不保障理财资金本金，不保证理财收益，最终收益以实际支付为准。客户存在损失全部本金和收益的风险。理财产品过往业绩不代表其未来表现，不等于理财产品实际收益，投资须谨慎。</w:t>
      </w:r>
    </w:p>
    <w:p>
      <w:pPr>
        <w:pStyle w:val="13"/>
        <w:numPr>
          <w:ilvl w:val="0"/>
          <w:numId w:val="1"/>
        </w:numPr>
        <w:ind w:firstLineChars="0"/>
        <w:rPr>
          <w:rFonts w:ascii="仿宋" w:hAnsi="仿宋" w:eastAsia="仿宋"/>
          <w:sz w:val="22"/>
        </w:rPr>
      </w:pPr>
      <w:r>
        <w:rPr>
          <w:rFonts w:hint="eastAsia" w:ascii="仿宋" w:hAnsi="仿宋" w:eastAsia="仿宋"/>
          <w:sz w:val="22"/>
        </w:rPr>
        <w:t>投资者承诺其用于认购理财计划的资金来源合法合规，</w:t>
      </w:r>
      <w:r>
        <w:rPr>
          <w:rFonts w:ascii="仿宋" w:hAnsi="仿宋" w:eastAsia="仿宋"/>
          <w:sz w:val="22"/>
        </w:rPr>
        <w:t>不存在使用贷款</w:t>
      </w:r>
      <w:r>
        <w:rPr>
          <w:rFonts w:hint="eastAsia" w:ascii="仿宋" w:hAnsi="仿宋" w:eastAsia="仿宋"/>
          <w:sz w:val="22"/>
        </w:rPr>
        <w:t>、</w:t>
      </w:r>
      <w:r>
        <w:rPr>
          <w:rFonts w:ascii="仿宋" w:hAnsi="仿宋" w:eastAsia="仿宋"/>
          <w:sz w:val="22"/>
        </w:rPr>
        <w:t>发行债券等筹集</w:t>
      </w:r>
      <w:r>
        <w:rPr>
          <w:rFonts w:hint="eastAsia" w:ascii="仿宋" w:hAnsi="仿宋" w:eastAsia="仿宋"/>
          <w:sz w:val="22"/>
        </w:rPr>
        <w:t>的非自有资金投资本理财产品的情形。</w:t>
      </w:r>
    </w:p>
    <w:p>
      <w:pPr>
        <w:pStyle w:val="13"/>
        <w:numPr>
          <w:ilvl w:val="0"/>
          <w:numId w:val="1"/>
        </w:numPr>
        <w:ind w:firstLineChars="0"/>
        <w:rPr>
          <w:rFonts w:ascii="仿宋" w:hAnsi="仿宋" w:eastAsia="仿宋"/>
          <w:sz w:val="22"/>
        </w:rPr>
      </w:pPr>
      <w:r>
        <w:rPr>
          <w:rFonts w:hint="eastAsia" w:ascii="仿宋" w:hAnsi="仿宋" w:eastAsia="仿宋"/>
          <w:sz w:val="22"/>
        </w:rPr>
        <w:t>投资者承诺投资本理财产品使用的资金为投资者合法持有，</w:t>
      </w:r>
      <w:r>
        <w:rPr>
          <w:rFonts w:ascii="仿宋" w:hAnsi="仿宋" w:eastAsia="仿宋"/>
          <w:sz w:val="22"/>
        </w:rPr>
        <w:t>不存在代他人持有或投资理财</w:t>
      </w:r>
      <w:r>
        <w:rPr>
          <w:rFonts w:hint="eastAsia" w:ascii="仿宋" w:hAnsi="仿宋" w:eastAsia="仿宋"/>
          <w:sz w:val="22"/>
        </w:rPr>
        <w:t>产品的情形；</w:t>
      </w:r>
      <w:r>
        <w:rPr>
          <w:rFonts w:ascii="仿宋" w:hAnsi="仿宋" w:eastAsia="仿宋"/>
          <w:sz w:val="22"/>
        </w:rPr>
        <w:t>资金来源合法合规</w:t>
      </w:r>
      <w:r>
        <w:rPr>
          <w:rFonts w:hint="eastAsia" w:ascii="仿宋" w:hAnsi="仿宋" w:eastAsia="仿宋"/>
          <w:sz w:val="22"/>
        </w:rPr>
        <w:t>，</w:t>
      </w:r>
      <w:r>
        <w:rPr>
          <w:rFonts w:ascii="仿宋" w:hAnsi="仿宋" w:eastAsia="仿宋"/>
          <w:sz w:val="22"/>
        </w:rPr>
        <w:t>仅为合法目的投资本理财产品</w:t>
      </w:r>
      <w:r>
        <w:rPr>
          <w:rFonts w:hint="eastAsia" w:ascii="仿宋" w:hAnsi="仿宋" w:eastAsia="仿宋"/>
          <w:sz w:val="22"/>
        </w:rPr>
        <w:t>，</w:t>
      </w:r>
      <w:r>
        <w:rPr>
          <w:rFonts w:ascii="仿宋" w:hAnsi="仿宋" w:eastAsia="仿宋"/>
          <w:sz w:val="22"/>
        </w:rPr>
        <w:t>如发生异常情况</w:t>
      </w:r>
      <w:r>
        <w:rPr>
          <w:rFonts w:hint="eastAsia" w:ascii="仿宋" w:hAnsi="仿宋" w:eastAsia="仿宋"/>
          <w:sz w:val="22"/>
        </w:rPr>
        <w:t>，</w:t>
      </w:r>
      <w:r>
        <w:rPr>
          <w:rFonts w:ascii="仿宋" w:hAnsi="仿宋" w:eastAsia="仿宋"/>
          <w:sz w:val="22"/>
        </w:rPr>
        <w:t>投资者将</w:t>
      </w:r>
      <w:r>
        <w:rPr>
          <w:rFonts w:hint="eastAsia" w:ascii="仿宋" w:hAnsi="仿宋" w:eastAsia="仿宋"/>
          <w:sz w:val="22"/>
        </w:rPr>
        <w:t>配合销售机构及管理人开展客户身份识别及尽职调查等反洗钱活动，</w:t>
      </w:r>
      <w:r>
        <w:rPr>
          <w:rFonts w:ascii="仿宋" w:hAnsi="仿宋" w:eastAsia="仿宋"/>
          <w:sz w:val="22"/>
        </w:rPr>
        <w:t>及时</w:t>
      </w:r>
      <w:r>
        <w:rPr>
          <w:rFonts w:hint="eastAsia" w:ascii="仿宋" w:hAnsi="仿宋" w:eastAsia="仿宋"/>
          <w:sz w:val="22"/>
        </w:rPr>
        <w:t>、</w:t>
      </w:r>
      <w:r>
        <w:rPr>
          <w:rFonts w:ascii="仿宋" w:hAnsi="仿宋" w:eastAsia="仿宋"/>
          <w:sz w:val="22"/>
        </w:rPr>
        <w:t>真实</w:t>
      </w:r>
      <w:r>
        <w:rPr>
          <w:rFonts w:hint="eastAsia" w:ascii="仿宋" w:hAnsi="仿宋" w:eastAsia="仿宋"/>
          <w:sz w:val="22"/>
        </w:rPr>
        <w:t>、</w:t>
      </w:r>
      <w:r>
        <w:rPr>
          <w:rFonts w:ascii="仿宋" w:hAnsi="仿宋" w:eastAsia="仿宋"/>
          <w:sz w:val="22"/>
        </w:rPr>
        <w:t>准</w:t>
      </w:r>
      <w:r>
        <w:rPr>
          <w:rFonts w:hint="eastAsia" w:ascii="仿宋" w:hAnsi="仿宋" w:eastAsia="仿宋"/>
          <w:sz w:val="22"/>
        </w:rPr>
        <w:t>确、完整提供身份信息及资金来源等信息。</w:t>
      </w:r>
    </w:p>
    <w:p>
      <w:pPr>
        <w:pStyle w:val="13"/>
        <w:numPr>
          <w:ilvl w:val="0"/>
          <w:numId w:val="1"/>
        </w:numPr>
        <w:ind w:firstLineChars="0"/>
        <w:rPr>
          <w:rFonts w:ascii="仿宋" w:hAnsi="仿宋" w:eastAsia="仿宋"/>
          <w:sz w:val="22"/>
        </w:rPr>
      </w:pPr>
      <w:r>
        <w:rPr>
          <w:rFonts w:hint="eastAsia" w:ascii="仿宋" w:hAnsi="仿宋" w:eastAsia="仿宋"/>
          <w:sz w:val="22"/>
        </w:rPr>
        <w:t>在购买理财产品前，投资者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pStyle w:val="13"/>
        <w:numPr>
          <w:ilvl w:val="0"/>
          <w:numId w:val="1"/>
        </w:numPr>
        <w:ind w:firstLineChars="0"/>
        <w:rPr>
          <w:rFonts w:ascii="仿宋" w:hAnsi="仿宋" w:eastAsia="仿宋"/>
          <w:sz w:val="22"/>
        </w:rPr>
      </w:pPr>
      <w:r>
        <w:rPr>
          <w:rFonts w:hint="eastAsia" w:ascii="仿宋" w:hAnsi="仿宋" w:eastAsia="仿宋"/>
          <w:sz w:val="22"/>
        </w:rPr>
        <w:t>在购买本理财计划后，</w:t>
      </w:r>
      <w:r>
        <w:rPr>
          <w:rFonts w:ascii="仿宋" w:hAnsi="仿宋" w:eastAsia="仿宋"/>
          <w:sz w:val="22"/>
        </w:rPr>
        <w:t>投资者应随时关注本理财计划的信息披露情况</w:t>
      </w:r>
      <w:r>
        <w:rPr>
          <w:rFonts w:hint="eastAsia" w:ascii="仿宋" w:hAnsi="仿宋" w:eastAsia="仿宋"/>
          <w:sz w:val="22"/>
        </w:rPr>
        <w:t>，</w:t>
      </w:r>
      <w:r>
        <w:rPr>
          <w:rFonts w:ascii="仿宋" w:hAnsi="仿宋" w:eastAsia="仿宋"/>
          <w:sz w:val="22"/>
        </w:rPr>
        <w:t>及时获取相关信息</w:t>
      </w:r>
      <w:r>
        <w:rPr>
          <w:rFonts w:hint="eastAsia" w:ascii="仿宋" w:hAnsi="仿宋" w:eastAsia="仿宋"/>
          <w:sz w:val="22"/>
        </w:rPr>
        <w:t>，相关信息以本《产品说明书》约定的信息披露方式披露为准。</w:t>
      </w:r>
    </w:p>
    <w:p>
      <w:pPr>
        <w:pStyle w:val="13"/>
        <w:numPr>
          <w:ilvl w:val="0"/>
          <w:numId w:val="1"/>
        </w:numPr>
        <w:ind w:firstLineChars="0"/>
        <w:rPr>
          <w:rFonts w:ascii="仿宋" w:hAnsi="仿宋" w:eastAsia="仿宋"/>
          <w:sz w:val="22"/>
        </w:rPr>
      </w:pPr>
      <w:r>
        <w:rPr>
          <w:rFonts w:hint="eastAsia" w:ascii="仿宋" w:hAnsi="仿宋" w:eastAsia="仿宋"/>
          <w:sz w:val="22"/>
        </w:rPr>
        <w:t>管理人对本理财计划的风险收益评级为</w:t>
      </w:r>
      <w:r>
        <w:rPr>
          <w:rFonts w:ascii="仿宋" w:hAnsi="仿宋" w:eastAsia="仿宋"/>
          <w:sz w:val="22"/>
        </w:rPr>
        <w:t>PR2</w:t>
      </w:r>
      <w:r>
        <w:rPr>
          <w:rFonts w:hint="eastAsia" w:ascii="仿宋" w:hAnsi="仿宋" w:eastAsia="仿宋"/>
          <w:sz w:val="22"/>
        </w:rPr>
        <w:t>（</w:t>
      </w:r>
      <w:r>
        <w:rPr>
          <w:rFonts w:ascii="仿宋" w:hAnsi="仿宋" w:eastAsia="仿宋"/>
          <w:sz w:val="22"/>
        </w:rPr>
        <w:t>中低风险</w:t>
      </w:r>
      <w:r>
        <w:rPr>
          <w:rFonts w:hint="eastAsia" w:ascii="仿宋" w:hAnsi="仿宋" w:eastAsia="仿宋"/>
          <w:sz w:val="22"/>
        </w:rPr>
        <w:t>），</w:t>
      </w:r>
      <w:r>
        <w:rPr>
          <w:rFonts w:ascii="仿宋" w:hAnsi="仿宋" w:eastAsia="仿宋"/>
          <w:sz w:val="22"/>
        </w:rPr>
        <w:t>本理财计划通过销售机构渠</w:t>
      </w:r>
      <w:r>
        <w:rPr>
          <w:rFonts w:hint="eastAsia" w:ascii="仿宋" w:hAnsi="仿宋" w:eastAsia="仿宋"/>
          <w:sz w:val="22"/>
        </w:rPr>
        <w:t>道销售的，</w:t>
      </w:r>
      <w:r>
        <w:rPr>
          <w:rFonts w:ascii="仿宋" w:hAnsi="仿宋" w:eastAsia="仿宋"/>
          <w:sz w:val="22"/>
        </w:rPr>
        <w:t>销售机构应当根据销售机构的方式和方法</w:t>
      </w:r>
      <w:r>
        <w:rPr>
          <w:rFonts w:hint="eastAsia" w:ascii="仿宋" w:hAnsi="仿宋" w:eastAsia="仿宋"/>
          <w:sz w:val="22"/>
        </w:rPr>
        <w:t>，</w:t>
      </w:r>
      <w:r>
        <w:rPr>
          <w:rFonts w:ascii="仿宋" w:hAnsi="仿宋" w:eastAsia="仿宋"/>
          <w:sz w:val="22"/>
        </w:rPr>
        <w:t>独立</w:t>
      </w:r>
      <w:r>
        <w:rPr>
          <w:rFonts w:hint="eastAsia" w:ascii="仿宋" w:hAnsi="仿宋" w:eastAsia="仿宋"/>
          <w:sz w:val="22"/>
        </w:rPr>
        <w:t>、</w:t>
      </w:r>
      <w:r>
        <w:rPr>
          <w:rFonts w:ascii="仿宋" w:hAnsi="仿宋" w:eastAsia="仿宋"/>
          <w:sz w:val="22"/>
        </w:rPr>
        <w:t>审慎地对销售</w:t>
      </w:r>
      <w:r>
        <w:rPr>
          <w:rFonts w:hint="eastAsia" w:ascii="仿宋" w:hAnsi="仿宋" w:eastAsia="仿宋"/>
          <w:sz w:val="22"/>
        </w:rPr>
        <w:t>的本理财计划进行销售评级，</w:t>
      </w:r>
      <w:r>
        <w:rPr>
          <w:rFonts w:ascii="仿宋" w:hAnsi="仿宋" w:eastAsia="仿宋"/>
          <w:sz w:val="22"/>
        </w:rPr>
        <w:t>销售评级与管理人评级结果不一致的</w:t>
      </w:r>
      <w:r>
        <w:rPr>
          <w:rFonts w:hint="eastAsia" w:ascii="仿宋" w:hAnsi="仿宋" w:eastAsia="仿宋"/>
          <w:sz w:val="22"/>
        </w:rPr>
        <w:t>，</w:t>
      </w:r>
      <w:r>
        <w:rPr>
          <w:rFonts w:ascii="仿宋" w:hAnsi="仿宋" w:eastAsia="仿宋"/>
          <w:sz w:val="22"/>
        </w:rPr>
        <w:t>销售机构应当采</w:t>
      </w:r>
      <w:r>
        <w:rPr>
          <w:rFonts w:hint="eastAsia" w:ascii="仿宋" w:hAnsi="仿宋" w:eastAsia="仿宋"/>
          <w:sz w:val="22"/>
        </w:rPr>
        <w:t>用对应较高风险等级的评级结果并予以披露，</w:t>
      </w:r>
      <w:r>
        <w:rPr>
          <w:rFonts w:ascii="仿宋" w:hAnsi="仿宋" w:eastAsia="仿宋"/>
          <w:sz w:val="22"/>
        </w:rPr>
        <w:t>本理财计划评级以销售机构最终披</w:t>
      </w:r>
      <w:r>
        <w:rPr>
          <w:rFonts w:hint="eastAsia" w:ascii="仿宋" w:hAnsi="仿宋" w:eastAsia="仿宋"/>
          <w:sz w:val="22"/>
        </w:rPr>
        <w:t>露的评级结果为准。</w:t>
      </w:r>
      <w:r>
        <w:rPr>
          <w:rFonts w:ascii="仿宋" w:hAnsi="仿宋" w:eastAsia="仿宋"/>
          <w:sz w:val="22"/>
        </w:rPr>
        <w:t>本理财计划收益特征为非保本浮动收益</w:t>
      </w:r>
      <w:r>
        <w:rPr>
          <w:rFonts w:hint="eastAsia" w:ascii="仿宋" w:hAnsi="仿宋" w:eastAsia="仿宋"/>
          <w:sz w:val="22"/>
        </w:rPr>
        <w:t>，</w:t>
      </w:r>
      <w:r>
        <w:rPr>
          <w:rFonts w:ascii="仿宋" w:hAnsi="仿宋" w:eastAsia="仿宋"/>
          <w:sz w:val="22"/>
        </w:rPr>
        <w:t>您的本金有可能会因市场变</w:t>
      </w:r>
      <w:r>
        <w:rPr>
          <w:rFonts w:hint="eastAsia" w:ascii="仿宋" w:hAnsi="仿宋" w:eastAsia="仿宋"/>
          <w:sz w:val="22"/>
        </w:rPr>
        <w:t>动蒙受重大损失，您应充分认识投资风险，谨慎投资。</w:t>
      </w:r>
    </w:p>
    <w:p>
      <w:pPr>
        <w:pStyle w:val="13"/>
        <w:numPr>
          <w:ilvl w:val="0"/>
          <w:numId w:val="1"/>
        </w:numPr>
        <w:ind w:firstLineChars="0"/>
        <w:rPr>
          <w:rFonts w:ascii="仿宋" w:hAnsi="仿宋" w:eastAsia="仿宋"/>
          <w:sz w:val="22"/>
        </w:rPr>
      </w:pPr>
      <w:r>
        <w:rPr>
          <w:rFonts w:hint="eastAsia" w:ascii="仿宋" w:hAnsi="仿宋" w:eastAsia="仿宋"/>
          <w:sz w:val="22"/>
        </w:rPr>
        <w:t>为贯彻落实银行业理财登记托管中心发布的《&lt;</w:t>
      </w:r>
      <w:r>
        <w:rPr>
          <w:rFonts w:ascii="仿宋" w:hAnsi="仿宋" w:eastAsia="仿宋"/>
          <w:sz w:val="22"/>
        </w:rPr>
        <w:t>中国银行保险监督管理委员会办公厅关于</w:t>
      </w:r>
      <w:r>
        <w:rPr>
          <w:rFonts w:hint="eastAsia" w:ascii="仿宋" w:hAnsi="仿宋" w:eastAsia="仿宋"/>
          <w:sz w:val="22"/>
        </w:rPr>
        <w:t>进一步做好银行理财登记工作有关事项的通知</w:t>
      </w:r>
      <w:r>
        <w:rPr>
          <w:rFonts w:ascii="仿宋" w:hAnsi="仿宋" w:eastAsia="仿宋"/>
          <w:sz w:val="22"/>
        </w:rPr>
        <w:t>&gt;实施细则</w:t>
      </w:r>
      <w:r>
        <w:rPr>
          <w:rFonts w:hint="eastAsia" w:ascii="仿宋" w:hAnsi="仿宋" w:eastAsia="仿宋"/>
          <w:sz w:val="22"/>
        </w:rPr>
        <w:t>》文件的精神及相关实施细则及《银行业理财登记托管中心关于&lt;</w:t>
      </w:r>
      <w:r>
        <w:rPr>
          <w:rFonts w:ascii="仿宋" w:hAnsi="仿宋" w:eastAsia="仿宋"/>
          <w:sz w:val="22"/>
        </w:rPr>
        <w:t>中国银保监会办公厅关于</w:t>
      </w:r>
      <w:r>
        <w:rPr>
          <w:rFonts w:hint="eastAsia" w:ascii="仿宋" w:hAnsi="仿宋" w:eastAsia="仿宋"/>
          <w:sz w:val="22"/>
        </w:rPr>
        <w:t>印发银行业金融机构监管数据标准化规范（2</w:t>
      </w:r>
      <w:r>
        <w:rPr>
          <w:rFonts w:ascii="仿宋" w:hAnsi="仿宋" w:eastAsia="仿宋"/>
          <w:sz w:val="22"/>
        </w:rPr>
        <w:t>019</w:t>
      </w:r>
      <w:r>
        <w:rPr>
          <w:rFonts w:hint="eastAsia" w:ascii="仿宋" w:hAnsi="仿宋" w:eastAsia="仿宋"/>
          <w:sz w:val="22"/>
        </w:rPr>
        <w:t>版）</w:t>
      </w:r>
      <w:r>
        <w:rPr>
          <w:rFonts w:ascii="仿宋" w:hAnsi="仿宋" w:eastAsia="仿宋"/>
          <w:sz w:val="22"/>
        </w:rPr>
        <w:t>&gt;数据报送工作的通知</w:t>
      </w:r>
      <w:r>
        <w:rPr>
          <w:rFonts w:hint="eastAsia" w:ascii="仿宋" w:hAnsi="仿宋" w:eastAsia="仿宋"/>
          <w:sz w:val="22"/>
        </w:rPr>
        <w:t>》</w:t>
      </w:r>
      <w:r>
        <w:rPr>
          <w:rFonts w:ascii="仿宋" w:hAnsi="仿宋" w:eastAsia="仿宋"/>
          <w:sz w:val="22"/>
        </w:rPr>
        <w:t>的要求</w:t>
      </w:r>
      <w:r>
        <w:rPr>
          <w:rFonts w:hint="eastAsia" w:ascii="仿宋" w:hAnsi="仿宋" w:eastAsia="仿宋"/>
          <w:sz w:val="22"/>
        </w:rPr>
        <w:t>，同时为确保投资者权益，浙江绍兴瑞丰农村商业银行股份有限公司（以下简称“瑞丰银行”）需将本期理财产品投资者身份信息及持有信息上报至银行业理财登记托管中心有限公司，相关信息仅用于理财产品投资登记，不用作其他用途。瑞丰银行将做好信息保密工作，充分确保投资者的个人信息安全。</w:t>
      </w:r>
      <w:r>
        <w:rPr>
          <w:rFonts w:ascii="仿宋" w:hAnsi="仿宋" w:eastAsia="仿宋"/>
          <w:sz w:val="22"/>
        </w:rPr>
        <w:t>后续银保监</w:t>
      </w:r>
      <w:r>
        <w:rPr>
          <w:rFonts w:hint="eastAsia" w:ascii="仿宋" w:hAnsi="仿宋" w:eastAsia="仿宋"/>
          <w:sz w:val="22"/>
        </w:rPr>
        <w:t>会和银行业理财登记托管中心等机关如果提出新的信息报送要求，瑞丰银行</w:t>
      </w:r>
      <w:r>
        <w:rPr>
          <w:rFonts w:ascii="仿宋" w:hAnsi="仿宋" w:eastAsia="仿宋"/>
          <w:sz w:val="22"/>
        </w:rPr>
        <w:t>将按照</w:t>
      </w:r>
      <w:r>
        <w:rPr>
          <w:rFonts w:hint="eastAsia" w:ascii="仿宋" w:hAnsi="仿宋" w:eastAsia="仿宋"/>
          <w:sz w:val="22"/>
        </w:rPr>
        <w:t>新要求执行，不再另行告知，</w:t>
      </w:r>
      <w:r>
        <w:rPr>
          <w:rFonts w:ascii="仿宋" w:hAnsi="仿宋" w:eastAsia="仿宋"/>
          <w:sz w:val="22"/>
        </w:rPr>
        <w:t>投资者需予以配合</w:t>
      </w:r>
      <w:r>
        <w:rPr>
          <w:rFonts w:hint="eastAsia" w:ascii="仿宋" w:hAnsi="仿宋" w:eastAsia="仿宋"/>
          <w:sz w:val="22"/>
        </w:rPr>
        <w:t>。</w:t>
      </w:r>
      <w:r>
        <w:rPr>
          <w:rFonts w:ascii="仿宋" w:hAnsi="仿宋" w:eastAsia="仿宋"/>
          <w:sz w:val="22"/>
        </w:rPr>
        <w:t>投资者签署本理财计划销售文件即视为已经同意</w:t>
      </w:r>
      <w:r>
        <w:rPr>
          <w:rFonts w:hint="eastAsia" w:ascii="仿宋" w:hAnsi="仿宋" w:eastAsia="仿宋"/>
          <w:sz w:val="22"/>
        </w:rPr>
        <w:t>瑞丰银行将按照相关机关要求报送投资者相关信息。</w:t>
      </w:r>
    </w:p>
    <w:p>
      <w:pPr>
        <w:pStyle w:val="13"/>
        <w:numPr>
          <w:ilvl w:val="0"/>
          <w:numId w:val="1"/>
        </w:numPr>
        <w:ind w:firstLineChars="0"/>
        <w:rPr>
          <w:rFonts w:ascii="仿宋" w:hAnsi="仿宋" w:eastAsia="仿宋"/>
          <w:sz w:val="22"/>
        </w:rPr>
      </w:pPr>
      <w:r>
        <w:rPr>
          <w:rFonts w:hint="eastAsia" w:ascii="仿宋" w:hAnsi="仿宋" w:eastAsia="仿宋"/>
          <w:sz w:val="22"/>
        </w:rPr>
        <w:t>本理财产品说明书的解释权归瑞丰银行所有。</w:t>
      </w:r>
    </w:p>
    <w:p>
      <w:pPr>
        <w:rPr>
          <w:rFonts w:hint="eastAsia" w:ascii="仿宋" w:hAnsi="仿宋" w:eastAsia="仿宋"/>
          <w:sz w:val="22"/>
          <w:lang w:eastAsia="zh-CN"/>
        </w:rPr>
      </w:pPr>
      <w:bookmarkStart w:id="0" w:name="_GoBack"/>
      <w:r>
        <w:rPr>
          <w:rFonts w:hint="eastAsia" w:ascii="仿宋" w:hAnsi="仿宋" w:eastAsia="仿宋"/>
          <w:sz w:val="22"/>
          <w:lang w:eastAsia="zh-CN"/>
        </w:rPr>
        <w:drawing>
          <wp:inline distT="0" distB="0" distL="114300" distR="114300">
            <wp:extent cx="3981450" cy="1914525"/>
            <wp:effectExtent l="0" t="0" r="0" b="9525"/>
            <wp:docPr id="2" name="图片 2" descr="风险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风险图"/>
                    <pic:cNvPicPr>
                      <a:picLocks noChangeAspect="1"/>
                    </pic:cNvPicPr>
                  </pic:nvPicPr>
                  <pic:blipFill>
                    <a:blip r:embed="rId6"/>
                    <a:stretch>
                      <a:fillRect/>
                    </a:stretch>
                  </pic:blipFill>
                  <pic:spPr>
                    <a:xfrm>
                      <a:off x="0" y="0"/>
                      <a:ext cx="3981450" cy="1914525"/>
                    </a:xfrm>
                    <a:prstGeom prst="rect">
                      <a:avLst/>
                    </a:prstGeom>
                  </pic:spPr>
                </pic:pic>
              </a:graphicData>
            </a:graphic>
          </wp:inline>
        </w:drawing>
      </w:r>
      <w:bookmarkEnd w:id="0"/>
    </w:p>
    <w:p>
      <w:pPr>
        <w:rPr>
          <w:rFonts w:ascii="仿宋" w:hAnsi="仿宋" w:eastAsia="仿宋"/>
          <w:sz w:val="22"/>
        </w:rPr>
      </w:pPr>
    </w:p>
    <w:p>
      <w:pPr>
        <w:jc w:val="center"/>
        <w:rPr>
          <w:rFonts w:ascii="仿宋" w:hAnsi="仿宋" w:eastAsia="仿宋"/>
          <w:sz w:val="22"/>
        </w:rPr>
      </w:pPr>
    </w:p>
    <w:p>
      <w:pPr>
        <w:rPr>
          <w:rFonts w:ascii="仿宋" w:hAnsi="仿宋" w:eastAsia="仿宋"/>
          <w:sz w:val="22"/>
        </w:rPr>
      </w:pPr>
      <w:r>
        <w:rPr>
          <w:rFonts w:hint="eastAsia" w:ascii="仿宋" w:hAnsi="仿宋" w:eastAsia="仿宋"/>
          <w:sz w:val="22"/>
        </w:rPr>
        <w:t>图示为产品风险评级和相关描述，仅为瑞丰银行内部评级，仅供参考。</w:t>
      </w:r>
    </w:p>
    <w:p>
      <w:pPr>
        <w:ind w:firstLine="442" w:firstLineChars="200"/>
        <w:rPr>
          <w:rFonts w:ascii="仿宋" w:hAnsi="仿宋" w:eastAsia="仿宋"/>
          <w:b/>
          <w:sz w:val="22"/>
        </w:rPr>
      </w:pPr>
      <w:r>
        <w:rPr>
          <w:rFonts w:hint="eastAsia" w:ascii="仿宋" w:hAnsi="仿宋" w:eastAsia="仿宋"/>
          <w:b/>
          <w:sz w:val="22"/>
        </w:rPr>
        <w:t>一、理财产品基本信息</w:t>
      </w:r>
    </w:p>
    <w:p>
      <w:pPr>
        <w:ind w:firstLine="424" w:firstLineChars="193"/>
        <w:rPr>
          <w:rFonts w:ascii="仿宋" w:hAnsi="仿宋" w:eastAsia="仿宋"/>
          <w:sz w:val="22"/>
        </w:rPr>
      </w:pPr>
      <w:r>
        <w:rPr>
          <w:rFonts w:hint="eastAsia" w:ascii="仿宋" w:hAnsi="仿宋" w:eastAsia="仿宋"/>
          <w:sz w:val="22"/>
        </w:rPr>
        <w:t>为便于投资者了解本理财产品的概要，管理人列举以下基本信息，</w:t>
      </w:r>
      <w:r>
        <w:rPr>
          <w:rFonts w:ascii="仿宋" w:hAnsi="仿宋" w:eastAsia="仿宋"/>
          <w:sz w:val="22"/>
        </w:rPr>
        <w:t>但并非管</w:t>
      </w:r>
      <w:r>
        <w:rPr>
          <w:rFonts w:hint="eastAsia" w:ascii="仿宋" w:hAnsi="仿宋" w:eastAsia="仿宋"/>
          <w:sz w:val="22"/>
        </w:rPr>
        <w:t>理人向投资者披露的全部信息。投资者在购买本理财产品前，须全面阅读并确保充分知悉理财产品合同的各部分信息，以全面了解本理财产品的所有事项。</w:t>
      </w:r>
    </w:p>
    <w:tbl>
      <w:tblPr>
        <w:tblStyle w:val="7"/>
        <w:tblW w:w="9660" w:type="dxa"/>
        <w:tblInd w:w="-5" w:type="dxa"/>
        <w:tblLayout w:type="autofit"/>
        <w:tblCellMar>
          <w:top w:w="0" w:type="dxa"/>
          <w:left w:w="108" w:type="dxa"/>
          <w:bottom w:w="0" w:type="dxa"/>
          <w:right w:w="108" w:type="dxa"/>
        </w:tblCellMar>
      </w:tblPr>
      <w:tblGrid>
        <w:gridCol w:w="1480"/>
        <w:gridCol w:w="8180"/>
      </w:tblGrid>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产品名称</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瑞丰银行禧瑞尊赢</w:t>
            </w:r>
            <w:r>
              <w:rPr>
                <w:rFonts w:hint="eastAsia" w:ascii="仿宋" w:hAnsi="仿宋" w:eastAsia="仿宋"/>
                <w:sz w:val="22"/>
                <w:lang w:eastAsia="zh-CN"/>
              </w:rPr>
              <w:t>23026</w:t>
            </w:r>
            <w:r>
              <w:rPr>
                <w:rFonts w:hint="eastAsia" w:ascii="仿宋" w:hAnsi="仿宋" w:eastAsia="仿宋"/>
                <w:sz w:val="22"/>
              </w:rPr>
              <w:t>期封闭式净值型理财产品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理财产品运作模式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封闭式净值型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投资性质</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固定收益类</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理财产品代码</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sz w:val="22"/>
                <w:lang w:eastAsia="zh-CN"/>
              </w:rPr>
            </w:pPr>
            <w:r>
              <w:rPr>
                <w:rFonts w:hint="eastAsia" w:ascii="仿宋" w:hAnsi="仿宋" w:eastAsia="仿宋"/>
                <w:sz w:val="22"/>
              </w:rPr>
              <w:t>XRZY</w:t>
            </w:r>
            <w:r>
              <w:rPr>
                <w:rFonts w:hint="eastAsia" w:ascii="仿宋" w:hAnsi="仿宋" w:eastAsia="仿宋"/>
                <w:sz w:val="22"/>
                <w:lang w:eastAsia="zh-CN"/>
              </w:rPr>
              <w:t>23026</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产品登记编码</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C1124823000076（客户可依据编码在中国理财网查询产品信息）</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理财产品适合客户类型</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瑞丰银行个人客户和机构投资者</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销售渠道</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柜面及电子渠道</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发行币种</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人民币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募集方式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公募发行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产品管理人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浙江绍兴瑞丰农村商业银行股份有限公司（或瑞丰银行）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产品托管人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招商银行股份有限公司杭州分行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规模</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不超过</w:t>
            </w:r>
            <w:r>
              <w:rPr>
                <w:rFonts w:ascii="仿宋" w:hAnsi="仿宋" w:eastAsia="仿宋"/>
                <w:sz w:val="22"/>
              </w:rPr>
              <w:t>5</w:t>
            </w:r>
            <w:r>
              <w:rPr>
                <w:rFonts w:hint="eastAsia" w:ascii="仿宋" w:hAnsi="仿宋" w:eastAsia="仿宋"/>
                <w:sz w:val="22"/>
              </w:rPr>
              <w:t>亿元，最终以具体募集为准。</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认购期</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7</w:t>
            </w:r>
            <w:r>
              <w:rPr>
                <w:rFonts w:ascii="仿宋" w:hAnsi="仿宋" w:eastAsia="仿宋"/>
                <w:sz w:val="22"/>
              </w:rPr>
              <w:t>月</w:t>
            </w:r>
            <w:r>
              <w:rPr>
                <w:rFonts w:hint="eastAsia" w:ascii="仿宋" w:hAnsi="仿宋" w:eastAsia="仿宋"/>
                <w:sz w:val="22"/>
                <w:lang w:val="en-US" w:eastAsia="zh-CN"/>
              </w:rPr>
              <w:t>29</w:t>
            </w:r>
            <w:r>
              <w:rPr>
                <w:rFonts w:ascii="仿宋" w:hAnsi="仿宋" w:eastAsia="仿宋"/>
                <w:sz w:val="22"/>
              </w:rPr>
              <w:t>日至</w:t>
            </w: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8</w:t>
            </w:r>
            <w:r>
              <w:rPr>
                <w:rFonts w:ascii="仿宋" w:hAnsi="仿宋" w:eastAsia="仿宋"/>
                <w:sz w:val="22"/>
              </w:rPr>
              <w:t>月</w:t>
            </w:r>
            <w:r>
              <w:rPr>
                <w:rFonts w:hint="eastAsia" w:ascii="仿宋" w:hAnsi="仿宋" w:eastAsia="仿宋"/>
                <w:sz w:val="22"/>
                <w:lang w:val="en-US" w:eastAsia="zh-CN"/>
              </w:rPr>
              <w:t>7</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首次认购价格</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每份理财份额人民币</w:t>
            </w:r>
            <w:r>
              <w:rPr>
                <w:rFonts w:ascii="仿宋" w:hAnsi="仿宋" w:eastAsia="仿宋"/>
                <w:sz w:val="22"/>
              </w:rPr>
              <w:t>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份额</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认购份额</w:t>
            </w:r>
            <w:r>
              <w:rPr>
                <w:rFonts w:ascii="仿宋" w:hAnsi="仿宋" w:eastAsia="仿宋"/>
                <w:sz w:val="22"/>
              </w:rPr>
              <w:t>=认购金额/1元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起点金额</w:t>
            </w:r>
          </w:p>
        </w:tc>
        <w:tc>
          <w:tcPr>
            <w:tcW w:w="8180" w:type="dxa"/>
            <w:tcBorders>
              <w:top w:val="nil"/>
              <w:left w:val="nil"/>
              <w:bottom w:val="single" w:color="auto" w:sz="4" w:space="0"/>
              <w:right w:val="single" w:color="auto" w:sz="4" w:space="0"/>
            </w:tcBorders>
            <w:shd w:val="clear" w:color="auto" w:fill="auto"/>
            <w:vAlign w:val="center"/>
          </w:tcPr>
          <w:p>
            <w:pPr>
              <w:rPr>
                <w:rFonts w:ascii="仿宋" w:hAnsi="仿宋" w:eastAsia="仿宋"/>
                <w:sz w:val="22"/>
              </w:rPr>
            </w:pPr>
            <w:r>
              <w:rPr>
                <w:rFonts w:hint="eastAsia" w:ascii="仿宋" w:hAnsi="仿宋" w:eastAsia="仿宋"/>
                <w:sz w:val="22"/>
              </w:rPr>
              <w:t>认购</w:t>
            </w:r>
            <w:r>
              <w:rPr>
                <w:rFonts w:ascii="仿宋" w:hAnsi="仿宋" w:eastAsia="仿宋"/>
                <w:sz w:val="22"/>
              </w:rPr>
              <w:t>起点金额为</w:t>
            </w:r>
            <w:r>
              <w:rPr>
                <w:rFonts w:hint="eastAsia" w:ascii="仿宋" w:hAnsi="仿宋" w:eastAsia="仿宋"/>
                <w:sz w:val="22"/>
                <w:lang w:val="en-US" w:eastAsia="zh-CN"/>
              </w:rPr>
              <w:t>5</w:t>
            </w:r>
            <w:r>
              <w:rPr>
                <w:rFonts w:ascii="仿宋" w:hAnsi="仿宋" w:eastAsia="仿宋"/>
                <w:sz w:val="22"/>
              </w:rPr>
              <w:t>万元，高于</w:t>
            </w:r>
            <w:r>
              <w:rPr>
                <w:rFonts w:hint="eastAsia" w:ascii="仿宋" w:hAnsi="仿宋" w:eastAsia="仿宋"/>
                <w:sz w:val="22"/>
              </w:rPr>
              <w:t>认购</w:t>
            </w:r>
            <w:r>
              <w:rPr>
                <w:rFonts w:ascii="仿宋" w:hAnsi="仿宋" w:eastAsia="仿宋"/>
                <w:sz w:val="22"/>
              </w:rPr>
              <w:t>起点金额以人民币10000元的整数倍递增。</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8</w:t>
            </w:r>
            <w:r>
              <w:rPr>
                <w:rFonts w:ascii="仿宋" w:hAnsi="仿宋" w:eastAsia="仿宋"/>
                <w:sz w:val="22"/>
              </w:rPr>
              <w:t>月</w:t>
            </w:r>
            <w:r>
              <w:rPr>
                <w:rFonts w:hint="eastAsia" w:ascii="仿宋" w:hAnsi="仿宋" w:eastAsia="仿宋"/>
                <w:sz w:val="22"/>
                <w:lang w:val="en-US" w:eastAsia="zh-CN"/>
              </w:rPr>
              <w:t>8</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产品到期日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12</w:t>
            </w:r>
            <w:r>
              <w:rPr>
                <w:rFonts w:ascii="仿宋" w:hAnsi="仿宋" w:eastAsia="仿宋"/>
                <w:sz w:val="22"/>
              </w:rPr>
              <w:t>月</w:t>
            </w:r>
            <w:r>
              <w:rPr>
                <w:rFonts w:hint="eastAsia" w:ascii="仿宋" w:hAnsi="仿宋" w:eastAsia="仿宋"/>
                <w:sz w:val="22"/>
                <w:lang w:val="en-US" w:eastAsia="zh-CN"/>
              </w:rPr>
              <w:t>12</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期限</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126</w:t>
            </w:r>
            <w:r>
              <w:rPr>
                <w:rFonts w:hint="eastAsia" w:ascii="仿宋" w:hAnsi="仿宋" w:eastAsia="仿宋"/>
                <w:sz w:val="22"/>
              </w:rPr>
              <w:t>天</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1、认购期届满，累计募集金额达到理财规模或银行认可的规模，理财产品成立。</w:t>
            </w:r>
            <w:r>
              <w:rPr>
                <w:rFonts w:hint="eastAsia" w:ascii="仿宋" w:hAnsi="仿宋" w:eastAsia="仿宋"/>
                <w:sz w:val="22"/>
              </w:rPr>
              <w:br w:type="textWrapping"/>
            </w:r>
            <w:r>
              <w:rPr>
                <w:rFonts w:hint="eastAsia" w:ascii="仿宋" w:hAnsi="仿宋" w:eastAsia="仿宋"/>
                <w:sz w:val="22"/>
              </w:rPr>
              <w:t>2、认购期结束时，若认购期内募集资金累计金额低于100万元，或未达到银行认可的规模，则本理财产品不成立。此种情况下，将客户认购资金在认购期结束后2个工作日内(如遇国家法定节假日顺延)退还客户。</w:t>
            </w:r>
          </w:p>
          <w:p>
            <w:pPr>
              <w:widowControl/>
              <w:jc w:val="left"/>
              <w:rPr>
                <w:rFonts w:ascii="仿宋" w:hAnsi="仿宋" w:eastAsia="仿宋"/>
                <w:sz w:val="22"/>
              </w:rPr>
            </w:pPr>
            <w:r>
              <w:rPr>
                <w:rFonts w:hint="eastAsia" w:ascii="仿宋" w:hAnsi="仿宋" w:eastAsia="仿宋"/>
                <w:sz w:val="22"/>
              </w:rPr>
              <w:t>3、投资者可于认购结束时间前撤销认购，该时点后不得撤销。</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、适用的节假日调整惯例：如遇国家法定节假日，理财产品延后至节假日后2个工作日内成立。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产品业绩比较基准</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ascii="仿宋" w:hAnsi="仿宋" w:eastAsia="仿宋"/>
                <w:sz w:val="22"/>
              </w:rPr>
              <w:t>1、本理财产品为净值型产品，其业绩表现将随市场波动，具有不确定性。</w:t>
            </w:r>
          </w:p>
          <w:p>
            <w:pPr>
              <w:widowControl/>
              <w:jc w:val="left"/>
              <w:rPr>
                <w:rFonts w:ascii="仿宋" w:hAnsi="仿宋" w:eastAsia="仿宋"/>
                <w:sz w:val="22"/>
              </w:rPr>
            </w:pPr>
            <w:r>
              <w:rPr>
                <w:rFonts w:ascii="仿宋" w:hAnsi="仿宋" w:eastAsia="仿宋"/>
                <w:sz w:val="22"/>
              </w:rPr>
              <w:t>2、本理财产品根据产品说明书约定的投资范围内各类资产的收益率水平、投资比例、市场情况进行静态测算和情景分析，本运作周期业绩比较基准为年化</w:t>
            </w:r>
            <w:r>
              <w:rPr>
                <w:rFonts w:hint="eastAsia" w:ascii="仿宋" w:hAnsi="仿宋" w:eastAsia="仿宋"/>
                <w:sz w:val="22"/>
                <w:lang w:val="en-US" w:eastAsia="zh-CN"/>
              </w:rPr>
              <w:t>2.90</w:t>
            </w:r>
            <w:r>
              <w:rPr>
                <w:rFonts w:ascii="仿宋" w:hAnsi="仿宋" w:eastAsia="仿宋"/>
                <w:sz w:val="22"/>
              </w:rPr>
              <w:t>%。</w:t>
            </w:r>
          </w:p>
          <w:p>
            <w:pPr>
              <w:widowControl/>
              <w:jc w:val="left"/>
              <w:rPr>
                <w:rFonts w:ascii="仿宋" w:hAnsi="仿宋" w:eastAsia="仿宋"/>
                <w:sz w:val="22"/>
              </w:rPr>
            </w:pPr>
            <w:r>
              <w:rPr>
                <w:rFonts w:hint="eastAsia" w:ascii="仿宋" w:hAnsi="仿宋" w:eastAsia="仿宋"/>
                <w:b/>
                <w:sz w:val="22"/>
              </w:rPr>
              <w:t>业绩比较基准不是预期收益率，不代表产品的未来表现和实际收益，不构成对产品收益的承诺。</w:t>
            </w:r>
            <w:r>
              <w:rPr>
                <w:rFonts w:hint="eastAsia" w:ascii="仿宋" w:hAnsi="仿宋" w:eastAsia="仿宋"/>
                <w:b/>
                <w:bCs/>
                <w:sz w:val="22"/>
              </w:rPr>
              <w:t>瑞丰银行将根据市场情况调整业绩比较基准，并将提前</w:t>
            </w:r>
            <w:r>
              <w:rPr>
                <w:rFonts w:ascii="仿宋" w:hAnsi="仿宋" w:eastAsia="仿宋"/>
                <w:b/>
                <w:bCs/>
                <w:sz w:val="22"/>
              </w:rPr>
              <w:t>2个工作日公告。理财产品过往业绩亦不代表其未来表现，不等于理财产品实际收益，投资需谨慎。</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理财产品费用及其他费用</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理财产品费用计提方法、计提标准和支付方式：</w:t>
            </w:r>
            <w:r>
              <w:rPr>
                <w:rFonts w:hint="eastAsia" w:ascii="仿宋" w:hAnsi="仿宋" w:eastAsia="仿宋"/>
                <w:sz w:val="22"/>
              </w:rPr>
              <w:br w:type="textWrapping"/>
            </w:r>
            <w:r>
              <w:rPr>
                <w:rFonts w:hint="eastAsia" w:ascii="仿宋" w:hAnsi="仿宋" w:eastAsia="仿宋"/>
                <w:sz w:val="22"/>
              </w:rPr>
              <w:t>1、托管费</w:t>
            </w:r>
            <w:r>
              <w:rPr>
                <w:rFonts w:hint="eastAsia" w:ascii="仿宋" w:hAnsi="仿宋" w:eastAsia="仿宋"/>
                <w:sz w:val="22"/>
              </w:rPr>
              <w:br w:type="textWrapping"/>
            </w:r>
            <w:r>
              <w:rPr>
                <w:rFonts w:hint="eastAsia" w:ascii="仿宋" w:hAnsi="仿宋" w:eastAsia="仿宋"/>
                <w:sz w:val="22"/>
              </w:rPr>
              <w:t>本理财产品托管费为年化</w:t>
            </w:r>
            <w:r>
              <w:rPr>
                <w:rFonts w:ascii="仿宋" w:hAnsi="仿宋" w:eastAsia="仿宋"/>
                <w:sz w:val="22"/>
              </w:rPr>
              <w:t>0.01%，每日计提。</w:t>
            </w:r>
          </w:p>
          <w:p>
            <w:pPr>
              <w:widowControl/>
              <w:jc w:val="left"/>
              <w:rPr>
                <w:rFonts w:ascii="仿宋" w:hAnsi="仿宋" w:eastAsia="仿宋"/>
                <w:sz w:val="22"/>
              </w:rPr>
            </w:pPr>
            <w:r>
              <w:rPr>
                <w:rFonts w:hint="eastAsia" w:ascii="仿宋" w:hAnsi="仿宋" w:eastAsia="仿宋"/>
                <w:sz w:val="22"/>
              </w:rPr>
              <w:t>2、固定管理费</w:t>
            </w:r>
          </w:p>
          <w:p>
            <w:pPr>
              <w:widowControl/>
              <w:jc w:val="left"/>
              <w:rPr>
                <w:rFonts w:ascii="仿宋" w:hAnsi="仿宋" w:eastAsia="仿宋"/>
                <w:sz w:val="22"/>
              </w:rPr>
            </w:pPr>
            <w:r>
              <w:rPr>
                <w:rFonts w:hint="eastAsia" w:ascii="仿宋" w:hAnsi="仿宋" w:eastAsia="仿宋"/>
                <w:sz w:val="22"/>
              </w:rPr>
              <w:t>本理财产品固定管理费按照产品前一日资产净值的</w:t>
            </w:r>
            <w:r>
              <w:rPr>
                <w:rFonts w:ascii="仿宋" w:hAnsi="仿宋" w:eastAsia="仿宋"/>
                <w:sz w:val="22"/>
              </w:rPr>
              <w:t>0.30%年化费率计提，按日计提，按产品存续期限支付。</w:t>
            </w:r>
          </w:p>
          <w:p>
            <w:pPr>
              <w:widowControl/>
              <w:jc w:val="left"/>
              <w:rPr>
                <w:rFonts w:ascii="仿宋" w:hAnsi="仿宋" w:eastAsia="仿宋"/>
                <w:sz w:val="22"/>
              </w:rPr>
            </w:pPr>
            <w:r>
              <w:rPr>
                <w:rFonts w:hint="eastAsia" w:ascii="仿宋" w:hAnsi="仿宋" w:eastAsia="仿宋"/>
                <w:sz w:val="22"/>
              </w:rPr>
              <w:t>管理人有权调整固定管理费，并提前2个工作日公告。</w:t>
            </w:r>
            <w:r>
              <w:rPr>
                <w:rFonts w:hint="eastAsia" w:ascii="仿宋" w:hAnsi="仿宋" w:eastAsia="仿宋"/>
                <w:sz w:val="22"/>
              </w:rPr>
              <w:br w:type="textWrapping"/>
            </w:r>
            <w:r>
              <w:rPr>
                <w:rFonts w:ascii="仿宋" w:hAnsi="仿宋" w:eastAsia="仿宋"/>
                <w:sz w:val="22"/>
              </w:rPr>
              <w:t>3</w:t>
            </w:r>
            <w:r>
              <w:rPr>
                <w:rFonts w:hint="eastAsia" w:ascii="仿宋" w:hAnsi="仿宋" w:eastAsia="仿宋"/>
                <w:sz w:val="22"/>
              </w:rPr>
              <w:t>、浮动管理费</w:t>
            </w:r>
            <w:r>
              <w:rPr>
                <w:rFonts w:hint="eastAsia" w:ascii="仿宋" w:hAnsi="仿宋" w:eastAsia="仿宋"/>
                <w:sz w:val="22"/>
              </w:rPr>
              <w:br w:type="textWrapping"/>
            </w:r>
            <w:r>
              <w:rPr>
                <w:rFonts w:hint="eastAsia" w:ascii="仿宋" w:hAnsi="仿宋" w:eastAsia="仿宋"/>
                <w:sz w:val="22"/>
              </w:rPr>
              <w:t>本理财产品投资收益扣除理财产品应承担的费用后，年化收益率超过约定的业绩比较基准，超出部分按照</w:t>
            </w:r>
            <w:r>
              <w:rPr>
                <w:rFonts w:ascii="仿宋" w:hAnsi="仿宋" w:eastAsia="仿宋"/>
                <w:sz w:val="22"/>
              </w:rPr>
              <w:t>100%的比例计提浮动管理费；如果低于或等于约定的业绩比较基准，则不计提浮动管理费。</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、增值税及增值税附加税费</w:t>
            </w:r>
            <w:r>
              <w:rPr>
                <w:rFonts w:hint="eastAsia" w:ascii="仿宋" w:hAnsi="仿宋" w:eastAsia="仿宋"/>
                <w:sz w:val="22"/>
              </w:rPr>
              <w:br w:type="textWrapping"/>
            </w:r>
            <w:r>
              <w:rPr>
                <w:rFonts w:hint="eastAsia" w:ascii="仿宋" w:hAnsi="仿宋" w:eastAsia="仿宋"/>
                <w:sz w:val="22"/>
              </w:rPr>
              <w:t>本理财产品投资运作期间发生的增值税及增值税附加税费，按照国家相关法律法规执行。</w:t>
            </w:r>
            <w:r>
              <w:rPr>
                <w:rFonts w:hint="eastAsia" w:ascii="仿宋" w:hAnsi="仿宋" w:eastAsia="仿宋"/>
                <w:sz w:val="22"/>
              </w:rPr>
              <w:br w:type="textWrapping"/>
            </w:r>
            <w:r>
              <w:rPr>
                <w:rFonts w:ascii="仿宋" w:hAnsi="仿宋" w:eastAsia="仿宋"/>
                <w:sz w:val="22"/>
              </w:rPr>
              <w:t>5</w:t>
            </w:r>
            <w:r>
              <w:rPr>
                <w:rFonts w:hint="eastAsia" w:ascii="仿宋" w:hAnsi="仿宋" w:eastAsia="仿宋"/>
                <w:sz w:val="22"/>
              </w:rPr>
              <w:t xml:space="preserve">、产品运作和清算中产生的其他费用，包括但不限于资金汇划费、结算费、交易手续费、注册登记费、信息披露费、账户服务费、审计费、律师费等费用，按照实际发生情况从产品中列支。 </w:t>
            </w:r>
            <w:r>
              <w:rPr>
                <w:rFonts w:hint="eastAsia" w:ascii="仿宋" w:hAnsi="仿宋" w:eastAsia="仿宋"/>
                <w:sz w:val="22"/>
              </w:rPr>
              <w:br w:type="textWrapping"/>
            </w:r>
            <w:r>
              <w:rPr>
                <w:rFonts w:ascii="仿宋" w:hAnsi="仿宋" w:eastAsia="仿宋"/>
                <w:sz w:val="22"/>
              </w:rPr>
              <w:t>6</w:t>
            </w:r>
            <w:r>
              <w:rPr>
                <w:rFonts w:hint="eastAsia" w:ascii="仿宋" w:hAnsi="仿宋" w:eastAsia="仿宋"/>
                <w:sz w:val="22"/>
              </w:rPr>
              <w:t>、瑞丰银行有权根据市场情况等调整上述各项收费项目、收费条件、收费标准、收费方式（含浮动管理费计提基准和比例等），并至少于调整日之前2个工作日进行公告。</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税款</w:t>
            </w:r>
          </w:p>
        </w:tc>
        <w:tc>
          <w:tcPr>
            <w:tcW w:w="8180" w:type="dxa"/>
            <w:tcBorders>
              <w:top w:val="nil"/>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本理财产品运作过程中涉及的各纳税主体，其纳税义务按国家税收法律、法规执行。国家税收法律、法规要求产品管理人缴纳或代扣代缴的，由瑞丰银行缴纳或代扣代缴。除法律法规特别要求外，投资者应缴纳的税收由投资者负责。</w:t>
            </w:r>
          </w:p>
        </w:tc>
      </w:tr>
    </w:tbl>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二、理财产品投资范围、策略</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（一）投资范围</w:t>
      </w:r>
    </w:p>
    <w:p>
      <w:pPr>
        <w:ind w:firstLine="424" w:firstLineChars="193"/>
        <w:rPr>
          <w:rFonts w:ascii="仿宋" w:hAnsi="仿宋" w:eastAsia="仿宋"/>
          <w:sz w:val="22"/>
        </w:rPr>
      </w:pPr>
      <w:r>
        <w:rPr>
          <w:rFonts w:hint="eastAsia" w:ascii="仿宋" w:hAnsi="仿宋" w:eastAsia="仿宋"/>
          <w:sz w:val="22"/>
        </w:rPr>
        <w:t>本理财产品为固定收益类产品，主要投资于以下符合监管要求的各类资产：</w:t>
      </w:r>
    </w:p>
    <w:p>
      <w:pPr>
        <w:ind w:firstLine="425"/>
        <w:rPr>
          <w:rFonts w:ascii="仿宋" w:hAnsi="仿宋" w:eastAsia="仿宋"/>
          <w:sz w:val="22"/>
        </w:rPr>
      </w:pPr>
      <w:r>
        <w:rPr>
          <w:rFonts w:ascii="仿宋" w:hAnsi="仿宋" w:eastAsia="仿宋"/>
          <w:sz w:val="22"/>
        </w:rPr>
        <w:t>1.债券回购、同业存款、货币市场基金、现金资产、</w:t>
      </w:r>
      <w:r>
        <w:rPr>
          <w:rFonts w:hint="eastAsia" w:ascii="仿宋" w:hAnsi="仿宋" w:eastAsia="仿宋"/>
          <w:sz w:val="22"/>
        </w:rPr>
        <w:t>同业存单</w:t>
      </w:r>
      <w:r>
        <w:rPr>
          <w:rFonts w:hint="eastAsia" w:ascii="仿宋" w:hAnsi="仿宋" w:eastAsia="仿宋"/>
          <w:sz w:val="22"/>
          <w:lang w:eastAsia="zh-CN"/>
        </w:rPr>
        <w:t>、</w:t>
      </w:r>
      <w:r>
        <w:rPr>
          <w:rFonts w:ascii="仿宋" w:hAnsi="仿宋" w:eastAsia="仿宋"/>
          <w:sz w:val="22"/>
        </w:rPr>
        <w:t>国债、央票、企业债、金融债、政策性金融债、次级债、资产支持证券、地方政府债、中期票据、短期融资券、超短期融资券、公司债、私募债、永续债、可转换债券、可交换债券、</w:t>
      </w:r>
      <w:r>
        <w:rPr>
          <w:rFonts w:hint="eastAsia" w:ascii="仿宋" w:hAnsi="仿宋" w:eastAsia="仿宋"/>
          <w:sz w:val="22"/>
        </w:rPr>
        <w:t>理财直融、</w:t>
      </w:r>
      <w:r>
        <w:rPr>
          <w:rFonts w:ascii="仿宋" w:hAnsi="仿宋" w:eastAsia="仿宋"/>
          <w:sz w:val="22"/>
        </w:rPr>
        <w:t>非公开定向债务融资工具(PPN)、二级资本债、债券类基金、以货币市场工具或标准化债权资产为标的的资管产品（包括但不限于信托计划、资产管理计划等）等固定收益类资产：80%-100%；</w:t>
      </w:r>
    </w:p>
    <w:p>
      <w:pPr>
        <w:ind w:firstLine="425"/>
        <w:rPr>
          <w:rFonts w:ascii="仿宋" w:hAnsi="仿宋" w:eastAsia="仿宋"/>
          <w:sz w:val="22"/>
        </w:rPr>
      </w:pPr>
      <w:r>
        <w:rPr>
          <w:rFonts w:ascii="仿宋" w:hAnsi="仿宋" w:eastAsia="仿宋"/>
          <w:sz w:val="22"/>
        </w:rPr>
        <w:t>2.直接或间接投资于挂钩沪深300指数或中证500指数的场外期权等衍生金融工具：0%-5%；</w:t>
      </w:r>
    </w:p>
    <w:p>
      <w:pPr>
        <w:ind w:firstLine="424" w:firstLineChars="193"/>
        <w:rPr>
          <w:rFonts w:ascii="仿宋" w:hAnsi="仿宋" w:eastAsia="仿宋"/>
          <w:sz w:val="22"/>
        </w:rPr>
      </w:pPr>
      <w:r>
        <w:rPr>
          <w:rFonts w:ascii="仿宋" w:hAnsi="仿宋" w:eastAsia="仿宋"/>
          <w:sz w:val="22"/>
        </w:rPr>
        <w:t>3.</w:t>
      </w:r>
      <w:r>
        <w:rPr>
          <w:rFonts w:hint="eastAsia" w:ascii="仿宋" w:hAnsi="仿宋" w:eastAsia="仿宋"/>
          <w:sz w:val="22"/>
        </w:rPr>
        <w:t>权益类资产、</w:t>
      </w:r>
      <w:r>
        <w:rPr>
          <w:rFonts w:ascii="仿宋" w:hAnsi="仿宋" w:eastAsia="仿宋"/>
          <w:sz w:val="22"/>
        </w:rPr>
        <w:t>部分投资于权益类资产的资产管理产品（包括但不限于公募基金、信托计划、资产管理计划等）：0%-20%；</w:t>
      </w:r>
    </w:p>
    <w:p>
      <w:pPr>
        <w:ind w:firstLine="440" w:firstLineChars="200"/>
        <w:rPr>
          <w:rFonts w:ascii="仿宋" w:hAnsi="仿宋" w:eastAsia="仿宋"/>
          <w:sz w:val="22"/>
        </w:rPr>
      </w:pPr>
      <w:r>
        <w:rPr>
          <w:rFonts w:hint="eastAsia" w:ascii="仿宋" w:hAnsi="仿宋" w:eastAsia="仿宋"/>
          <w:sz w:val="22"/>
        </w:rPr>
        <w:t>本理财产品杠杆水平不超过</w:t>
      </w:r>
      <w:r>
        <w:rPr>
          <w:rFonts w:ascii="仿宋" w:hAnsi="仿宋" w:eastAsia="仿宋"/>
          <w:sz w:val="22"/>
        </w:rPr>
        <w:t>200%。</w:t>
      </w:r>
    </w:p>
    <w:p>
      <w:pPr>
        <w:ind w:firstLine="440" w:firstLineChars="200"/>
        <w:rPr>
          <w:rFonts w:ascii="仿宋" w:hAnsi="仿宋" w:eastAsia="仿宋"/>
          <w:sz w:val="22"/>
        </w:rPr>
      </w:pPr>
      <w:r>
        <w:rPr>
          <w:rFonts w:hint="eastAsia" w:ascii="仿宋" w:hAnsi="仿宋" w:eastAsia="仿宋"/>
          <w:sz w:val="22"/>
        </w:rPr>
        <w:t>本理财产品如投资不存在活跃交易市场且需要采用估值技术确定公允价值的资产，则对上述资产的投资比例将不超过本产品净资产的</w:t>
      </w:r>
      <w:r>
        <w:rPr>
          <w:rFonts w:ascii="仿宋" w:hAnsi="仿宋" w:eastAsia="仿宋"/>
          <w:sz w:val="22"/>
        </w:rPr>
        <w:t>50%。非因管理人主观因素导致突破上述比例限制的，在上述因素的影响消除前本产品将不再新增投资上述资产。</w:t>
      </w:r>
    </w:p>
    <w:p>
      <w:pPr>
        <w:ind w:firstLine="442" w:firstLineChars="200"/>
        <w:rPr>
          <w:rFonts w:ascii="仿宋" w:hAnsi="仿宋" w:eastAsia="仿宋"/>
          <w:b/>
          <w:sz w:val="22"/>
        </w:rPr>
      </w:pPr>
      <w:r>
        <w:rPr>
          <w:rFonts w:hint="eastAsia" w:ascii="仿宋" w:hAnsi="仿宋" w:eastAsia="仿宋"/>
          <w:b/>
          <w:sz w:val="22"/>
        </w:rPr>
        <w:t>特别提示：瑞丰银行将本着诚实信用、谨慎勤勉的原则，在规定的范围内运用理财资金进行投资，投资比例可在不影响投资者权益、产品风险评级的前提下合理浮动。本理财产品投资市场存在一定市场风险及投资风险，瑞丰银行将采取稳健中性的投资策略进行管理。因市场变化和投资周期理财资金大幅变化等情况可能在短期内使投资比例暂时突破上述投资比例配置限制且可能对理财产品收益产生重大影响的，瑞丰银行将在</w:t>
      </w:r>
      <w:r>
        <w:rPr>
          <w:rFonts w:ascii="仿宋" w:hAnsi="仿宋" w:eastAsia="仿宋"/>
          <w:b/>
          <w:sz w:val="22"/>
        </w:rPr>
        <w:t>3个工作日内及时进行公告，并在合理期限内进行及时调整，使之符合投资配置策略要求。</w:t>
      </w:r>
    </w:p>
    <w:p>
      <w:pPr>
        <w:ind w:firstLine="442" w:firstLineChars="200"/>
        <w:rPr>
          <w:rFonts w:ascii="仿宋" w:hAnsi="仿宋" w:eastAsia="仿宋"/>
          <w:b/>
          <w:sz w:val="22"/>
        </w:rPr>
      </w:pPr>
      <w:r>
        <w:rPr>
          <w:rFonts w:hint="eastAsia" w:ascii="仿宋" w:hAnsi="仿宋" w:eastAsia="仿宋"/>
          <w:b/>
          <w:sz w:val="22"/>
        </w:rPr>
        <w:t>本理财产品可按照国务院金融管理部门相关规定开展回购业务。</w:t>
      </w:r>
    </w:p>
    <w:p>
      <w:pPr>
        <w:ind w:firstLine="442" w:firstLineChars="200"/>
        <w:rPr>
          <w:rFonts w:ascii="仿宋" w:hAnsi="仿宋" w:eastAsia="仿宋"/>
          <w:b/>
          <w:sz w:val="22"/>
        </w:rPr>
      </w:pPr>
      <w:r>
        <w:rPr>
          <w:rFonts w:hint="eastAsia" w:ascii="仿宋" w:hAnsi="仿宋" w:eastAsia="仿宋"/>
          <w:b/>
          <w:sz w:val="22"/>
        </w:rPr>
        <w:t>瑞丰银行按照法律法规、产品说明书及其他相关约定，诚实信用、谨慎勤勉地实施投资管理行为，以专业技能管理理财产品资产，依法维护理财产品全体投资者的利益。瑞丰银行不对本理财产品的收益情况作出承诺或保证，亦不会承诺或保证最低收益或本金安全。瑞丰银行按照本理财产品说明书及其他相关规定进行投资运作，由此所产生的损失，瑞丰银行不承担赔偿责任。</w:t>
      </w:r>
    </w:p>
    <w:p>
      <w:pPr>
        <w:ind w:firstLine="442"/>
        <w:rPr>
          <w:rFonts w:ascii="仿宋" w:hAnsi="仿宋" w:eastAsia="仿宋"/>
          <w:sz w:val="22"/>
        </w:rPr>
      </w:pPr>
      <w:r>
        <w:rPr>
          <w:rFonts w:hint="eastAsia" w:ascii="仿宋" w:hAnsi="仿宋" w:eastAsia="仿宋"/>
          <w:sz w:val="22"/>
        </w:rPr>
        <w:t>（二）投资策略</w:t>
      </w:r>
    </w:p>
    <w:p>
      <w:pPr>
        <w:ind w:firstLine="424" w:firstLineChars="193"/>
        <w:rPr>
          <w:rFonts w:ascii="仿宋" w:hAnsi="仿宋" w:eastAsia="仿宋"/>
          <w:sz w:val="22"/>
        </w:rPr>
      </w:pPr>
      <w:r>
        <w:rPr>
          <w:rFonts w:hint="eastAsia" w:ascii="仿宋" w:hAnsi="仿宋" w:eastAsia="仿宋"/>
          <w:sz w:val="22"/>
        </w:rPr>
        <w:t>本理财产品采用安全性和流动性优先，追求适度收益的投资策略，在资产配置中一定比例投资银行存款、拆放同业、债券回购、短期融资券、金融债、央行票据及高信用级别的企业债、中期票据等固定收益类资产，在投资资产中将严格控制资产到期期限，从而让投资者在风险相对可控的情况下分享市场快速发展的红利。</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三、理财产品认购</w:t>
      </w:r>
    </w:p>
    <w:p>
      <w:pPr>
        <w:ind w:firstLine="440" w:firstLineChars="200"/>
        <w:rPr>
          <w:rFonts w:ascii="仿宋" w:hAnsi="仿宋" w:eastAsia="仿宋"/>
          <w:sz w:val="22"/>
        </w:rPr>
      </w:pPr>
      <w:r>
        <w:rPr>
          <w:rFonts w:hint="eastAsia" w:ascii="仿宋" w:hAnsi="仿宋" w:eastAsia="仿宋"/>
          <w:sz w:val="22"/>
        </w:rPr>
        <w:t>（一）理财产品工作日：产品存续期内每一法定银行工作日为本理财产品工作日；如遇特殊情况，以瑞丰银行或代理销售机构具体公告为准。</w:t>
      </w:r>
    </w:p>
    <w:p>
      <w:pPr>
        <w:ind w:firstLine="440" w:firstLineChars="200"/>
        <w:rPr>
          <w:rFonts w:ascii="仿宋" w:hAnsi="仿宋" w:eastAsia="仿宋"/>
          <w:sz w:val="22"/>
        </w:rPr>
      </w:pPr>
      <w:r>
        <w:rPr>
          <w:rFonts w:hint="eastAsia" w:ascii="仿宋" w:hAnsi="仿宋" w:eastAsia="仿宋"/>
          <w:sz w:val="22"/>
        </w:rPr>
        <w:t>（二）理财产品认购规则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1.认购起点金额</w:t>
      </w:r>
    </w:p>
    <w:p>
      <w:pPr>
        <w:ind w:firstLine="440" w:firstLineChars="200"/>
        <w:rPr>
          <w:rFonts w:ascii="仿宋" w:hAnsi="仿宋" w:eastAsia="仿宋"/>
          <w:sz w:val="22"/>
        </w:rPr>
      </w:pPr>
      <w:r>
        <w:rPr>
          <w:rFonts w:ascii="仿宋" w:hAnsi="仿宋" w:eastAsia="仿宋"/>
          <w:sz w:val="22"/>
        </w:rPr>
        <w:t>认购起点金额</w:t>
      </w:r>
      <w:r>
        <w:rPr>
          <w:rFonts w:hint="eastAsia" w:ascii="仿宋" w:hAnsi="仿宋" w:eastAsia="仿宋"/>
          <w:sz w:val="22"/>
          <w:lang w:val="en-US" w:eastAsia="zh-CN"/>
        </w:rPr>
        <w:t>5</w:t>
      </w:r>
      <w:r>
        <w:rPr>
          <w:rFonts w:ascii="仿宋" w:hAnsi="仿宋" w:eastAsia="仿宋"/>
          <w:sz w:val="22"/>
        </w:rPr>
        <w:t>万元，高于认购起点金额以人民币10000元的整数倍递增。</w:t>
      </w:r>
    </w:p>
    <w:p>
      <w:pPr>
        <w:pStyle w:val="13"/>
        <w:numPr>
          <w:ilvl w:val="255"/>
          <w:numId w:val="0"/>
        </w:numPr>
        <w:ind w:firstLine="440" w:firstLineChars="200"/>
        <w:rPr>
          <w:rFonts w:ascii="仿宋" w:hAnsi="仿宋" w:eastAsia="仿宋"/>
          <w:sz w:val="22"/>
        </w:rPr>
      </w:pPr>
      <w:r>
        <w:rPr>
          <w:rFonts w:hint="eastAsia" w:ascii="仿宋" w:hAnsi="仿宋" w:eastAsia="仿宋"/>
          <w:sz w:val="22"/>
        </w:rPr>
        <w:t>2.认购份额</w:t>
      </w:r>
    </w:p>
    <w:p>
      <w:pPr>
        <w:ind w:firstLine="440" w:firstLineChars="200"/>
        <w:rPr>
          <w:rFonts w:ascii="仿宋" w:hAnsi="仿宋" w:eastAsia="仿宋"/>
          <w:sz w:val="22"/>
        </w:rPr>
      </w:pPr>
      <w:r>
        <w:rPr>
          <w:rFonts w:ascii="仿宋" w:hAnsi="仿宋" w:eastAsia="仿宋"/>
          <w:sz w:val="22"/>
        </w:rPr>
        <w:t>认购份额=认购金额/</w:t>
      </w:r>
      <w:r>
        <w:rPr>
          <w:rFonts w:hint="eastAsia" w:ascii="仿宋" w:hAnsi="仿宋" w:eastAsia="仿宋"/>
          <w:sz w:val="22"/>
        </w:rPr>
        <w:t>1元</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本理财产品单一投资者持有份额不得超过总份额</w:t>
      </w:r>
      <w:r>
        <w:rPr>
          <w:rFonts w:ascii="仿宋" w:hAnsi="仿宋" w:eastAsia="仿宋"/>
          <w:sz w:val="22"/>
        </w:rPr>
        <w:t>50%。</w:t>
      </w:r>
    </w:p>
    <w:p>
      <w:pPr>
        <w:ind w:firstLine="424" w:firstLineChars="193"/>
        <w:rPr>
          <w:rFonts w:ascii="仿宋" w:hAnsi="仿宋" w:eastAsia="仿宋"/>
          <w:sz w:val="22"/>
        </w:rPr>
      </w:pPr>
      <w:r>
        <w:rPr>
          <w:rFonts w:hint="eastAsia" w:ascii="仿宋" w:hAnsi="仿宋" w:eastAsia="仿宋"/>
          <w:sz w:val="22"/>
        </w:rPr>
        <w:t>（三）理财产品拒绝或暂停认购的情形</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若产品总规模超出规模上限，瑞丰银行有权暂停接受认购申请；</w:t>
      </w:r>
    </w:p>
    <w:p>
      <w:pPr>
        <w:pStyle w:val="13"/>
        <w:numPr>
          <w:ilvl w:val="255"/>
          <w:numId w:val="0"/>
        </w:numPr>
        <w:ind w:firstLine="440" w:firstLineChars="200"/>
        <w:rPr>
          <w:rFonts w:ascii="仿宋" w:hAnsi="仿宋" w:eastAsia="仿宋"/>
          <w:sz w:val="22"/>
        </w:rPr>
      </w:pPr>
      <w:r>
        <w:rPr>
          <w:rFonts w:hint="eastAsia" w:ascii="仿宋" w:hAnsi="仿宋" w:eastAsia="仿宋"/>
          <w:sz w:val="22"/>
        </w:rPr>
        <w:t>2.因不可抗力导致理财产品无法正常运作</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3.接受某笔或某些认购申请可能对其他投资者利益构成重大不利影响</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w:t>
      </w:r>
      <w:r>
        <w:rPr>
          <w:rFonts w:hint="eastAsia" w:ascii="仿宋" w:hAnsi="仿宋" w:eastAsia="仿宋"/>
          <w:sz w:val="22"/>
        </w:rPr>
        <w:t>基于理财产品投资运作与风险控制的需要；</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w:t>
      </w:r>
      <w:r>
        <w:rPr>
          <w:rFonts w:hint="eastAsia" w:ascii="仿宋" w:hAnsi="仿宋" w:eastAsia="仿宋"/>
          <w:sz w:val="22"/>
        </w:rPr>
        <w:t>法律法规规定或监管认定的其他情形。</w:t>
      </w:r>
    </w:p>
    <w:p>
      <w:pPr>
        <w:pStyle w:val="13"/>
        <w:numPr>
          <w:ilvl w:val="255"/>
          <w:numId w:val="0"/>
        </w:numPr>
        <w:ind w:firstLine="440" w:firstLineChars="200"/>
        <w:rPr>
          <w:rFonts w:ascii="仿宋" w:hAnsi="仿宋" w:eastAsia="仿宋"/>
          <w:sz w:val="22"/>
        </w:rPr>
      </w:pPr>
      <w:r>
        <w:rPr>
          <w:rFonts w:ascii="仿宋" w:hAnsi="仿宋" w:eastAsia="仿宋"/>
          <w:sz w:val="22"/>
        </w:rPr>
        <w:t>瑞丰银行</w:t>
      </w:r>
      <w:r>
        <w:rPr>
          <w:rFonts w:hint="eastAsia" w:ascii="仿宋" w:hAnsi="仿宋" w:eastAsia="仿宋"/>
          <w:sz w:val="22"/>
        </w:rPr>
        <w:t>拒绝或</w:t>
      </w:r>
      <w:r>
        <w:rPr>
          <w:rFonts w:ascii="仿宋" w:hAnsi="仿宋" w:eastAsia="仿宋"/>
          <w:sz w:val="22"/>
        </w:rPr>
        <w:t>暂停认购情况的，应进行公告。</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四、理财产品到期/终止规则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（一）理财产品到期</w:t>
      </w:r>
      <w:r>
        <w:rPr>
          <w:rFonts w:ascii="仿宋" w:hAnsi="仿宋" w:eastAsia="仿宋"/>
          <w:sz w:val="22"/>
        </w:rPr>
        <w:t>/终止</w:t>
      </w:r>
    </w:p>
    <w:p>
      <w:pPr>
        <w:ind w:firstLine="424" w:firstLineChars="193"/>
        <w:rPr>
          <w:rFonts w:ascii="仿宋" w:hAnsi="仿宋" w:eastAsia="仿宋"/>
          <w:sz w:val="22"/>
        </w:rPr>
      </w:pPr>
      <w:r>
        <w:rPr>
          <w:rFonts w:hint="eastAsia" w:ascii="仿宋" w:hAnsi="仿宋" w:eastAsia="仿宋"/>
          <w:sz w:val="22"/>
        </w:rPr>
        <w:t>瑞丰银行将于理财产品到期</w:t>
      </w:r>
      <w:r>
        <w:rPr>
          <w:rFonts w:ascii="仿宋" w:hAnsi="仿宋" w:eastAsia="仿宋"/>
          <w:sz w:val="22"/>
        </w:rPr>
        <w:t>/终止日后3个工作日</w:t>
      </w:r>
      <w:r>
        <w:rPr>
          <w:rFonts w:hint="eastAsia" w:ascii="仿宋" w:hAnsi="仿宋" w:eastAsia="仿宋"/>
          <w:sz w:val="22"/>
        </w:rPr>
        <w:t>内</w:t>
      </w:r>
      <w:r>
        <w:rPr>
          <w:rFonts w:ascii="仿宋" w:hAnsi="仿宋" w:eastAsia="仿宋"/>
          <w:sz w:val="22"/>
        </w:rPr>
        <w:t>，根据实际投资结果向投资者一次性划付理财本金及收益（如有）</w:t>
      </w:r>
      <w:r>
        <w:rPr>
          <w:rFonts w:hint="eastAsia" w:ascii="仿宋" w:hAnsi="仿宋" w:eastAsia="仿宋"/>
          <w:sz w:val="22"/>
        </w:rPr>
        <w:t>，本理财产品不保障理财本金和收益</w:t>
      </w:r>
      <w:r>
        <w:rPr>
          <w:rFonts w:ascii="仿宋" w:hAnsi="仿宋" w:eastAsia="仿宋"/>
          <w:sz w:val="22"/>
        </w:rPr>
        <w:t>。</w:t>
      </w:r>
    </w:p>
    <w:p>
      <w:pPr>
        <w:ind w:firstLine="424" w:firstLineChars="193"/>
        <w:rPr>
          <w:rFonts w:ascii="仿宋" w:hAnsi="仿宋" w:eastAsia="仿宋"/>
          <w:sz w:val="22"/>
        </w:rPr>
      </w:pPr>
      <w:r>
        <w:rPr>
          <w:rFonts w:hint="eastAsia" w:ascii="仿宋" w:hAnsi="仿宋" w:eastAsia="仿宋"/>
          <w:sz w:val="22"/>
        </w:rPr>
        <w:t>理财产品到期日/终止日至投资者资金到账日之间不计利息。如遇资金在途或法定工作日调整，实际资金到账日以公告为准。</w:t>
      </w:r>
    </w:p>
    <w:p>
      <w:pPr>
        <w:ind w:firstLine="424" w:firstLineChars="193"/>
        <w:rPr>
          <w:rFonts w:ascii="仿宋" w:hAnsi="仿宋" w:eastAsia="仿宋"/>
          <w:sz w:val="22"/>
        </w:rPr>
      </w:pPr>
      <w:r>
        <w:rPr>
          <w:rFonts w:hint="eastAsia" w:ascii="仿宋" w:hAnsi="仿宋" w:eastAsia="仿宋"/>
          <w:sz w:val="22"/>
        </w:rPr>
        <w:t>到期</w:t>
      </w:r>
      <w:r>
        <w:rPr>
          <w:rFonts w:ascii="仿宋" w:hAnsi="仿宋" w:eastAsia="仿宋"/>
          <w:sz w:val="22"/>
        </w:rPr>
        <w:t>/终止兑付金额=理财产品到期/终止时存续的理财产品份额×本理财产品到期/终止日前一自然日的</w:t>
      </w:r>
      <w:r>
        <w:rPr>
          <w:rFonts w:hint="eastAsia" w:ascii="仿宋" w:hAnsi="仿宋" w:eastAsia="仿宋"/>
          <w:sz w:val="22"/>
        </w:rPr>
        <w:t>单位</w:t>
      </w:r>
      <w:r>
        <w:rPr>
          <w:rFonts w:ascii="仿宋" w:hAnsi="仿宋" w:eastAsia="仿宋"/>
          <w:sz w:val="22"/>
        </w:rPr>
        <w:t>份额净值，金额计算保留到小数点后2位，小数点后第3位舍去。</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（二）理财产品提前终止</w:t>
      </w:r>
    </w:p>
    <w:p>
      <w:pPr>
        <w:ind w:firstLine="424" w:firstLineChars="193"/>
        <w:rPr>
          <w:rFonts w:ascii="仿宋" w:hAnsi="仿宋" w:eastAsia="仿宋"/>
          <w:sz w:val="22"/>
        </w:rPr>
      </w:pPr>
      <w:r>
        <w:rPr>
          <w:rFonts w:hint="eastAsia" w:ascii="仿宋" w:hAnsi="仿宋" w:eastAsia="仿宋"/>
          <w:sz w:val="22"/>
        </w:rPr>
        <w:t>在产品投资运作期间内，投资者无权要求提前终止该理财产品。因投资者资金安排不合理，导致其购买与自身流动性需求不匹配的理财产品的责任和风险由投资者承担。</w:t>
      </w:r>
    </w:p>
    <w:p>
      <w:pPr>
        <w:ind w:firstLine="424" w:firstLineChars="193"/>
        <w:rPr>
          <w:rFonts w:ascii="仿宋" w:hAnsi="仿宋" w:eastAsia="仿宋"/>
          <w:sz w:val="22"/>
        </w:rPr>
      </w:pPr>
      <w:r>
        <w:rPr>
          <w:rFonts w:hint="eastAsia" w:ascii="仿宋" w:hAnsi="仿宋" w:eastAsia="仿宋"/>
          <w:sz w:val="22"/>
        </w:rPr>
        <w:t>瑞丰银行对外公告的提前终止日，为本理财产品的实际到期日。</w:t>
      </w:r>
    </w:p>
    <w:p>
      <w:pPr>
        <w:ind w:firstLine="424" w:firstLineChars="193"/>
        <w:rPr>
          <w:rFonts w:ascii="仿宋" w:hAnsi="仿宋" w:eastAsia="仿宋"/>
          <w:sz w:val="22"/>
        </w:rPr>
      </w:pPr>
      <w:r>
        <w:rPr>
          <w:rFonts w:hint="eastAsia" w:ascii="仿宋" w:hAnsi="仿宋" w:eastAsia="仿宋"/>
          <w:sz w:val="22"/>
        </w:rPr>
        <w:t>当出现以下情形之一时，产品管理人有权提前终止本理财产品：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1.在本理财产品运作期内，若国家相关法律、法规、监管规定出现重大变更或者其它突发事件引起金融市场情况出现重大变化以及其它原因导致产品管理人认为本理财产品已经不适合继续帮助投资者实现投资目标的，产品管理人判断提前终止理财产品可以最大程度保护投资者收益时可以提前终止本理财产品，但需至少提前</w:t>
      </w:r>
      <w:r>
        <w:rPr>
          <w:rFonts w:ascii="仿宋" w:hAnsi="仿宋" w:eastAsia="仿宋"/>
          <w:sz w:val="22"/>
        </w:rPr>
        <w:t>10个工作日在产品管理人网站上做出公告；</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.产品管理人因重大违法、违规行为，被银保监会取消业务资格；</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.产品管理人因停业、解散、破产、撤销等原因不能履行相应职责；</w:t>
      </w:r>
    </w:p>
    <w:p>
      <w:pPr>
        <w:pStyle w:val="13"/>
        <w:numPr>
          <w:ilvl w:val="255"/>
          <w:numId w:val="0"/>
        </w:numPr>
        <w:ind w:firstLine="440" w:firstLineChars="200"/>
        <w:rPr>
          <w:rFonts w:ascii="仿宋" w:hAnsi="仿宋" w:eastAsia="仿宋"/>
          <w:sz w:val="22"/>
        </w:rPr>
      </w:pPr>
      <w:r>
        <w:rPr>
          <w:rFonts w:ascii="仿宋" w:hAnsi="仿宋" w:eastAsia="仿宋"/>
          <w:sz w:val="22"/>
        </w:rPr>
        <w:t>4</w:t>
      </w:r>
      <w:r>
        <w:rPr>
          <w:rFonts w:hint="eastAsia" w:ascii="仿宋" w:hAnsi="仿宋" w:eastAsia="仿宋"/>
          <w:sz w:val="22"/>
        </w:rPr>
        <w:t>.战争、自然灾害等不可抗力的发生导致本理财产品不能存续；</w:t>
      </w:r>
    </w:p>
    <w:p>
      <w:pPr>
        <w:pStyle w:val="13"/>
        <w:numPr>
          <w:ilvl w:val="255"/>
          <w:numId w:val="0"/>
        </w:numPr>
        <w:ind w:firstLine="440" w:firstLineChars="200"/>
        <w:rPr>
          <w:rFonts w:ascii="仿宋" w:hAnsi="仿宋" w:eastAsia="仿宋"/>
          <w:sz w:val="22"/>
        </w:rPr>
      </w:pPr>
      <w:r>
        <w:rPr>
          <w:rFonts w:ascii="仿宋" w:hAnsi="仿宋" w:eastAsia="仿宋"/>
          <w:sz w:val="22"/>
        </w:rPr>
        <w:t>5</w:t>
      </w:r>
      <w:r>
        <w:rPr>
          <w:rFonts w:hint="eastAsia" w:ascii="仿宋" w:hAnsi="仿宋" w:eastAsia="仿宋"/>
          <w:sz w:val="22"/>
        </w:rPr>
        <w:t>.法律法规和银保监会规定的其他情况。</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五、理财产品估值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（一）估值日：本理财产品估值日为每个国家法定工作日，理财管理人和理财托管人核对估值结果并向投资人披露。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（二）估值对象：本理财产品所持有的各类资产。</w:t>
      </w:r>
    </w:p>
    <w:p>
      <w:pPr>
        <w:pStyle w:val="13"/>
        <w:numPr>
          <w:ilvl w:val="255"/>
          <w:numId w:val="0"/>
        </w:numPr>
        <w:ind w:firstLine="440" w:firstLineChars="200"/>
        <w:rPr>
          <w:rFonts w:ascii="仿宋" w:hAnsi="仿宋" w:eastAsia="仿宋"/>
          <w:sz w:val="22"/>
        </w:rPr>
      </w:pPr>
      <w:r>
        <w:rPr>
          <w:rFonts w:hint="eastAsia" w:ascii="仿宋" w:hAnsi="仿宋" w:eastAsia="仿宋"/>
          <w:sz w:val="22"/>
        </w:rPr>
        <w:t>（三）估值方法：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持有的银行定期存款或协议存款以本金列示，按协议或合同利率逐日确认利息收入。</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债券、资产支持证券等债权类资产的估值方法：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（1）以交易为持有目的的债权类资产采用公允价值进行估值；（2）以收取合同现金流量为目的、能通过</w:t>
      </w:r>
      <w:r>
        <w:rPr>
          <w:rFonts w:ascii="仿宋" w:hAnsi="仿宋" w:eastAsia="仿宋"/>
          <w:sz w:val="22"/>
        </w:rPr>
        <w:t>SPPI测试并持有到期的债权类资产，采用摊余成本法核算并计提减值准备，即计价对象以买入成本列示，按实际利率并考虑其买入时的溢价与折价，在其剩余存续期内摊销，每日计提损益，计提减值不等同于金融资产已发生损失，仅为未来风险的审慎预期。</w:t>
      </w:r>
      <w:r>
        <w:rPr>
          <w:rFonts w:hint="eastAsia" w:ascii="仿宋" w:hAnsi="仿宋" w:eastAsia="仿宋"/>
          <w:sz w:val="22"/>
        </w:rPr>
        <w:t>（</w:t>
      </w:r>
      <w:r>
        <w:rPr>
          <w:rFonts w:ascii="仿宋" w:hAnsi="仿宋" w:eastAsia="仿宋"/>
          <w:sz w:val="22"/>
        </w:rPr>
        <w:t>3</w:t>
      </w:r>
      <w:r>
        <w:rPr>
          <w:rFonts w:hint="eastAsia" w:ascii="仿宋" w:hAnsi="仿宋" w:eastAsia="仿宋"/>
          <w:sz w:val="22"/>
        </w:rPr>
        <w:t>）</w:t>
      </w:r>
      <w:r>
        <w:rPr>
          <w:rFonts w:ascii="仿宋" w:hAnsi="仿宋" w:eastAsia="仿宋"/>
          <w:sz w:val="22"/>
        </w:rPr>
        <w:t>无法通过SPPI测试的债权类资产，采用公允价值进行估值。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权益类资产的估值方法：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权益类资产采用公允价值进行估值。</w:t>
      </w:r>
    </w:p>
    <w:p>
      <w:pPr>
        <w:pStyle w:val="13"/>
        <w:ind w:firstLine="440"/>
        <w:rPr>
          <w:rFonts w:ascii="仿宋" w:hAnsi="仿宋" w:eastAsia="仿宋"/>
          <w:sz w:val="22"/>
        </w:rPr>
      </w:pPr>
      <w:r>
        <w:rPr>
          <w:rFonts w:hint="eastAsia" w:ascii="仿宋" w:hAnsi="仿宋" w:eastAsia="仿宋"/>
          <w:sz w:val="22"/>
        </w:rPr>
        <w:t>4.</w:t>
      </w:r>
      <w:r>
        <w:rPr>
          <w:rFonts w:ascii="仿宋" w:hAnsi="仿宋" w:eastAsia="仿宋"/>
          <w:sz w:val="22"/>
        </w:rPr>
        <w:t>非上市基金</w:t>
      </w:r>
    </w:p>
    <w:p>
      <w:pPr>
        <w:pStyle w:val="13"/>
        <w:ind w:firstLine="440"/>
        <w:rPr>
          <w:rFonts w:ascii="仿宋" w:hAnsi="仿宋" w:eastAsia="仿宋"/>
          <w:sz w:val="22"/>
        </w:rPr>
      </w:pPr>
      <w:r>
        <w:rPr>
          <w:rFonts w:hint="eastAsia" w:ascii="仿宋" w:hAnsi="仿宋" w:eastAsia="仿宋"/>
          <w:sz w:val="22"/>
        </w:rPr>
        <w:t>境内非货币市场基金，按所投资基金估值日的份额净值估值；境内货币市场基金，按所投资基金前一估值日后至估值日期间（含节假日）的万份收益计提估值日基金收益。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5.</w:t>
      </w:r>
      <w:r>
        <w:rPr>
          <w:rFonts w:ascii="仿宋" w:hAnsi="仿宋" w:eastAsia="仿宋"/>
          <w:sz w:val="22"/>
        </w:rPr>
        <w:t>上市证券投资基金</w:t>
      </w:r>
    </w:p>
    <w:p>
      <w:pPr>
        <w:numPr>
          <w:ilvl w:val="255"/>
          <w:numId w:val="0"/>
        </w:numPr>
        <w:ind w:firstLine="418" w:firstLineChars="190"/>
        <w:rPr>
          <w:rFonts w:ascii="仿宋" w:hAnsi="仿宋" w:eastAsia="仿宋"/>
          <w:sz w:val="22"/>
        </w:rPr>
      </w:pPr>
      <w:r>
        <w:rPr>
          <w:rFonts w:ascii="仿宋" w:hAnsi="仿宋" w:eastAsia="仿宋"/>
          <w:sz w:val="22"/>
        </w:rPr>
        <w:t>ETF基金、境内上市定期开放式基金、封闭式基金，按所投资基金估值日的收盘价估值；境内上市开放式基金（LOF）、境内上市交易型货币市场基金，如所投资基金披露份额净值，则按所投资基金估值日的份额净值估值，估值日未公布净值的，按其最近公布的基金份额净值为基础估值；如所投资基金披露万份收益，则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6.</w:t>
      </w:r>
      <w:r>
        <w:rPr>
          <w:rFonts w:ascii="仿宋" w:hAnsi="仿宋" w:eastAsia="仿宋"/>
          <w:sz w:val="22"/>
        </w:rPr>
        <w:t>资产管理产品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资产管理产品，按资产管理人提供的资管产品份额净值估值，净值频率以资产管理人发布为准。</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其他资产的估值方法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存在公允价值的，按照公允价值估值，公允价值不能确定的按照摊余成本法进行估值。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其他</w:t>
      </w:r>
    </w:p>
    <w:p>
      <w:pPr>
        <w:pStyle w:val="13"/>
        <w:numPr>
          <w:ilvl w:val="255"/>
          <w:numId w:val="0"/>
        </w:numPr>
        <w:ind w:firstLine="440" w:firstLineChars="200"/>
        <w:rPr>
          <w:rFonts w:ascii="仿宋" w:hAnsi="仿宋" w:eastAsia="仿宋"/>
          <w:sz w:val="22"/>
        </w:rPr>
      </w:pPr>
      <w:r>
        <w:rPr>
          <w:rFonts w:hint="eastAsia" w:ascii="仿宋" w:hAnsi="仿宋" w:eastAsia="仿宋"/>
          <w:sz w:val="22"/>
        </w:rPr>
        <w:t>如果管理人或托管人认为按以上规定的方法对产品资产进行估值不能客观反映其公允价值的，可提出异议，管理人和托管人协商一致后，变更公允价值的确定方式，在管理人与托管人协商一致日起执行。如有新增事项或变更事项，按国家最新规定或管理人最新的约定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（四）估值错误处理</w:t>
      </w:r>
    </w:p>
    <w:p>
      <w:pPr>
        <w:ind w:firstLine="440" w:firstLineChars="200"/>
        <w:rPr>
          <w:rFonts w:ascii="仿宋" w:hAnsi="仿宋" w:eastAsia="仿宋"/>
          <w:sz w:val="22"/>
        </w:rPr>
      </w:pPr>
      <w:r>
        <w:rPr>
          <w:rFonts w:hint="eastAsia" w:ascii="仿宋" w:hAnsi="仿宋" w:eastAsia="仿宋"/>
          <w:sz w:val="22"/>
        </w:rPr>
        <w:t>产品管理人和托管人将采取必要、适当合理的措施确保产品资产估值的准确性、及时性。当产品单位净值出现错误时，产品管理人应当立即予以纠正，并采取合理的措施防止损失进一步扩大。由于本理财产品估值所用的价格来源出现错误，或由于其它不可抗力原因，产品管理人和托管人虽然已经采取必要、适当、合理的措施进行检查，但是未能发现该错误的，由此造成的产品资产估值错误，产品管理人和托管人不承担责任。但产品管理人和托管人应当积极采取必要的措施消除或减轻由此造成的影响。</w:t>
      </w:r>
    </w:p>
    <w:p>
      <w:pPr>
        <w:pStyle w:val="13"/>
        <w:numPr>
          <w:ilvl w:val="255"/>
          <w:numId w:val="0"/>
        </w:numPr>
        <w:ind w:firstLine="440" w:firstLineChars="200"/>
        <w:rPr>
          <w:rFonts w:ascii="仿宋" w:hAnsi="仿宋" w:eastAsia="仿宋"/>
          <w:sz w:val="22"/>
        </w:rPr>
      </w:pPr>
      <w:r>
        <w:rPr>
          <w:rFonts w:hint="eastAsia" w:ascii="仿宋" w:hAnsi="仿宋" w:eastAsia="仿宋"/>
          <w:sz w:val="22"/>
        </w:rPr>
        <w:t>（五）暂停估值</w:t>
      </w:r>
      <w:r>
        <w:rPr>
          <w:rFonts w:ascii="仿宋" w:hAnsi="仿宋" w:eastAsia="仿宋"/>
          <w:sz w:val="22"/>
        </w:rPr>
        <w:t xml:space="preserve"> </w:t>
      </w:r>
    </w:p>
    <w:p>
      <w:pPr>
        <w:ind w:firstLine="440" w:firstLineChars="200"/>
        <w:rPr>
          <w:rFonts w:ascii="仿宋" w:hAnsi="仿宋" w:eastAsia="仿宋"/>
          <w:sz w:val="22"/>
        </w:rPr>
      </w:pPr>
      <w:r>
        <w:rPr>
          <w:rFonts w:hint="eastAsia" w:ascii="仿宋" w:hAnsi="仿宋" w:eastAsia="仿宋"/>
          <w:sz w:val="22"/>
        </w:rPr>
        <w:t>当本理财产品资产的估值因不可抗力或其它情形致使产品管理人、托管人无法准确评估产品资产价值或存在中国银保监会认定的导致无法准确估值的其它情形时，产品管理人可暂停产品的估值直至另行通知，由此造成的损失，产品管理人和托管人不承担责任。</w:t>
      </w:r>
    </w:p>
    <w:p>
      <w:pPr>
        <w:ind w:firstLine="440" w:firstLineChars="200"/>
        <w:rPr>
          <w:rFonts w:ascii="仿宋" w:hAnsi="仿宋" w:eastAsia="仿宋"/>
          <w:sz w:val="22"/>
        </w:rPr>
      </w:pPr>
      <w:r>
        <w:rPr>
          <w:rFonts w:hint="eastAsia" w:ascii="仿宋" w:hAnsi="仿宋" w:eastAsia="仿宋"/>
          <w:sz w:val="22"/>
        </w:rPr>
        <w:t>产品管理人宣布对本理财产品暂停估值的，应根据本理财产品合同信息披露约定进行公告并说明原因、拟采取的应对安排等。</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六、理财产品利益分配</w:t>
      </w:r>
    </w:p>
    <w:p>
      <w:pPr>
        <w:ind w:firstLine="440" w:firstLineChars="200"/>
        <w:rPr>
          <w:rFonts w:ascii="仿宋" w:hAnsi="仿宋" w:eastAsia="仿宋"/>
          <w:sz w:val="22"/>
        </w:rPr>
      </w:pPr>
      <w:r>
        <w:rPr>
          <w:rFonts w:hint="eastAsia" w:ascii="仿宋" w:hAnsi="仿宋" w:eastAsia="仿宋"/>
          <w:sz w:val="22"/>
        </w:rPr>
        <w:t>投资者持有本理财计划期间及到期时，管理人不承诺保证本理财产品本金安全及理财收益，投资者收益（如有）随理财计划的投资盈亏水平浮动。</w:t>
      </w:r>
    </w:p>
    <w:p>
      <w:pPr>
        <w:pStyle w:val="13"/>
        <w:numPr>
          <w:ilvl w:val="0"/>
          <w:numId w:val="2"/>
        </w:numPr>
        <w:ind w:firstLineChars="0"/>
        <w:rPr>
          <w:rFonts w:ascii="仿宋" w:hAnsi="仿宋" w:eastAsia="仿宋"/>
          <w:sz w:val="22"/>
        </w:rPr>
      </w:pPr>
      <w:r>
        <w:rPr>
          <w:rFonts w:hint="eastAsia" w:ascii="仿宋" w:hAnsi="仿宋" w:eastAsia="仿宋"/>
          <w:sz w:val="22"/>
        </w:rPr>
        <w:t>投资收益测算</w:t>
      </w:r>
    </w:p>
    <w:p>
      <w:pPr>
        <w:ind w:firstLine="424" w:firstLineChars="193"/>
        <w:rPr>
          <w:rFonts w:ascii="仿宋" w:hAnsi="仿宋" w:eastAsia="仿宋"/>
          <w:sz w:val="22"/>
        </w:rPr>
      </w:pPr>
      <w:r>
        <w:rPr>
          <w:rFonts w:hint="eastAsia" w:ascii="仿宋" w:hAnsi="仿宋" w:eastAsia="仿宋"/>
          <w:sz w:val="22"/>
        </w:rPr>
        <w:t>投资者本金和收益</w:t>
      </w:r>
      <w:r>
        <w:rPr>
          <w:rFonts w:ascii="仿宋" w:hAnsi="仿宋" w:eastAsia="仿宋"/>
          <w:sz w:val="22"/>
        </w:rPr>
        <w:t>=理财产品到期/终止时存续的理财产品份额×本理财产品到期/终止日前一自然日的单位份额净值，金额计算保留到小数点后2位，小数点后第3位舍去。</w:t>
      </w:r>
    </w:p>
    <w:p>
      <w:pPr>
        <w:pStyle w:val="13"/>
        <w:numPr>
          <w:ilvl w:val="255"/>
          <w:numId w:val="0"/>
        </w:numPr>
        <w:ind w:firstLine="440" w:firstLineChars="200"/>
        <w:rPr>
          <w:rFonts w:ascii="仿宋" w:hAnsi="仿宋" w:eastAsia="仿宋"/>
          <w:sz w:val="22"/>
        </w:rPr>
      </w:pPr>
      <w:r>
        <w:rPr>
          <w:rFonts w:ascii="仿宋" w:hAnsi="仿宋" w:eastAsia="仿宋"/>
          <w:sz w:val="22"/>
        </w:rPr>
        <w:t>1.</w:t>
      </w:r>
      <w:r>
        <w:rPr>
          <w:rFonts w:hint="eastAsia" w:ascii="仿宋" w:hAnsi="仿宋" w:eastAsia="仿宋"/>
          <w:sz w:val="22"/>
        </w:rPr>
        <w:t>收益示例（以下案例仅为举例说明理财收益的计算方法，采用模拟数据计算，仅为举例之用，不作为最终收益的计算依据，也不构成本理财产品的业绩表现的保证，请谨慎投资。）</w:t>
      </w:r>
    </w:p>
    <w:p>
      <w:pPr>
        <w:pStyle w:val="13"/>
        <w:numPr>
          <w:ilvl w:val="255"/>
          <w:numId w:val="0"/>
        </w:numPr>
        <w:ind w:firstLine="440" w:firstLineChars="200"/>
        <w:rPr>
          <w:rFonts w:ascii="仿宋" w:hAnsi="仿宋" w:eastAsia="仿宋"/>
          <w:sz w:val="22"/>
        </w:rPr>
      </w:pPr>
      <w:r>
        <w:rPr>
          <w:rFonts w:hint="eastAsia" w:ascii="仿宋" w:hAnsi="仿宋" w:eastAsia="仿宋"/>
          <w:sz w:val="22"/>
        </w:rPr>
        <w:t>以某投资者投资</w:t>
      </w:r>
      <w:r>
        <w:rPr>
          <w:rFonts w:ascii="仿宋" w:hAnsi="仿宋" w:eastAsia="仿宋"/>
          <w:sz w:val="22"/>
        </w:rPr>
        <w:t>10万元为例，假设购买时产品净值为1.0000</w:t>
      </w:r>
      <w:r>
        <w:rPr>
          <w:rFonts w:hint="eastAsia" w:ascii="仿宋" w:hAnsi="仿宋" w:eastAsia="仿宋"/>
          <w:sz w:val="22"/>
          <w:lang w:val="en-US" w:eastAsia="zh-CN"/>
        </w:rPr>
        <w:t>0000</w:t>
      </w:r>
      <w:r>
        <w:rPr>
          <w:rFonts w:ascii="仿宋" w:hAnsi="仿宋" w:eastAsia="仿宋"/>
          <w:sz w:val="22"/>
        </w:rPr>
        <w:t>，折算份额为100,000.00份，理财期限为367天。假设产品业绩比较基准为4.00%，期间无分红</w:t>
      </w:r>
      <w:r>
        <w:rPr>
          <w:rFonts w:hint="eastAsia" w:ascii="仿宋" w:hAnsi="仿宋" w:eastAsia="仿宋"/>
          <w:sz w:val="22"/>
        </w:rPr>
        <w:t>。</w:t>
      </w:r>
    </w:p>
    <w:p>
      <w:pPr>
        <w:ind w:firstLine="440" w:firstLineChars="200"/>
        <w:rPr>
          <w:rFonts w:ascii="仿宋" w:hAnsi="仿宋" w:eastAsia="仿宋"/>
          <w:sz w:val="22"/>
        </w:rPr>
      </w:pPr>
      <w:r>
        <w:rPr>
          <w:rFonts w:hint="eastAsia" w:ascii="仿宋" w:hAnsi="仿宋" w:eastAsia="仿宋"/>
          <w:sz w:val="22"/>
        </w:rPr>
        <w:t>示例一</w:t>
      </w:r>
      <w:r>
        <w:rPr>
          <w:rFonts w:ascii="仿宋" w:hAnsi="仿宋" w:eastAsia="仿宋"/>
          <w:sz w:val="22"/>
        </w:rPr>
        <w:t>：</w:t>
      </w:r>
      <w:r>
        <w:rPr>
          <w:rFonts w:hint="eastAsia" w:ascii="仿宋" w:hAnsi="仿宋" w:eastAsia="仿宋"/>
          <w:sz w:val="22"/>
        </w:rPr>
        <w:t>扣除托管费、估值外包服务费（如有）、固定管理费、浮动管理费、增值税等费用后，投资收益超越业绩比较基准。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单位净值为1.040</w:t>
      </w:r>
      <w:r>
        <w:rPr>
          <w:rFonts w:hint="eastAsia" w:ascii="仿宋" w:hAnsi="仿宋" w:eastAsia="仿宋"/>
          <w:sz w:val="22"/>
          <w:lang w:val="en-US" w:eastAsia="zh-CN"/>
        </w:rPr>
        <w:t>20000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(1.0402</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w:t>
      </w:r>
      <w:r>
        <w:rPr>
          <w:rFonts w:ascii="仿宋" w:hAnsi="仿宋" w:eastAsia="仿宋"/>
          <w:sz w:val="22"/>
        </w:rPr>
        <w:t>-1)×365/367=4.00%</w:t>
      </w:r>
      <w:r>
        <w:rPr>
          <w:rFonts w:hint="eastAsia" w:ascii="仿宋" w:hAnsi="仿宋" w:eastAsia="仿宋"/>
          <w:sz w:val="22"/>
        </w:rPr>
        <w:t>，客户实际本金及收益=</w:t>
      </w:r>
      <w:r>
        <w:rPr>
          <w:rFonts w:ascii="仿宋" w:hAnsi="仿宋" w:eastAsia="仿宋"/>
          <w:sz w:val="22"/>
        </w:rPr>
        <w:t>100,000.00份×1.0402</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104,020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示例二：扣除托管费、估值外包服务费（如有）、固定管理费、增值税等费用后，投资收益未达到业绩比较基准，。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单位净值为1.0350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(1.0350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-1)×365/367=3.48%</w:t>
      </w:r>
      <w:r>
        <w:rPr>
          <w:rFonts w:hint="eastAsia" w:ascii="仿宋" w:hAnsi="仿宋" w:eastAsia="仿宋"/>
          <w:sz w:val="22"/>
        </w:rPr>
        <w:t>，客户实际本金及收益=</w:t>
      </w:r>
      <w:r>
        <w:rPr>
          <w:rFonts w:ascii="仿宋" w:hAnsi="仿宋" w:eastAsia="仿宋"/>
          <w:sz w:val="22"/>
        </w:rPr>
        <w:t>100,000.00份×1.0350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103,500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示例三：扣除托管费、估值外包服务费（如有）、固定管理费、增值税等费用后，投资发生亏损。</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单位净值为0.9980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(0.9980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-1)×365/367=-0.20%</w:t>
      </w:r>
      <w:r>
        <w:rPr>
          <w:rFonts w:hint="eastAsia" w:ascii="仿宋" w:hAnsi="仿宋" w:eastAsia="仿宋"/>
          <w:sz w:val="22"/>
        </w:rPr>
        <w:t>，客户实际本金及收益=</w:t>
      </w:r>
      <w:r>
        <w:rPr>
          <w:rFonts w:ascii="仿宋" w:hAnsi="仿宋" w:eastAsia="仿宋"/>
          <w:sz w:val="22"/>
        </w:rPr>
        <w:t>100,000.00份×0.9980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99,800</w:t>
      </w:r>
      <w:r>
        <w:rPr>
          <w:rFonts w:hint="eastAsia" w:ascii="仿宋" w:hAnsi="仿宋" w:eastAsia="仿宋"/>
          <w:sz w:val="22"/>
        </w:rPr>
        <w:t>元。</w:t>
      </w:r>
    </w:p>
    <w:p>
      <w:pPr>
        <w:pStyle w:val="13"/>
        <w:numPr>
          <w:ilvl w:val="255"/>
          <w:numId w:val="0"/>
        </w:numPr>
        <w:ind w:firstLine="440" w:firstLineChars="200"/>
        <w:rPr>
          <w:rFonts w:ascii="仿宋" w:hAnsi="仿宋" w:eastAsia="仿宋"/>
          <w:sz w:val="22"/>
        </w:rPr>
      </w:pPr>
      <w:r>
        <w:rPr>
          <w:rFonts w:hint="eastAsia" w:ascii="仿宋" w:hAnsi="仿宋" w:eastAsia="仿宋"/>
          <w:sz w:val="22"/>
        </w:rPr>
        <w:t>2.最不利情况分析</w:t>
      </w:r>
    </w:p>
    <w:p>
      <w:pPr>
        <w:ind w:firstLine="440" w:firstLineChars="200"/>
        <w:rPr>
          <w:rFonts w:ascii="仿宋" w:hAnsi="仿宋" w:eastAsia="仿宋"/>
          <w:sz w:val="22"/>
        </w:rPr>
      </w:pPr>
      <w:r>
        <w:rPr>
          <w:rFonts w:hint="eastAsia" w:ascii="仿宋" w:hAnsi="仿宋" w:eastAsia="仿宋"/>
          <w:sz w:val="22"/>
        </w:rPr>
        <w:t>本产品为固定收益类净值型理财产品，因投资资产出现价值波动或者发生信用风险，使产品到期时投资收益达不到业绩基准，甚至不足以支付理财产品本金，届时理财资金将按照产品实际净值向投资者进行分配。但在此种情形下，理财产品保留向发生信用风险的投资品发行主体进行追偿的法定权利，若这些权利在未来得以实现，在扣除相关费用后，将继续向投资者进行清偿。</w:t>
      </w:r>
    </w:p>
    <w:p>
      <w:pPr>
        <w:pStyle w:val="13"/>
        <w:numPr>
          <w:ilvl w:val="0"/>
          <w:numId w:val="2"/>
        </w:numPr>
        <w:ind w:firstLineChars="0"/>
        <w:rPr>
          <w:rFonts w:ascii="仿宋" w:hAnsi="仿宋" w:eastAsia="仿宋"/>
          <w:sz w:val="22"/>
        </w:rPr>
      </w:pPr>
      <w:r>
        <w:rPr>
          <w:rFonts w:hint="eastAsia" w:ascii="仿宋" w:hAnsi="仿宋" w:eastAsia="仿宋"/>
          <w:sz w:val="22"/>
        </w:rPr>
        <w:t>其他</w:t>
      </w:r>
    </w:p>
    <w:p>
      <w:pPr>
        <w:ind w:firstLine="440" w:firstLineChars="200"/>
        <w:rPr>
          <w:rFonts w:ascii="仿宋" w:hAnsi="仿宋" w:eastAsia="仿宋"/>
          <w:sz w:val="22"/>
        </w:rPr>
      </w:pPr>
      <w:r>
        <w:rPr>
          <w:rFonts w:hint="eastAsia" w:ascii="仿宋" w:hAnsi="仿宋" w:eastAsia="仿宋"/>
          <w:sz w:val="22"/>
        </w:rPr>
        <w:t>如果发生理财产品所投资金融工具未按时足额支付本息等情形，造成本产品的基础资产无法及时、足额变现，产品管理人可以根据实际情况选择向投资者延迟兑付或分次兑付，并于发生上述情形后的5个工作日内在瑞丰银行官网</w:t>
      </w:r>
      <w:r>
        <w:rPr>
          <w:rFonts w:ascii="仿宋" w:hAnsi="仿宋" w:eastAsia="仿宋"/>
          <w:sz w:val="22"/>
        </w:rPr>
        <w:t>（http://www.borf.cn）</w:t>
      </w:r>
      <w:r>
        <w:rPr>
          <w:rFonts w:hint="eastAsia" w:ascii="仿宋" w:hAnsi="仿宋" w:eastAsia="仿宋"/>
          <w:sz w:val="22"/>
        </w:rPr>
        <w:t>公告兑付方案。投资者的理财收益仍按照“投资收益测算”条款中的计算公式计算。</w:t>
      </w:r>
    </w:p>
    <w:p>
      <w:pPr>
        <w:ind w:firstLine="440" w:firstLineChars="200"/>
        <w:rPr>
          <w:rFonts w:ascii="仿宋" w:hAnsi="仿宋" w:eastAsia="仿宋"/>
          <w:sz w:val="22"/>
        </w:rPr>
      </w:pPr>
      <w:r>
        <w:rPr>
          <w:rFonts w:hint="eastAsia" w:ascii="仿宋" w:hAnsi="仿宋" w:eastAsia="仿宋"/>
          <w:sz w:val="22"/>
        </w:rPr>
        <w:t>产品管理人有权利根据产品实际情况，对本产品期限进行展期，如发生上述情形，产品管理人将于产品到期前</w:t>
      </w:r>
      <w:r>
        <w:rPr>
          <w:rFonts w:ascii="仿宋" w:hAnsi="仿宋" w:eastAsia="仿宋"/>
          <w:sz w:val="22"/>
        </w:rPr>
        <w:t>5个工作日内在</w:t>
      </w:r>
      <w:r>
        <w:rPr>
          <w:rFonts w:hint="eastAsia" w:ascii="仿宋" w:hAnsi="仿宋" w:eastAsia="仿宋"/>
          <w:sz w:val="22"/>
        </w:rPr>
        <w:t>瑞丰银行官网</w:t>
      </w:r>
      <w:r>
        <w:rPr>
          <w:rFonts w:ascii="仿宋" w:hAnsi="仿宋" w:eastAsia="仿宋"/>
          <w:sz w:val="22"/>
        </w:rPr>
        <w:t>（http://www.borf.cn）公告展期方案。</w:t>
      </w:r>
    </w:p>
    <w:p>
      <w:pPr>
        <w:ind w:firstLine="442" w:firstLineChars="200"/>
        <w:rPr>
          <w:rFonts w:ascii="仿宋" w:hAnsi="仿宋" w:eastAsia="仿宋"/>
          <w:b/>
          <w:sz w:val="22"/>
        </w:rPr>
      </w:pPr>
      <w:r>
        <w:rPr>
          <w:rFonts w:hint="eastAsia" w:ascii="仿宋" w:hAnsi="仿宋" w:eastAsia="仿宋"/>
          <w:b/>
          <w:sz w:val="22"/>
        </w:rPr>
        <w:t>七、信息披露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w:t>
      </w:r>
      <w:r>
        <w:rPr>
          <w:rFonts w:ascii="仿宋" w:hAnsi="仿宋" w:eastAsia="仿宋"/>
          <w:sz w:val="22"/>
        </w:rPr>
        <w:t>瑞丰银行将以下述至少一种方式和渠道进行信息披露：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在瑞丰银行官方网站（http://www.borf.cn）发布公告；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在瑞丰银行营业网点发布公告；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通过网上银行等电子渠道查询或公告形式进行披露；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通过与客户书面约定的其他方式进行披露。</w:t>
      </w:r>
    </w:p>
    <w:p>
      <w:pPr>
        <w:ind w:firstLine="440" w:firstLineChars="200"/>
        <w:rPr>
          <w:rFonts w:ascii="仿宋" w:hAnsi="仿宋" w:eastAsia="仿宋"/>
          <w:sz w:val="22"/>
        </w:rPr>
      </w:pPr>
      <w:r>
        <w:rPr>
          <w:rFonts w:hint="eastAsia" w:ascii="仿宋" w:hAnsi="仿宋" w:eastAsia="仿宋"/>
          <w:sz w:val="22"/>
        </w:rPr>
        <w:t>协议约定瑞丰银行官方网站作为信息披露主要方式及渠道点，客户签署本协议即默认为确认瑞丰银行官方网站为默认信息披露渠道。</w:t>
      </w:r>
    </w:p>
    <w:p>
      <w:pPr>
        <w:ind w:firstLine="440" w:firstLineChars="200"/>
        <w:rPr>
          <w:rFonts w:ascii="仿宋" w:hAnsi="仿宋" w:eastAsia="仿宋"/>
          <w:sz w:val="22"/>
        </w:rPr>
      </w:pPr>
      <w:r>
        <w:rPr>
          <w:rFonts w:hint="eastAsia" w:ascii="仿宋" w:hAnsi="仿宋" w:eastAsia="仿宋"/>
          <w:sz w:val="22"/>
        </w:rPr>
        <w:t>（二）</w:t>
      </w:r>
      <w:r>
        <w:rPr>
          <w:rFonts w:ascii="仿宋" w:hAnsi="仿宋" w:eastAsia="仿宋"/>
          <w:sz w:val="22"/>
        </w:rPr>
        <w:t>信息披露的内容和频率：</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在产品成立当日后的5个工作日内发布成立公告，在产品到期后的5个工作日内发布产品清算报告</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本理财产品将每周进行净值公告，公告日遇法定节假日顺延，公告内容为上周五（工作日）日终产品单位净值。如遇周五为非工作日，则披露周五的上一个工作日日终产品单位净值。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瑞丰银行在每个季度结束之日起15个工作日内，上半年结束之日起60个工作日内，每年结束之日起90个工作日内，编制完成理财产品的季度、半年和年底报告等定期报告，理财产品成立不足90个工作日或者存续期不超过90个工作日的，不编制理财产品当期的季度报告。向投资者披露的内容包括本理财产品的季度、半年和年度最后一个市场交易日的份额净值、份额累计净值、资产净值、理财产品的存续规模和收益表现，并分别列示直接和间接投资的资产种类、投资比例、投资组合的流动性风险分析，以及前十项资产具体名称、规模和比例等信息。所有报告正文</w:t>
      </w:r>
      <w:r>
        <w:rPr>
          <w:rFonts w:hint="eastAsia" w:ascii="仿宋" w:hAnsi="仿宋" w:eastAsia="仿宋"/>
          <w:sz w:val="22"/>
        </w:rPr>
        <w:t>将通过瑞丰银行官网披露。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理财产品存续期间如发生可能影响理财产品正常运作的重大不利事项时，将在事项发生后的2个工作日内发布公告。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瑞丰银行因提前终止本理财产品、调整产品工作日、调整业绩比较基准、调整产品规模等原因，将在调整日之前至少2个工作日进行公告。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在运用暂停认购、延期办理大额赎回申请、暂停接受赎回申请、延缓支付赎回款项、暂停估值等措施后，管理人应当通过本理财产品说明书约定的信息披露方式在3个</w:t>
      </w:r>
      <w:r>
        <w:rPr>
          <w:rFonts w:hint="eastAsia" w:ascii="仿宋" w:hAnsi="仿宋" w:eastAsia="仿宋"/>
          <w:sz w:val="22"/>
        </w:rPr>
        <w:t>工作</w:t>
      </w:r>
      <w:r>
        <w:rPr>
          <w:rFonts w:ascii="仿宋" w:hAnsi="仿宋" w:eastAsia="仿宋"/>
          <w:sz w:val="22"/>
        </w:rPr>
        <w:t>日内告知该理财产品的投资者，并说明运用相关措施的原因、拟采取的应对安排等。</w:t>
      </w:r>
    </w:p>
    <w:p>
      <w:pPr>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八、产品管理人</w:t>
      </w:r>
    </w:p>
    <w:p>
      <w:pPr>
        <w:ind w:firstLine="440" w:firstLineChars="200"/>
        <w:rPr>
          <w:rFonts w:ascii="仿宋" w:hAnsi="仿宋" w:eastAsia="仿宋"/>
          <w:sz w:val="22"/>
        </w:rPr>
      </w:pPr>
      <w:r>
        <w:rPr>
          <w:rFonts w:hint="eastAsia" w:ascii="仿宋" w:hAnsi="仿宋" w:eastAsia="仿宋"/>
          <w:sz w:val="22"/>
        </w:rPr>
        <w:t>本理财产品的产品管理人为浙江绍兴瑞丰农村商业银行股份有限公司。瑞丰银行负责本理财产品的投资运作和产品管理，投资者在此授权并同意管理人享有以下权利：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按照本理财产品文件的约定，管理、运用和处分理财产品资金；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按照本理财产品文件的约定，及时、足额获得管理费和本《产品说明书》约定的其</w:t>
      </w:r>
      <w:r>
        <w:rPr>
          <w:rFonts w:hint="eastAsia" w:ascii="仿宋" w:hAnsi="仿宋" w:eastAsia="仿宋"/>
          <w:sz w:val="22"/>
        </w:rPr>
        <w:t>他费用（如有）；</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管理人以其固有财产先行垫付因处理本理财产品相关事务所支出的理财产品费用及税费的，</w:t>
      </w:r>
      <w:r>
        <w:rPr>
          <w:rFonts w:hint="eastAsia" w:ascii="仿宋" w:hAnsi="仿宋" w:eastAsia="仿宋"/>
          <w:sz w:val="22"/>
        </w:rPr>
        <w:t>对理财产品资金享有优先受偿的权利；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管理人有权根据本理财产品文件的约定提前终止或延长本理财产品的期限；</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管理人有权单方调整本理财产品的发行规模上限/下限、认购起点、认购金额上</w:t>
      </w:r>
      <w:r>
        <w:rPr>
          <w:rFonts w:hint="eastAsia" w:ascii="仿宋" w:hAnsi="仿宋" w:eastAsia="仿宋"/>
          <w:sz w:val="22"/>
        </w:rPr>
        <w:t>限、</w:t>
      </w:r>
      <w:r>
        <w:rPr>
          <w:rFonts w:ascii="仿宋" w:hAnsi="仿宋" w:eastAsia="仿宋"/>
          <w:sz w:val="22"/>
        </w:rPr>
        <w:t>认购资金的最低金额、单笔认购上限、单日净认购比例上限、单一</w:t>
      </w:r>
      <w:r>
        <w:rPr>
          <w:rFonts w:hint="eastAsia" w:ascii="仿宋" w:hAnsi="仿宋" w:eastAsia="仿宋"/>
          <w:sz w:val="22"/>
        </w:rPr>
        <w:t>客户持有上限、赎回上限等要素；</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管理人有权按照法律规定和监管机构的要求将投资者的信息向有权部门或相关机构披露；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以理财产品管理人的名义，依照法律法规相关规定以及为理财产品的利益，对被投资的</w:t>
      </w:r>
      <w:r>
        <w:rPr>
          <w:rFonts w:hint="eastAsia" w:ascii="仿宋" w:hAnsi="仿宋" w:eastAsia="仿宋"/>
          <w:sz w:val="22"/>
        </w:rPr>
        <w:t>信托计划、资管计划、各类基金（含公募基金和私募基金）、公司</w:t>
      </w:r>
      <w:r>
        <w:rPr>
          <w:rFonts w:ascii="仿宋" w:hAnsi="仿宋" w:eastAsia="仿宋"/>
          <w:sz w:val="22"/>
        </w:rPr>
        <w:t>/企业等行使出资人/投资者</w:t>
      </w:r>
      <w:r>
        <w:rPr>
          <w:rFonts w:hint="eastAsia" w:ascii="仿宋" w:hAnsi="仿宋" w:eastAsia="仿宋"/>
          <w:sz w:val="22"/>
        </w:rPr>
        <w:t>权利（包括但不限于表决投票的权利）以及行使因理财产品财产投资于证券类基础资产（含债券等）或其他基础资产（包括但不限于债权类资产）所产生的相关权利；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以理财产品管理人的名义，依照法律法规相关规定以及代表理财产品份额持有人的利益</w:t>
      </w:r>
      <w:r>
        <w:rPr>
          <w:rFonts w:hint="eastAsia" w:ascii="仿宋" w:hAnsi="仿宋" w:eastAsia="仿宋"/>
          <w:sz w:val="22"/>
        </w:rPr>
        <w:t>行使代为追索的权利（包括但不限于提起诉讼</w:t>
      </w:r>
      <w:r>
        <w:rPr>
          <w:rFonts w:ascii="仿宋" w:hAnsi="仿宋" w:eastAsia="仿宋"/>
          <w:sz w:val="22"/>
        </w:rPr>
        <w:t>/仲裁、申请保全/执行的权利）或者实施其他风</w:t>
      </w:r>
      <w:r>
        <w:rPr>
          <w:rFonts w:hint="eastAsia" w:ascii="仿宋" w:hAnsi="仿宋" w:eastAsia="仿宋"/>
          <w:sz w:val="22"/>
        </w:rPr>
        <w:t>险处置，行使、放弃、变更相关权利等法律行为；</w:t>
      </w:r>
    </w:p>
    <w:p>
      <w:pPr>
        <w:pStyle w:val="13"/>
        <w:numPr>
          <w:ilvl w:val="255"/>
          <w:numId w:val="0"/>
        </w:numPr>
        <w:ind w:firstLine="440" w:firstLineChars="200"/>
        <w:rPr>
          <w:rFonts w:ascii="仿宋" w:hAnsi="仿宋" w:eastAsia="仿宋"/>
          <w:sz w:val="22"/>
        </w:rPr>
      </w:pPr>
      <w:r>
        <w:rPr>
          <w:rFonts w:hint="eastAsia" w:ascii="仿宋" w:hAnsi="仿宋" w:eastAsia="仿宋"/>
          <w:sz w:val="22"/>
        </w:rPr>
        <w:t>9.</w:t>
      </w:r>
      <w:r>
        <w:rPr>
          <w:rFonts w:ascii="仿宋" w:hAnsi="仿宋" w:eastAsia="仿宋"/>
          <w:sz w:val="22"/>
        </w:rPr>
        <w:t>在法律法规、监管政策允许的前提下调整估值日</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10.</w:t>
      </w:r>
      <w:r>
        <w:rPr>
          <w:rFonts w:ascii="仿宋" w:hAnsi="仿宋" w:eastAsia="仿宋"/>
          <w:sz w:val="22"/>
        </w:rPr>
        <w:t>法律法规、监管政策和本理财产品文件约定的其他权利。</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九、产品托管人</w:t>
      </w:r>
    </w:p>
    <w:p>
      <w:pPr>
        <w:ind w:firstLine="440" w:firstLineChars="200"/>
        <w:rPr>
          <w:rFonts w:ascii="仿宋" w:hAnsi="仿宋" w:eastAsia="仿宋"/>
          <w:sz w:val="22"/>
        </w:rPr>
      </w:pPr>
      <w:r>
        <w:rPr>
          <w:rFonts w:hint="eastAsia" w:ascii="仿宋" w:hAnsi="仿宋" w:eastAsia="仿宋"/>
          <w:sz w:val="22"/>
        </w:rPr>
        <w:t>本理财产品的托管机构为招商银行股份有限公司杭州分行。托管机构的主要职责包括：负责委托资产的会计核算和估值，复核、审查产品管理人的资产净值；及时与产品管理人核对报表、数据，按照规定监督产品管理人的投资运作；安全保管委托资产，根据产品管理人的合规指令及时办理清算、交割事宜；定期向委托人和有关监督部门提交托管报告和财务会计报告；法律、法规规定的其他职责。</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十、估值外包服务机构</w:t>
      </w:r>
    </w:p>
    <w:p>
      <w:pPr>
        <w:ind w:firstLine="440" w:firstLineChars="200"/>
        <w:rPr>
          <w:rFonts w:ascii="仿宋" w:hAnsi="仿宋" w:eastAsia="仿宋"/>
          <w:sz w:val="22"/>
        </w:rPr>
      </w:pPr>
      <w:r>
        <w:rPr>
          <w:rFonts w:hint="eastAsia" w:ascii="仿宋" w:hAnsi="仿宋" w:eastAsia="仿宋"/>
          <w:sz w:val="22"/>
        </w:rPr>
        <w:t>本理财产品的估值外包服务机构为招商银行股份有限公司。估值外包服务机构的主要职责包括：按照与管理人约定的估值方法，进行会计核算和估值；对理财产品的投资运作、资产盈亏、权益事项、收支确认、收益分配等任何涉及资产价值变动的事项作出客观公正的账务处理；及时准确地提供估值表；与托管人进行核对。</w:t>
      </w:r>
    </w:p>
    <w:p>
      <w:pPr>
        <w:ind w:firstLine="440" w:firstLineChars="200"/>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十一、其他事项</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认购资金在认购期按活期利率计息，认购期内的利息不计入投资者认购理财产品本金。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为保证本理财产品到期后资金（如有）的正常兑付，投资者须确保购买本理财产品的理财资金账户正常有效。</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若遇法院等有权机关对投资者的理财份额进行冻结、扣划的，瑞丰银行有权根据有权机关的要求执行，有权机关要求扣划理财份额的，瑞丰银行无需事先通知或经投资者同意，即有权按照当日净值直接赎回投资者的理财份额并按有权机关的要求执行扣划，由此导致的损失由投资者自行承担。</w:t>
      </w:r>
    </w:p>
    <w:p>
      <w:pPr>
        <w:widowControl/>
        <w:jc w:val="left"/>
        <w:rPr>
          <w:rFonts w:ascii="仿宋" w:hAnsi="仿宋" w:eastAsia="仿宋"/>
          <w:sz w:val="22"/>
        </w:rPr>
      </w:pPr>
    </w:p>
    <w:sectPr>
      <w:headerReference r:id="rId3" w:type="default"/>
      <w:footerReference r:id="rId4" w:type="default"/>
      <w:pgSz w:w="11906" w:h="16838"/>
      <w:pgMar w:top="851" w:right="991" w:bottom="851" w:left="1134" w:header="851" w:footer="5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sz w:val="11"/>
      </w:rPr>
    </w:pPr>
    <w:r>
      <w:rPr>
        <w:rFonts w:hint="eastAsia" w:ascii="仿宋" w:hAnsi="仿宋" w:eastAsia="仿宋"/>
        <w:b/>
        <w:sz w:val="24"/>
      </w:rPr>
      <w:t xml:space="preserve">理财非存款、产品有风险、投资须谨慎 </w:t>
    </w:r>
    <w:r>
      <w:rPr>
        <w:rFonts w:ascii="仿宋" w:hAnsi="仿宋" w:eastAsia="仿宋"/>
        <w:b/>
        <w:sz w:val="24"/>
      </w:rPr>
      <w:t xml:space="preserve">     </w:t>
    </w:r>
    <w:r>
      <w:rPr>
        <w:rFonts w:ascii="仿宋" w:hAnsi="仿宋" w:eastAsia="仿宋"/>
        <w:b/>
        <w:sz w:val="24"/>
        <w:lang w:val="zh-CN"/>
      </w:rPr>
      <w:t xml:space="preserve"> </w:t>
    </w:r>
    <w:r>
      <w:rPr>
        <w:rFonts w:ascii="仿宋" w:hAnsi="仿宋" w:eastAsia="仿宋"/>
        <w:b/>
        <w:bCs/>
      </w:rPr>
      <w:fldChar w:fldCharType="begin"/>
    </w:r>
    <w:r>
      <w:rPr>
        <w:rFonts w:ascii="仿宋" w:hAnsi="仿宋" w:eastAsia="仿宋"/>
        <w:b/>
        <w:bCs/>
      </w:rPr>
      <w:instrText xml:space="preserve">PAGE  \* Arabic  \* MERGEFORMAT</w:instrText>
    </w:r>
    <w:r>
      <w:rPr>
        <w:rFonts w:ascii="仿宋" w:hAnsi="仿宋" w:eastAsia="仿宋"/>
        <w:b/>
        <w:bCs/>
      </w:rPr>
      <w:fldChar w:fldCharType="separate"/>
    </w:r>
    <w:r>
      <w:rPr>
        <w:rFonts w:ascii="仿宋" w:hAnsi="仿宋" w:eastAsia="仿宋"/>
        <w:b/>
        <w:bCs/>
        <w:lang w:val="zh-CN"/>
      </w:rPr>
      <w:t>8</w:t>
    </w:r>
    <w:r>
      <w:rPr>
        <w:rFonts w:ascii="仿宋" w:hAnsi="仿宋" w:eastAsia="仿宋"/>
        <w:b/>
        <w:bCs/>
      </w:rPr>
      <w:fldChar w:fldCharType="end"/>
    </w:r>
    <w:r>
      <w:rPr>
        <w:rFonts w:ascii="仿宋" w:hAnsi="仿宋" w:eastAsia="仿宋"/>
        <w:b/>
        <w:lang w:val="zh-CN"/>
      </w:rPr>
      <w:t xml:space="preserve"> / </w:t>
    </w:r>
    <w:r>
      <w:rPr>
        <w:rFonts w:ascii="仿宋" w:hAnsi="仿宋" w:eastAsia="仿宋"/>
        <w:b/>
        <w:bCs/>
      </w:rPr>
      <w:fldChar w:fldCharType="begin"/>
    </w:r>
    <w:r>
      <w:rPr>
        <w:rFonts w:ascii="仿宋" w:hAnsi="仿宋" w:eastAsia="仿宋"/>
        <w:b/>
        <w:bCs/>
      </w:rPr>
      <w:instrText xml:space="preserve">NUMPAGES  \* Arabic  \* MERGEFORMAT</w:instrText>
    </w:r>
    <w:r>
      <w:rPr>
        <w:rFonts w:ascii="仿宋" w:hAnsi="仿宋" w:eastAsia="仿宋"/>
        <w:b/>
        <w:bCs/>
      </w:rPr>
      <w:fldChar w:fldCharType="separate"/>
    </w:r>
    <w:r>
      <w:rPr>
        <w:rFonts w:ascii="仿宋" w:hAnsi="仿宋" w:eastAsia="仿宋"/>
        <w:b/>
        <w:bCs/>
        <w:lang w:val="zh-CN"/>
      </w:rPr>
      <w:t>12</w:t>
    </w:r>
    <w:r>
      <w:rPr>
        <w:rFonts w:ascii="仿宋" w:hAnsi="仿宋" w:eastAsia="仿宋"/>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rPr>
        <w:rFonts w:ascii="仿宋" w:hAnsi="仿宋" w:eastAsia="仿宋"/>
      </w:rPr>
    </w:pPr>
    <w:r>
      <w:rPr>
        <w:rFonts w:ascii="仿宋" w:hAnsi="仿宋" w:eastAsia="仿宋"/>
      </w:rPr>
      <w:drawing>
        <wp:anchor distT="0" distB="0" distL="114300" distR="114300" simplePos="0" relativeHeight="251660288" behindDoc="0" locked="0" layoutInCell="1" allowOverlap="1">
          <wp:simplePos x="0" y="0"/>
          <wp:positionH relativeFrom="column">
            <wp:posOffset>5219700</wp:posOffset>
          </wp:positionH>
          <wp:positionV relativeFrom="paragraph">
            <wp:posOffset>-291465</wp:posOffset>
          </wp:positionV>
          <wp:extent cx="984250" cy="252730"/>
          <wp:effectExtent l="0" t="0" r="6350" b="0"/>
          <wp:wrapNone/>
          <wp:docPr id="71" name="图片 71"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致富理财ICON [转换]-01"/>
                  <pic:cNvPicPr>
                    <a:picLocks noChangeAspect="1" noChangeArrowheads="1"/>
                  </pic:cNvPicPr>
                </pic:nvPicPr>
                <pic:blipFill>
                  <a:blip r:embed="rId1">
                    <a:extLst>
                      <a:ext uri="{28A0092B-C50C-407E-A947-70E740481C1C}">
                        <a14:useLocalDpi xmlns:a14="http://schemas.microsoft.com/office/drawing/2010/main" val="0"/>
                      </a:ext>
                    </a:extLst>
                  </a:blip>
                  <a:srcRect l="6451" t="21858" r="6451" b="19850"/>
                  <a:stretch>
                    <a:fillRect/>
                  </a:stretch>
                </pic:blipFill>
                <pic:spPr>
                  <a:xfrm>
                    <a:off x="0" y="0"/>
                    <a:ext cx="984250" cy="252730"/>
                  </a:xfrm>
                  <a:prstGeom prst="rect">
                    <a:avLst/>
                  </a:prstGeom>
                  <a:noFill/>
                  <a:ln>
                    <a:noFill/>
                  </a:ln>
                </pic:spPr>
              </pic:pic>
            </a:graphicData>
          </a:graphic>
        </wp:anchor>
      </w:drawing>
    </w:r>
    <w:r>
      <w:rPr>
        <w:rFonts w:ascii="仿宋" w:hAnsi="仿宋" w:eastAsia="仿宋"/>
      </w:rPr>
      <w:drawing>
        <wp:anchor distT="0" distB="0" distL="114300" distR="114300" simplePos="0" relativeHeight="251659264" behindDoc="0" locked="0" layoutInCell="1" allowOverlap="1">
          <wp:simplePos x="0" y="0"/>
          <wp:positionH relativeFrom="column">
            <wp:posOffset>0</wp:posOffset>
          </wp:positionH>
          <wp:positionV relativeFrom="page">
            <wp:posOffset>219075</wp:posOffset>
          </wp:positionV>
          <wp:extent cx="1045845" cy="282575"/>
          <wp:effectExtent l="0" t="0" r="0" b="3175"/>
          <wp:wrapNone/>
          <wp:docPr id="72" name="图片 72"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瑞丰银行 logo - slogan2-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45845" cy="282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0169A"/>
    <w:multiLevelType w:val="multilevel"/>
    <w:tmpl w:val="3410169A"/>
    <w:lvl w:ilvl="0" w:tentative="0">
      <w:start w:val="1"/>
      <w:numFmt w:val="bullet"/>
      <w:lvlText w:val=""/>
      <w:lvlJc w:val="left"/>
      <w:pPr>
        <w:ind w:left="418" w:hanging="420"/>
      </w:pPr>
      <w:rPr>
        <w:rFonts w:hint="default" w:ascii="Wingdings" w:hAnsi="Wingdings"/>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abstractNum w:abstractNumId="1">
    <w:nsid w:val="7B4602F5"/>
    <w:multiLevelType w:val="multilevel"/>
    <w:tmpl w:val="7B4602F5"/>
    <w:lvl w:ilvl="0" w:tentative="0">
      <w:start w:val="1"/>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YjMwZmZhZWQxN2VhNjYwNzNhNjc5MmM2YTlmMjMifQ=="/>
  </w:docVars>
  <w:rsids>
    <w:rsidRoot w:val="00AD10FF"/>
    <w:rsid w:val="000030B0"/>
    <w:rsid w:val="00013C83"/>
    <w:rsid w:val="00017C81"/>
    <w:rsid w:val="00030F08"/>
    <w:rsid w:val="00081EDB"/>
    <w:rsid w:val="000A1524"/>
    <w:rsid w:val="00101184"/>
    <w:rsid w:val="001051BF"/>
    <w:rsid w:val="00114C17"/>
    <w:rsid w:val="00117184"/>
    <w:rsid w:val="00124129"/>
    <w:rsid w:val="00152CEF"/>
    <w:rsid w:val="00152FDC"/>
    <w:rsid w:val="00161C19"/>
    <w:rsid w:val="001A217C"/>
    <w:rsid w:val="001C4E19"/>
    <w:rsid w:val="001C57BA"/>
    <w:rsid w:val="001C6B94"/>
    <w:rsid w:val="001D1896"/>
    <w:rsid w:val="00262464"/>
    <w:rsid w:val="00275371"/>
    <w:rsid w:val="00283E7E"/>
    <w:rsid w:val="002A2852"/>
    <w:rsid w:val="002C0060"/>
    <w:rsid w:val="002C5DBF"/>
    <w:rsid w:val="00305BCC"/>
    <w:rsid w:val="00326ACA"/>
    <w:rsid w:val="0033180C"/>
    <w:rsid w:val="00350C66"/>
    <w:rsid w:val="003517A9"/>
    <w:rsid w:val="00370010"/>
    <w:rsid w:val="003A0E3D"/>
    <w:rsid w:val="003B60E0"/>
    <w:rsid w:val="00405BA0"/>
    <w:rsid w:val="00421C7E"/>
    <w:rsid w:val="00421ECD"/>
    <w:rsid w:val="00452997"/>
    <w:rsid w:val="00481AF5"/>
    <w:rsid w:val="004B7EEA"/>
    <w:rsid w:val="004C7B59"/>
    <w:rsid w:val="005134DB"/>
    <w:rsid w:val="00524128"/>
    <w:rsid w:val="00534950"/>
    <w:rsid w:val="005741FE"/>
    <w:rsid w:val="0058791B"/>
    <w:rsid w:val="005C55DE"/>
    <w:rsid w:val="005C5DC7"/>
    <w:rsid w:val="005E155E"/>
    <w:rsid w:val="005E36A9"/>
    <w:rsid w:val="00641CCD"/>
    <w:rsid w:val="0067308C"/>
    <w:rsid w:val="0068231D"/>
    <w:rsid w:val="00695179"/>
    <w:rsid w:val="006B58E6"/>
    <w:rsid w:val="006C4DA5"/>
    <w:rsid w:val="006E3877"/>
    <w:rsid w:val="00701130"/>
    <w:rsid w:val="00705D02"/>
    <w:rsid w:val="00724460"/>
    <w:rsid w:val="0073084D"/>
    <w:rsid w:val="00737861"/>
    <w:rsid w:val="007440FE"/>
    <w:rsid w:val="007627A8"/>
    <w:rsid w:val="00766334"/>
    <w:rsid w:val="007F2843"/>
    <w:rsid w:val="008251A1"/>
    <w:rsid w:val="00841E7E"/>
    <w:rsid w:val="00850209"/>
    <w:rsid w:val="008600E3"/>
    <w:rsid w:val="00882725"/>
    <w:rsid w:val="008A206F"/>
    <w:rsid w:val="008E6E25"/>
    <w:rsid w:val="009824C8"/>
    <w:rsid w:val="00982D52"/>
    <w:rsid w:val="009C6836"/>
    <w:rsid w:val="009D2288"/>
    <w:rsid w:val="009D2B30"/>
    <w:rsid w:val="009F0AAF"/>
    <w:rsid w:val="009F3AD3"/>
    <w:rsid w:val="00A20440"/>
    <w:rsid w:val="00A20872"/>
    <w:rsid w:val="00A77AF2"/>
    <w:rsid w:val="00A8235D"/>
    <w:rsid w:val="00A8459A"/>
    <w:rsid w:val="00AD10FF"/>
    <w:rsid w:val="00AF3D44"/>
    <w:rsid w:val="00B001AB"/>
    <w:rsid w:val="00B026C4"/>
    <w:rsid w:val="00B14D89"/>
    <w:rsid w:val="00B215F0"/>
    <w:rsid w:val="00B22FD4"/>
    <w:rsid w:val="00B3713A"/>
    <w:rsid w:val="00B5250C"/>
    <w:rsid w:val="00B60B81"/>
    <w:rsid w:val="00B671DA"/>
    <w:rsid w:val="00B870A9"/>
    <w:rsid w:val="00BC79EB"/>
    <w:rsid w:val="00BE6007"/>
    <w:rsid w:val="00BE6628"/>
    <w:rsid w:val="00C625BD"/>
    <w:rsid w:val="00C65739"/>
    <w:rsid w:val="00C83569"/>
    <w:rsid w:val="00C92419"/>
    <w:rsid w:val="00CA4567"/>
    <w:rsid w:val="00CB1142"/>
    <w:rsid w:val="00CC008E"/>
    <w:rsid w:val="00CD3B37"/>
    <w:rsid w:val="00CF6822"/>
    <w:rsid w:val="00D02CE6"/>
    <w:rsid w:val="00D16366"/>
    <w:rsid w:val="00D31DCD"/>
    <w:rsid w:val="00D6055C"/>
    <w:rsid w:val="00D933F9"/>
    <w:rsid w:val="00DA2DB4"/>
    <w:rsid w:val="00DD1214"/>
    <w:rsid w:val="00DD20EA"/>
    <w:rsid w:val="00DD4F78"/>
    <w:rsid w:val="00DD6390"/>
    <w:rsid w:val="00DE0061"/>
    <w:rsid w:val="00E0620F"/>
    <w:rsid w:val="00E4250B"/>
    <w:rsid w:val="00E573C9"/>
    <w:rsid w:val="00E90B16"/>
    <w:rsid w:val="00E91EC5"/>
    <w:rsid w:val="00E92001"/>
    <w:rsid w:val="00E9338D"/>
    <w:rsid w:val="00E94A4E"/>
    <w:rsid w:val="00EB6295"/>
    <w:rsid w:val="00EF0735"/>
    <w:rsid w:val="00F21C6C"/>
    <w:rsid w:val="00F773DA"/>
    <w:rsid w:val="00F87420"/>
    <w:rsid w:val="00FB0926"/>
    <w:rsid w:val="00FB5C36"/>
    <w:rsid w:val="00FB5CBB"/>
    <w:rsid w:val="00FB6583"/>
    <w:rsid w:val="00FC2702"/>
    <w:rsid w:val="00FD19C3"/>
    <w:rsid w:val="00FE71A4"/>
    <w:rsid w:val="03220660"/>
    <w:rsid w:val="0359738E"/>
    <w:rsid w:val="041C5C0D"/>
    <w:rsid w:val="081B6D75"/>
    <w:rsid w:val="0DAD4531"/>
    <w:rsid w:val="0EDD4A5F"/>
    <w:rsid w:val="112209DB"/>
    <w:rsid w:val="11307AFB"/>
    <w:rsid w:val="15E45E20"/>
    <w:rsid w:val="1A8D1434"/>
    <w:rsid w:val="1F52186A"/>
    <w:rsid w:val="21465C1C"/>
    <w:rsid w:val="21552560"/>
    <w:rsid w:val="21D151F0"/>
    <w:rsid w:val="246A5ABF"/>
    <w:rsid w:val="272E6AAC"/>
    <w:rsid w:val="28872D08"/>
    <w:rsid w:val="2C2D1A7E"/>
    <w:rsid w:val="2C613CCD"/>
    <w:rsid w:val="2D2C4BD8"/>
    <w:rsid w:val="2D923900"/>
    <w:rsid w:val="2DA63EC2"/>
    <w:rsid w:val="2E0F6302"/>
    <w:rsid w:val="308A36A3"/>
    <w:rsid w:val="31882302"/>
    <w:rsid w:val="31C27887"/>
    <w:rsid w:val="337E5E03"/>
    <w:rsid w:val="37B13CD1"/>
    <w:rsid w:val="37FE6756"/>
    <w:rsid w:val="3B356F9A"/>
    <w:rsid w:val="3BBB2411"/>
    <w:rsid w:val="3F745B24"/>
    <w:rsid w:val="3FD772F3"/>
    <w:rsid w:val="40643AFD"/>
    <w:rsid w:val="40B306BA"/>
    <w:rsid w:val="413751E7"/>
    <w:rsid w:val="42497BA1"/>
    <w:rsid w:val="44D04F27"/>
    <w:rsid w:val="48A57CFF"/>
    <w:rsid w:val="496C0D01"/>
    <w:rsid w:val="4A4F3547"/>
    <w:rsid w:val="4BC94314"/>
    <w:rsid w:val="529A226B"/>
    <w:rsid w:val="54E2409E"/>
    <w:rsid w:val="566B4F48"/>
    <w:rsid w:val="592A7B41"/>
    <w:rsid w:val="5B0D3CB3"/>
    <w:rsid w:val="5B37715D"/>
    <w:rsid w:val="5D5D41EB"/>
    <w:rsid w:val="5E535A41"/>
    <w:rsid w:val="60026C68"/>
    <w:rsid w:val="61873986"/>
    <w:rsid w:val="61D73FBF"/>
    <w:rsid w:val="622861C9"/>
    <w:rsid w:val="64B67109"/>
    <w:rsid w:val="64DE1B74"/>
    <w:rsid w:val="66846D5C"/>
    <w:rsid w:val="67D64453"/>
    <w:rsid w:val="6A587CDD"/>
    <w:rsid w:val="6BFD05C0"/>
    <w:rsid w:val="6C7E3839"/>
    <w:rsid w:val="71BB6D76"/>
    <w:rsid w:val="757F7818"/>
    <w:rsid w:val="76C00F24"/>
    <w:rsid w:val="77984C99"/>
    <w:rsid w:val="77C5393C"/>
    <w:rsid w:val="790E7935"/>
    <w:rsid w:val="7BCC5536"/>
    <w:rsid w:val="7CC85554"/>
    <w:rsid w:val="7D09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列出段落1"/>
    <w:basedOn w:val="1"/>
    <w:qFormat/>
    <w:uiPriority w:val="0"/>
    <w:pPr>
      <w:ind w:firstLine="420" w:firstLineChars="200"/>
    </w:pPr>
    <w:rPr>
      <w:rFonts w:ascii="Calibri" w:hAnsi="Calibri" w:eastAsia="宋体" w:cs="黑体"/>
    </w:rPr>
  </w:style>
  <w:style w:type="character" w:customStyle="1" w:styleId="15">
    <w:name w:val="批注框文本 字符"/>
    <w:basedOn w:val="9"/>
    <w:link w:val="3"/>
    <w:semiHidden/>
    <w:qFormat/>
    <w:uiPriority w:val="99"/>
    <w:rPr>
      <w:kern w:val="2"/>
      <w:sz w:val="18"/>
      <w:szCs w:val="18"/>
    </w:rPr>
  </w:style>
  <w:style w:type="character" w:customStyle="1" w:styleId="16">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2182</Words>
  <Characters>12438</Characters>
  <Lines>103</Lines>
  <Paragraphs>29</Paragraphs>
  <TotalTime>68</TotalTime>
  <ScaleCrop>false</ScaleCrop>
  <LinksUpToDate>false</LinksUpToDate>
  <CharactersWithSpaces>14591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2023-03-01T07:05:00Z</dcterms:created>
  <dc:creator>Xiaoyang Maaa</dc:creator>
  <cp:lastModifiedBy>Administrator</cp:lastModifiedBy>
  <cp:lastPrinted>2023-03-01T07:00:00Z</cp:lastPrinted>
  <dcterms:modified xsi:type="dcterms:W3CDTF">2023-07-27T07:05:33Z</dcterms:modified>
  <dc:title>瑞丰银行产品说明书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8CCA466D4ADB48618F8100E4F98CA31A</vt:lpwstr>
  </property>
</Properties>
</file>