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D17" w:rsidRDefault="00651870">
      <w:pPr>
        <w:widowControl/>
        <w:spacing w:line="360" w:lineRule="auto"/>
        <w:jc w:val="center"/>
        <w:rPr>
          <w:rStyle w:val="af"/>
          <w:rFonts w:ascii="宋体" w:hAnsi="宋体"/>
          <w:sz w:val="30"/>
          <w:szCs w:val="30"/>
        </w:rPr>
      </w:pPr>
      <w:r>
        <w:rPr>
          <w:rFonts w:ascii="宋体" w:hAnsi="宋体" w:hint="eastAsia"/>
          <w:b/>
          <w:sz w:val="30"/>
          <w:szCs w:val="30"/>
        </w:rPr>
        <w:t>理财非存款、产品有风险、投资须谨慎！</w:t>
      </w:r>
    </w:p>
    <w:p w:rsidR="00E30D17" w:rsidRDefault="00E30D17">
      <w:pPr>
        <w:adjustRightInd w:val="0"/>
        <w:spacing w:line="360" w:lineRule="auto"/>
        <w:jc w:val="center"/>
        <w:rPr>
          <w:rStyle w:val="af"/>
          <w:rFonts w:ascii="宋体" w:hAnsi="宋体"/>
          <w:sz w:val="32"/>
          <w:szCs w:val="32"/>
        </w:rPr>
      </w:pPr>
    </w:p>
    <w:p w:rsidR="00E30D17" w:rsidRDefault="00E30D17">
      <w:pPr>
        <w:adjustRightInd w:val="0"/>
        <w:spacing w:line="360" w:lineRule="auto"/>
        <w:jc w:val="center"/>
        <w:rPr>
          <w:rStyle w:val="af"/>
          <w:rFonts w:ascii="宋体" w:hAnsi="宋体"/>
          <w:sz w:val="32"/>
          <w:szCs w:val="32"/>
        </w:rPr>
      </w:pPr>
    </w:p>
    <w:p w:rsidR="00E30D17" w:rsidRDefault="00651870">
      <w:pPr>
        <w:adjustRightInd w:val="0"/>
        <w:spacing w:line="360" w:lineRule="auto"/>
        <w:jc w:val="center"/>
        <w:rPr>
          <w:rStyle w:val="af"/>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30D17" w:rsidRDefault="00E30D17">
      <w:pPr>
        <w:adjustRightInd w:val="0"/>
        <w:spacing w:line="360" w:lineRule="auto"/>
        <w:jc w:val="center"/>
        <w:rPr>
          <w:rStyle w:val="af"/>
          <w:rFonts w:ascii="宋体" w:hAnsi="宋体"/>
          <w:sz w:val="32"/>
          <w:szCs w:val="32"/>
        </w:rPr>
      </w:pPr>
    </w:p>
    <w:p w:rsidR="00E30D17" w:rsidRDefault="00651870">
      <w:pPr>
        <w:adjustRightInd w:val="0"/>
        <w:spacing w:line="360" w:lineRule="auto"/>
        <w:jc w:val="center"/>
        <w:rPr>
          <w:rStyle w:val="af"/>
          <w:rFonts w:ascii="黑体" w:eastAsia="黑体" w:hAnsi="黑体"/>
          <w:sz w:val="44"/>
          <w:szCs w:val="44"/>
        </w:rPr>
      </w:pPr>
      <w:r>
        <w:rPr>
          <w:rStyle w:val="af"/>
          <w:rFonts w:ascii="黑体" w:eastAsia="黑体" w:hAnsi="黑体" w:hint="eastAsia"/>
          <w:sz w:val="44"/>
          <w:szCs w:val="44"/>
        </w:rPr>
        <w:t>兴银理财天天万利宝稳利净值型理财产品产品说明书</w:t>
      </w:r>
    </w:p>
    <w:p w:rsidR="00E30D17" w:rsidRDefault="00E30D17">
      <w:pPr>
        <w:adjustRightInd w:val="0"/>
        <w:spacing w:line="360" w:lineRule="auto"/>
        <w:jc w:val="center"/>
        <w:rPr>
          <w:rStyle w:val="af"/>
          <w:rFonts w:ascii="宋体" w:hAnsi="宋体"/>
          <w:sz w:val="32"/>
          <w:szCs w:val="32"/>
        </w:rPr>
      </w:pPr>
    </w:p>
    <w:p w:rsidR="00E30D17" w:rsidRDefault="00E30D17">
      <w:pPr>
        <w:adjustRightInd w:val="0"/>
        <w:spacing w:line="360" w:lineRule="auto"/>
        <w:rPr>
          <w:rStyle w:val="af"/>
          <w:rFonts w:ascii="黑体" w:eastAsia="黑体" w:hAnsi="黑体"/>
          <w:bCs w:val="0"/>
          <w:sz w:val="28"/>
          <w:szCs w:val="28"/>
        </w:rPr>
      </w:pPr>
    </w:p>
    <w:p w:rsidR="00E30D17" w:rsidRDefault="00E30D17">
      <w:pPr>
        <w:adjustRightInd w:val="0"/>
        <w:spacing w:line="360" w:lineRule="auto"/>
        <w:jc w:val="center"/>
        <w:rPr>
          <w:rStyle w:val="af"/>
          <w:rFonts w:ascii="黑体" w:eastAsia="黑体" w:hAnsi="黑体"/>
          <w:bCs w:val="0"/>
          <w:sz w:val="28"/>
          <w:szCs w:val="28"/>
        </w:rPr>
      </w:pPr>
    </w:p>
    <w:p w:rsidR="00E30D17" w:rsidRDefault="00E30D17">
      <w:pPr>
        <w:adjustRightInd w:val="0"/>
        <w:spacing w:line="360" w:lineRule="auto"/>
        <w:jc w:val="center"/>
        <w:rPr>
          <w:rStyle w:val="af"/>
          <w:rFonts w:ascii="黑体" w:eastAsia="黑体" w:hAnsi="黑体"/>
          <w:bCs w:val="0"/>
          <w:sz w:val="28"/>
          <w:szCs w:val="28"/>
        </w:rPr>
      </w:pPr>
    </w:p>
    <w:p w:rsidR="00E30D17" w:rsidRDefault="00651870">
      <w:pPr>
        <w:adjustRightInd w:val="0"/>
        <w:spacing w:line="360" w:lineRule="auto"/>
        <w:jc w:val="center"/>
        <w:rPr>
          <w:rStyle w:val="af"/>
          <w:rFonts w:ascii="宋体" w:hAnsi="宋体" w:cs="Times New Roman"/>
          <w:sz w:val="32"/>
          <w:szCs w:val="32"/>
        </w:rPr>
      </w:pPr>
      <w:r>
        <w:rPr>
          <w:rStyle w:val="af"/>
          <w:rFonts w:ascii="宋体" w:hAnsi="宋体" w:cs="Times New Roman" w:hint="eastAsia"/>
          <w:sz w:val="32"/>
          <w:szCs w:val="32"/>
        </w:rPr>
        <w:t>理财产品管理人：兴银理财有限责任公司</w:t>
      </w:r>
    </w:p>
    <w:p w:rsidR="00E30D17" w:rsidRDefault="00E30D17">
      <w:pPr>
        <w:adjustRightInd w:val="0"/>
        <w:spacing w:line="360" w:lineRule="auto"/>
        <w:jc w:val="center"/>
        <w:rPr>
          <w:rStyle w:val="af"/>
          <w:rFonts w:ascii="宋体" w:hAnsi="宋体"/>
          <w:sz w:val="32"/>
          <w:szCs w:val="32"/>
        </w:rPr>
      </w:pPr>
    </w:p>
    <w:p w:rsidR="00E30D17" w:rsidRDefault="00E30D17">
      <w:pPr>
        <w:adjustRightInd w:val="0"/>
        <w:spacing w:line="360" w:lineRule="auto"/>
        <w:jc w:val="center"/>
        <w:rPr>
          <w:rStyle w:val="af"/>
          <w:rFonts w:ascii="宋体" w:hAnsi="宋体"/>
          <w:sz w:val="32"/>
          <w:szCs w:val="32"/>
        </w:rPr>
      </w:pPr>
    </w:p>
    <w:p w:rsidR="00E30D17" w:rsidRDefault="00651870">
      <w:pPr>
        <w:adjustRightInd w:val="0"/>
        <w:spacing w:line="360" w:lineRule="auto"/>
        <w:jc w:val="center"/>
        <w:rPr>
          <w:rStyle w:val="af"/>
          <w:rFonts w:ascii="宋体" w:hAnsi="宋体" w:cs="Times New Roman"/>
          <w:sz w:val="32"/>
          <w:szCs w:val="32"/>
        </w:rPr>
      </w:pPr>
      <w:r>
        <w:rPr>
          <w:rStyle w:val="af"/>
          <w:rFonts w:ascii="宋体" w:hAnsi="宋体" w:cs="Times New Roman" w:hint="eastAsia"/>
          <w:sz w:val="32"/>
          <w:szCs w:val="32"/>
        </w:rPr>
        <w:t>日期</w:t>
      </w:r>
      <w:r>
        <w:rPr>
          <w:rStyle w:val="af"/>
          <w:rFonts w:ascii="宋体" w:hAnsi="宋体" w:cs="Times New Roman"/>
          <w:sz w:val="32"/>
          <w:szCs w:val="32"/>
        </w:rPr>
        <w:t>：</w:t>
      </w:r>
      <w:r>
        <w:rPr>
          <w:rStyle w:val="af"/>
          <w:rFonts w:ascii="宋体" w:hAnsi="宋体" w:cs="Times New Roman" w:hint="eastAsia"/>
          <w:sz w:val="32"/>
          <w:szCs w:val="32"/>
        </w:rPr>
        <w:t>【2022】年【</w:t>
      </w:r>
      <w:r w:rsidR="00E90E85">
        <w:rPr>
          <w:rStyle w:val="af"/>
          <w:rFonts w:ascii="宋体" w:hAnsi="宋体" w:cs="Times New Roman" w:hint="eastAsia"/>
          <w:sz w:val="32"/>
          <w:szCs w:val="32"/>
        </w:rPr>
        <w:t>12</w:t>
      </w:r>
      <w:r>
        <w:rPr>
          <w:rStyle w:val="af"/>
          <w:rFonts w:ascii="宋体" w:hAnsi="宋体" w:cs="Times New Roman" w:hint="eastAsia"/>
          <w:sz w:val="32"/>
          <w:szCs w:val="32"/>
        </w:rPr>
        <w:t>】月</w:t>
      </w:r>
    </w:p>
    <w:p w:rsidR="00E30D17" w:rsidRDefault="00E30D17">
      <w:pPr>
        <w:adjustRightInd w:val="0"/>
        <w:spacing w:line="360" w:lineRule="auto"/>
        <w:jc w:val="center"/>
        <w:rPr>
          <w:rStyle w:val="af"/>
          <w:rFonts w:ascii="宋体" w:hAnsi="宋体"/>
          <w:sz w:val="32"/>
          <w:szCs w:val="32"/>
        </w:rPr>
      </w:pPr>
    </w:p>
    <w:p w:rsidR="00E30D17" w:rsidRDefault="00E30D17">
      <w:pPr>
        <w:pStyle w:val="Default"/>
        <w:spacing w:line="360" w:lineRule="auto"/>
        <w:rPr>
          <w:rFonts w:hAnsi="宋体"/>
          <w:sz w:val="28"/>
          <w:szCs w:val="28"/>
        </w:rPr>
        <w:sectPr w:rsidR="00E30D17">
          <w:headerReference w:type="default" r:id="rId26"/>
          <w:footerReference w:type="default" r:id="rId27"/>
          <w:footerReference w:type="first" r:id="rId28"/>
          <w:pgSz w:w="11906" w:h="16838"/>
          <w:pgMar w:top="1276" w:right="1800" w:bottom="1418" w:left="1800" w:header="567" w:footer="850" w:gutter="0"/>
          <w:cols w:space="425"/>
          <w:titlePg/>
          <w:docGrid w:type="lines" w:linePitch="312"/>
        </w:sectPr>
      </w:pP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E30D17" w:rsidRDefault="00651870">
          <w:pPr>
            <w:pStyle w:val="TOC2"/>
            <w:spacing w:line="360" w:lineRule="auto"/>
            <w:jc w:val="center"/>
          </w:pPr>
          <w:r>
            <w:rPr>
              <w:lang w:val="zh-CN"/>
            </w:rPr>
            <w:t>目录</w:t>
          </w:r>
        </w:p>
        <w:p w:rsidR="00E30D17" w:rsidRDefault="00651870">
          <w:pPr>
            <w:pStyle w:val="10"/>
            <w:tabs>
              <w:tab w:val="right" w:leader="dot" w:pos="8306"/>
            </w:tabs>
          </w:pPr>
          <w:r>
            <w:fldChar w:fldCharType="begin"/>
          </w:r>
          <w:r>
            <w:instrText xml:space="preserve"> TOC \o "1-3" \h \z \u </w:instrText>
          </w:r>
          <w:r>
            <w:fldChar w:fldCharType="separate"/>
          </w:r>
          <w:hyperlink w:anchor="_Toc9482" w:history="1">
            <w:r>
              <w:rPr>
                <w:rFonts w:ascii="Times New Roman"/>
              </w:rPr>
              <w:t>第</w:t>
            </w:r>
            <w:r>
              <w:rPr>
                <w:rFonts w:ascii="Times New Roman" w:hint="eastAsia"/>
              </w:rPr>
              <w:t>一条</w:t>
            </w:r>
            <w:r>
              <w:rPr>
                <w:rFonts w:ascii="Times New Roman" w:hint="eastAsia"/>
              </w:rPr>
              <w:t xml:space="preserve"> </w:t>
            </w:r>
            <w:r>
              <w:rPr>
                <w:rFonts w:ascii="Times New Roman"/>
              </w:rPr>
              <w:t xml:space="preserve"> </w:t>
            </w:r>
            <w:r>
              <w:rPr>
                <w:rFonts w:ascii="Times New Roman"/>
              </w:rPr>
              <w:t>释义</w:t>
            </w:r>
            <w:r>
              <w:tab/>
            </w:r>
            <w:r>
              <w:fldChar w:fldCharType="begin"/>
            </w:r>
            <w:r>
              <w:instrText xml:space="preserve"> PAGEREF _Toc9482 \h </w:instrText>
            </w:r>
            <w:r>
              <w:fldChar w:fldCharType="separate"/>
            </w:r>
            <w:r>
              <w:t>1</w:t>
            </w:r>
            <w:r>
              <w:fldChar w:fldCharType="end"/>
            </w:r>
          </w:hyperlink>
        </w:p>
        <w:p w:rsidR="00E30D17" w:rsidRDefault="0015329E">
          <w:pPr>
            <w:pStyle w:val="10"/>
            <w:tabs>
              <w:tab w:val="right" w:leader="dot" w:pos="8306"/>
            </w:tabs>
          </w:pPr>
          <w:hyperlink w:anchor="_Toc23998" w:history="1">
            <w:r w:rsidR="00651870">
              <w:rPr>
                <w:rFonts w:hAnsi="宋体" w:hint="eastAsia"/>
                <w:szCs w:val="28"/>
              </w:rPr>
              <w:t>第二条</w:t>
            </w:r>
            <w:r w:rsidR="00651870">
              <w:rPr>
                <w:rFonts w:hAnsi="宋体" w:hint="eastAsia"/>
                <w:szCs w:val="28"/>
              </w:rPr>
              <w:t xml:space="preserve">  </w:t>
            </w:r>
            <w:r w:rsidR="00651870">
              <w:rPr>
                <w:rFonts w:hAnsi="宋体" w:hint="eastAsia"/>
                <w:szCs w:val="28"/>
              </w:rPr>
              <w:t>理财产品基本情况</w:t>
            </w:r>
            <w:r w:rsidR="00651870">
              <w:tab/>
            </w:r>
            <w:r w:rsidR="00651870">
              <w:fldChar w:fldCharType="begin"/>
            </w:r>
            <w:r w:rsidR="00651870">
              <w:instrText xml:space="preserve"> PAGEREF _Toc23998 \h </w:instrText>
            </w:r>
            <w:r w:rsidR="00651870">
              <w:fldChar w:fldCharType="separate"/>
            </w:r>
            <w:r w:rsidR="00651870">
              <w:t>6</w:t>
            </w:r>
            <w:r w:rsidR="00651870">
              <w:fldChar w:fldCharType="end"/>
            </w:r>
          </w:hyperlink>
        </w:p>
        <w:p w:rsidR="00E30D17" w:rsidRDefault="0015329E">
          <w:pPr>
            <w:pStyle w:val="10"/>
            <w:tabs>
              <w:tab w:val="right" w:leader="dot" w:pos="8306"/>
            </w:tabs>
          </w:pPr>
          <w:hyperlink w:anchor="_Toc15862" w:history="1">
            <w:r w:rsidR="00651870">
              <w:rPr>
                <w:rFonts w:ascii="Times New Roman"/>
              </w:rPr>
              <w:t>第</w:t>
            </w:r>
            <w:r w:rsidR="00651870">
              <w:rPr>
                <w:rFonts w:ascii="Times New Roman" w:hint="eastAsia"/>
              </w:rPr>
              <w:t>三条</w:t>
            </w:r>
            <w:r w:rsidR="00651870">
              <w:rPr>
                <w:rFonts w:ascii="Times New Roman"/>
              </w:rPr>
              <w:t xml:space="preserve">  </w:t>
            </w:r>
            <w:r w:rsidR="00651870">
              <w:rPr>
                <w:rFonts w:ascii="Times New Roman" w:hint="eastAsia"/>
              </w:rPr>
              <w:t>理财产品的认购</w:t>
            </w:r>
            <w:r w:rsidR="00651870">
              <w:tab/>
            </w:r>
            <w:r w:rsidR="00651870">
              <w:fldChar w:fldCharType="begin"/>
            </w:r>
            <w:r w:rsidR="00651870">
              <w:instrText xml:space="preserve"> PAGEREF _Toc15862 \h </w:instrText>
            </w:r>
            <w:r w:rsidR="00651870">
              <w:fldChar w:fldCharType="separate"/>
            </w:r>
            <w:r w:rsidR="00651870">
              <w:t>13</w:t>
            </w:r>
            <w:r w:rsidR="00651870">
              <w:fldChar w:fldCharType="end"/>
            </w:r>
          </w:hyperlink>
        </w:p>
        <w:p w:rsidR="00E30D17" w:rsidRDefault="0015329E">
          <w:pPr>
            <w:pStyle w:val="10"/>
            <w:tabs>
              <w:tab w:val="right" w:leader="dot" w:pos="8306"/>
            </w:tabs>
          </w:pPr>
          <w:hyperlink w:anchor="_Toc28040" w:history="1">
            <w:r w:rsidR="00651870">
              <w:rPr>
                <w:rFonts w:ascii="Times New Roman" w:hint="eastAsia"/>
              </w:rPr>
              <w:t>第四条</w:t>
            </w:r>
            <w:r w:rsidR="00651870">
              <w:rPr>
                <w:rFonts w:ascii="Times New Roman" w:hint="eastAsia"/>
              </w:rPr>
              <w:t xml:space="preserve"> </w:t>
            </w:r>
            <w:r w:rsidR="00651870">
              <w:rPr>
                <w:rFonts w:ascii="Times New Roman"/>
              </w:rPr>
              <w:t xml:space="preserve"> </w:t>
            </w:r>
            <w:r w:rsidR="00651870">
              <w:rPr>
                <w:rFonts w:ascii="Times New Roman" w:hint="eastAsia"/>
              </w:rPr>
              <w:t>理财产品的申购与赎回</w:t>
            </w:r>
            <w:r w:rsidR="00651870">
              <w:tab/>
            </w:r>
            <w:r w:rsidR="00651870">
              <w:fldChar w:fldCharType="begin"/>
            </w:r>
            <w:r w:rsidR="00651870">
              <w:instrText xml:space="preserve"> PAGEREF _Toc28040 \h </w:instrText>
            </w:r>
            <w:r w:rsidR="00651870">
              <w:fldChar w:fldCharType="separate"/>
            </w:r>
            <w:r w:rsidR="00651870">
              <w:t>15</w:t>
            </w:r>
            <w:r w:rsidR="00651870">
              <w:fldChar w:fldCharType="end"/>
            </w:r>
          </w:hyperlink>
        </w:p>
        <w:p w:rsidR="00E30D17" w:rsidRDefault="0015329E">
          <w:pPr>
            <w:pStyle w:val="10"/>
            <w:tabs>
              <w:tab w:val="right" w:leader="dot" w:pos="8306"/>
            </w:tabs>
          </w:pPr>
          <w:hyperlink w:anchor="_Toc24722" w:history="1">
            <w:r w:rsidR="00651870">
              <w:rPr>
                <w:rFonts w:ascii="Times New Roman"/>
              </w:rPr>
              <w:t>第</w:t>
            </w:r>
            <w:r w:rsidR="00651870">
              <w:rPr>
                <w:rFonts w:ascii="Times New Roman" w:hint="eastAsia"/>
              </w:rPr>
              <w:t>五条</w:t>
            </w:r>
            <w:r w:rsidR="00651870">
              <w:rPr>
                <w:rFonts w:ascii="Times New Roman"/>
              </w:rPr>
              <w:t xml:space="preserve">  </w:t>
            </w:r>
            <w:r w:rsidR="00651870">
              <w:rPr>
                <w:rFonts w:ascii="Times New Roman" w:hint="eastAsia"/>
              </w:rPr>
              <w:t>理财产品的投资</w:t>
            </w:r>
            <w:r w:rsidR="00651870">
              <w:tab/>
            </w:r>
            <w:r w:rsidR="00651870">
              <w:fldChar w:fldCharType="begin"/>
            </w:r>
            <w:r w:rsidR="00651870">
              <w:instrText xml:space="preserve"> PAGEREF _Toc24722 \h </w:instrText>
            </w:r>
            <w:r w:rsidR="00651870">
              <w:fldChar w:fldCharType="separate"/>
            </w:r>
            <w:r w:rsidR="00651870">
              <w:t>19</w:t>
            </w:r>
            <w:r w:rsidR="00651870">
              <w:fldChar w:fldCharType="end"/>
            </w:r>
          </w:hyperlink>
        </w:p>
        <w:p w:rsidR="00E30D17" w:rsidRDefault="0015329E">
          <w:pPr>
            <w:pStyle w:val="10"/>
            <w:tabs>
              <w:tab w:val="right" w:leader="dot" w:pos="8306"/>
            </w:tabs>
          </w:pPr>
          <w:hyperlink w:anchor="_Toc27357" w:history="1">
            <w:r w:rsidR="00651870">
              <w:rPr>
                <w:rFonts w:ascii="Times New Roman"/>
              </w:rPr>
              <w:t>第</w:t>
            </w:r>
            <w:r w:rsidR="00651870">
              <w:rPr>
                <w:rFonts w:ascii="Times New Roman" w:hint="eastAsia"/>
              </w:rPr>
              <w:t>六条</w:t>
            </w:r>
            <w:r w:rsidR="00651870">
              <w:rPr>
                <w:rFonts w:ascii="Times New Roman"/>
              </w:rPr>
              <w:t xml:space="preserve">  </w:t>
            </w:r>
            <w:r w:rsidR="00651870">
              <w:rPr>
                <w:rFonts w:ascii="Times New Roman" w:hint="eastAsia"/>
              </w:rPr>
              <w:t>理财产品的资产</w:t>
            </w:r>
            <w:r w:rsidR="00651870">
              <w:tab/>
            </w:r>
            <w:r w:rsidR="00651870">
              <w:fldChar w:fldCharType="begin"/>
            </w:r>
            <w:r w:rsidR="00651870">
              <w:instrText xml:space="preserve"> PAGEREF _Toc27357 \h </w:instrText>
            </w:r>
            <w:r w:rsidR="00651870">
              <w:fldChar w:fldCharType="separate"/>
            </w:r>
            <w:r w:rsidR="00651870">
              <w:t>23</w:t>
            </w:r>
            <w:r w:rsidR="00651870">
              <w:fldChar w:fldCharType="end"/>
            </w:r>
          </w:hyperlink>
        </w:p>
        <w:p w:rsidR="00E30D17" w:rsidRDefault="0015329E">
          <w:pPr>
            <w:pStyle w:val="10"/>
            <w:tabs>
              <w:tab w:val="right" w:leader="dot" w:pos="8306"/>
            </w:tabs>
          </w:pPr>
          <w:hyperlink w:anchor="_Toc10162" w:history="1">
            <w:r w:rsidR="00651870">
              <w:rPr>
                <w:rFonts w:ascii="Times New Roman" w:hint="eastAsia"/>
                <w:szCs w:val="28"/>
              </w:rPr>
              <w:t>第七条</w:t>
            </w:r>
            <w:r w:rsidR="00651870">
              <w:rPr>
                <w:rFonts w:ascii="Times New Roman"/>
                <w:szCs w:val="28"/>
              </w:rPr>
              <w:t xml:space="preserve">  </w:t>
            </w:r>
            <w:r w:rsidR="00651870">
              <w:rPr>
                <w:rFonts w:ascii="Times New Roman" w:hint="eastAsia"/>
                <w:szCs w:val="28"/>
              </w:rPr>
              <w:t>理财产品项下资产的估值</w:t>
            </w:r>
            <w:r w:rsidR="00651870">
              <w:tab/>
            </w:r>
            <w:r w:rsidR="00651870">
              <w:fldChar w:fldCharType="begin"/>
            </w:r>
            <w:r w:rsidR="00651870">
              <w:instrText xml:space="preserve"> PAGEREF _Toc10162 \h </w:instrText>
            </w:r>
            <w:r w:rsidR="00651870">
              <w:fldChar w:fldCharType="separate"/>
            </w:r>
            <w:r w:rsidR="00651870">
              <w:t>24</w:t>
            </w:r>
            <w:r w:rsidR="00651870">
              <w:fldChar w:fldCharType="end"/>
            </w:r>
          </w:hyperlink>
        </w:p>
        <w:p w:rsidR="00E30D17" w:rsidRDefault="0015329E">
          <w:pPr>
            <w:pStyle w:val="10"/>
            <w:tabs>
              <w:tab w:val="right" w:leader="dot" w:pos="8306"/>
            </w:tabs>
          </w:pPr>
          <w:hyperlink w:anchor="_Toc3138" w:history="1">
            <w:r w:rsidR="00651870">
              <w:rPr>
                <w:rFonts w:ascii="Times New Roman"/>
              </w:rPr>
              <w:t>第</w:t>
            </w:r>
            <w:r w:rsidR="00651870">
              <w:rPr>
                <w:rFonts w:ascii="Times New Roman" w:hint="eastAsia"/>
              </w:rPr>
              <w:t>八条</w:t>
            </w:r>
            <w:r w:rsidR="00651870">
              <w:rPr>
                <w:rFonts w:ascii="Times New Roman"/>
              </w:rPr>
              <w:t xml:space="preserve">  </w:t>
            </w:r>
            <w:r w:rsidR="00651870">
              <w:rPr>
                <w:rFonts w:ascii="Times New Roman" w:hint="eastAsia"/>
              </w:rPr>
              <w:t>理财产品的利益分配</w:t>
            </w:r>
            <w:r w:rsidR="00651870">
              <w:tab/>
            </w:r>
            <w:r w:rsidR="00651870">
              <w:fldChar w:fldCharType="begin"/>
            </w:r>
            <w:r w:rsidR="00651870">
              <w:instrText xml:space="preserve"> PAGEREF _Toc3138 \h </w:instrText>
            </w:r>
            <w:r w:rsidR="00651870">
              <w:fldChar w:fldCharType="separate"/>
            </w:r>
            <w:r w:rsidR="00651870">
              <w:t>28</w:t>
            </w:r>
            <w:r w:rsidR="00651870">
              <w:fldChar w:fldCharType="end"/>
            </w:r>
          </w:hyperlink>
        </w:p>
        <w:p w:rsidR="00E30D17" w:rsidRDefault="0015329E">
          <w:pPr>
            <w:pStyle w:val="10"/>
            <w:tabs>
              <w:tab w:val="right" w:leader="dot" w:pos="8306"/>
            </w:tabs>
          </w:pPr>
          <w:hyperlink w:anchor="_Toc17110" w:history="1">
            <w:r w:rsidR="00651870">
              <w:rPr>
                <w:rFonts w:ascii="Times New Roman"/>
              </w:rPr>
              <w:t>第</w:t>
            </w:r>
            <w:r w:rsidR="00651870">
              <w:rPr>
                <w:rFonts w:ascii="Times New Roman" w:hint="eastAsia"/>
              </w:rPr>
              <w:t>九条</w:t>
            </w:r>
            <w:r w:rsidR="00651870">
              <w:rPr>
                <w:rFonts w:ascii="Times New Roman"/>
              </w:rPr>
              <w:t xml:space="preserve">  </w:t>
            </w:r>
            <w:r w:rsidR="00651870">
              <w:rPr>
                <w:rFonts w:ascii="Times New Roman" w:hint="eastAsia"/>
              </w:rPr>
              <w:t>理财产品的费用与税收</w:t>
            </w:r>
            <w:r w:rsidR="00651870">
              <w:tab/>
            </w:r>
            <w:r w:rsidR="00651870">
              <w:fldChar w:fldCharType="begin"/>
            </w:r>
            <w:r w:rsidR="00651870">
              <w:instrText xml:space="preserve"> PAGEREF _Toc17110 \h </w:instrText>
            </w:r>
            <w:r w:rsidR="00651870">
              <w:fldChar w:fldCharType="separate"/>
            </w:r>
            <w:r w:rsidR="00651870">
              <w:t>29</w:t>
            </w:r>
            <w:r w:rsidR="00651870">
              <w:fldChar w:fldCharType="end"/>
            </w:r>
          </w:hyperlink>
        </w:p>
        <w:p w:rsidR="00E30D17" w:rsidRDefault="0015329E">
          <w:pPr>
            <w:pStyle w:val="10"/>
            <w:tabs>
              <w:tab w:val="right" w:leader="dot" w:pos="8306"/>
            </w:tabs>
          </w:pPr>
          <w:hyperlink w:anchor="_Toc4606" w:history="1">
            <w:r w:rsidR="00651870">
              <w:rPr>
                <w:rFonts w:hint="eastAsia"/>
              </w:rPr>
              <w:t>第十条</w:t>
            </w:r>
            <w:r w:rsidR="00651870">
              <w:t xml:space="preserve">  </w:t>
            </w:r>
            <w:r w:rsidR="00651870">
              <w:rPr>
                <w:rFonts w:hint="eastAsia"/>
              </w:rPr>
              <w:t>理财产品的终止与清算</w:t>
            </w:r>
            <w:r w:rsidR="00651870">
              <w:tab/>
            </w:r>
            <w:r w:rsidR="00651870">
              <w:fldChar w:fldCharType="begin"/>
            </w:r>
            <w:r w:rsidR="00651870">
              <w:instrText xml:space="preserve"> PAGEREF _Toc4606 \h </w:instrText>
            </w:r>
            <w:r w:rsidR="00651870">
              <w:fldChar w:fldCharType="separate"/>
            </w:r>
            <w:r w:rsidR="00651870">
              <w:t>32</w:t>
            </w:r>
            <w:r w:rsidR="00651870">
              <w:fldChar w:fldCharType="end"/>
            </w:r>
          </w:hyperlink>
        </w:p>
        <w:p w:rsidR="00E30D17" w:rsidRDefault="0015329E">
          <w:pPr>
            <w:pStyle w:val="10"/>
            <w:tabs>
              <w:tab w:val="right" w:leader="dot" w:pos="8306"/>
            </w:tabs>
          </w:pPr>
          <w:hyperlink w:anchor="_Toc11469" w:history="1">
            <w:r w:rsidR="00651870">
              <w:rPr>
                <w:rFonts w:ascii="Times New Roman" w:hint="eastAsia"/>
                <w:szCs w:val="28"/>
              </w:rPr>
              <w:t>第十一条</w:t>
            </w:r>
            <w:r w:rsidR="00651870">
              <w:rPr>
                <w:rFonts w:ascii="Times New Roman"/>
                <w:szCs w:val="28"/>
              </w:rPr>
              <w:t xml:space="preserve">  </w:t>
            </w:r>
            <w:r w:rsidR="00651870">
              <w:rPr>
                <w:rFonts w:ascii="Times New Roman" w:hint="eastAsia"/>
                <w:szCs w:val="28"/>
              </w:rPr>
              <w:t>理财产品的信息披露</w:t>
            </w:r>
            <w:r w:rsidR="00651870">
              <w:tab/>
            </w:r>
            <w:r w:rsidR="00651870">
              <w:fldChar w:fldCharType="begin"/>
            </w:r>
            <w:r w:rsidR="00651870">
              <w:instrText xml:space="preserve"> PAGEREF _Toc11469 \h </w:instrText>
            </w:r>
            <w:r w:rsidR="00651870">
              <w:fldChar w:fldCharType="separate"/>
            </w:r>
            <w:r w:rsidR="00651870">
              <w:t>34</w:t>
            </w:r>
            <w:r w:rsidR="00651870">
              <w:fldChar w:fldCharType="end"/>
            </w:r>
          </w:hyperlink>
        </w:p>
        <w:p w:rsidR="00E30D17" w:rsidRDefault="0015329E">
          <w:pPr>
            <w:pStyle w:val="10"/>
            <w:tabs>
              <w:tab w:val="right" w:leader="dot" w:pos="8306"/>
            </w:tabs>
          </w:pPr>
          <w:hyperlink w:anchor="_Toc24766" w:history="1">
            <w:r w:rsidR="00651870">
              <w:rPr>
                <w:rFonts w:ascii="Times New Roman" w:hint="eastAsia"/>
              </w:rPr>
              <w:t>第十二条</w:t>
            </w:r>
            <w:r w:rsidR="00651870">
              <w:rPr>
                <w:rFonts w:ascii="Times New Roman"/>
              </w:rPr>
              <w:t xml:space="preserve">  </w:t>
            </w:r>
            <w:r w:rsidR="00651870">
              <w:rPr>
                <w:rFonts w:ascii="Times New Roman" w:hint="eastAsia"/>
              </w:rPr>
              <w:t>理财产品</w:t>
            </w:r>
            <w:r w:rsidR="00651870">
              <w:rPr>
                <w:rFonts w:ascii="Times New Roman"/>
              </w:rPr>
              <w:t>的风险揭示</w:t>
            </w:r>
            <w:r w:rsidR="00651870">
              <w:tab/>
            </w:r>
            <w:r w:rsidR="00651870">
              <w:fldChar w:fldCharType="begin"/>
            </w:r>
            <w:r w:rsidR="00651870">
              <w:instrText xml:space="preserve"> PAGEREF _Toc24766 \h </w:instrText>
            </w:r>
            <w:r w:rsidR="00651870">
              <w:fldChar w:fldCharType="separate"/>
            </w:r>
            <w:r w:rsidR="00651870">
              <w:t>37</w:t>
            </w:r>
            <w:r w:rsidR="00651870">
              <w:fldChar w:fldCharType="end"/>
            </w:r>
          </w:hyperlink>
        </w:p>
        <w:p w:rsidR="00E30D17" w:rsidRDefault="00651870">
          <w:pPr>
            <w:spacing w:line="360" w:lineRule="auto"/>
          </w:pPr>
          <w:r>
            <w:fldChar w:fldCharType="end"/>
          </w:r>
        </w:p>
      </w:sdtContent>
    </w:sdt>
    <w:p w:rsidR="00E30D17" w:rsidRDefault="00E30D17">
      <w:pPr>
        <w:widowControl/>
        <w:spacing w:line="360" w:lineRule="auto"/>
        <w:jc w:val="left"/>
        <w:rPr>
          <w:rFonts w:ascii="Times New Roman"/>
          <w:sz w:val="30"/>
        </w:rPr>
      </w:pPr>
    </w:p>
    <w:p w:rsidR="00E30D17" w:rsidRDefault="00E30D17">
      <w:pPr>
        <w:widowControl/>
        <w:spacing w:line="360" w:lineRule="auto"/>
        <w:jc w:val="left"/>
        <w:rPr>
          <w:rFonts w:ascii="Times New Roman"/>
          <w:sz w:val="30"/>
        </w:rPr>
        <w:sectPr w:rsidR="00E30D17">
          <w:footerReference w:type="default" r:id="rId29"/>
          <w:pgSz w:w="11906" w:h="16838"/>
          <w:pgMar w:top="1276" w:right="1800" w:bottom="1418" w:left="1800" w:header="567" w:footer="850" w:gutter="0"/>
          <w:cols w:space="425"/>
          <w:docGrid w:type="lines" w:linePitch="312"/>
        </w:sectPr>
      </w:pPr>
    </w:p>
    <w:p w:rsidR="00E30D17" w:rsidRDefault="00651870">
      <w:pPr>
        <w:pStyle w:val="1"/>
        <w:spacing w:before="0" w:after="0" w:line="360" w:lineRule="auto"/>
        <w:jc w:val="center"/>
        <w:rPr>
          <w:rFonts w:ascii="Times New Roman"/>
          <w:sz w:val="30"/>
        </w:rPr>
      </w:pPr>
      <w:bookmarkStart w:id="1" w:name="_Toc9482"/>
      <w:bookmarkStart w:id="2" w:name="_Toc9237713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bookmarkEnd w:id="2"/>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E30D17" w:rsidRDefault="0065187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E30D17" w:rsidRDefault="0065187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2）提供单只或多只理财产品投资建议；3）为投资者办理理财产品认购、申购和赎回；4）银保监会认定的其他业务活动。各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E30D17" w:rsidRDefault="0065187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E30D17" w:rsidRDefault="0065187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E30D17" w:rsidRDefault="0065187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E30D17" w:rsidRDefault="0065187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E30D17" w:rsidRDefault="0065187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E30D17" w:rsidRDefault="00651870">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E30D17" w:rsidRDefault="0065187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：指产品管理人向投资者提供的，用于描述产品特征，约定权利义务的文件。具体指《兴银理财天天万利宝稳利净值型理财产品销售文件》，包括《投资协议书》、《产品说明书》、《（代理）销售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E30D17" w:rsidRDefault="0065187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《投资协议书》：指管理人统一编制的《兴银理财天天万利宝稳利净值型理财产品投资协议书》，以及对该文件的有效修改或补充。</w:t>
      </w:r>
    </w:p>
    <w:p w:rsidR="00E30D17" w:rsidRDefault="0065187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）《产品说明书》：指管理人统一编制的《兴银理财天天万利宝稳利净值型理财产品产品说明书》，以及对该文件的有效修改或补充。</w:t>
      </w:r>
    </w:p>
    <w:p w:rsidR="00E30D17" w:rsidRDefault="0065187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（4）《（代理）销售协议书》：指管理人统一编制的《兴银理财天天万利宝稳利净值型理财产品（代理）销售协议书》或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的《兴银理财天天万利宝稳利净值型理财产品（代理）销售协议书》（文件名称以代理销售机构实际编制为准），以及对该文件的有效修改或补充。</w:t>
      </w:r>
    </w:p>
    <w:p w:rsidR="00E30D17" w:rsidRDefault="0065187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）《风险揭示书》：指管理人统一编制的《兴银理财天天万利宝稳利净值型理财产品风险揭示书》或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的《兴银理财天天万利宝稳利净值型理财产品风险揭示书》（文件名称以代理销售机构实际编制为准），以及对该文件的有效修改或补充。</w:t>
      </w:r>
    </w:p>
    <w:p w:rsidR="00E30D17" w:rsidRDefault="0065187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）《投资者权益须知》：指管理人统一编制的《兴银理财天天万利宝稳利净值型理财产品投资者权益须知》或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《兴银理财天天万利宝稳利净值型理财产品投资者权益须知》（文件名称以代理销售机构实际编制为准），以及对该文件的有效修改或补充。</w:t>
      </w:r>
    </w:p>
    <w:p w:rsidR="00E30D17" w:rsidRDefault="0065187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，为在理财产品销售管理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，为每类份额类别</w:t>
      </w:r>
      <w:r>
        <w:rPr>
          <w:rFonts w:asciiTheme="majorEastAsia" w:eastAsiaTheme="majorEastAsia" w:hAnsiTheme="majorEastAsia"/>
          <w:bCs/>
          <w:color w:val="auto"/>
          <w:sz w:val="18"/>
          <w:szCs w:val="18"/>
        </w:rPr>
        <w:t>设置</w:t>
      </w:r>
      <w:r>
        <w:rPr>
          <w:rFonts w:asciiTheme="majorEastAsia" w:eastAsiaTheme="majorEastAsia" w:hAnsiTheme="majorEastAsia" w:hint="eastAsia"/>
          <w:bCs/>
          <w:color w:val="auto"/>
          <w:sz w:val="18"/>
          <w:szCs w:val="18"/>
        </w:rPr>
        <w:t>的唯一性内部识别码。</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10</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E30D17" w:rsidRDefault="00651870">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E30D17" w:rsidRDefault="00651870">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业绩报酬计提基准不代表理财产品未来表现，不等于理财产品实际收益，不作为产品收益的业绩保证，投资须谨慎。</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理财产品利益/理财利益：指投资者因持有理财产品份额，按照销售文件约定取得或有权取得的理财产品管理人分配的理财产品资产。</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14）利益分配：指产品管理人向投资者进行理财产品利益分配。 </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15）期间分配：指在理财产品终止日（不含当日）前的理财产品利益分配。 </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16）终止分配：指在理财产品终止日当日及之后的理财产品利益分配。</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指理财产品成立后，投资者申请购买理财产品份额的行为。</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指理财产品成立后，投资者申请赎回理财产品份额的行为，即投资者申请将理财产品份</w:t>
      </w:r>
      <w:r>
        <w:rPr>
          <w:rFonts w:asciiTheme="minorEastAsia" w:eastAsiaTheme="minorEastAsia" w:hAnsiTheme="minorEastAsia" w:hint="eastAsia"/>
          <w:color w:val="auto"/>
          <w:sz w:val="18"/>
          <w:szCs w:val="18"/>
        </w:rPr>
        <w:lastRenderedPageBreak/>
        <w:t>额兑换为现金。</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20</w:t>
      </w:r>
      <w:r>
        <w:rPr>
          <w:rFonts w:asciiTheme="minorEastAsia" w:eastAsiaTheme="minorEastAsia" w:hAnsiTheme="minorEastAsia" w:hint="eastAsia"/>
          <w:color w:val="auto"/>
          <w:sz w:val="18"/>
          <w:szCs w:val="18"/>
        </w:rPr>
        <w:t>）</w:t>
      </w:r>
      <w:r>
        <w:rPr>
          <w:rFonts w:ascii="黑体" w:eastAsia="黑体" w:hAnsi="黑体" w:cs="仿宋_GB2312" w:hint="eastAsia"/>
          <w:bCs/>
          <w:color w:val="auto"/>
          <w:sz w:val="18"/>
          <w:szCs w:val="18"/>
        </w:rPr>
        <w:t>★</w:t>
      </w:r>
      <w:r>
        <w:rPr>
          <w:rFonts w:asciiTheme="minorEastAsia" w:eastAsiaTheme="minorEastAsia" w:hAnsiTheme="minorEastAsia" w:hint="eastAsia"/>
          <w:color w:val="auto"/>
          <w:sz w:val="18"/>
          <w:szCs w:val="18"/>
        </w:rPr>
        <w:t>预约申购</w:t>
      </w:r>
      <w:r>
        <w:rPr>
          <w:rFonts w:asciiTheme="minorEastAsia" w:eastAsiaTheme="minorEastAsia" w:hAnsiTheme="minorEastAsia"/>
          <w:color w:val="auto"/>
          <w:sz w:val="18"/>
          <w:szCs w:val="18"/>
        </w:rPr>
        <w:t>:</w:t>
      </w:r>
      <w:r>
        <w:rPr>
          <w:rFonts w:asciiTheme="minorEastAsia" w:eastAsiaTheme="minorEastAsia" w:hAnsiTheme="minorEastAsia" w:hint="eastAsia"/>
          <w:color w:val="auto"/>
          <w:sz w:val="18"/>
          <w:szCs w:val="18"/>
        </w:rPr>
        <w:t>指投资者在一段特定期间内通过预约的方式提交申购申请，该申请在申购日内自动转化为正式的申购申请。</w:t>
      </w:r>
      <w:r>
        <w:rPr>
          <w:rFonts w:asciiTheme="minorEastAsia" w:eastAsiaTheme="minorEastAsia" w:hAnsiTheme="minorEastAsia"/>
          <w:bCs/>
          <w:color w:val="auto"/>
          <w:sz w:val="18"/>
          <w:szCs w:val="18"/>
        </w:rPr>
        <w:t>提交预约申购</w:t>
      </w:r>
      <w:r>
        <w:rPr>
          <w:rFonts w:asciiTheme="minorEastAsia" w:eastAsiaTheme="minorEastAsia" w:hAnsiTheme="minorEastAsia" w:hint="eastAsia"/>
          <w:bCs/>
          <w:color w:val="auto"/>
          <w:sz w:val="18"/>
          <w:szCs w:val="18"/>
        </w:rPr>
        <w:t>申请</w:t>
      </w:r>
      <w:r>
        <w:rPr>
          <w:rFonts w:asciiTheme="minorEastAsia" w:eastAsiaTheme="minorEastAsia" w:hAnsiTheme="minorEastAsia"/>
          <w:bCs/>
          <w:color w:val="auto"/>
          <w:sz w:val="18"/>
          <w:szCs w:val="18"/>
        </w:rPr>
        <w:t>并不代表申购成功，产品管理人将在申购确认日确认投资者是否申购成功</w:t>
      </w:r>
      <w:r>
        <w:rPr>
          <w:rFonts w:asciiTheme="minorEastAsia" w:eastAsiaTheme="minorEastAsia" w:hAnsiTheme="minorEastAsia" w:hint="eastAsia"/>
          <w:bCs/>
          <w:color w:val="auto"/>
          <w:sz w:val="18"/>
          <w:szCs w:val="18"/>
        </w:rPr>
        <w:t>。</w:t>
      </w:r>
    </w:p>
    <w:p w:rsidR="00E30D17" w:rsidRDefault="00651870">
      <w:pPr>
        <w:spacing w:line="360" w:lineRule="auto"/>
        <w:ind w:rightChars="-51" w:right="-107"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21</w:t>
      </w:r>
      <w:r>
        <w:rPr>
          <w:rFonts w:asciiTheme="minorEastAsia" w:eastAsiaTheme="minorEastAsia" w:hAnsiTheme="minorEastAsia" w:hint="eastAsia"/>
          <w:sz w:val="18"/>
          <w:szCs w:val="18"/>
        </w:rPr>
        <w:t>）</w:t>
      </w:r>
      <w:r>
        <w:rPr>
          <w:rFonts w:ascii="黑体" w:eastAsia="黑体" w:hAnsi="黑体" w:cs="仿宋_GB2312" w:hint="eastAsia"/>
          <w:bCs/>
          <w:sz w:val="18"/>
          <w:szCs w:val="18"/>
        </w:rPr>
        <w:t>★</w:t>
      </w:r>
      <w:r>
        <w:rPr>
          <w:rFonts w:asciiTheme="minorEastAsia" w:eastAsiaTheme="minorEastAsia" w:hAnsiTheme="minorEastAsia" w:hint="eastAsia"/>
          <w:sz w:val="18"/>
          <w:szCs w:val="18"/>
        </w:rPr>
        <w:t>预约赎回</w:t>
      </w:r>
      <w:r>
        <w:rPr>
          <w:rFonts w:asciiTheme="minorEastAsia" w:eastAsiaTheme="minorEastAsia" w:hAnsiTheme="minorEastAsia"/>
          <w:sz w:val="18"/>
          <w:szCs w:val="18"/>
        </w:rPr>
        <w:t>:</w:t>
      </w:r>
      <w:r>
        <w:rPr>
          <w:rFonts w:asciiTheme="minorEastAsia" w:eastAsiaTheme="minorEastAsia" w:hAnsiTheme="minorEastAsia" w:hint="eastAsia"/>
          <w:sz w:val="18"/>
          <w:szCs w:val="18"/>
        </w:rPr>
        <w:t>指投资者在一段特定期间内通过预约的方式提交赎回申请，该申请在赎回日内自动转化为正式的赎回申请。</w:t>
      </w:r>
      <w:r>
        <w:rPr>
          <w:rFonts w:asciiTheme="majorEastAsia" w:eastAsiaTheme="majorEastAsia" w:hAnsiTheme="majorEastAsia"/>
          <w:bCs/>
          <w:sz w:val="18"/>
          <w:szCs w:val="18"/>
        </w:rPr>
        <w:t>提交预约赎回</w:t>
      </w:r>
      <w:r>
        <w:rPr>
          <w:rFonts w:asciiTheme="majorEastAsia" w:eastAsiaTheme="majorEastAsia" w:hAnsiTheme="majorEastAsia" w:hint="eastAsia"/>
          <w:bCs/>
          <w:sz w:val="18"/>
          <w:szCs w:val="18"/>
        </w:rPr>
        <w:t>申请</w:t>
      </w:r>
      <w:r>
        <w:rPr>
          <w:rFonts w:asciiTheme="majorEastAsia" w:eastAsiaTheme="majorEastAsia" w:hAnsiTheme="majorEastAsia"/>
          <w:bCs/>
          <w:sz w:val="18"/>
          <w:szCs w:val="18"/>
        </w:rPr>
        <w:t>并不代表赎回成功，产品管理人将在赎回确认日确认投资者是否赎回成功</w:t>
      </w:r>
      <w:r>
        <w:rPr>
          <w:rFonts w:asciiTheme="majorEastAsia" w:eastAsiaTheme="majorEastAsia" w:hAnsiTheme="majorEastAsia" w:hint="eastAsia"/>
          <w:bCs/>
          <w:sz w:val="18"/>
          <w:szCs w:val="18"/>
        </w:rPr>
        <w:t>。</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22</w:t>
      </w:r>
      <w:r>
        <w:rPr>
          <w:rFonts w:asciiTheme="majorEastAsia" w:eastAsiaTheme="majorEastAsia" w:hAnsiTheme="majorEastAsia" w:hint="eastAsia"/>
          <w:bCs/>
          <w:color w:val="auto"/>
          <w:sz w:val="18"/>
          <w:szCs w:val="18"/>
        </w:rPr>
        <w:t>）巨额赎回：在本理财产品预约赎回期中，本产品的累计产品份额净预约赎回申请（预约赎回申请总份额扣除预约申购总份额后的余额</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下同）之和达到赎回日上一日产品总份额的约定的百分比，为巨额赎回。</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23）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24）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25）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rsidR="00E30D17" w:rsidRDefault="0065187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E30D17" w:rsidRDefault="00651870">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E30D17" w:rsidRDefault="00651870">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E30D17" w:rsidRDefault="00651870">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E30D17" w:rsidRDefault="00651870">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E30D17" w:rsidRDefault="00651870">
      <w:pPr>
        <w:pStyle w:val="Default"/>
        <w:spacing w:line="360" w:lineRule="auto"/>
        <w:ind w:firstLineChars="200" w:firstLine="360"/>
        <w:rPr>
          <w:rFonts w:hAnsi="宋体"/>
          <w:bCs/>
          <w:color w:val="auto"/>
          <w:sz w:val="18"/>
          <w:szCs w:val="18"/>
        </w:rPr>
      </w:pPr>
      <w:r>
        <w:rPr>
          <w:rFonts w:hAnsi="宋体" w:hint="eastAsia"/>
          <w:bCs/>
          <w:color w:val="auto"/>
          <w:sz w:val="18"/>
          <w:szCs w:val="18"/>
        </w:rPr>
        <w:lastRenderedPageBreak/>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E30D17" w:rsidRDefault="00651870">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）★最短持有期:指自产品成立日/申购确认日起，投资者持有的产品份额被锁定持有的最短期间。在最短持有期内，投资者不能赎回该产品份额，最短持有期满后，投资者可以赎回该产品份额。</w:t>
      </w:r>
    </w:p>
    <w:p w:rsidR="00E30D17" w:rsidRDefault="00651870">
      <w:pPr>
        <w:pStyle w:val="Default"/>
        <w:spacing w:line="360" w:lineRule="auto"/>
        <w:ind w:firstLineChars="200" w:firstLine="360"/>
        <w:rPr>
          <w:rFonts w:asciiTheme="majorEastAsia" w:eastAsiaTheme="majorEastAsia" w:hAnsiTheme="majorEastAsia" w:cs="仿宋_GB2312"/>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）★投资周期：投资周期指</w:t>
      </w:r>
      <w:r>
        <w:rPr>
          <w:rFonts w:asciiTheme="minorEastAsia" w:eastAsiaTheme="minorEastAsia" w:hAnsiTheme="minorEastAsia" w:hint="eastAsia"/>
          <w:bCs/>
          <w:color w:val="auto"/>
          <w:sz w:val="18"/>
          <w:szCs w:val="18"/>
        </w:rPr>
        <w:t>投资者</w:t>
      </w:r>
      <w:r>
        <w:rPr>
          <w:rFonts w:asciiTheme="minorEastAsia" w:eastAsiaTheme="minorEastAsia" w:hAnsiTheme="minorEastAsia"/>
          <w:bCs/>
          <w:color w:val="auto"/>
          <w:sz w:val="18"/>
          <w:szCs w:val="18"/>
        </w:rPr>
        <w:t>持有理财产品份额</w:t>
      </w:r>
      <w:r>
        <w:rPr>
          <w:rFonts w:asciiTheme="minorEastAsia" w:eastAsiaTheme="minorEastAsia" w:hAnsiTheme="minorEastAsia" w:hint="eastAsia"/>
          <w:bCs/>
          <w:color w:val="auto"/>
          <w:sz w:val="18"/>
          <w:szCs w:val="18"/>
        </w:rPr>
        <w:t>所对应的理财资金由产品管理人进行投资运作的一段完整期间，</w:t>
      </w:r>
      <w:r>
        <w:rPr>
          <w:rFonts w:asciiTheme="majorEastAsia" w:eastAsiaTheme="majorEastAsia" w:hAnsiTheme="majorEastAsia" w:hint="eastAsia"/>
          <w:bCs/>
          <w:color w:val="auto"/>
          <w:sz w:val="18"/>
          <w:szCs w:val="18"/>
        </w:rPr>
        <w:t>每一个投资周期</w:t>
      </w:r>
      <w:r>
        <w:rPr>
          <w:rFonts w:asciiTheme="majorEastAsia" w:eastAsiaTheme="majorEastAsia" w:hAnsiTheme="majorEastAsia" w:cs="仿宋_GB2312" w:hint="eastAsia"/>
          <w:color w:val="auto"/>
          <w:sz w:val="18"/>
          <w:szCs w:val="18"/>
        </w:rPr>
        <w:t>为该</w:t>
      </w:r>
      <w:r>
        <w:rPr>
          <w:rFonts w:asciiTheme="majorEastAsia" w:eastAsiaTheme="majorEastAsia" w:hAnsiTheme="majorEastAsia" w:hint="eastAsia"/>
          <w:bCs/>
          <w:color w:val="auto"/>
          <w:sz w:val="18"/>
          <w:szCs w:val="18"/>
        </w:rPr>
        <w:t>投资周期起始日</w:t>
      </w:r>
      <w:r>
        <w:rPr>
          <w:rFonts w:asciiTheme="majorEastAsia" w:eastAsiaTheme="majorEastAsia" w:hAnsiTheme="majorEastAsia" w:cs="仿宋_GB2312" w:hint="eastAsia"/>
          <w:color w:val="auto"/>
          <w:sz w:val="18"/>
          <w:szCs w:val="18"/>
        </w:rPr>
        <w:t>至该</w:t>
      </w:r>
      <w:r>
        <w:rPr>
          <w:rFonts w:asciiTheme="majorEastAsia" w:eastAsiaTheme="majorEastAsia" w:hAnsiTheme="majorEastAsia" w:hint="eastAsia"/>
          <w:bCs/>
          <w:color w:val="auto"/>
          <w:sz w:val="18"/>
          <w:szCs w:val="18"/>
        </w:rPr>
        <w:t>投资周期</w:t>
      </w:r>
      <w:r>
        <w:rPr>
          <w:rFonts w:asciiTheme="majorEastAsia" w:eastAsiaTheme="majorEastAsia" w:hAnsiTheme="majorEastAsia" w:cs="仿宋_GB2312" w:hint="eastAsia"/>
          <w:color w:val="auto"/>
          <w:sz w:val="18"/>
          <w:szCs w:val="18"/>
        </w:rPr>
        <w:t>终止日的理财期间。</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投资周期起始日：指每一个投资周期开始的日期。</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投资周期终止日：指每一个投资周期结束的日期。</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）产品存续期：指自理财产品成立日起，至理财产品终止日的期间。</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4</w:t>
      </w:r>
      <w:r>
        <w:rPr>
          <w:rFonts w:asciiTheme="majorEastAsia" w:eastAsiaTheme="majorEastAsia" w:hAnsiTheme="majorEastAsia" w:hint="eastAsia"/>
          <w:bCs/>
          <w:color w:val="auto"/>
          <w:sz w:val="18"/>
          <w:szCs w:val="18"/>
        </w:rPr>
        <w:t>）预约申购期：指投资者可以提交预约申购申请</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 xml:space="preserve">一段特定时间。 </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15）</w:t>
      </w:r>
      <w:r>
        <w:rPr>
          <w:rFonts w:asciiTheme="majorEastAsia" w:eastAsiaTheme="majorEastAsia" w:hAnsiTheme="majorEastAsia" w:hint="eastAsia"/>
          <w:bCs/>
          <w:color w:val="auto"/>
          <w:sz w:val="18"/>
          <w:szCs w:val="18"/>
        </w:rPr>
        <w:t>预约</w:t>
      </w:r>
      <w:r>
        <w:rPr>
          <w:rFonts w:asciiTheme="majorEastAsia" w:eastAsiaTheme="majorEastAsia" w:hAnsiTheme="majorEastAsia"/>
          <w:bCs/>
          <w:color w:val="auto"/>
          <w:sz w:val="18"/>
          <w:szCs w:val="18"/>
        </w:rPr>
        <w:t>赎回期</w:t>
      </w:r>
      <w:r>
        <w:rPr>
          <w:rFonts w:asciiTheme="majorEastAsia" w:eastAsiaTheme="majorEastAsia" w:hAnsiTheme="majorEastAsia" w:hint="eastAsia"/>
          <w:bCs/>
          <w:color w:val="auto"/>
          <w:sz w:val="18"/>
          <w:szCs w:val="18"/>
        </w:rPr>
        <w:t>：指投资者可以提交预约赎回申请的一段特定时间。</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16</w:t>
      </w:r>
      <w:r>
        <w:rPr>
          <w:rFonts w:asciiTheme="majorEastAsia" w:eastAsiaTheme="majorEastAsia" w:hAnsiTheme="majorEastAsia" w:hint="eastAsia"/>
          <w:bCs/>
          <w:color w:val="auto"/>
          <w:sz w:val="18"/>
          <w:szCs w:val="18"/>
        </w:rPr>
        <w:t>）清算期：指自本理财产品终止日至投资者理财利益到账日之间的期间。</w:t>
      </w:r>
    </w:p>
    <w:p w:rsidR="00E30D17" w:rsidRDefault="0065187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E30D17" w:rsidRDefault="00651870">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E30D17" w:rsidRDefault="00651870">
      <w:pPr>
        <w:widowControl/>
        <w:spacing w:line="360" w:lineRule="auto"/>
        <w:ind w:firstLineChars="200" w:firstLine="360"/>
        <w:jc w:val="left"/>
        <w:rPr>
          <w:rFonts w:ascii="宋体" w:hAnsi="宋体"/>
          <w:sz w:val="18"/>
          <w:szCs w:val="18"/>
        </w:rPr>
      </w:pPr>
      <w:r>
        <w:rPr>
          <w:rFonts w:ascii="宋体" w:hAnsi="宋体" w:hint="eastAsia"/>
          <w:kern w:val="0"/>
          <w:sz w:val="18"/>
          <w:szCs w:val="18"/>
        </w:rPr>
        <w:t>（2）</w:t>
      </w:r>
      <w:r>
        <w:rPr>
          <w:rFonts w:ascii="黑体" w:eastAsia="黑体" w:hAnsi="黑体" w:cs="仿宋_GB2312" w:hint="eastAsia"/>
          <w:bCs/>
          <w:sz w:val="18"/>
          <w:szCs w:val="18"/>
        </w:rPr>
        <w:t>★</w:t>
      </w:r>
      <w:r>
        <w:rPr>
          <w:rFonts w:ascii="宋体" w:hAnsi="宋体"/>
          <w:kern w:val="0"/>
          <w:sz w:val="18"/>
          <w:szCs w:val="18"/>
        </w:rPr>
        <w:t>申购费：</w:t>
      </w:r>
      <w:r>
        <w:rPr>
          <w:rFonts w:ascii="宋体" w:hAnsi="宋体" w:hint="eastAsia"/>
          <w:kern w:val="0"/>
          <w:sz w:val="18"/>
          <w:szCs w:val="18"/>
        </w:rPr>
        <w:t>指</w:t>
      </w:r>
      <w:r>
        <w:rPr>
          <w:rFonts w:ascii="宋体" w:hAnsi="宋体"/>
          <w:kern w:val="0"/>
          <w:sz w:val="18"/>
          <w:szCs w:val="18"/>
        </w:rPr>
        <w:t>投资者申购产品时</w:t>
      </w:r>
      <w:r>
        <w:rPr>
          <w:rFonts w:ascii="宋体" w:hAnsi="宋体" w:hint="eastAsia"/>
          <w:kern w:val="0"/>
          <w:sz w:val="18"/>
          <w:szCs w:val="18"/>
        </w:rPr>
        <w:t>需缴纳的费用。</w:t>
      </w:r>
    </w:p>
    <w:p w:rsidR="00E30D17" w:rsidRDefault="00651870">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赎回费：指投资者赎回产品时需缴纳的费用。</w:t>
      </w:r>
    </w:p>
    <w:p w:rsidR="00E30D17" w:rsidRDefault="00651870">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E30D17" w:rsidRDefault="00651870">
      <w:pPr>
        <w:pStyle w:val="Default"/>
        <w:spacing w:line="360" w:lineRule="auto"/>
        <w:ind w:firstLineChars="200" w:firstLine="360"/>
        <w:rPr>
          <w:rFonts w:hAnsi="宋体"/>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E30D17" w:rsidRDefault="00651870">
      <w:pPr>
        <w:pStyle w:val="Default"/>
        <w:spacing w:line="360" w:lineRule="auto"/>
        <w:ind w:firstLineChars="200" w:firstLine="360"/>
        <w:rPr>
          <w:rFonts w:hAnsi="宋体"/>
          <w:sz w:val="18"/>
          <w:szCs w:val="18"/>
        </w:rPr>
      </w:pPr>
      <w:r>
        <w:rPr>
          <w:rFonts w:hAnsi="宋体" w:hint="eastAsia"/>
          <w:sz w:val="18"/>
          <w:szCs w:val="18"/>
        </w:rPr>
        <w:t>（6）</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（7）</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E30D17" w:rsidRDefault="0065187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E30D17" w:rsidRDefault="00651870">
      <w:pPr>
        <w:spacing w:line="360" w:lineRule="auto"/>
        <w:ind w:firstLineChars="200" w:firstLine="360"/>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rsidR="00E30D17" w:rsidRDefault="00651870">
      <w:pPr>
        <w:widowControl/>
        <w:spacing w:line="360" w:lineRule="auto"/>
        <w:jc w:val="left"/>
        <w:rPr>
          <w:rFonts w:ascii="宋体" w:hAnsi="宋体"/>
          <w:color w:val="000000"/>
          <w:kern w:val="0"/>
          <w:sz w:val="28"/>
          <w:szCs w:val="28"/>
        </w:rPr>
      </w:pPr>
      <w:r>
        <w:rPr>
          <w:rFonts w:hAnsi="宋体"/>
          <w:sz w:val="28"/>
          <w:szCs w:val="28"/>
        </w:rPr>
        <w:br w:type="page"/>
      </w:r>
    </w:p>
    <w:p w:rsidR="00E30D17" w:rsidRDefault="00651870">
      <w:pPr>
        <w:pStyle w:val="1"/>
        <w:spacing w:before="0" w:after="0" w:line="360" w:lineRule="auto"/>
        <w:jc w:val="center"/>
        <w:rPr>
          <w:rFonts w:hAnsi="宋体"/>
          <w:sz w:val="28"/>
          <w:szCs w:val="28"/>
        </w:rPr>
      </w:pPr>
      <w:bookmarkStart w:id="3" w:name="_Toc79154665"/>
      <w:bookmarkStart w:id="4" w:name="_Toc23998"/>
      <w:bookmarkStart w:id="5" w:name="_Toc92377131"/>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3"/>
      <w:bookmarkEnd w:id="4"/>
      <w:bookmarkEnd w:id="5"/>
      <w:r>
        <w:rPr>
          <w:rFonts w:hAnsi="宋体" w:hint="eastAsia"/>
          <w:sz w:val="28"/>
          <w:szCs w:val="28"/>
        </w:rPr>
        <w:t xml:space="preserve"> </w:t>
      </w:r>
    </w:p>
    <w:tbl>
      <w:tblPr>
        <w:tblW w:w="96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45"/>
        <w:gridCol w:w="7704"/>
      </w:tblGrid>
      <w:tr w:rsidR="00E30D17">
        <w:trPr>
          <w:trHeight w:val="401"/>
          <w:jc w:val="center"/>
        </w:trPr>
        <w:tc>
          <w:tcPr>
            <w:tcW w:w="1945" w:type="dxa"/>
            <w:shd w:val="solid" w:color="FFFFFF" w:fill="FFFFFF"/>
          </w:tcPr>
          <w:p w:rsidR="00E30D17" w:rsidRDefault="0065187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704" w:type="dxa"/>
            <w:shd w:val="solid" w:color="FFFFFF" w:fill="FFFFFF"/>
          </w:tcPr>
          <w:p w:rsidR="00E30D17" w:rsidRDefault="00651870">
            <w:pPr>
              <w:spacing w:line="360" w:lineRule="auto"/>
              <w:jc w:val="left"/>
              <w:rPr>
                <w:rFonts w:asciiTheme="minorEastAsia" w:eastAsiaTheme="minorEastAsia" w:hAnsiTheme="minorEastAsia" w:cstheme="minorEastAsia"/>
                <w:bCs/>
                <w:sz w:val="18"/>
                <w:szCs w:val="18"/>
              </w:rPr>
            </w:pPr>
            <w:r>
              <w:rPr>
                <w:rFonts w:ascii="宋体" w:hAnsi="宋体" w:hint="eastAsia"/>
                <w:bCs/>
                <w:sz w:val="18"/>
                <w:szCs w:val="18"/>
              </w:rPr>
              <w:t>兴银理财天天万利宝稳利8号D款净值型理财产品</w:t>
            </w:r>
          </w:p>
        </w:tc>
      </w:tr>
      <w:tr w:rsidR="00E30D17">
        <w:trPr>
          <w:trHeight w:val="383"/>
          <w:jc w:val="center"/>
        </w:trPr>
        <w:tc>
          <w:tcPr>
            <w:tcW w:w="1945" w:type="dxa"/>
            <w:shd w:val="solid" w:color="FFFFFF" w:fill="FFFFFF"/>
          </w:tcPr>
          <w:p w:rsidR="00E30D17" w:rsidRDefault="0065187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704" w:type="dxa"/>
            <w:shd w:val="solid" w:color="FFFFFF" w:fill="FFFFFF"/>
            <w:vAlign w:val="center"/>
          </w:tcPr>
          <w:p w:rsidR="00E30D17" w:rsidRDefault="00651870">
            <w:pPr>
              <w:spacing w:line="360" w:lineRule="auto"/>
              <w:jc w:val="left"/>
              <w:rPr>
                <w:rFonts w:ascii="宋体" w:hAnsi="宋体"/>
                <w:bCs/>
                <w:sz w:val="18"/>
                <w:szCs w:val="18"/>
              </w:rPr>
            </w:pPr>
            <w:r>
              <w:rPr>
                <w:rFonts w:ascii="宋体" w:hAnsi="宋体" w:hint="eastAsia"/>
                <w:bCs/>
                <w:sz w:val="18"/>
                <w:szCs w:val="18"/>
              </w:rPr>
              <w:t>【稳利季季增利I款】（适用【A】类份额）</w:t>
            </w:r>
          </w:p>
          <w:p w:rsidR="00E30D17" w:rsidRDefault="00651870">
            <w:pPr>
              <w:spacing w:line="360" w:lineRule="auto"/>
              <w:jc w:val="left"/>
              <w:rPr>
                <w:rFonts w:ascii="宋体" w:hAnsi="宋体"/>
                <w:bCs/>
                <w:sz w:val="18"/>
                <w:szCs w:val="18"/>
              </w:rPr>
            </w:pPr>
            <w:r>
              <w:rPr>
                <w:rFonts w:ascii="宋体" w:hAnsi="宋体" w:hint="eastAsia"/>
                <w:bCs/>
                <w:sz w:val="18"/>
                <w:szCs w:val="18"/>
              </w:rPr>
              <w:t>【稳利季季增利I款B】（适用【B】类份额）</w:t>
            </w:r>
          </w:p>
          <w:p w:rsidR="00E30D17" w:rsidRDefault="00651870">
            <w:pPr>
              <w:spacing w:line="360" w:lineRule="auto"/>
              <w:jc w:val="left"/>
              <w:rPr>
                <w:rFonts w:ascii="宋体" w:hAnsi="宋体"/>
                <w:bCs/>
                <w:sz w:val="18"/>
                <w:szCs w:val="18"/>
              </w:rPr>
            </w:pPr>
            <w:r>
              <w:rPr>
                <w:rFonts w:ascii="宋体" w:hAnsi="宋体" w:hint="eastAsia"/>
                <w:bCs/>
                <w:sz w:val="18"/>
                <w:szCs w:val="18"/>
              </w:rPr>
              <w:t>【稳利季季增利I款C】（适用【C】类份额）</w:t>
            </w:r>
          </w:p>
          <w:p w:rsidR="00E30D17" w:rsidRDefault="00651870">
            <w:pPr>
              <w:spacing w:line="360" w:lineRule="auto"/>
              <w:jc w:val="left"/>
              <w:rPr>
                <w:rFonts w:asciiTheme="minorEastAsia" w:eastAsiaTheme="minorEastAsia" w:hAnsiTheme="minorEastAsia" w:cstheme="minorEastAsia"/>
                <w:kern w:val="0"/>
                <w:sz w:val="22"/>
              </w:rPr>
            </w:pPr>
            <w:r>
              <w:rPr>
                <w:rFonts w:ascii="宋体" w:hAnsi="宋体" w:hint="eastAsia"/>
                <w:bCs/>
                <w:sz w:val="18"/>
                <w:szCs w:val="18"/>
              </w:rPr>
              <w:t>【稳利季季增利I款D】（适用【D】类份额）</w:t>
            </w:r>
          </w:p>
        </w:tc>
      </w:tr>
      <w:tr w:rsidR="00E30D17">
        <w:trPr>
          <w:trHeight w:val="251"/>
          <w:jc w:val="center"/>
        </w:trPr>
        <w:tc>
          <w:tcPr>
            <w:tcW w:w="1945" w:type="dxa"/>
            <w:shd w:val="solid" w:color="FFFFFF" w:fill="FFFFFF"/>
          </w:tcPr>
          <w:p w:rsidR="00E30D17" w:rsidRDefault="0065187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704" w:type="dxa"/>
            <w:shd w:val="solid" w:color="FFFFFF" w:fill="FFFFFF"/>
          </w:tcPr>
          <w:p w:rsidR="00E30D17" w:rsidRDefault="00651870">
            <w:pPr>
              <w:spacing w:line="360" w:lineRule="auto"/>
              <w:jc w:val="left"/>
              <w:rPr>
                <w:rFonts w:asciiTheme="minorEastAsia" w:eastAsiaTheme="minorEastAsia" w:hAnsiTheme="minorEastAsia" w:cstheme="minorEastAsia"/>
                <w:b/>
                <w:sz w:val="18"/>
                <w:szCs w:val="18"/>
              </w:rPr>
            </w:pPr>
            <w:r>
              <w:rPr>
                <w:rFonts w:ascii="宋体" w:hAnsi="宋体" w:hint="eastAsia"/>
                <w:bCs/>
                <w:sz w:val="18"/>
                <w:szCs w:val="18"/>
              </w:rPr>
              <w:t>【Z7002021000163】注：投资者可依据理财产品登记编码在中国理财网查询产品信息</w:t>
            </w:r>
            <w:hyperlink r:id="rId30" w:history="1">
              <w:r>
                <w:rPr>
                  <w:rFonts w:ascii="宋体" w:hAnsi="宋体"/>
                  <w:bCs/>
                  <w:sz w:val="18"/>
                  <w:szCs w:val="18"/>
                </w:rPr>
                <w:t>www.chinawealth.com.cn</w:t>
              </w:r>
            </w:hyperlink>
          </w:p>
        </w:tc>
      </w:tr>
      <w:tr w:rsidR="00E30D17">
        <w:trPr>
          <w:trHeight w:val="251"/>
          <w:jc w:val="center"/>
        </w:trPr>
        <w:tc>
          <w:tcPr>
            <w:tcW w:w="1945" w:type="dxa"/>
            <w:shd w:val="solid" w:color="FFFFFF" w:fill="FFFFFF"/>
            <w:vAlign w:val="center"/>
          </w:tcPr>
          <w:p w:rsidR="00E30D17" w:rsidRDefault="0065187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704" w:type="dxa"/>
            <w:shd w:val="solid" w:color="FFFFFF" w:fill="FFFFFF"/>
            <w:vAlign w:val="center"/>
          </w:tcPr>
          <w:p w:rsidR="00E30D17" w:rsidRDefault="00651870">
            <w:pPr>
              <w:spacing w:line="360" w:lineRule="auto"/>
              <w:jc w:val="left"/>
              <w:rPr>
                <w:rFonts w:asciiTheme="minorEastAsia" w:eastAsiaTheme="minorEastAsia" w:hAnsiTheme="minorEastAsia" w:cstheme="minorEastAsia"/>
                <w:bCs/>
                <w:sz w:val="18"/>
                <w:szCs w:val="18"/>
              </w:rPr>
            </w:pPr>
            <w:r>
              <w:rPr>
                <w:rFonts w:ascii="宋体" w:hAnsi="宋体"/>
                <w:bCs/>
                <w:color w:val="000000" w:themeColor="text1"/>
                <w:sz w:val="18"/>
                <w:szCs w:val="18"/>
              </w:rPr>
              <w:t>【</w:t>
            </w:r>
            <w:r>
              <w:rPr>
                <w:rFonts w:ascii="宋体" w:hAnsi="宋体" w:hint="eastAsia"/>
                <w:bCs/>
                <w:color w:val="000000" w:themeColor="text1"/>
                <w:sz w:val="18"/>
                <w:szCs w:val="18"/>
              </w:rPr>
              <w:t>9K209540</w:t>
            </w:r>
            <w:r>
              <w:rPr>
                <w:rFonts w:ascii="宋体" w:hAnsi="宋体"/>
                <w:bCs/>
                <w:color w:val="000000" w:themeColor="text1"/>
                <w:sz w:val="18"/>
                <w:szCs w:val="18"/>
              </w:rPr>
              <w:t>】</w:t>
            </w:r>
          </w:p>
        </w:tc>
      </w:tr>
      <w:tr w:rsidR="00E30D17">
        <w:trPr>
          <w:trHeight w:val="251"/>
          <w:jc w:val="center"/>
        </w:trPr>
        <w:tc>
          <w:tcPr>
            <w:tcW w:w="1945" w:type="dxa"/>
            <w:shd w:val="solid" w:color="FFFFFF" w:fill="FFFFFF"/>
          </w:tcPr>
          <w:p w:rsidR="00E30D17" w:rsidRDefault="00651870">
            <w:pPr>
              <w:spacing w:line="360" w:lineRule="auto"/>
              <w:jc w:val="left"/>
              <w:rPr>
                <w:rFonts w:hAnsi="宋体"/>
                <w:b/>
                <w:sz w:val="18"/>
                <w:szCs w:val="18"/>
              </w:rPr>
            </w:pPr>
            <w:r>
              <w:rPr>
                <w:rFonts w:hAnsi="宋体" w:hint="eastAsia"/>
                <w:b/>
                <w:sz w:val="18"/>
                <w:szCs w:val="18"/>
              </w:rPr>
              <w:t>★销售代码</w:t>
            </w:r>
          </w:p>
        </w:tc>
        <w:tc>
          <w:tcPr>
            <w:tcW w:w="7704" w:type="dxa"/>
            <w:shd w:val="solid" w:color="FFFFFF" w:fill="FFFFFF"/>
            <w:vAlign w:val="center"/>
          </w:tcPr>
          <w:p w:rsidR="00E30D17" w:rsidRDefault="00651870">
            <w:pPr>
              <w:spacing w:line="360" w:lineRule="auto"/>
              <w:jc w:val="left"/>
              <w:rPr>
                <w:rFonts w:ascii="宋体" w:hAnsi="宋体"/>
                <w:bCs/>
                <w:color w:val="000000" w:themeColor="text1"/>
                <w:sz w:val="18"/>
                <w:szCs w:val="18"/>
              </w:rPr>
            </w:pPr>
            <w:r>
              <w:rPr>
                <w:rFonts w:ascii="宋体" w:hAnsi="宋体" w:hint="eastAsia"/>
                <w:bCs/>
                <w:color w:val="000000" w:themeColor="text1"/>
                <w:sz w:val="18"/>
                <w:szCs w:val="18"/>
              </w:rPr>
              <w:t>【9K20954A】（适用【A】类份额）</w:t>
            </w:r>
          </w:p>
          <w:p w:rsidR="00E30D17" w:rsidRDefault="00651870">
            <w:pPr>
              <w:spacing w:line="360" w:lineRule="auto"/>
              <w:jc w:val="left"/>
              <w:rPr>
                <w:rFonts w:ascii="宋体" w:hAnsi="宋体"/>
                <w:bCs/>
                <w:color w:val="000000" w:themeColor="text1"/>
                <w:sz w:val="18"/>
                <w:szCs w:val="18"/>
              </w:rPr>
            </w:pPr>
            <w:r>
              <w:rPr>
                <w:rFonts w:ascii="宋体" w:hAnsi="宋体" w:hint="eastAsia"/>
                <w:bCs/>
                <w:color w:val="000000" w:themeColor="text1"/>
                <w:sz w:val="18"/>
                <w:szCs w:val="18"/>
              </w:rPr>
              <w:t>【9K20954B】（适用【B】类份额）</w:t>
            </w:r>
          </w:p>
          <w:p w:rsidR="00E30D17" w:rsidRDefault="00651870">
            <w:pPr>
              <w:spacing w:line="360" w:lineRule="auto"/>
              <w:jc w:val="left"/>
              <w:rPr>
                <w:rFonts w:ascii="宋体" w:hAnsi="宋体"/>
                <w:bCs/>
                <w:color w:val="000000" w:themeColor="text1"/>
                <w:sz w:val="18"/>
                <w:szCs w:val="18"/>
              </w:rPr>
            </w:pPr>
            <w:r>
              <w:rPr>
                <w:rFonts w:ascii="宋体" w:hAnsi="宋体" w:hint="eastAsia"/>
                <w:bCs/>
                <w:color w:val="000000" w:themeColor="text1"/>
                <w:sz w:val="18"/>
                <w:szCs w:val="18"/>
              </w:rPr>
              <w:t>【9K20954C】（适用【C】类份额）</w:t>
            </w:r>
          </w:p>
          <w:p w:rsidR="00E30D17" w:rsidRDefault="00651870">
            <w:pPr>
              <w:spacing w:line="360" w:lineRule="auto"/>
              <w:jc w:val="left"/>
              <w:rPr>
                <w:rFonts w:asciiTheme="minorEastAsia" w:eastAsiaTheme="minorEastAsia" w:hAnsiTheme="minorEastAsia" w:cstheme="minorEastAsia"/>
                <w:sz w:val="18"/>
                <w:szCs w:val="18"/>
              </w:rPr>
            </w:pPr>
            <w:r>
              <w:rPr>
                <w:rFonts w:ascii="宋体" w:hAnsi="宋体" w:hint="eastAsia"/>
                <w:bCs/>
                <w:color w:val="000000" w:themeColor="text1"/>
                <w:sz w:val="18"/>
                <w:szCs w:val="18"/>
              </w:rPr>
              <w:t>【9K20954D】（适用【D】类份额）</w:t>
            </w:r>
          </w:p>
        </w:tc>
      </w:tr>
      <w:tr w:rsidR="00E30D17">
        <w:trPr>
          <w:trHeight w:val="251"/>
          <w:jc w:val="center"/>
        </w:trPr>
        <w:tc>
          <w:tcPr>
            <w:tcW w:w="1945" w:type="dxa"/>
            <w:shd w:val="solid" w:color="FFFFFF" w:fill="FFFFFF"/>
            <w:vAlign w:val="center"/>
          </w:tcPr>
          <w:p w:rsidR="00E30D17" w:rsidRDefault="00651870">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704" w:type="dxa"/>
            <w:shd w:val="solid" w:color="FFFFFF" w:fill="FFFFFF"/>
            <w:vAlign w:val="center"/>
          </w:tcPr>
          <w:p w:rsidR="00E30D17" w:rsidRDefault="00651870">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E30D17" w:rsidRDefault="00651870">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.本产品设置不同的理财产品份额，每类理财产品份额以下内容将单独设置：</w:t>
            </w:r>
          </w:p>
          <w:p w:rsidR="00E30D17" w:rsidRDefault="00651870">
            <w:pPr>
              <w:spacing w:line="360" w:lineRule="auto"/>
              <w:rPr>
                <w:rFonts w:ascii="宋体" w:hAnsi="宋体"/>
                <w:bCs/>
                <w:sz w:val="18"/>
                <w:szCs w:val="18"/>
              </w:rPr>
            </w:pPr>
            <w:r>
              <w:rPr>
                <w:rFonts w:ascii="宋体" w:hAnsi="宋体" w:hint="eastAsia"/>
                <w:bCs/>
                <w:sz w:val="18"/>
                <w:szCs w:val="18"/>
              </w:rPr>
              <w:t>（1）销售名称</w:t>
            </w:r>
          </w:p>
          <w:p w:rsidR="00E30D17" w:rsidRDefault="00651870">
            <w:pPr>
              <w:spacing w:line="360" w:lineRule="auto"/>
              <w:rPr>
                <w:rFonts w:ascii="宋体" w:hAnsi="宋体"/>
                <w:bCs/>
                <w:sz w:val="18"/>
                <w:szCs w:val="18"/>
              </w:rPr>
            </w:pPr>
            <w:r>
              <w:rPr>
                <w:rFonts w:ascii="宋体" w:hAnsi="宋体" w:hint="eastAsia"/>
                <w:bCs/>
                <w:sz w:val="18"/>
                <w:szCs w:val="18"/>
              </w:rPr>
              <w:t>（2）收费方式</w:t>
            </w:r>
          </w:p>
          <w:p w:rsidR="00E30D17" w:rsidRDefault="00651870">
            <w:pPr>
              <w:spacing w:line="360" w:lineRule="auto"/>
              <w:rPr>
                <w:rFonts w:ascii="宋体" w:hAnsi="宋体"/>
                <w:bCs/>
                <w:sz w:val="18"/>
                <w:szCs w:val="18"/>
              </w:rPr>
            </w:pPr>
            <w:r>
              <w:rPr>
                <w:rFonts w:ascii="宋体" w:hAnsi="宋体" w:hint="eastAsia"/>
                <w:bCs/>
                <w:sz w:val="18"/>
                <w:szCs w:val="18"/>
              </w:rPr>
              <w:t>（3）销售服务费</w:t>
            </w:r>
          </w:p>
          <w:p w:rsidR="00E30D17" w:rsidRDefault="00651870">
            <w:pPr>
              <w:spacing w:line="360" w:lineRule="auto"/>
              <w:rPr>
                <w:rFonts w:ascii="宋体" w:hAnsi="宋体"/>
                <w:bCs/>
                <w:sz w:val="18"/>
                <w:szCs w:val="18"/>
              </w:rPr>
            </w:pPr>
            <w:r>
              <w:rPr>
                <w:rFonts w:ascii="宋体" w:hAnsi="宋体" w:hint="eastAsia"/>
                <w:bCs/>
                <w:sz w:val="18"/>
                <w:szCs w:val="18"/>
              </w:rPr>
              <w:t>（4）销售代码</w:t>
            </w:r>
          </w:p>
          <w:p w:rsidR="00E30D17" w:rsidRDefault="00651870">
            <w:pPr>
              <w:spacing w:line="360" w:lineRule="auto"/>
              <w:rPr>
                <w:rFonts w:ascii="宋体" w:hAnsi="宋体"/>
                <w:bCs/>
                <w:sz w:val="18"/>
                <w:szCs w:val="18"/>
              </w:rPr>
            </w:pPr>
            <w:r>
              <w:rPr>
                <w:rFonts w:ascii="宋体" w:hAnsi="宋体" w:hint="eastAsia"/>
                <w:bCs/>
                <w:sz w:val="18"/>
                <w:szCs w:val="18"/>
              </w:rPr>
              <w:t>（5）销售对象</w:t>
            </w:r>
          </w:p>
          <w:p w:rsidR="00E30D17" w:rsidRDefault="00651870">
            <w:pPr>
              <w:spacing w:line="360" w:lineRule="auto"/>
              <w:rPr>
                <w:rFonts w:ascii="宋体" w:hAnsi="宋体"/>
                <w:bCs/>
                <w:sz w:val="18"/>
                <w:szCs w:val="18"/>
              </w:rPr>
            </w:pPr>
            <w:r>
              <w:rPr>
                <w:rFonts w:ascii="宋体" w:hAnsi="宋体" w:hint="eastAsia"/>
                <w:bCs/>
                <w:sz w:val="18"/>
                <w:szCs w:val="18"/>
              </w:rPr>
              <w:t>（6）销售起点金额（认购、申购的起点金额）</w:t>
            </w:r>
          </w:p>
          <w:p w:rsidR="00E30D17" w:rsidRDefault="00651870">
            <w:pPr>
              <w:spacing w:line="360" w:lineRule="auto"/>
              <w:rPr>
                <w:rFonts w:ascii="宋体" w:hAnsi="宋体"/>
                <w:bCs/>
                <w:sz w:val="18"/>
                <w:szCs w:val="18"/>
              </w:rPr>
            </w:pPr>
            <w:r>
              <w:rPr>
                <w:rFonts w:ascii="宋体" w:hAnsi="宋体" w:hint="eastAsia"/>
                <w:bCs/>
                <w:sz w:val="18"/>
                <w:szCs w:val="18"/>
              </w:rPr>
              <w:t>（7）投资者认购、申购和赎回的数量限制</w:t>
            </w:r>
          </w:p>
          <w:p w:rsidR="00E30D17" w:rsidRDefault="00651870">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E30D17" w:rsidRDefault="00651870">
            <w:pPr>
              <w:spacing w:line="360" w:lineRule="auto"/>
              <w:rPr>
                <w:rFonts w:ascii="宋体" w:hAnsi="宋体"/>
                <w:bCs/>
                <w:sz w:val="18"/>
                <w:szCs w:val="18"/>
              </w:rPr>
            </w:pPr>
            <w:r>
              <w:rPr>
                <w:rFonts w:ascii="宋体" w:hAnsi="宋体" w:hint="eastAsia"/>
                <w:bCs/>
                <w:sz w:val="18"/>
                <w:szCs w:val="18"/>
              </w:rPr>
              <w:t>（9）分别计算和公告产品份额净值</w:t>
            </w:r>
          </w:p>
          <w:p w:rsidR="00E30D17" w:rsidRDefault="00651870">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E30D17" w:rsidRDefault="00651870">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704" w:type="dxa"/>
            <w:shd w:val="solid" w:color="FFFFFF" w:fill="FFFFFF"/>
            <w:vAlign w:val="center"/>
          </w:tcPr>
          <w:p w:rsidR="00E30D17" w:rsidRDefault="00651870">
            <w:pPr>
              <w:adjustRightInd w:val="0"/>
              <w:snapToGrid w:val="0"/>
              <w:spacing w:line="276"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、开放式、【固定收益类】、非保本浮动</w:t>
            </w:r>
            <w:r>
              <w:rPr>
                <w:rFonts w:ascii="宋体" w:hAnsi="宋体"/>
                <w:bCs/>
                <w:sz w:val="18"/>
                <w:szCs w:val="18"/>
              </w:rPr>
              <w:t>收益</w:t>
            </w:r>
            <w:r>
              <w:rPr>
                <w:rFonts w:ascii="宋体" w:hAnsi="宋体" w:hint="eastAsia"/>
                <w:bCs/>
                <w:sz w:val="18"/>
                <w:szCs w:val="18"/>
              </w:rPr>
              <w:t>、净值型</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产品募集方式</w:t>
            </w:r>
          </w:p>
        </w:tc>
        <w:tc>
          <w:tcPr>
            <w:tcW w:w="7704" w:type="dxa"/>
            <w:shd w:val="solid" w:color="FFFFFF" w:fill="FFFFFF"/>
            <w:vAlign w:val="center"/>
          </w:tcPr>
          <w:p w:rsidR="00E30D17" w:rsidRDefault="00651870">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704" w:type="dxa"/>
            <w:shd w:val="solid" w:color="FFFFFF" w:fill="FFFFFF"/>
            <w:vAlign w:val="center"/>
          </w:tcPr>
          <w:p w:rsidR="00E30D17" w:rsidRDefault="00651870">
            <w:pPr>
              <w:spacing w:line="360" w:lineRule="auto"/>
              <w:rPr>
                <w:rFonts w:ascii="宋体" w:hAnsi="宋体"/>
                <w:bCs/>
                <w:sz w:val="18"/>
                <w:szCs w:val="18"/>
              </w:rPr>
            </w:pPr>
            <w:r>
              <w:rPr>
                <w:rFonts w:ascii="宋体" w:hAnsi="宋体" w:hint="eastAsia"/>
                <w:bCs/>
                <w:sz w:val="18"/>
                <w:szCs w:val="18"/>
              </w:rPr>
              <w:t>开放式</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704" w:type="dxa"/>
            <w:shd w:val="solid" w:color="FFFFFF" w:fill="FFFFFF"/>
            <w:vAlign w:val="center"/>
          </w:tcPr>
          <w:p w:rsidR="00E30D17" w:rsidRDefault="00651870">
            <w:pPr>
              <w:adjustRightInd w:val="0"/>
              <w:snapToGrid w:val="0"/>
              <w:spacing w:line="276"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E30D17" w:rsidRDefault="00651870">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704" w:type="dxa"/>
            <w:shd w:val="solid" w:color="FFFFFF" w:fill="FFFFFF"/>
            <w:vAlign w:val="center"/>
          </w:tcPr>
          <w:p w:rsidR="00E30D17" w:rsidRDefault="00651870">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E30D17" w:rsidRDefault="00651870">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E30D17" w:rsidRDefault="00651870">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704" w:type="dxa"/>
            <w:shd w:val="solid" w:color="FFFFFF" w:fill="FFFFFF"/>
            <w:vAlign w:val="center"/>
          </w:tcPr>
          <w:p w:rsidR="00E30D17" w:rsidRDefault="00651870">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704" w:type="dxa"/>
            <w:shd w:val="solid" w:color="FFFFFF" w:fill="FFFFFF"/>
          </w:tcPr>
          <w:p w:rsidR="00E30D17" w:rsidRDefault="0065187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本产品属于【□ </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 xml:space="preserve">□ </w:t>
            </w:r>
            <w:r>
              <w:rPr>
                <w:rFonts w:asciiTheme="majorEastAsia" w:eastAsiaTheme="majorEastAsia" w:hAnsiTheme="majorEastAsia"/>
                <w:bCs/>
                <w:sz w:val="18"/>
                <w:szCs w:val="18"/>
              </w:rPr>
              <w:t>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E30D17" w:rsidRDefault="00651870">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E30D17" w:rsidRDefault="00651870">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704" w:type="dxa"/>
            <w:shd w:val="solid" w:color="FFFFFF" w:fill="FFFFFF"/>
            <w:vAlign w:val="bottom"/>
          </w:tcPr>
          <w:p w:rsidR="00E30D17" w:rsidRDefault="0065187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本产品</w:t>
            </w:r>
            <w:r>
              <w:rPr>
                <w:rFonts w:asciiTheme="majorEastAsia" w:eastAsiaTheme="majorEastAsia" w:hAnsiTheme="majorEastAsia"/>
                <w:bCs/>
                <w:color w:val="000000" w:themeColor="text1"/>
                <w:sz w:val="18"/>
                <w:szCs w:val="18"/>
              </w:rPr>
              <w:t>适合以下类型投资者：</w:t>
            </w:r>
          </w:p>
          <w:p w:rsidR="00E30D17" w:rsidRDefault="0065187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E30D17" w:rsidRDefault="0065187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704" w:type="dxa"/>
            <w:shd w:val="solid" w:color="FFFFFF" w:fill="FFFFFF"/>
            <w:vAlign w:val="center"/>
          </w:tcPr>
          <w:p w:rsidR="00E30D17" w:rsidRDefault="0065187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E30D17" w:rsidRDefault="00651870">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704" w:type="dxa"/>
            <w:shd w:val="solid" w:color="FFFFFF" w:fill="FFFFFF"/>
            <w:vAlign w:val="center"/>
          </w:tcPr>
          <w:p w:rsidR="00E30D17" w:rsidRDefault="00651870">
            <w:pPr>
              <w:spacing w:line="360" w:lineRule="auto"/>
              <w:jc w:val="left"/>
              <w:rPr>
                <w:rFonts w:ascii="宋体" w:hAnsi="宋体"/>
                <w:sz w:val="18"/>
                <w:szCs w:val="18"/>
              </w:rPr>
            </w:pPr>
            <w:r>
              <w:rPr>
                <w:rFonts w:ascii="宋体" w:hAnsi="宋体" w:hint="eastAsia"/>
                <w:sz w:val="18"/>
                <w:szCs w:val="18"/>
              </w:rPr>
              <w:t>□ 直销适用</w:t>
            </w:r>
          </w:p>
          <w:p w:rsidR="00E30D17" w:rsidRDefault="00651870">
            <w:pPr>
              <w:spacing w:line="360" w:lineRule="auto"/>
              <w:jc w:val="left"/>
              <w:rPr>
                <w:rFonts w:ascii="宋体" w:hAnsi="宋体"/>
                <w:sz w:val="18"/>
                <w:szCs w:val="18"/>
              </w:rPr>
            </w:pPr>
            <w:r>
              <w:rPr>
                <w:rFonts w:ascii="宋体" w:hAnsi="宋体" w:hint="eastAsia"/>
                <w:sz w:val="18"/>
                <w:szCs w:val="18"/>
              </w:rPr>
              <w:t>本产品由产品管理人销售。</w:t>
            </w:r>
          </w:p>
          <w:p w:rsidR="00E30D17" w:rsidRDefault="00651870">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E30D17" w:rsidRDefault="00651870">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E30D17" w:rsidRDefault="00651870">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704" w:type="dxa"/>
            <w:shd w:val="solid" w:color="FFFFFF" w:fill="FFFFFF"/>
            <w:vAlign w:val="center"/>
          </w:tcPr>
          <w:p w:rsidR="00E30D17" w:rsidRDefault="0065187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704" w:type="dxa"/>
            <w:shd w:val="solid" w:color="FFFFFF" w:fill="FFFFFF"/>
            <w:vAlign w:val="center"/>
          </w:tcPr>
          <w:p w:rsidR="00E30D17" w:rsidRDefault="0065187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704" w:type="dxa"/>
            <w:shd w:val="solid" w:color="FFFFFF" w:fill="FFFFFF"/>
            <w:vAlign w:val="center"/>
          </w:tcPr>
          <w:p w:rsidR="00E30D17" w:rsidRDefault="0065187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规模为【20】亿元，最小成立规模为【/】亿元。</w:t>
            </w:r>
          </w:p>
          <w:p w:rsidR="00E30D17" w:rsidRDefault="0065187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lastRenderedPageBreak/>
              <w:t>产品期限</w:t>
            </w:r>
          </w:p>
        </w:tc>
        <w:tc>
          <w:tcPr>
            <w:tcW w:w="7704" w:type="dxa"/>
            <w:shd w:val="solid" w:color="FFFFFF" w:fill="FFFFFF"/>
            <w:vAlign w:val="center"/>
          </w:tcPr>
          <w:p w:rsidR="00E30D17" w:rsidRDefault="00651870">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无固定期限</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704" w:type="dxa"/>
            <w:shd w:val="solid" w:color="FFFFFF" w:fill="FFFFFF"/>
            <w:vAlign w:val="center"/>
          </w:tcPr>
          <w:p w:rsidR="00E30D17" w:rsidRDefault="00651870">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：【2022】年【2】月【14】日11:00至【2022】年【2】月【17】日15:45</w:t>
            </w:r>
            <w:r>
              <w:rPr>
                <w:rFonts w:asciiTheme="majorEastAsia" w:eastAsiaTheme="majorEastAsia" w:hAnsiTheme="majorEastAsia"/>
                <w:sz w:val="18"/>
                <w:szCs w:val="18"/>
              </w:rPr>
              <w:t>。</w:t>
            </w:r>
          </w:p>
          <w:p w:rsidR="00E30D17" w:rsidRDefault="00651870">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E30D17" w:rsidRDefault="00651870">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募集期内资金按照活期存款利息计息，认购期/募集期内的利息不计入认购资金</w:t>
            </w:r>
            <w:r>
              <w:rPr>
                <w:rFonts w:ascii="宋体" w:hAnsi="宋体" w:hint="eastAsia"/>
                <w:sz w:val="18"/>
              </w:rPr>
              <w:t>。</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asciiTheme="majorEastAsia" w:eastAsiaTheme="majorEastAsia" w:hAnsiTheme="majorEastAsia"/>
                <w:b/>
                <w:bCs/>
                <w:sz w:val="18"/>
                <w:szCs w:val="18"/>
              </w:rPr>
            </w:pPr>
            <w:r>
              <w:rPr>
                <w:rFonts w:hAnsi="宋体" w:hint="eastAsia"/>
                <w:sz w:val="18"/>
                <w:szCs w:val="18"/>
              </w:rPr>
              <w:t>★</w:t>
            </w:r>
            <w:r>
              <w:rPr>
                <w:rFonts w:asciiTheme="majorEastAsia" w:eastAsiaTheme="majorEastAsia" w:hAnsiTheme="majorEastAsia" w:hint="eastAsia"/>
                <w:b/>
                <w:bCs/>
                <w:sz w:val="18"/>
                <w:szCs w:val="18"/>
              </w:rPr>
              <w:t>投资冷静期</w:t>
            </w:r>
          </w:p>
        </w:tc>
        <w:tc>
          <w:tcPr>
            <w:tcW w:w="7704" w:type="dxa"/>
            <w:shd w:val="solid" w:color="FFFFFF" w:fill="FFFFFF"/>
            <w:vAlign w:val="center"/>
          </w:tcPr>
          <w:p w:rsidR="00E30D17" w:rsidRDefault="0065187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704" w:type="dxa"/>
            <w:shd w:val="solid" w:color="FFFFFF" w:fill="FFFFFF"/>
            <w:vAlign w:val="center"/>
          </w:tcPr>
          <w:p w:rsidR="00E30D17" w:rsidRDefault="00651870">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w:t>
            </w:r>
            <w:r>
              <w:rPr>
                <w:rFonts w:asciiTheme="minorEastAsia" w:hAnsiTheme="minorEastAsia" w:cs="Times New Roman" w:hint="eastAsia"/>
                <w:sz w:val="18"/>
                <w:szCs w:val="18"/>
              </w:rPr>
              <w:t>2</w:t>
            </w:r>
            <w:r>
              <w:rPr>
                <w:rFonts w:asciiTheme="minorEastAsia" w:hAnsiTheme="minorEastAsia" w:cs="Times New Roman"/>
                <w:sz w:val="18"/>
                <w:szCs w:val="18"/>
              </w:rPr>
              <w:t>】年【</w:t>
            </w:r>
            <w:r>
              <w:rPr>
                <w:rFonts w:asciiTheme="minorEastAsia" w:hAnsiTheme="minorEastAsia" w:cs="Times New Roman" w:hint="eastAsia"/>
                <w:sz w:val="18"/>
                <w:szCs w:val="18"/>
              </w:rPr>
              <w:t>2】月【18】日（遇节假日顺延）</w:t>
            </w:r>
            <w:r>
              <w:rPr>
                <w:rFonts w:asciiTheme="minorEastAsia" w:hAnsiTheme="minorEastAsia" w:hint="eastAsia"/>
                <w:bCs/>
                <w:sz w:val="18"/>
                <w:szCs w:val="18"/>
              </w:rPr>
              <w:t>。</w:t>
            </w:r>
          </w:p>
          <w:p w:rsidR="00E30D17" w:rsidRDefault="00651870">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sz w:val="18"/>
                <w:szCs w:val="18"/>
              </w:rPr>
              <w:t>投资</w:t>
            </w:r>
            <w:r>
              <w:rPr>
                <w:rFonts w:asciiTheme="majorEastAsia" w:eastAsiaTheme="majorEastAsia" w:hAnsiTheme="majorEastAsia"/>
                <w:b/>
                <w:sz w:val="18"/>
                <w:szCs w:val="18"/>
              </w:rPr>
              <w:t>周期</w:t>
            </w:r>
          </w:p>
        </w:tc>
        <w:tc>
          <w:tcPr>
            <w:tcW w:w="7704" w:type="dxa"/>
            <w:shd w:val="solid" w:color="FFFFFF" w:fill="FFFFFF"/>
            <w:vAlign w:val="center"/>
          </w:tcPr>
          <w:p w:rsidR="00E30D17" w:rsidRDefault="00651870">
            <w:pPr>
              <w:spacing w:line="360" w:lineRule="auto"/>
              <w:rPr>
                <w:rFonts w:asciiTheme="majorEastAsia" w:eastAsiaTheme="majorEastAsia" w:hAnsiTheme="majorEastAsia"/>
                <w:bCs/>
                <w:color w:val="000000" w:themeColor="text1"/>
                <w:sz w:val="18"/>
                <w:szCs w:val="18"/>
              </w:rPr>
            </w:pPr>
            <w:r>
              <w:rPr>
                <w:rFonts w:asciiTheme="minorEastAsia" w:eastAsiaTheme="minorEastAsia" w:hAnsiTheme="minorEastAsia"/>
                <w:bCs/>
                <w:color w:val="000000" w:themeColor="text1"/>
                <w:sz w:val="18"/>
                <w:szCs w:val="18"/>
              </w:rPr>
              <w:t>1</w:t>
            </w:r>
            <w:r>
              <w:rPr>
                <w:rFonts w:asciiTheme="majorEastAsia" w:eastAsiaTheme="majorEastAsia" w:hAnsiTheme="majorEastAsia"/>
                <w:bCs/>
                <w:color w:val="000000" w:themeColor="text1"/>
                <w:sz w:val="18"/>
                <w:szCs w:val="18"/>
              </w:rPr>
              <w:t>.投资周期的设置</w:t>
            </w:r>
          </w:p>
          <w:p w:rsidR="00E30D17" w:rsidRDefault="00651870">
            <w:pPr>
              <w:spacing w:line="360" w:lineRule="auto"/>
              <w:rPr>
                <w:rFonts w:asciiTheme="minorEastAsia" w:eastAsiaTheme="minorEastAsia" w:hAnsiTheme="minorEastAsia"/>
                <w:bCs/>
                <w:color w:val="000000" w:themeColor="text1"/>
                <w:sz w:val="18"/>
                <w:szCs w:val="18"/>
              </w:rPr>
            </w:pP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投资周期指</w:t>
            </w:r>
            <w:r>
              <w:rPr>
                <w:rFonts w:asciiTheme="minorEastAsia" w:eastAsiaTheme="minorEastAsia" w:hAnsiTheme="minorEastAsia" w:hint="eastAsia"/>
                <w:bCs/>
                <w:color w:val="000000" w:themeColor="text1"/>
                <w:sz w:val="18"/>
                <w:szCs w:val="18"/>
              </w:rPr>
              <w:t>投资者</w:t>
            </w:r>
            <w:r>
              <w:rPr>
                <w:rFonts w:asciiTheme="minorEastAsia" w:eastAsiaTheme="minorEastAsia" w:hAnsiTheme="minorEastAsia"/>
                <w:bCs/>
                <w:color w:val="000000" w:themeColor="text1"/>
                <w:sz w:val="18"/>
                <w:szCs w:val="18"/>
              </w:rPr>
              <w:t>持有理财产品份额</w:t>
            </w:r>
            <w:r>
              <w:rPr>
                <w:rFonts w:asciiTheme="minorEastAsia" w:eastAsiaTheme="minorEastAsia" w:hAnsiTheme="minorEastAsia" w:hint="eastAsia"/>
                <w:bCs/>
                <w:color w:val="000000" w:themeColor="text1"/>
                <w:sz w:val="18"/>
                <w:szCs w:val="18"/>
              </w:rPr>
              <w:t>所对应的理财资金由产品管理人进行投资运作的一段完整期间。</w:t>
            </w:r>
          </w:p>
          <w:p w:rsidR="00E30D17" w:rsidRDefault="00651870">
            <w:pPr>
              <w:spacing w:line="360" w:lineRule="auto"/>
              <w:rPr>
                <w:rFonts w:asciiTheme="majorEastAsia" w:eastAsiaTheme="majorEastAsia" w:hAnsiTheme="majorEastAsia" w:cs="仿宋_GB2312"/>
                <w:color w:val="000000" w:themeColor="text1"/>
                <w:kern w:val="0"/>
                <w:sz w:val="18"/>
                <w:szCs w:val="18"/>
              </w:rPr>
            </w:pPr>
            <w:r>
              <w:rPr>
                <w:rFonts w:asciiTheme="majorEastAsia" w:eastAsiaTheme="majorEastAsia" w:hAnsiTheme="majorEastAsia" w:hint="eastAsia"/>
                <w:bCs/>
                <w:color w:val="000000" w:themeColor="text1"/>
                <w:sz w:val="18"/>
                <w:szCs w:val="18"/>
              </w:rPr>
              <w:t>（2）每一个投资周期：包含</w:t>
            </w:r>
            <w:r>
              <w:rPr>
                <w:rFonts w:asciiTheme="majorEastAsia" w:eastAsiaTheme="majorEastAsia" w:hAnsiTheme="majorEastAsia" w:cs="仿宋_GB2312" w:hint="eastAsia"/>
                <w:color w:val="000000" w:themeColor="text1"/>
                <w:kern w:val="0"/>
                <w:sz w:val="18"/>
                <w:szCs w:val="18"/>
              </w:rPr>
              <w:t>该</w:t>
            </w:r>
            <w:r>
              <w:rPr>
                <w:rFonts w:asciiTheme="majorEastAsia" w:eastAsiaTheme="majorEastAsia" w:hAnsiTheme="majorEastAsia" w:hint="eastAsia"/>
                <w:bCs/>
                <w:color w:val="000000" w:themeColor="text1"/>
                <w:sz w:val="18"/>
                <w:szCs w:val="18"/>
              </w:rPr>
              <w:t>投资者对应产品份额的认购确认日</w:t>
            </w:r>
            <w:r>
              <w:rPr>
                <w:rFonts w:asciiTheme="majorEastAsia" w:eastAsiaTheme="majorEastAsia" w:hAnsiTheme="majorEastAsia"/>
                <w:bCs/>
                <w:color w:val="000000" w:themeColor="text1"/>
                <w:sz w:val="18"/>
                <w:szCs w:val="18"/>
              </w:rPr>
              <w:t>/申购确认日</w:t>
            </w:r>
            <w:r>
              <w:rPr>
                <w:rFonts w:asciiTheme="majorEastAsia" w:eastAsiaTheme="majorEastAsia" w:hAnsiTheme="majorEastAsia" w:cs="仿宋_GB2312" w:hint="eastAsia"/>
                <w:color w:val="000000" w:themeColor="text1"/>
                <w:kern w:val="0"/>
                <w:sz w:val="18"/>
                <w:szCs w:val="18"/>
              </w:rPr>
              <w:t>至该投资者对应产品份额的赎回确认日的期间。</w:t>
            </w:r>
          </w:p>
          <w:p w:rsidR="00E30D17" w:rsidRDefault="00651870">
            <w:pPr>
              <w:spacing w:line="360" w:lineRule="auto"/>
              <w:rPr>
                <w:rFonts w:asciiTheme="majorEastAsia" w:eastAsiaTheme="majorEastAsia" w:hAnsiTheme="majorEastAsia"/>
                <w:bCs/>
                <w:color w:val="000000" w:themeColor="text1"/>
                <w:sz w:val="18"/>
                <w:szCs w:val="18"/>
              </w:rPr>
            </w:pPr>
            <w:r>
              <w:rPr>
                <w:rFonts w:asciiTheme="minorEastAsia" w:eastAsiaTheme="minorEastAsia" w:hAnsiTheme="minorEastAsia" w:hint="eastAsia"/>
                <w:bCs/>
                <w:color w:val="000000" w:themeColor="text1"/>
                <w:sz w:val="18"/>
                <w:szCs w:val="18"/>
              </w:rPr>
              <w:t>（3</w:t>
            </w:r>
            <w:r>
              <w:rPr>
                <w:rFonts w:asciiTheme="minorEastAsia" w:eastAsiaTheme="minorEastAsia" w:hAnsiTheme="minorEastAsia"/>
                <w:bCs/>
                <w:color w:val="000000" w:themeColor="text1"/>
                <w:sz w:val="18"/>
                <w:szCs w:val="18"/>
              </w:rPr>
              <w:t>）</w:t>
            </w:r>
            <w:r>
              <w:rPr>
                <w:rFonts w:asciiTheme="majorEastAsia" w:eastAsiaTheme="majorEastAsia" w:hAnsiTheme="majorEastAsia" w:hint="eastAsia"/>
                <w:bCs/>
                <w:color w:val="000000" w:themeColor="text1"/>
                <w:sz w:val="18"/>
                <w:szCs w:val="18"/>
              </w:rPr>
              <w:t>正常情况下，本产品的一个投资周期为【3个月】</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投资周期存在长于或短于【3个月】的可能，投资者具体投资周期以本产品说明书“申购</w:t>
            </w:r>
            <w:r>
              <w:rPr>
                <w:rFonts w:asciiTheme="majorEastAsia" w:eastAsiaTheme="majorEastAsia" w:hAnsiTheme="majorEastAsia"/>
                <w:bCs/>
                <w:color w:val="000000" w:themeColor="text1"/>
                <w:sz w:val="18"/>
                <w:szCs w:val="18"/>
              </w:rPr>
              <w:t>/赎回安排</w:t>
            </w:r>
            <w:r>
              <w:rPr>
                <w:rFonts w:asciiTheme="majorEastAsia" w:eastAsiaTheme="majorEastAsia" w:hAnsiTheme="majorEastAsia" w:hint="eastAsia"/>
                <w:bCs/>
                <w:color w:val="000000" w:themeColor="text1"/>
                <w:sz w:val="18"/>
                <w:szCs w:val="18"/>
              </w:rPr>
              <w:t>”所载明的天数为准。投资周期终止日如遇非工作日则产品管理人做相应调整。</w:t>
            </w:r>
          </w:p>
          <w:p w:rsidR="00E30D17" w:rsidRDefault="0065187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2.投资周期的参与</w:t>
            </w:r>
          </w:p>
          <w:p w:rsidR="00E30D17" w:rsidRDefault="0065187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1）本产品成立前，投资者可通过认购方式参与本产品的第一个投资周期。</w:t>
            </w:r>
          </w:p>
          <w:p w:rsidR="00E30D17" w:rsidRDefault="00651870">
            <w:pPr>
              <w:spacing w:line="360" w:lineRule="auto"/>
              <w:rPr>
                <w:rFonts w:asciiTheme="minorEastAsia" w:eastAsiaTheme="minorEastAsia" w:hAnsiTheme="minorEastAsia"/>
                <w:bCs/>
                <w:color w:val="000000" w:themeColor="text1"/>
                <w:sz w:val="18"/>
                <w:szCs w:val="18"/>
              </w:rPr>
            </w:pPr>
            <w:r>
              <w:rPr>
                <w:rFonts w:asciiTheme="majorEastAsia" w:eastAsiaTheme="majorEastAsia" w:hAnsiTheme="majorEastAsia" w:cs="仿宋_GB2312" w:hint="eastAsia"/>
                <w:color w:val="000000" w:themeColor="text1"/>
                <w:kern w:val="0"/>
                <w:sz w:val="18"/>
                <w:szCs w:val="18"/>
              </w:rPr>
              <w:t>（</w:t>
            </w:r>
            <w:r>
              <w:rPr>
                <w:rFonts w:asciiTheme="majorEastAsia" w:eastAsiaTheme="majorEastAsia" w:hAnsiTheme="majorEastAsia" w:cs="仿宋_GB2312"/>
                <w:color w:val="000000" w:themeColor="text1"/>
                <w:kern w:val="0"/>
                <w:sz w:val="18"/>
                <w:szCs w:val="18"/>
              </w:rPr>
              <w:t>2）本产品成立后，投资者可通过预约申购方式参与本产品的不同投资周期。</w:t>
            </w:r>
            <w:r>
              <w:rPr>
                <w:rFonts w:asciiTheme="majorEastAsia" w:eastAsiaTheme="majorEastAsia" w:hAnsiTheme="majorEastAsia" w:cs="仿宋_GB2312" w:hint="eastAsia"/>
                <w:color w:val="000000" w:themeColor="text1"/>
                <w:kern w:val="0"/>
                <w:sz w:val="18"/>
                <w:szCs w:val="18"/>
              </w:rPr>
              <w:t>本产品</w:t>
            </w:r>
            <w:r>
              <w:rPr>
                <w:rFonts w:asciiTheme="majorEastAsia" w:eastAsiaTheme="majorEastAsia" w:hAnsiTheme="majorEastAsia" w:cs="仿宋_GB2312"/>
                <w:color w:val="000000" w:themeColor="text1"/>
                <w:kern w:val="0"/>
                <w:sz w:val="18"/>
                <w:szCs w:val="18"/>
              </w:rPr>
              <w:t>成立后管理人可根据募集情况设置预约申购期</w:t>
            </w:r>
            <w:r>
              <w:rPr>
                <w:rFonts w:asciiTheme="majorEastAsia" w:eastAsiaTheme="majorEastAsia" w:hAnsiTheme="majorEastAsia" w:cs="仿宋_GB2312" w:hint="eastAsia"/>
                <w:color w:val="000000" w:themeColor="text1"/>
                <w:kern w:val="0"/>
                <w:sz w:val="18"/>
                <w:szCs w:val="18"/>
              </w:rPr>
              <w:t>。</w:t>
            </w:r>
            <w:r>
              <w:rPr>
                <w:rFonts w:asciiTheme="majorEastAsia" w:eastAsiaTheme="majorEastAsia" w:hAnsiTheme="majorEastAsia" w:cs="仿宋_GB2312"/>
                <w:color w:val="000000" w:themeColor="text1"/>
                <w:kern w:val="0"/>
                <w:sz w:val="18"/>
                <w:szCs w:val="18"/>
              </w:rPr>
              <w:t>在理财产品运作一个完整的投资周期</w:t>
            </w:r>
            <w:r>
              <w:rPr>
                <w:rFonts w:asciiTheme="majorEastAsia" w:eastAsiaTheme="majorEastAsia" w:hAnsiTheme="majorEastAsia" w:cs="仿宋_GB2312" w:hint="eastAsia"/>
                <w:color w:val="000000" w:themeColor="text1"/>
                <w:kern w:val="0"/>
                <w:sz w:val="18"/>
                <w:szCs w:val="18"/>
              </w:rPr>
              <w:t>结束前后，</w:t>
            </w:r>
            <w:r>
              <w:rPr>
                <w:rFonts w:asciiTheme="majorEastAsia" w:eastAsiaTheme="majorEastAsia" w:hAnsiTheme="majorEastAsia" w:cs="仿宋_GB2312"/>
                <w:color w:val="000000" w:themeColor="text1"/>
                <w:kern w:val="0"/>
                <w:sz w:val="18"/>
                <w:szCs w:val="18"/>
              </w:rPr>
              <w:t>管理人可设置预约申购期</w:t>
            </w:r>
            <w:r>
              <w:rPr>
                <w:rFonts w:asciiTheme="majorEastAsia" w:eastAsiaTheme="majorEastAsia" w:hAnsiTheme="majorEastAsia" w:cs="仿宋_GB2312" w:hint="eastAsia"/>
                <w:color w:val="000000" w:themeColor="text1"/>
                <w:kern w:val="0"/>
                <w:sz w:val="18"/>
                <w:szCs w:val="18"/>
              </w:rPr>
              <w:t>。</w:t>
            </w:r>
            <w:r>
              <w:rPr>
                <w:rFonts w:ascii="宋体" w:hAnsi="宋体" w:cs="仿宋_GB2312" w:hint="eastAsia"/>
                <w:kern w:val="0"/>
                <w:sz w:val="18"/>
                <w:szCs w:val="18"/>
              </w:rPr>
              <w:t>投资者可在预约申购期内提交预约申购申请</w:t>
            </w:r>
            <w:r>
              <w:rPr>
                <w:rFonts w:asciiTheme="minorEastAsia" w:eastAsiaTheme="minorEastAsia" w:hAnsiTheme="minorEastAsia" w:hint="eastAsia"/>
                <w:bCs/>
                <w:sz w:val="18"/>
                <w:szCs w:val="18"/>
              </w:rPr>
              <w:t>。</w:t>
            </w:r>
          </w:p>
          <w:p w:rsidR="00E30D17" w:rsidRDefault="00651870">
            <w:pPr>
              <w:spacing w:line="360" w:lineRule="auto"/>
              <w:rPr>
                <w:rFonts w:asciiTheme="minorEastAsia" w:eastAsiaTheme="minorEastAsia" w:hAnsiTheme="minorEastAsia"/>
                <w:bCs/>
                <w:color w:val="000000" w:themeColor="text1"/>
                <w:sz w:val="18"/>
                <w:szCs w:val="18"/>
              </w:rPr>
            </w:pPr>
            <w:r>
              <w:rPr>
                <w:rFonts w:asciiTheme="minorEastAsia" w:eastAsiaTheme="minorEastAsia" w:hAnsiTheme="minorEastAsia" w:hint="eastAsia"/>
                <w:bCs/>
                <w:color w:val="000000" w:themeColor="text1"/>
                <w:sz w:val="18"/>
                <w:szCs w:val="18"/>
              </w:rPr>
              <w:t>3.投资周期的退出</w:t>
            </w:r>
          </w:p>
          <w:p w:rsidR="00E30D17" w:rsidRDefault="00651870">
            <w:pPr>
              <w:spacing w:line="360" w:lineRule="auto"/>
              <w:rPr>
                <w:rFonts w:asciiTheme="minorEastAsia" w:eastAsiaTheme="minorEastAsia" w:hAnsiTheme="minorEastAsia"/>
                <w:bCs/>
                <w:color w:val="000000" w:themeColor="text1"/>
                <w:sz w:val="18"/>
                <w:szCs w:val="18"/>
              </w:rPr>
            </w:pPr>
            <w:r>
              <w:rPr>
                <w:rFonts w:asciiTheme="minorEastAsia" w:eastAsiaTheme="minorEastAsia" w:hAnsiTheme="minorEastAsia" w:hint="eastAsia"/>
                <w:bCs/>
                <w:color w:val="000000" w:themeColor="text1"/>
                <w:sz w:val="18"/>
                <w:szCs w:val="18"/>
              </w:rPr>
              <w:t>（1）本产品成立后，投资者可通过预约赎回方式退出本产品的投资周期。在</w:t>
            </w:r>
            <w:r>
              <w:rPr>
                <w:rFonts w:asciiTheme="minorEastAsia" w:eastAsiaTheme="minorEastAsia" w:hAnsiTheme="minorEastAsia"/>
                <w:bCs/>
                <w:color w:val="000000" w:themeColor="text1"/>
                <w:sz w:val="18"/>
                <w:szCs w:val="18"/>
              </w:rPr>
              <w:t>投资者持有的理财产品份额</w:t>
            </w:r>
            <w:r>
              <w:rPr>
                <w:rFonts w:asciiTheme="minorEastAsia" w:eastAsiaTheme="minorEastAsia" w:hAnsiTheme="minorEastAsia" w:hint="eastAsia"/>
                <w:bCs/>
                <w:color w:val="000000" w:themeColor="text1"/>
                <w:sz w:val="18"/>
                <w:szCs w:val="18"/>
              </w:rPr>
              <w:t>在运作一个完整的投资周期结束前，投资者可在预约赎回期内</w:t>
            </w:r>
            <w:r>
              <w:rPr>
                <w:rFonts w:asciiTheme="minorEastAsia" w:eastAsiaTheme="minorEastAsia" w:hAnsiTheme="minorEastAsia"/>
                <w:bCs/>
                <w:color w:val="000000" w:themeColor="text1"/>
                <w:sz w:val="18"/>
                <w:szCs w:val="18"/>
              </w:rPr>
              <w:t>提出预约</w:t>
            </w:r>
            <w:r>
              <w:rPr>
                <w:rFonts w:asciiTheme="minorEastAsia" w:eastAsiaTheme="minorEastAsia" w:hAnsiTheme="minorEastAsia" w:hint="eastAsia"/>
                <w:bCs/>
                <w:color w:val="000000" w:themeColor="text1"/>
                <w:sz w:val="18"/>
                <w:szCs w:val="18"/>
              </w:rPr>
              <w:t>赎回申请，如未赎回将进入下一个投资周期继续运作。</w:t>
            </w:r>
          </w:p>
          <w:p w:rsidR="00E30D17" w:rsidRDefault="00651870">
            <w:pPr>
              <w:spacing w:line="360" w:lineRule="auto"/>
              <w:rPr>
                <w:rFonts w:asciiTheme="minorEastAsia" w:eastAsiaTheme="minorEastAsia" w:hAnsiTheme="minorEastAsia"/>
                <w:bCs/>
                <w:color w:val="000000" w:themeColor="text1"/>
                <w:sz w:val="18"/>
                <w:szCs w:val="18"/>
              </w:rPr>
            </w:pPr>
            <w:r>
              <w:rPr>
                <w:rFonts w:asciiTheme="minorEastAsia" w:eastAsiaTheme="minorEastAsia" w:hAnsiTheme="minorEastAsia" w:hint="eastAsia"/>
                <w:bCs/>
                <w:color w:val="000000" w:themeColor="text1"/>
                <w:sz w:val="18"/>
                <w:szCs w:val="18"/>
              </w:rPr>
              <w:t>（2）在</w:t>
            </w:r>
            <w:r>
              <w:rPr>
                <w:rFonts w:asciiTheme="minorEastAsia" w:eastAsiaTheme="minorEastAsia" w:hAnsiTheme="minorEastAsia"/>
                <w:bCs/>
                <w:color w:val="000000" w:themeColor="text1"/>
                <w:sz w:val="18"/>
                <w:szCs w:val="18"/>
              </w:rPr>
              <w:t>投资者持有的理财产品份额</w:t>
            </w:r>
            <w:r>
              <w:rPr>
                <w:rFonts w:asciiTheme="minorEastAsia" w:eastAsiaTheme="minorEastAsia" w:hAnsiTheme="minorEastAsia" w:hint="eastAsia"/>
                <w:bCs/>
                <w:color w:val="000000" w:themeColor="text1"/>
                <w:sz w:val="18"/>
                <w:szCs w:val="18"/>
              </w:rPr>
              <w:t>在运作一个完整的投资周期后，投资者</w:t>
            </w:r>
            <w:r>
              <w:rPr>
                <w:rFonts w:asciiTheme="minorEastAsia" w:eastAsiaTheme="minorEastAsia" w:hAnsiTheme="minorEastAsia"/>
                <w:bCs/>
                <w:color w:val="000000" w:themeColor="text1"/>
                <w:sz w:val="18"/>
                <w:szCs w:val="18"/>
              </w:rPr>
              <w:t>也可以继续</w:t>
            </w:r>
            <w:r>
              <w:rPr>
                <w:rFonts w:asciiTheme="minorEastAsia" w:eastAsiaTheme="minorEastAsia" w:hAnsiTheme="minorEastAsia" w:hint="eastAsia"/>
                <w:bCs/>
                <w:color w:val="000000" w:themeColor="text1"/>
                <w:sz w:val="18"/>
                <w:szCs w:val="18"/>
              </w:rPr>
              <w:t>持有理财产品份额进入</w:t>
            </w:r>
            <w:r>
              <w:rPr>
                <w:rFonts w:asciiTheme="minorEastAsia" w:eastAsiaTheme="minorEastAsia" w:hAnsiTheme="minorEastAsia"/>
                <w:bCs/>
                <w:color w:val="000000" w:themeColor="text1"/>
                <w:sz w:val="18"/>
                <w:szCs w:val="18"/>
              </w:rPr>
              <w:t>下一个投资周期</w:t>
            </w:r>
            <w:r>
              <w:rPr>
                <w:rFonts w:asciiTheme="minorEastAsia" w:eastAsiaTheme="minorEastAsia" w:hAnsiTheme="minorEastAsia" w:hint="eastAsia"/>
                <w:bCs/>
                <w:color w:val="000000" w:themeColor="text1"/>
                <w:sz w:val="18"/>
                <w:szCs w:val="18"/>
              </w:rPr>
              <w:t>。</w:t>
            </w:r>
          </w:p>
          <w:p w:rsidR="00E30D17" w:rsidRDefault="00651870">
            <w:pPr>
              <w:spacing w:line="360" w:lineRule="auto"/>
              <w:rPr>
                <w:rFonts w:asciiTheme="minorEastAsia" w:eastAsiaTheme="minorEastAsia" w:hAnsiTheme="minorEastAsia"/>
                <w:bCs/>
                <w:color w:val="000000" w:themeColor="text1"/>
                <w:sz w:val="18"/>
                <w:szCs w:val="18"/>
              </w:rPr>
            </w:pPr>
            <w:r>
              <w:rPr>
                <w:rFonts w:asciiTheme="minorEastAsia" w:eastAsiaTheme="minorEastAsia" w:hAnsiTheme="minorEastAsia" w:hint="eastAsia"/>
                <w:bCs/>
                <w:color w:val="000000" w:themeColor="text1"/>
                <w:sz w:val="18"/>
                <w:szCs w:val="18"/>
              </w:rPr>
              <w:t>（3）</w:t>
            </w:r>
            <w:r>
              <w:rPr>
                <w:rFonts w:asciiTheme="majorEastAsia" w:eastAsiaTheme="majorEastAsia" w:hAnsiTheme="majorEastAsia" w:hint="eastAsia"/>
                <w:bCs/>
                <w:sz w:val="18"/>
                <w:szCs w:val="18"/>
              </w:rPr>
              <w:t>如果投资者在本产品提前终止时仍有未赎回的份额，则产品管理人将于提前终止日将未赎</w:t>
            </w:r>
            <w:r>
              <w:rPr>
                <w:rFonts w:asciiTheme="majorEastAsia" w:eastAsiaTheme="majorEastAsia" w:hAnsiTheme="majorEastAsia" w:hint="eastAsia"/>
                <w:bCs/>
                <w:sz w:val="18"/>
                <w:szCs w:val="18"/>
              </w:rPr>
              <w:lastRenderedPageBreak/>
              <w:t>回的产品</w:t>
            </w:r>
            <w:r>
              <w:rPr>
                <w:rFonts w:asciiTheme="majorEastAsia" w:eastAsiaTheme="majorEastAsia" w:hAnsiTheme="majorEastAsia"/>
                <w:bCs/>
                <w:sz w:val="18"/>
                <w:szCs w:val="18"/>
              </w:rPr>
              <w:t>份额</w:t>
            </w:r>
            <w:r>
              <w:rPr>
                <w:rFonts w:asciiTheme="majorEastAsia" w:eastAsiaTheme="majorEastAsia" w:hAnsiTheme="majorEastAsia" w:hint="eastAsia"/>
                <w:bCs/>
                <w:sz w:val="18"/>
                <w:szCs w:val="18"/>
              </w:rPr>
              <w:t>自动进行清算，于提前终止日分配理财资金，本产品终止。</w:t>
            </w:r>
          </w:p>
          <w:p w:rsidR="00E30D17" w:rsidRDefault="00651870">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4</w:t>
            </w:r>
            <w:r>
              <w:rPr>
                <w:rFonts w:ascii="黑体" w:eastAsia="黑体" w:hAnsi="黑体"/>
                <w:color w:val="000000" w:themeColor="text1"/>
                <w:sz w:val="18"/>
                <w:szCs w:val="18"/>
              </w:rPr>
              <w:t>.</w:t>
            </w:r>
            <w:r>
              <w:rPr>
                <w:rFonts w:ascii="黑体" w:eastAsia="黑体" w:hAnsi="黑体" w:hint="eastAsia"/>
                <w:color w:val="000000" w:themeColor="text1"/>
                <w:sz w:val="18"/>
                <w:szCs w:val="18"/>
              </w:rPr>
              <w:t>投资周期的调整</w:t>
            </w:r>
          </w:p>
          <w:p w:rsidR="00E30D17" w:rsidRDefault="00651870">
            <w:pPr>
              <w:spacing w:line="360" w:lineRule="auto"/>
              <w:rPr>
                <w:rFonts w:asciiTheme="minorEastAsia" w:hAnsiTheme="minorEastAsia" w:cs="Times New Roman"/>
                <w:sz w:val="18"/>
                <w:szCs w:val="18"/>
              </w:rPr>
            </w:pPr>
            <w:r>
              <w:rPr>
                <w:rFonts w:ascii="黑体" w:eastAsia="黑体" w:hAnsi="黑体" w:hint="eastAsia"/>
                <w:color w:val="000000" w:themeColor="text1"/>
                <w:sz w:val="18"/>
                <w:szCs w:val="18"/>
              </w:rPr>
              <w:t>产品管理人有权调整投资周期，调整后的投资周期以产品管理人发布的公告中所载明的日期为准。</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hAnsi="宋体"/>
                <w:sz w:val="18"/>
                <w:szCs w:val="18"/>
              </w:rPr>
            </w:pPr>
            <w:r>
              <w:rPr>
                <w:rFonts w:hAnsi="宋体" w:hint="eastAsia"/>
                <w:sz w:val="18"/>
                <w:szCs w:val="18"/>
              </w:rPr>
              <w:lastRenderedPageBreak/>
              <w:t>★</w:t>
            </w:r>
            <w:r>
              <w:rPr>
                <w:rFonts w:ascii="宋体" w:hAnsi="宋体" w:hint="eastAsia"/>
                <w:b/>
                <w:bCs/>
                <w:kern w:val="0"/>
                <w:sz w:val="18"/>
                <w:szCs w:val="18"/>
              </w:rPr>
              <w:t>申购/赎回安排</w:t>
            </w:r>
          </w:p>
        </w:tc>
        <w:tc>
          <w:tcPr>
            <w:tcW w:w="7704" w:type="dxa"/>
            <w:shd w:val="solid" w:color="FFFFFF" w:fill="FFFFFF"/>
          </w:tcPr>
          <w:p w:rsidR="00E30D17" w:rsidRDefault="00651870">
            <w:pPr>
              <w:spacing w:line="360" w:lineRule="auto"/>
              <w:rPr>
                <w:rFonts w:asciiTheme="minorEastAsia" w:hAnsiTheme="minorEastAsia" w:cs="Times New Roman"/>
                <w:sz w:val="18"/>
                <w:szCs w:val="18"/>
              </w:rPr>
            </w:pPr>
            <w:r>
              <w:rPr>
                <w:rFonts w:asciiTheme="majorEastAsia" w:eastAsiaTheme="majorEastAsia" w:hAnsiTheme="majorEastAsia" w:cs="仿宋_GB2312" w:hint="eastAsia"/>
                <w:color w:val="000000" w:themeColor="text1"/>
                <w:kern w:val="0"/>
                <w:sz w:val="18"/>
                <w:szCs w:val="18"/>
              </w:rPr>
              <w:t>1.</w:t>
            </w:r>
            <w:r>
              <w:rPr>
                <w:rFonts w:asciiTheme="minorEastAsia" w:hAnsiTheme="minorEastAsia" w:cs="Times New Roman" w:hint="eastAsia"/>
                <w:sz w:val="18"/>
                <w:szCs w:val="18"/>
              </w:rPr>
              <w:t>本产品成立后，开放多个预约申购/赎回期。</w:t>
            </w:r>
          </w:p>
          <w:p w:rsidR="00E30D17" w:rsidRDefault="00651870">
            <w:pPr>
              <w:spacing w:line="360" w:lineRule="auto"/>
              <w:rPr>
                <w:rFonts w:asciiTheme="majorEastAsia" w:eastAsiaTheme="majorEastAsia" w:hAnsiTheme="majorEastAsia"/>
                <w:bCs/>
                <w:color w:val="000000" w:themeColor="text1"/>
                <w:sz w:val="18"/>
                <w:szCs w:val="18"/>
              </w:rPr>
            </w:pPr>
            <w:r>
              <w:rPr>
                <w:rFonts w:asciiTheme="minorEastAsia" w:hAnsiTheme="minorEastAsia" w:cs="Times New Roman" w:hint="eastAsia"/>
                <w:sz w:val="18"/>
                <w:szCs w:val="18"/>
              </w:rPr>
              <w:t>2</w:t>
            </w:r>
            <w:r>
              <w:rPr>
                <w:rFonts w:asciiTheme="minorEastAsia" w:hAnsiTheme="minorEastAsia" w:cs="Times New Roman"/>
                <w:sz w:val="18"/>
                <w:szCs w:val="18"/>
              </w:rPr>
              <w:t>.</w:t>
            </w:r>
            <w:r>
              <w:rPr>
                <w:rFonts w:asciiTheme="minorEastAsia" w:hAnsiTheme="minorEastAsia" w:cs="Times New Roman" w:hint="eastAsia"/>
                <w:sz w:val="18"/>
                <w:szCs w:val="18"/>
              </w:rPr>
              <w:t>预约申购具体安排如下：</w:t>
            </w:r>
          </w:p>
          <w:p w:rsidR="00E30D17" w:rsidRDefault="00651870">
            <w:pPr>
              <w:spacing w:line="360" w:lineRule="auto"/>
              <w:rPr>
                <w:rFonts w:asciiTheme="minorEastAsia" w:hAnsiTheme="minorEastAsia" w:cs="Times New Roman"/>
                <w:sz w:val="18"/>
                <w:szCs w:val="18"/>
              </w:rPr>
            </w:pPr>
            <w:r>
              <w:rPr>
                <w:rFonts w:asciiTheme="minorEastAsia" w:hAnsiTheme="minorEastAsia" w:cs="Times New Roman" w:hint="eastAsia"/>
                <w:sz w:val="18"/>
                <w:szCs w:val="18"/>
              </w:rPr>
              <w:t>（1）申购的时间</w:t>
            </w:r>
          </w:p>
          <w:p w:rsidR="000D3E4A" w:rsidRPr="000D3E4A" w:rsidRDefault="000D3E4A" w:rsidP="000D3E4A">
            <w:pPr>
              <w:spacing w:line="360" w:lineRule="auto"/>
              <w:rPr>
                <w:rFonts w:asciiTheme="majorEastAsia" w:eastAsiaTheme="majorEastAsia" w:hAnsiTheme="majorEastAsia"/>
                <w:bCs/>
                <w:color w:val="000000" w:themeColor="text1"/>
                <w:sz w:val="18"/>
                <w:szCs w:val="18"/>
              </w:rPr>
            </w:pPr>
            <w:r w:rsidRPr="000D3E4A">
              <w:rPr>
                <w:rFonts w:asciiTheme="majorEastAsia" w:eastAsiaTheme="majorEastAsia" w:hAnsiTheme="majorEastAsia" w:hint="eastAsia"/>
                <w:bCs/>
                <w:color w:val="000000" w:themeColor="text1"/>
                <w:sz w:val="18"/>
                <w:szCs w:val="18"/>
              </w:rPr>
              <w:t>□预约申购期：【2023】年【02】月【08】日11:00至【2023】年【02】月【14】日15:45；投资周期【91】天；</w:t>
            </w:r>
          </w:p>
          <w:p w:rsidR="000D3E4A" w:rsidRPr="000D3E4A" w:rsidRDefault="000D3E4A" w:rsidP="000D3E4A">
            <w:pPr>
              <w:spacing w:line="360" w:lineRule="auto"/>
              <w:rPr>
                <w:rFonts w:asciiTheme="majorEastAsia" w:eastAsiaTheme="majorEastAsia" w:hAnsiTheme="majorEastAsia"/>
                <w:bCs/>
                <w:color w:val="000000" w:themeColor="text1"/>
                <w:sz w:val="18"/>
                <w:szCs w:val="18"/>
              </w:rPr>
            </w:pPr>
            <w:r w:rsidRPr="000D3E4A">
              <w:rPr>
                <w:rFonts w:asciiTheme="majorEastAsia" w:eastAsiaTheme="majorEastAsia" w:hAnsiTheme="majorEastAsia" w:hint="eastAsia"/>
                <w:bCs/>
                <w:color w:val="000000" w:themeColor="text1"/>
                <w:sz w:val="18"/>
                <w:szCs w:val="18"/>
              </w:rPr>
              <w:t>□预约申购期：【2023】年【05】月【10】日11:00至【2023】年【05】月【16】日15:45；投资周期【91】天；</w:t>
            </w:r>
          </w:p>
          <w:p w:rsidR="000D3E4A" w:rsidRPr="000D3E4A" w:rsidRDefault="000D3E4A" w:rsidP="000D3E4A">
            <w:pPr>
              <w:spacing w:line="360" w:lineRule="auto"/>
              <w:rPr>
                <w:rFonts w:asciiTheme="majorEastAsia" w:eastAsiaTheme="majorEastAsia" w:hAnsiTheme="majorEastAsia"/>
                <w:bCs/>
                <w:color w:val="000000" w:themeColor="text1"/>
                <w:sz w:val="18"/>
                <w:szCs w:val="18"/>
              </w:rPr>
            </w:pPr>
            <w:r w:rsidRPr="000D3E4A">
              <w:rPr>
                <w:rFonts w:asciiTheme="majorEastAsia" w:eastAsiaTheme="majorEastAsia" w:hAnsiTheme="majorEastAsia" w:hint="eastAsia"/>
                <w:bCs/>
                <w:color w:val="000000" w:themeColor="text1"/>
                <w:sz w:val="18"/>
                <w:szCs w:val="18"/>
              </w:rPr>
              <w:t>□预约申购期：【2023】年【08】月【09】日11:00至【2023】年【08】月【15】日15:45；投资周期【91】天；</w:t>
            </w:r>
          </w:p>
          <w:p w:rsidR="00E30D17" w:rsidRDefault="000D3E4A" w:rsidP="000D3E4A">
            <w:pPr>
              <w:spacing w:line="360" w:lineRule="auto"/>
              <w:rPr>
                <w:rFonts w:asciiTheme="majorEastAsia" w:eastAsiaTheme="majorEastAsia" w:hAnsiTheme="majorEastAsia"/>
                <w:bCs/>
                <w:color w:val="000000" w:themeColor="text1"/>
                <w:sz w:val="18"/>
                <w:szCs w:val="18"/>
              </w:rPr>
            </w:pPr>
            <w:r w:rsidRPr="000D3E4A">
              <w:rPr>
                <w:rFonts w:asciiTheme="majorEastAsia" w:eastAsiaTheme="majorEastAsia" w:hAnsiTheme="majorEastAsia" w:hint="eastAsia"/>
                <w:bCs/>
                <w:color w:val="000000" w:themeColor="text1"/>
                <w:sz w:val="18"/>
                <w:szCs w:val="18"/>
              </w:rPr>
              <w:t>□预约申购期：【2023】年【11】月【08】日11:00至【2023】年【11】月【14】日15:45；投资周期【91】天；</w:t>
            </w:r>
          </w:p>
          <w:p w:rsidR="00E30D17" w:rsidRDefault="0065187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（2）申购的确认</w:t>
            </w:r>
          </w:p>
          <w:tbl>
            <w:tblPr>
              <w:tblStyle w:val="af4"/>
              <w:tblW w:w="71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59"/>
              <w:gridCol w:w="1559"/>
              <w:gridCol w:w="1843"/>
              <w:gridCol w:w="2229"/>
            </w:tblGrid>
            <w:tr w:rsidR="00E30D17">
              <w:trPr>
                <w:trHeight w:val="278"/>
                <w:jc w:val="center"/>
              </w:trPr>
              <w:tc>
                <w:tcPr>
                  <w:tcW w:w="1559" w:type="dxa"/>
                  <w:vAlign w:val="center"/>
                </w:tcPr>
                <w:p w:rsidR="00E30D17" w:rsidRDefault="00651870">
                  <w:pPr>
                    <w:pStyle w:val="Default"/>
                    <w:spacing w:line="360" w:lineRule="auto"/>
                    <w:jc w:val="center"/>
                    <w:rPr>
                      <w:rFonts w:asciiTheme="minorEastAsia" w:hAnsiTheme="minorEastAsia"/>
                      <w:b/>
                      <w:bCs/>
                      <w:kern w:val="2"/>
                      <w:sz w:val="18"/>
                      <w:szCs w:val="18"/>
                    </w:rPr>
                  </w:pPr>
                  <w:r>
                    <w:rPr>
                      <w:rFonts w:asciiTheme="minorEastAsia" w:hAnsiTheme="minorEastAsia" w:cs="Times New Roman" w:hint="eastAsia"/>
                      <w:b/>
                      <w:bCs/>
                      <w:color w:val="auto"/>
                      <w:sz w:val="18"/>
                      <w:szCs w:val="18"/>
                    </w:rPr>
                    <w:t>预约申购申请日</w:t>
                  </w:r>
                </w:p>
              </w:tc>
              <w:tc>
                <w:tcPr>
                  <w:tcW w:w="1559" w:type="dxa"/>
                  <w:vAlign w:val="center"/>
                </w:tcPr>
                <w:p w:rsidR="00E30D17" w:rsidRDefault="00651870">
                  <w:pPr>
                    <w:pStyle w:val="Default"/>
                    <w:spacing w:line="360" w:lineRule="auto"/>
                    <w:jc w:val="center"/>
                    <w:rPr>
                      <w:rFonts w:asciiTheme="minorEastAsia" w:hAnsiTheme="minorEastAsia" w:cs="Times New Roman"/>
                      <w:b/>
                      <w:bCs/>
                      <w:color w:val="auto"/>
                      <w:sz w:val="18"/>
                      <w:szCs w:val="18"/>
                    </w:rPr>
                  </w:pPr>
                  <w:r>
                    <w:rPr>
                      <w:rFonts w:asciiTheme="minorEastAsia" w:hAnsiTheme="minorEastAsia" w:cs="Times New Roman" w:hint="eastAsia"/>
                      <w:b/>
                      <w:bCs/>
                      <w:color w:val="auto"/>
                      <w:sz w:val="18"/>
                      <w:szCs w:val="18"/>
                    </w:rPr>
                    <w:t>申购日</w:t>
                  </w:r>
                </w:p>
              </w:tc>
              <w:tc>
                <w:tcPr>
                  <w:tcW w:w="1843" w:type="dxa"/>
                  <w:vAlign w:val="center"/>
                </w:tcPr>
                <w:p w:rsidR="00E30D17" w:rsidRDefault="00651870">
                  <w:pPr>
                    <w:pStyle w:val="Default"/>
                    <w:spacing w:line="360" w:lineRule="auto"/>
                    <w:jc w:val="center"/>
                    <w:rPr>
                      <w:rFonts w:asciiTheme="minorEastAsia" w:hAnsiTheme="minorEastAsia"/>
                      <w:b/>
                      <w:bCs/>
                      <w:kern w:val="2"/>
                      <w:sz w:val="18"/>
                      <w:szCs w:val="18"/>
                    </w:rPr>
                  </w:pPr>
                  <w:r>
                    <w:rPr>
                      <w:rFonts w:asciiTheme="minorEastAsia" w:hAnsiTheme="minorEastAsia" w:cs="Times New Roman" w:hint="eastAsia"/>
                      <w:b/>
                      <w:bCs/>
                      <w:color w:val="auto"/>
                      <w:sz w:val="18"/>
                      <w:szCs w:val="18"/>
                    </w:rPr>
                    <w:t>申购确认日</w:t>
                  </w:r>
                </w:p>
              </w:tc>
              <w:tc>
                <w:tcPr>
                  <w:tcW w:w="2229" w:type="dxa"/>
                  <w:vAlign w:val="center"/>
                </w:tcPr>
                <w:p w:rsidR="00E30D17" w:rsidRDefault="00651870">
                  <w:pPr>
                    <w:pStyle w:val="Default"/>
                    <w:spacing w:line="360" w:lineRule="auto"/>
                    <w:jc w:val="center"/>
                    <w:rPr>
                      <w:rFonts w:asciiTheme="minorEastAsia" w:hAnsiTheme="minorEastAsia"/>
                      <w:b/>
                      <w:bCs/>
                      <w:kern w:val="2"/>
                      <w:sz w:val="18"/>
                      <w:szCs w:val="18"/>
                    </w:rPr>
                  </w:pPr>
                  <w:r>
                    <w:rPr>
                      <w:rFonts w:asciiTheme="minorEastAsia" w:hAnsiTheme="minorEastAsia" w:cs="Times New Roman" w:hint="eastAsia"/>
                      <w:b/>
                      <w:bCs/>
                      <w:color w:val="auto"/>
                      <w:sz w:val="18"/>
                      <w:szCs w:val="18"/>
                    </w:rPr>
                    <w:t>申购确认</w:t>
                  </w:r>
                  <w:r>
                    <w:rPr>
                      <w:rFonts w:asciiTheme="minorEastAsia" w:hAnsiTheme="minorEastAsia" w:cs="Times New Roman"/>
                      <w:b/>
                      <w:bCs/>
                      <w:color w:val="auto"/>
                      <w:sz w:val="18"/>
                      <w:szCs w:val="18"/>
                    </w:rPr>
                    <w:t>方式</w:t>
                  </w:r>
                </w:p>
              </w:tc>
            </w:tr>
            <w:tr w:rsidR="00E30D17">
              <w:trPr>
                <w:trHeight w:val="557"/>
                <w:jc w:val="center"/>
              </w:trPr>
              <w:tc>
                <w:tcPr>
                  <w:tcW w:w="1559" w:type="dxa"/>
                </w:tcPr>
                <w:p w:rsidR="00E30D17" w:rsidRDefault="00651870">
                  <w:pPr>
                    <w:pStyle w:val="Default"/>
                    <w:spacing w:line="360" w:lineRule="auto"/>
                    <w:jc w:val="left"/>
                    <w:rPr>
                      <w:rFonts w:asciiTheme="minorEastAsia" w:hAnsiTheme="minorEastAsia"/>
                      <w:bCs/>
                      <w:color w:val="auto"/>
                      <w:kern w:val="2"/>
                      <w:sz w:val="18"/>
                      <w:szCs w:val="18"/>
                    </w:rPr>
                  </w:pPr>
                  <w:r>
                    <w:rPr>
                      <w:rFonts w:asciiTheme="minorEastAsia" w:eastAsiaTheme="minorEastAsia" w:hAnsiTheme="minorEastAsia" w:cs="Times New Roman" w:hint="eastAsia"/>
                      <w:color w:val="auto"/>
                      <w:sz w:val="18"/>
                      <w:szCs w:val="18"/>
                    </w:rPr>
                    <w:t>为预约申购期内任意一日</w:t>
                  </w:r>
                </w:p>
              </w:tc>
              <w:tc>
                <w:tcPr>
                  <w:tcW w:w="1559" w:type="dxa"/>
                </w:tcPr>
                <w:p w:rsidR="00E30D17" w:rsidRDefault="00651870">
                  <w:pPr>
                    <w:pStyle w:val="Default"/>
                    <w:spacing w:line="360" w:lineRule="auto"/>
                    <w:rPr>
                      <w:rFonts w:asciiTheme="minorEastAsia" w:eastAsiaTheme="minorEastAsia" w:hAnsiTheme="minorEastAsia" w:cs="Times New Roman"/>
                      <w:bCs/>
                      <w:sz w:val="18"/>
                      <w:szCs w:val="18"/>
                    </w:rPr>
                  </w:pPr>
                  <w:r>
                    <w:rPr>
                      <w:rFonts w:asciiTheme="minorEastAsia" w:eastAsiaTheme="minorEastAsia" w:hAnsiTheme="minorEastAsia" w:cs="Times New Roman" w:hint="eastAsia"/>
                      <w:color w:val="auto"/>
                      <w:sz w:val="18"/>
                      <w:szCs w:val="18"/>
                    </w:rPr>
                    <w:t>为预约申购期内最后一个工作日</w:t>
                  </w:r>
                </w:p>
              </w:tc>
              <w:tc>
                <w:tcPr>
                  <w:tcW w:w="1843" w:type="dxa"/>
                </w:tcPr>
                <w:p w:rsidR="00E30D17" w:rsidRDefault="00651870">
                  <w:pPr>
                    <w:pStyle w:val="Default"/>
                    <w:spacing w:line="360" w:lineRule="auto"/>
                    <w:rPr>
                      <w:rFonts w:asciiTheme="minorEastAsia" w:hAnsiTheme="minorEastAsia"/>
                      <w:bCs/>
                      <w:kern w:val="2"/>
                      <w:sz w:val="18"/>
                      <w:szCs w:val="18"/>
                    </w:rPr>
                  </w:pPr>
                  <w:r>
                    <w:rPr>
                      <w:rFonts w:asciiTheme="minorEastAsia" w:eastAsiaTheme="minorEastAsia" w:hAnsiTheme="minorEastAsia" w:cs="Times New Roman" w:hint="eastAsia"/>
                      <w:bCs/>
                      <w:sz w:val="18"/>
                      <w:szCs w:val="18"/>
                    </w:rPr>
                    <w:t>申购日后【2】个工作日内</w:t>
                  </w:r>
                </w:p>
              </w:tc>
              <w:tc>
                <w:tcPr>
                  <w:tcW w:w="2229" w:type="dxa"/>
                </w:tcPr>
                <w:p w:rsidR="00E30D17" w:rsidRDefault="00651870">
                  <w:pPr>
                    <w:pStyle w:val="Default"/>
                    <w:spacing w:line="360" w:lineRule="auto"/>
                    <w:rPr>
                      <w:rFonts w:asciiTheme="minorEastAsia" w:hAnsiTheme="minorEastAsia"/>
                      <w:bCs/>
                      <w:kern w:val="2"/>
                      <w:sz w:val="18"/>
                      <w:szCs w:val="18"/>
                    </w:rPr>
                  </w:pPr>
                  <w:r>
                    <w:rPr>
                      <w:rFonts w:asciiTheme="minorEastAsia" w:eastAsiaTheme="minorEastAsia" w:hAnsiTheme="minorEastAsia" w:cs="Times New Roman" w:hint="eastAsia"/>
                      <w:bCs/>
                      <w:sz w:val="18"/>
                      <w:szCs w:val="18"/>
                    </w:rPr>
                    <w:t>产品管理人在申购确认日对投资者的申购申请的有效性进行确认，并登记理财份额。</w:t>
                  </w:r>
                </w:p>
              </w:tc>
            </w:tr>
          </w:tbl>
          <w:p w:rsidR="00E30D17" w:rsidRDefault="0065187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注：</w:t>
            </w:r>
            <w:r>
              <w:rPr>
                <w:rFonts w:asciiTheme="minorEastAsia" w:hAnsiTheme="minorEastAsia" w:cs="Times New Roman" w:hint="eastAsia"/>
                <w:sz w:val="18"/>
                <w:szCs w:val="18"/>
              </w:rPr>
              <w:t>本产品在一个完整投资周期结束前，设置一个预约申购期；在一个完整投资周期结束后，再设置多个预约申购期。</w:t>
            </w:r>
          </w:p>
          <w:p w:rsidR="00E30D17" w:rsidRDefault="0065187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3</w:t>
            </w:r>
            <w:r>
              <w:rPr>
                <w:rFonts w:asciiTheme="majorEastAsia" w:eastAsiaTheme="majorEastAsia" w:hAnsiTheme="majorEastAsia"/>
                <w:bCs/>
                <w:color w:val="000000" w:themeColor="text1"/>
                <w:sz w:val="18"/>
                <w:szCs w:val="18"/>
              </w:rPr>
              <w:t>.预约</w:t>
            </w:r>
            <w:r>
              <w:rPr>
                <w:rFonts w:asciiTheme="majorEastAsia" w:eastAsiaTheme="majorEastAsia" w:hAnsiTheme="majorEastAsia" w:hint="eastAsia"/>
                <w:bCs/>
                <w:color w:val="000000" w:themeColor="text1"/>
                <w:sz w:val="18"/>
                <w:szCs w:val="18"/>
              </w:rPr>
              <w:t>赎回具体安排如下：</w:t>
            </w:r>
          </w:p>
          <w:p w:rsidR="00E30D17" w:rsidRDefault="0065187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（1）赎回的时间</w:t>
            </w:r>
          </w:p>
          <w:p w:rsidR="000D3E4A" w:rsidRPr="000D3E4A" w:rsidRDefault="000D3E4A" w:rsidP="000D3E4A">
            <w:pPr>
              <w:spacing w:line="360" w:lineRule="auto"/>
              <w:rPr>
                <w:rFonts w:asciiTheme="majorEastAsia" w:eastAsiaTheme="majorEastAsia" w:hAnsiTheme="majorEastAsia"/>
                <w:bCs/>
                <w:color w:val="000000" w:themeColor="text1"/>
                <w:sz w:val="18"/>
                <w:szCs w:val="18"/>
              </w:rPr>
            </w:pPr>
            <w:r w:rsidRPr="000D3E4A">
              <w:rPr>
                <w:rFonts w:asciiTheme="majorEastAsia" w:eastAsiaTheme="majorEastAsia" w:hAnsiTheme="majorEastAsia" w:hint="eastAsia"/>
                <w:bCs/>
                <w:color w:val="000000" w:themeColor="text1"/>
                <w:sz w:val="18"/>
                <w:szCs w:val="18"/>
              </w:rPr>
              <w:t>预约赎回期：【2023】年【05】月【10】日00:00至【2023】年【05】月【16】日15:45；</w:t>
            </w:r>
          </w:p>
          <w:p w:rsidR="000D3E4A" w:rsidRPr="000D3E4A" w:rsidRDefault="000D3E4A" w:rsidP="000D3E4A">
            <w:pPr>
              <w:spacing w:line="360" w:lineRule="auto"/>
              <w:rPr>
                <w:rFonts w:asciiTheme="majorEastAsia" w:eastAsiaTheme="majorEastAsia" w:hAnsiTheme="majorEastAsia"/>
                <w:bCs/>
                <w:color w:val="000000" w:themeColor="text1"/>
                <w:sz w:val="18"/>
                <w:szCs w:val="18"/>
              </w:rPr>
            </w:pPr>
            <w:r w:rsidRPr="000D3E4A">
              <w:rPr>
                <w:rFonts w:asciiTheme="majorEastAsia" w:eastAsiaTheme="majorEastAsia" w:hAnsiTheme="majorEastAsia" w:hint="eastAsia"/>
                <w:bCs/>
                <w:color w:val="000000" w:themeColor="text1"/>
                <w:sz w:val="18"/>
                <w:szCs w:val="18"/>
              </w:rPr>
              <w:t>预约赎回期：【2023】年【08】月【09】日00:00至【2023】年【08】月【15】日15:45；</w:t>
            </w:r>
          </w:p>
          <w:p w:rsidR="000D3E4A" w:rsidRPr="000D3E4A" w:rsidRDefault="000D3E4A" w:rsidP="000D3E4A">
            <w:pPr>
              <w:spacing w:line="360" w:lineRule="auto"/>
              <w:rPr>
                <w:rFonts w:asciiTheme="majorEastAsia" w:eastAsiaTheme="majorEastAsia" w:hAnsiTheme="majorEastAsia"/>
                <w:bCs/>
                <w:color w:val="000000" w:themeColor="text1"/>
                <w:sz w:val="18"/>
                <w:szCs w:val="18"/>
              </w:rPr>
            </w:pPr>
            <w:r w:rsidRPr="000D3E4A">
              <w:rPr>
                <w:rFonts w:asciiTheme="majorEastAsia" w:eastAsiaTheme="majorEastAsia" w:hAnsiTheme="majorEastAsia" w:hint="eastAsia"/>
                <w:bCs/>
                <w:color w:val="000000" w:themeColor="text1"/>
                <w:sz w:val="18"/>
                <w:szCs w:val="18"/>
              </w:rPr>
              <w:t>预约赎回期：【2023】年【11】月【08】日00:00至【2023】年【11】月【14】日15:45；</w:t>
            </w:r>
          </w:p>
          <w:p w:rsidR="000D3E4A" w:rsidRPr="000D3E4A" w:rsidRDefault="000D3E4A" w:rsidP="000D3E4A">
            <w:pPr>
              <w:spacing w:line="360" w:lineRule="auto"/>
              <w:rPr>
                <w:rFonts w:asciiTheme="majorEastAsia" w:eastAsiaTheme="majorEastAsia" w:hAnsiTheme="majorEastAsia"/>
                <w:bCs/>
                <w:color w:val="000000" w:themeColor="text1"/>
                <w:sz w:val="18"/>
                <w:szCs w:val="18"/>
              </w:rPr>
            </w:pPr>
            <w:r w:rsidRPr="000D3E4A">
              <w:rPr>
                <w:rFonts w:asciiTheme="majorEastAsia" w:eastAsiaTheme="majorEastAsia" w:hAnsiTheme="majorEastAsia" w:hint="eastAsia"/>
                <w:bCs/>
                <w:color w:val="000000" w:themeColor="text1"/>
                <w:sz w:val="18"/>
                <w:szCs w:val="18"/>
              </w:rPr>
              <w:t>预约赎回期：【2024】年【02】月【07】日00:00至【2024】年【02】月【13】日15:45；</w:t>
            </w:r>
          </w:p>
          <w:p w:rsidR="00E30D17" w:rsidRDefault="0065187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lastRenderedPageBreak/>
              <w:t>（2）赎回的确认</w:t>
            </w:r>
          </w:p>
          <w:tbl>
            <w:tblPr>
              <w:tblStyle w:val="af4"/>
              <w:tblW w:w="71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59"/>
              <w:gridCol w:w="1559"/>
              <w:gridCol w:w="1843"/>
              <w:gridCol w:w="2229"/>
            </w:tblGrid>
            <w:tr w:rsidR="00E30D17">
              <w:trPr>
                <w:trHeight w:val="278"/>
                <w:jc w:val="center"/>
              </w:trPr>
              <w:tc>
                <w:tcPr>
                  <w:tcW w:w="1559" w:type="dxa"/>
                  <w:vAlign w:val="center"/>
                </w:tcPr>
                <w:p w:rsidR="00E30D17" w:rsidRDefault="00651870">
                  <w:pPr>
                    <w:pStyle w:val="Default"/>
                    <w:spacing w:line="360" w:lineRule="auto"/>
                    <w:jc w:val="center"/>
                    <w:rPr>
                      <w:rFonts w:asciiTheme="minorEastAsia" w:hAnsiTheme="minorEastAsia"/>
                      <w:b/>
                      <w:bCs/>
                      <w:kern w:val="2"/>
                      <w:sz w:val="18"/>
                      <w:szCs w:val="18"/>
                    </w:rPr>
                  </w:pPr>
                  <w:r>
                    <w:rPr>
                      <w:rFonts w:asciiTheme="minorEastAsia" w:hAnsiTheme="minorEastAsia" w:cs="Times New Roman" w:hint="eastAsia"/>
                      <w:b/>
                      <w:bCs/>
                      <w:color w:val="auto"/>
                      <w:sz w:val="18"/>
                      <w:szCs w:val="18"/>
                    </w:rPr>
                    <w:t>预约赎回申请日</w:t>
                  </w:r>
                </w:p>
              </w:tc>
              <w:tc>
                <w:tcPr>
                  <w:tcW w:w="1559" w:type="dxa"/>
                  <w:vAlign w:val="center"/>
                </w:tcPr>
                <w:p w:rsidR="00E30D17" w:rsidRDefault="00651870">
                  <w:pPr>
                    <w:pStyle w:val="Default"/>
                    <w:spacing w:line="360" w:lineRule="auto"/>
                    <w:jc w:val="center"/>
                    <w:rPr>
                      <w:rFonts w:asciiTheme="minorEastAsia" w:hAnsiTheme="minorEastAsia" w:cs="Times New Roman"/>
                      <w:b/>
                      <w:bCs/>
                      <w:color w:val="auto"/>
                      <w:sz w:val="18"/>
                      <w:szCs w:val="18"/>
                    </w:rPr>
                  </w:pPr>
                  <w:r>
                    <w:rPr>
                      <w:rFonts w:asciiTheme="minorEastAsia" w:hAnsiTheme="minorEastAsia" w:cs="Times New Roman" w:hint="eastAsia"/>
                      <w:b/>
                      <w:bCs/>
                      <w:color w:val="auto"/>
                      <w:sz w:val="18"/>
                      <w:szCs w:val="18"/>
                    </w:rPr>
                    <w:t>赎回日</w:t>
                  </w:r>
                </w:p>
              </w:tc>
              <w:tc>
                <w:tcPr>
                  <w:tcW w:w="1843" w:type="dxa"/>
                  <w:vAlign w:val="center"/>
                </w:tcPr>
                <w:p w:rsidR="00E30D17" w:rsidRDefault="00651870">
                  <w:pPr>
                    <w:pStyle w:val="Default"/>
                    <w:spacing w:line="360" w:lineRule="auto"/>
                    <w:jc w:val="center"/>
                    <w:rPr>
                      <w:rFonts w:asciiTheme="minorEastAsia" w:hAnsiTheme="minorEastAsia"/>
                      <w:b/>
                      <w:bCs/>
                      <w:kern w:val="2"/>
                      <w:sz w:val="18"/>
                      <w:szCs w:val="18"/>
                    </w:rPr>
                  </w:pPr>
                  <w:r>
                    <w:rPr>
                      <w:rFonts w:asciiTheme="minorEastAsia" w:hAnsiTheme="minorEastAsia" w:cs="Times New Roman" w:hint="eastAsia"/>
                      <w:b/>
                      <w:bCs/>
                      <w:color w:val="auto"/>
                      <w:sz w:val="18"/>
                      <w:szCs w:val="18"/>
                    </w:rPr>
                    <w:t>赎回确认日</w:t>
                  </w:r>
                </w:p>
              </w:tc>
              <w:tc>
                <w:tcPr>
                  <w:tcW w:w="2229" w:type="dxa"/>
                  <w:vAlign w:val="center"/>
                </w:tcPr>
                <w:p w:rsidR="00E30D17" w:rsidRDefault="00651870">
                  <w:pPr>
                    <w:pStyle w:val="Default"/>
                    <w:spacing w:line="360" w:lineRule="auto"/>
                    <w:jc w:val="center"/>
                    <w:rPr>
                      <w:rFonts w:asciiTheme="minorEastAsia" w:hAnsiTheme="minorEastAsia"/>
                      <w:b/>
                      <w:bCs/>
                      <w:kern w:val="2"/>
                      <w:sz w:val="18"/>
                      <w:szCs w:val="18"/>
                    </w:rPr>
                  </w:pPr>
                  <w:r>
                    <w:rPr>
                      <w:rFonts w:asciiTheme="minorEastAsia" w:hAnsiTheme="minorEastAsia" w:cs="Times New Roman" w:hint="eastAsia"/>
                      <w:b/>
                      <w:bCs/>
                      <w:color w:val="auto"/>
                      <w:sz w:val="18"/>
                      <w:szCs w:val="18"/>
                    </w:rPr>
                    <w:t>赎回确认</w:t>
                  </w:r>
                  <w:r>
                    <w:rPr>
                      <w:rFonts w:asciiTheme="minorEastAsia" w:hAnsiTheme="minorEastAsia" w:cs="Times New Roman"/>
                      <w:b/>
                      <w:bCs/>
                      <w:color w:val="auto"/>
                      <w:sz w:val="18"/>
                      <w:szCs w:val="18"/>
                    </w:rPr>
                    <w:t>方式</w:t>
                  </w:r>
                </w:p>
              </w:tc>
            </w:tr>
            <w:tr w:rsidR="00E30D17">
              <w:trPr>
                <w:trHeight w:val="557"/>
                <w:jc w:val="center"/>
              </w:trPr>
              <w:tc>
                <w:tcPr>
                  <w:tcW w:w="1559" w:type="dxa"/>
                </w:tcPr>
                <w:p w:rsidR="00E30D17" w:rsidRDefault="00651870">
                  <w:pPr>
                    <w:pStyle w:val="Default"/>
                    <w:spacing w:line="360" w:lineRule="auto"/>
                    <w:jc w:val="left"/>
                    <w:rPr>
                      <w:rFonts w:asciiTheme="minorEastAsia" w:hAnsiTheme="minorEastAsia"/>
                      <w:bCs/>
                      <w:color w:val="auto"/>
                      <w:kern w:val="2"/>
                      <w:sz w:val="18"/>
                      <w:szCs w:val="18"/>
                    </w:rPr>
                  </w:pPr>
                  <w:r>
                    <w:rPr>
                      <w:rFonts w:asciiTheme="minorEastAsia" w:eastAsiaTheme="minorEastAsia" w:hAnsiTheme="minorEastAsia" w:cs="Times New Roman" w:hint="eastAsia"/>
                      <w:color w:val="auto"/>
                      <w:sz w:val="18"/>
                      <w:szCs w:val="18"/>
                    </w:rPr>
                    <w:t>为预约赎回期内任意一日</w:t>
                  </w:r>
                </w:p>
              </w:tc>
              <w:tc>
                <w:tcPr>
                  <w:tcW w:w="1559" w:type="dxa"/>
                </w:tcPr>
                <w:p w:rsidR="00E30D17" w:rsidRDefault="00651870">
                  <w:pPr>
                    <w:pStyle w:val="Default"/>
                    <w:spacing w:line="360" w:lineRule="auto"/>
                    <w:rPr>
                      <w:rFonts w:asciiTheme="minorEastAsia" w:eastAsiaTheme="minorEastAsia" w:hAnsiTheme="minorEastAsia" w:cs="Times New Roman"/>
                      <w:bCs/>
                      <w:sz w:val="18"/>
                      <w:szCs w:val="18"/>
                    </w:rPr>
                  </w:pPr>
                  <w:r>
                    <w:rPr>
                      <w:rFonts w:asciiTheme="minorEastAsia" w:eastAsiaTheme="minorEastAsia" w:hAnsiTheme="minorEastAsia" w:cs="Times New Roman" w:hint="eastAsia"/>
                      <w:color w:val="auto"/>
                      <w:sz w:val="18"/>
                      <w:szCs w:val="18"/>
                    </w:rPr>
                    <w:t>为预约赎回期内最后一个工作日</w:t>
                  </w:r>
                </w:p>
              </w:tc>
              <w:tc>
                <w:tcPr>
                  <w:tcW w:w="1843" w:type="dxa"/>
                </w:tcPr>
                <w:p w:rsidR="00E30D17" w:rsidRDefault="00651870">
                  <w:pPr>
                    <w:pStyle w:val="Default"/>
                    <w:spacing w:line="360" w:lineRule="auto"/>
                    <w:rPr>
                      <w:rFonts w:asciiTheme="minorEastAsia" w:hAnsiTheme="minorEastAsia"/>
                      <w:bCs/>
                      <w:kern w:val="2"/>
                      <w:sz w:val="18"/>
                      <w:szCs w:val="18"/>
                    </w:rPr>
                  </w:pPr>
                  <w:r>
                    <w:rPr>
                      <w:rFonts w:asciiTheme="minorEastAsia" w:eastAsiaTheme="minorEastAsia" w:hAnsiTheme="minorEastAsia" w:cs="Times New Roman" w:hint="eastAsia"/>
                      <w:bCs/>
                      <w:sz w:val="18"/>
                      <w:szCs w:val="18"/>
                    </w:rPr>
                    <w:t>赎回日后【2】个工作日内</w:t>
                  </w:r>
                </w:p>
              </w:tc>
              <w:tc>
                <w:tcPr>
                  <w:tcW w:w="2229" w:type="dxa"/>
                </w:tcPr>
                <w:p w:rsidR="00E30D17" w:rsidRDefault="00651870">
                  <w:pPr>
                    <w:pStyle w:val="Default"/>
                    <w:spacing w:line="360" w:lineRule="auto"/>
                    <w:rPr>
                      <w:rFonts w:asciiTheme="minorEastAsia" w:hAnsiTheme="minorEastAsia"/>
                      <w:bCs/>
                      <w:kern w:val="2"/>
                      <w:sz w:val="18"/>
                      <w:szCs w:val="18"/>
                    </w:rPr>
                  </w:pPr>
                  <w:r>
                    <w:rPr>
                      <w:rFonts w:asciiTheme="minorEastAsia" w:eastAsiaTheme="minorEastAsia" w:hAnsiTheme="minorEastAsia" w:cs="Times New Roman" w:hint="eastAsia"/>
                      <w:bCs/>
                      <w:sz w:val="18"/>
                      <w:szCs w:val="18"/>
                    </w:rPr>
                    <w:t>产品管理人在赎回</w:t>
                  </w:r>
                  <w:r>
                    <w:rPr>
                      <w:rFonts w:asciiTheme="minorEastAsia" w:eastAsiaTheme="minorEastAsia" w:hAnsiTheme="minorEastAsia" w:cs="Times New Roman"/>
                      <w:bCs/>
                      <w:sz w:val="18"/>
                      <w:szCs w:val="18"/>
                    </w:rPr>
                    <w:t>确认日</w:t>
                  </w:r>
                  <w:r>
                    <w:rPr>
                      <w:rFonts w:asciiTheme="minorEastAsia" w:eastAsiaTheme="minorEastAsia" w:hAnsiTheme="minorEastAsia" w:cs="Times New Roman" w:hint="eastAsia"/>
                      <w:bCs/>
                      <w:sz w:val="18"/>
                      <w:szCs w:val="18"/>
                    </w:rPr>
                    <w:t>对投资者的赎回申请的有效性进行确认，并注销理财份额。</w:t>
                  </w:r>
                </w:p>
              </w:tc>
            </w:tr>
          </w:tbl>
          <w:p w:rsidR="00E30D17" w:rsidRDefault="0065187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注：</w:t>
            </w:r>
            <w:r>
              <w:rPr>
                <w:rFonts w:asciiTheme="majorEastAsia" w:hAnsiTheme="majorEastAsia" w:hint="eastAsia"/>
                <w:color w:val="000000" w:themeColor="text1"/>
                <w:sz w:val="18"/>
              </w:rPr>
              <w:t>赎回</w:t>
            </w:r>
            <w:r>
              <w:rPr>
                <w:rFonts w:asciiTheme="majorEastAsia" w:eastAsiaTheme="majorEastAsia" w:hAnsiTheme="majorEastAsia" w:hint="eastAsia"/>
                <w:bCs/>
                <w:color w:val="000000" w:themeColor="text1"/>
                <w:sz w:val="18"/>
                <w:szCs w:val="18"/>
              </w:rPr>
              <w:t>款项于</w:t>
            </w:r>
            <w:r>
              <w:rPr>
                <w:rFonts w:asciiTheme="minorEastAsia" w:eastAsiaTheme="minorEastAsia" w:hAnsiTheme="minorEastAsia" w:cs="Times New Roman" w:hint="eastAsia"/>
                <w:bCs/>
                <w:kern w:val="0"/>
                <w:sz w:val="18"/>
                <w:szCs w:val="18"/>
              </w:rPr>
              <w:t>赎回</w:t>
            </w:r>
            <w:r>
              <w:rPr>
                <w:rFonts w:asciiTheme="minorEastAsia" w:hAnsiTheme="minorEastAsia" w:hint="eastAsia"/>
                <w:kern w:val="0"/>
                <w:sz w:val="18"/>
              </w:rPr>
              <w:t>日后【5】个工作日</w:t>
            </w:r>
            <w:r>
              <w:rPr>
                <w:rFonts w:asciiTheme="minorEastAsia" w:eastAsiaTheme="minorEastAsia" w:hAnsiTheme="minorEastAsia" w:cs="Times New Roman" w:hint="eastAsia"/>
                <w:bCs/>
                <w:kern w:val="0"/>
                <w:sz w:val="18"/>
                <w:szCs w:val="18"/>
              </w:rPr>
              <w:t>内支付给</w:t>
            </w:r>
            <w:r>
              <w:rPr>
                <w:rFonts w:asciiTheme="minorEastAsia" w:hAnsiTheme="minorEastAsia" w:hint="eastAsia"/>
                <w:kern w:val="0"/>
                <w:sz w:val="18"/>
              </w:rPr>
              <w:t>投资者</w:t>
            </w:r>
            <w:r>
              <w:rPr>
                <w:rFonts w:asciiTheme="minorEastAsia" w:eastAsiaTheme="minorEastAsia" w:hAnsiTheme="minorEastAsia" w:cs="Times New Roman" w:hint="eastAsia"/>
                <w:bCs/>
                <w:kern w:val="0"/>
                <w:sz w:val="18"/>
                <w:szCs w:val="18"/>
              </w:rPr>
              <w:t>。</w:t>
            </w:r>
          </w:p>
          <w:p w:rsidR="00E30D17" w:rsidRDefault="0065187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4.预约申购期/</w:t>
            </w:r>
            <w:r>
              <w:rPr>
                <w:rFonts w:asciiTheme="majorEastAsia" w:eastAsiaTheme="majorEastAsia" w:hAnsiTheme="majorEastAsia" w:hint="eastAsia"/>
                <w:bCs/>
                <w:color w:val="000000" w:themeColor="text1"/>
                <w:sz w:val="18"/>
                <w:szCs w:val="18"/>
              </w:rPr>
              <w:t>预约赎回期的起始日和终止日如遇非工作日，则产品管理人做相应调整。</w:t>
            </w:r>
          </w:p>
          <w:p w:rsidR="00E30D17" w:rsidRDefault="0065187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5</w:t>
            </w:r>
            <w:r>
              <w:rPr>
                <w:rFonts w:asciiTheme="majorEastAsia" w:eastAsiaTheme="majorEastAsia" w:hAnsiTheme="majorEastAsia" w:hint="eastAsia"/>
                <w:bCs/>
                <w:color w:val="000000" w:themeColor="text1"/>
                <w:sz w:val="18"/>
                <w:szCs w:val="18"/>
              </w:rPr>
              <w:t>.</w:t>
            </w:r>
            <w:r>
              <w:rPr>
                <w:rFonts w:asciiTheme="minorEastAsia" w:hAnsiTheme="minorEastAsia" w:cs="Times New Roman" w:hint="eastAsia"/>
                <w:sz w:val="18"/>
                <w:szCs w:val="18"/>
              </w:rPr>
              <w:t>本产品在一个完整投资周期结束前，由产品</w:t>
            </w:r>
            <w:r>
              <w:rPr>
                <w:rFonts w:asciiTheme="minorEastAsia" w:hAnsiTheme="minorEastAsia" w:cs="Times New Roman"/>
                <w:sz w:val="18"/>
                <w:szCs w:val="18"/>
              </w:rPr>
              <w:t>管理人</w:t>
            </w:r>
            <w:r>
              <w:rPr>
                <w:rFonts w:asciiTheme="minorEastAsia" w:hAnsiTheme="minorEastAsia" w:cs="Times New Roman" w:hint="eastAsia"/>
                <w:sz w:val="18"/>
                <w:szCs w:val="18"/>
              </w:rPr>
              <w:t>更新产品说明书，约定下一个完整投资周期对应的</w:t>
            </w:r>
            <w:r>
              <w:rPr>
                <w:rFonts w:asciiTheme="majorEastAsia" w:eastAsiaTheme="majorEastAsia" w:hAnsiTheme="majorEastAsia"/>
                <w:bCs/>
                <w:color w:val="000000" w:themeColor="text1"/>
                <w:sz w:val="18"/>
                <w:szCs w:val="18"/>
              </w:rPr>
              <w:t>预约申购期/</w:t>
            </w:r>
            <w:r>
              <w:rPr>
                <w:rFonts w:asciiTheme="majorEastAsia" w:eastAsiaTheme="majorEastAsia" w:hAnsiTheme="majorEastAsia" w:hint="eastAsia"/>
                <w:bCs/>
                <w:color w:val="000000" w:themeColor="text1"/>
                <w:sz w:val="18"/>
                <w:szCs w:val="18"/>
              </w:rPr>
              <w:t>预约赎回期。</w:t>
            </w:r>
          </w:p>
          <w:p w:rsidR="00E30D17" w:rsidRDefault="00651870">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注：关于代理销售机构的实际工作服务时段的提示</w:t>
            </w:r>
          </w:p>
          <w:p w:rsidR="00E30D17" w:rsidRDefault="00651870">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E30D17" w:rsidRDefault="00651870">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asciiTheme="majorEastAsia" w:eastAsiaTheme="majorEastAsia" w:hAnsiTheme="majorEastAsia"/>
                <w:b/>
                <w:sz w:val="18"/>
                <w:szCs w:val="18"/>
              </w:rPr>
            </w:pPr>
            <w:r>
              <w:rPr>
                <w:rFonts w:hAnsi="宋体" w:hint="eastAsia"/>
                <w:sz w:val="18"/>
                <w:szCs w:val="18"/>
              </w:rPr>
              <w:lastRenderedPageBreak/>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704" w:type="dxa"/>
            <w:shd w:val="solid" w:color="FFFFFF" w:fill="FFFFFF"/>
            <w:vAlign w:val="center"/>
          </w:tcPr>
          <w:p w:rsidR="00E30D17" w:rsidRDefault="00651870">
            <w:pPr>
              <w:spacing w:line="360" w:lineRule="auto"/>
              <w:rPr>
                <w:rFonts w:ascii="宋体" w:hAnsi="宋体"/>
                <w:sz w:val="18"/>
                <w:szCs w:val="18"/>
              </w:rPr>
            </w:pPr>
            <w:r>
              <w:rPr>
                <w:rFonts w:ascii="宋体" w:hAnsi="宋体" w:hint="eastAsia"/>
                <w:sz w:val="18"/>
                <w:szCs w:val="18"/>
              </w:rPr>
              <w:t>每笔购买起点金额为【1.00】元；超出起点金额的部分以【0.01】元的整数倍递增。（适用【A/B/D】类份额）</w:t>
            </w:r>
          </w:p>
          <w:p w:rsidR="00E30D17" w:rsidRDefault="00651870">
            <w:pPr>
              <w:spacing w:line="360" w:lineRule="auto"/>
              <w:rPr>
                <w:rFonts w:ascii="宋体" w:hAnsi="宋体"/>
                <w:sz w:val="18"/>
                <w:szCs w:val="18"/>
              </w:rPr>
            </w:pPr>
            <w:r>
              <w:rPr>
                <w:rFonts w:ascii="宋体" w:hAnsi="宋体" w:hint="eastAsia"/>
                <w:sz w:val="18"/>
                <w:szCs w:val="18"/>
              </w:rPr>
              <w:t>每笔购买起点金额为【100,000.00】元；超出起点金额的部分以【1.00】元的整数倍递增。（适用【C】类份额）</w:t>
            </w:r>
          </w:p>
          <w:p w:rsidR="00E30D17" w:rsidRDefault="00651870">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E30D17" w:rsidRDefault="00651870">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E30D17" w:rsidRDefault="00651870">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E30D17">
        <w:trPr>
          <w:trHeight w:val="275"/>
          <w:jc w:val="center"/>
        </w:trPr>
        <w:tc>
          <w:tcPr>
            <w:tcW w:w="1945" w:type="dxa"/>
            <w:shd w:val="solid" w:color="FFFFFF" w:fill="FFFFFF"/>
            <w:vAlign w:val="center"/>
          </w:tcPr>
          <w:p w:rsidR="00E30D17" w:rsidRDefault="00651870">
            <w:pPr>
              <w:autoSpaceDE w:val="0"/>
              <w:autoSpaceDN w:val="0"/>
              <w:adjustRightInd w:val="0"/>
              <w:spacing w:line="360" w:lineRule="auto"/>
              <w:jc w:val="left"/>
              <w:rPr>
                <w:rFonts w:hAnsi="宋体"/>
                <w:b/>
                <w:sz w:val="18"/>
                <w:szCs w:val="18"/>
              </w:rPr>
            </w:pPr>
            <w:r>
              <w:rPr>
                <w:rFonts w:hAnsi="宋体" w:hint="eastAsia"/>
                <w:b/>
                <w:sz w:val="18"/>
                <w:szCs w:val="18"/>
              </w:rPr>
              <w:t>★认购、申购与赎回的数量限制</w:t>
            </w:r>
            <w:r>
              <w:rPr>
                <w:rFonts w:hAnsi="宋体" w:hint="eastAsia"/>
                <w:b/>
                <w:sz w:val="18"/>
                <w:szCs w:val="18"/>
              </w:rPr>
              <w:t xml:space="preserve"> </w:t>
            </w:r>
            <w:r>
              <w:rPr>
                <w:rFonts w:hAnsi="宋体"/>
                <w:b/>
                <w:sz w:val="18"/>
                <w:szCs w:val="18"/>
              </w:rPr>
              <w:t xml:space="preserve"> </w:t>
            </w:r>
          </w:p>
        </w:tc>
        <w:tc>
          <w:tcPr>
            <w:tcW w:w="7704" w:type="dxa"/>
            <w:shd w:val="solid" w:color="FFFFFF" w:fill="FFFFFF"/>
            <w:vAlign w:val="center"/>
          </w:tcPr>
          <w:p w:rsidR="00E30D17" w:rsidRDefault="0065187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1.认购的数量限制</w:t>
            </w:r>
          </w:p>
          <w:p w:rsidR="00E30D17" w:rsidRDefault="00651870">
            <w:pPr>
              <w:pStyle w:val="Default"/>
              <w:spacing w:line="360" w:lineRule="auto"/>
              <w:rPr>
                <w:rFonts w:hAnsi="宋体"/>
                <w:bCs/>
                <w:sz w:val="18"/>
                <w:szCs w:val="18"/>
              </w:rPr>
            </w:pPr>
            <w:r>
              <w:rPr>
                <w:rFonts w:asciiTheme="minorEastAsia" w:eastAsiaTheme="minorEastAsia" w:hAnsiTheme="minorEastAsia" w:hint="eastAsia"/>
                <w:color w:val="auto"/>
                <w:sz w:val="18"/>
                <w:szCs w:val="18"/>
              </w:rPr>
              <w:t>单一投资者认购上限为【/】。如需突破上限，请与产品管理人或销售机构客户经理联系。</w:t>
            </w:r>
          </w:p>
          <w:p w:rsidR="00E30D17" w:rsidRDefault="00651870">
            <w:pPr>
              <w:pStyle w:val="Default"/>
              <w:spacing w:line="360" w:lineRule="auto"/>
              <w:rPr>
                <w:rFonts w:asciiTheme="minorEastAsia" w:eastAsiaTheme="minorEastAsia" w:hAnsiTheme="minorEastAsia"/>
                <w:color w:val="auto"/>
                <w:sz w:val="18"/>
                <w:szCs w:val="18"/>
              </w:rPr>
            </w:pPr>
            <w:r>
              <w:rPr>
                <w:rFonts w:hAnsi="宋体" w:hint="eastAsia"/>
                <w:bCs/>
                <w:sz w:val="18"/>
                <w:szCs w:val="18"/>
              </w:rPr>
              <w:t>2.</w:t>
            </w:r>
            <w:r>
              <w:rPr>
                <w:rFonts w:asciiTheme="minorEastAsia" w:eastAsiaTheme="minorEastAsia" w:hAnsiTheme="minorEastAsia" w:hint="eastAsia"/>
                <w:color w:val="auto"/>
                <w:sz w:val="18"/>
                <w:szCs w:val="18"/>
              </w:rPr>
              <w:t>申购的数量限制</w:t>
            </w:r>
          </w:p>
          <w:p w:rsidR="00E30D17" w:rsidRDefault="0065187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（1）单一投资者申购上限为【/】。</w:t>
            </w:r>
          </w:p>
          <w:p w:rsidR="00E30D17" w:rsidRDefault="0065187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w:t>
            </w:r>
            <w:r>
              <w:rPr>
                <w:rFonts w:asciiTheme="minorEastAsia" w:eastAsiaTheme="minorEastAsia" w:hAnsiTheme="minorEastAsia" w:hint="eastAsia"/>
                <w:color w:val="auto"/>
                <w:sz w:val="18"/>
                <w:szCs w:val="18"/>
              </w:rPr>
              <w:lastRenderedPageBreak/>
              <w:t>定资金除外。</w:t>
            </w:r>
          </w:p>
          <w:p w:rsidR="00E30D17" w:rsidRDefault="0065187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如需突破上限，请与产品管理人或销售机构客户经理联系。 </w:t>
            </w:r>
          </w:p>
          <w:p w:rsidR="00E30D17" w:rsidRDefault="0065187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3.赎回的数量限制</w:t>
            </w:r>
          </w:p>
          <w:p w:rsidR="00E30D17" w:rsidRDefault="0065187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（1）单一投资者赎回上限为【/】。</w:t>
            </w:r>
          </w:p>
          <w:p w:rsidR="00E30D17" w:rsidRDefault="0065187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投资者可全部或部分赎回其理财份额，但是部分赎回后单一投资者持有产品份额不得低于【/】份。受理财利益分配去尾规则的影响，投资者持有产品份额较低时可能无法取得利益。巨额赎回情景发生时，投资者的可赎回份额需要根据巨额赎回规则确定。</w:t>
            </w:r>
          </w:p>
          <w:p w:rsidR="00E30D17" w:rsidRDefault="00651870">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本产品单一投资者持有份额不得超过产品总份额50%。</w:t>
            </w:r>
          </w:p>
          <w:p w:rsidR="00E30D17" w:rsidRDefault="00651870">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（1）投资者认购或申购确认后可能导致其持有份额超过产品总份额50%的，管理人有权拒绝或暂停认购、申购。</w:t>
            </w:r>
          </w:p>
          <w:p w:rsidR="00E30D17" w:rsidRDefault="00651870">
            <w:pPr>
              <w:pStyle w:val="Default"/>
              <w:spacing w:line="360" w:lineRule="auto"/>
              <w:rPr>
                <w:rFonts w:asciiTheme="minorEastAsia" w:eastAsiaTheme="minorEastAsia" w:hAnsiTheme="minorEastAsia"/>
                <w:color w:val="auto"/>
                <w:sz w:val="18"/>
                <w:szCs w:val="18"/>
              </w:rPr>
            </w:pPr>
            <w:r>
              <w:rPr>
                <w:rFonts w:ascii="黑体" w:eastAsia="黑体" w:hAnsi="黑体" w:hint="eastAsia"/>
                <w:bCs/>
                <w:color w:val="000000" w:themeColor="text1"/>
                <w:sz w:val="18"/>
                <w:szCs w:val="18"/>
              </w:rPr>
              <w:t>（2）非因管理人主观因素导致突破该比例限制的，在单一投资者持有比例降至50%以下之前，管理人不再接受该投资者对本产品的认购、申购申请。</w:t>
            </w:r>
          </w:p>
        </w:tc>
      </w:tr>
      <w:tr w:rsidR="00E30D17">
        <w:trPr>
          <w:trHeight w:val="275"/>
          <w:jc w:val="center"/>
        </w:trPr>
        <w:tc>
          <w:tcPr>
            <w:tcW w:w="1945" w:type="dxa"/>
            <w:shd w:val="solid" w:color="FFFFFF" w:fill="FFFFFF"/>
          </w:tcPr>
          <w:p w:rsidR="00E30D17" w:rsidRDefault="00651870">
            <w:pPr>
              <w:spacing w:line="360" w:lineRule="auto"/>
              <w:jc w:val="left"/>
              <w:rPr>
                <w:rFonts w:hAnsi="宋体"/>
                <w:b/>
                <w:sz w:val="18"/>
                <w:szCs w:val="18"/>
              </w:rPr>
            </w:pPr>
            <w:r>
              <w:rPr>
                <w:rFonts w:hint="eastAsia"/>
                <w:sz w:val="18"/>
                <w:szCs w:val="18"/>
              </w:rPr>
              <w:lastRenderedPageBreak/>
              <w:t>★</w:t>
            </w:r>
            <w:r>
              <w:rPr>
                <w:rFonts w:hAnsi="宋体" w:hint="eastAsia"/>
                <w:b/>
                <w:sz w:val="18"/>
                <w:szCs w:val="18"/>
              </w:rPr>
              <w:t>巨额赎回的认定</w:t>
            </w:r>
          </w:p>
        </w:tc>
        <w:tc>
          <w:tcPr>
            <w:tcW w:w="7704" w:type="dxa"/>
            <w:shd w:val="solid" w:color="FFFFFF" w:fill="FFFFFF"/>
          </w:tcPr>
          <w:p w:rsidR="00E30D17" w:rsidRDefault="00651870">
            <w:pPr>
              <w:pStyle w:val="Default"/>
              <w:spacing w:line="360" w:lineRule="auto"/>
              <w:rPr>
                <w:rFonts w:asciiTheme="minorEastAsia" w:eastAsiaTheme="minorEastAsia" w:hAnsiTheme="minorEastAsia"/>
                <w:color w:val="auto"/>
                <w:sz w:val="18"/>
                <w:szCs w:val="18"/>
              </w:rPr>
            </w:pPr>
            <w:r>
              <w:rPr>
                <w:rFonts w:asciiTheme="majorEastAsia" w:eastAsiaTheme="majorEastAsia" w:hAnsiTheme="majorEastAsia" w:hint="eastAsia"/>
                <w:bCs/>
                <w:sz w:val="18"/>
                <w:szCs w:val="18"/>
              </w:rPr>
              <w:t>预约赎回期中，本产品的累计产品份额净预约赎回申请（预约赎回申请总份额扣除预约申购总份额后的余额</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下同）之和达到赎回日上一日产品总份额的【10】</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，为巨额赎回。</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份额发售面值</w:t>
            </w:r>
          </w:p>
        </w:tc>
        <w:tc>
          <w:tcPr>
            <w:tcW w:w="7704" w:type="dxa"/>
            <w:shd w:val="solid" w:color="FFFFFF" w:fill="FFFFFF"/>
            <w:vAlign w:val="center"/>
          </w:tcPr>
          <w:p w:rsidR="00E30D17" w:rsidRDefault="00651870">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704" w:type="dxa"/>
            <w:shd w:val="solid" w:color="FFFFFF" w:fill="FFFFFF"/>
            <w:vAlign w:val="center"/>
          </w:tcPr>
          <w:p w:rsidR="00E30D17" w:rsidRDefault="00651870">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E30D17" w:rsidRDefault="00651870">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日之前的估值日公布的产品份额净值已扣除交易手续费、销售服务费、产品托管费、投资管理费。</w:t>
            </w:r>
          </w:p>
          <w:p w:rsidR="00E30D17" w:rsidRDefault="00651870">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赎回日</w:t>
            </w:r>
            <w:r>
              <w:rPr>
                <w:rFonts w:asciiTheme="majorEastAsia" w:eastAsiaTheme="majorEastAsia" w:hAnsiTheme="majorEastAsia"/>
                <w:bCs/>
                <w:sz w:val="18"/>
                <w:szCs w:val="18"/>
              </w:rPr>
              <w:t>产品份额净值为基础进行利益分配。</w:t>
            </w:r>
          </w:p>
        </w:tc>
      </w:tr>
      <w:tr w:rsidR="00E30D17">
        <w:trPr>
          <w:trHeight w:val="1078"/>
          <w:jc w:val="center"/>
        </w:trPr>
        <w:tc>
          <w:tcPr>
            <w:tcW w:w="1945" w:type="dxa"/>
            <w:shd w:val="solid" w:color="FFFFFF" w:fill="FFFFFF"/>
            <w:vAlign w:val="center"/>
          </w:tcPr>
          <w:p w:rsidR="00E30D17" w:rsidRDefault="00651870">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704" w:type="dxa"/>
            <w:shd w:val="solid" w:color="FFFFFF" w:fill="FFFFFF"/>
            <w:vAlign w:val="center"/>
          </w:tcPr>
          <w:p w:rsidR="00B4582C" w:rsidRDefault="00B4582C" w:rsidP="00B4582C">
            <w:pPr>
              <w:spacing w:line="360" w:lineRule="auto"/>
              <w:jc w:val="left"/>
              <w:rPr>
                <w:rFonts w:ascii="宋体" w:hAnsi="宋体"/>
                <w:b/>
                <w:bCs/>
                <w:sz w:val="18"/>
                <w:szCs w:val="18"/>
              </w:rPr>
            </w:pPr>
            <w:r>
              <w:rPr>
                <w:rFonts w:ascii="宋体" w:hAnsi="宋体" w:hint="eastAsia"/>
                <w:b/>
                <w:bCs/>
                <w:sz w:val="18"/>
                <w:szCs w:val="18"/>
              </w:rPr>
              <w:t>1.业绩比较基准的说明：</w:t>
            </w:r>
            <w:r w:rsidRPr="00B96E6F">
              <w:rPr>
                <w:rFonts w:ascii="宋体" w:hAnsi="宋体" w:hint="eastAsia"/>
                <w:bCs/>
                <w:sz w:val="18"/>
                <w:szCs w:val="18"/>
              </w:rPr>
              <w:t>本产品不低于</w:t>
            </w:r>
            <w:r w:rsidRPr="00B96E6F">
              <w:rPr>
                <w:rFonts w:ascii="宋体" w:hAnsi="宋体"/>
                <w:bCs/>
                <w:sz w:val="18"/>
                <w:szCs w:val="18"/>
              </w:rPr>
              <w:t>80%资金投资于固定收益类资产，业绩表现随市场波动，根据产品风险收益特征设定业绩比较基准。</w:t>
            </w:r>
          </w:p>
          <w:p w:rsidR="00E30D17" w:rsidRDefault="00B4582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w:t>
            </w:r>
            <w:r w:rsidR="00651870">
              <w:rPr>
                <w:rFonts w:asciiTheme="majorEastAsia" w:eastAsiaTheme="majorEastAsia" w:hAnsiTheme="majorEastAsia"/>
                <w:b/>
                <w:bCs/>
                <w:sz w:val="18"/>
                <w:szCs w:val="18"/>
              </w:rPr>
              <w:t>.业绩比较基准的设定</w:t>
            </w:r>
            <w:r w:rsidR="00651870">
              <w:rPr>
                <w:rFonts w:asciiTheme="majorEastAsia" w:eastAsiaTheme="majorEastAsia" w:hAnsiTheme="majorEastAsia" w:hint="eastAsia"/>
                <w:bCs/>
                <w:sz w:val="18"/>
                <w:szCs w:val="18"/>
              </w:rPr>
              <w:t>：</w:t>
            </w:r>
            <w:r w:rsidR="00651870">
              <w:rPr>
                <w:rFonts w:asciiTheme="majorEastAsia" w:hAnsiTheme="majorEastAsia" w:hint="eastAsia"/>
                <w:b/>
                <w:sz w:val="18"/>
              </w:rPr>
              <w:t>管理人对</w:t>
            </w:r>
            <w:r w:rsidR="00651870">
              <w:rPr>
                <w:rFonts w:asciiTheme="majorEastAsia" w:hAnsiTheme="majorEastAsia"/>
                <w:b/>
                <w:sz w:val="18"/>
              </w:rPr>
              <w:t>本产品设定</w:t>
            </w:r>
            <w:r w:rsidR="00651870">
              <w:rPr>
                <w:rFonts w:asciiTheme="majorEastAsia" w:hAnsiTheme="majorEastAsia" w:hint="eastAsia"/>
                <w:b/>
                <w:sz w:val="18"/>
              </w:rPr>
              <w:t>业绩比较基准：</w:t>
            </w:r>
            <w:r w:rsidR="00651870">
              <w:rPr>
                <w:rFonts w:ascii="宋体" w:hAnsi="宋体" w:hint="eastAsia"/>
                <w:b/>
                <w:bCs/>
                <w:sz w:val="18"/>
                <w:szCs w:val="18"/>
              </w:rPr>
              <w:t>【人民银行活期存款利率</w:t>
            </w:r>
            <w:r w:rsidR="00651870">
              <w:rPr>
                <w:rFonts w:ascii="宋体" w:hAnsi="宋体"/>
                <w:b/>
                <w:bCs/>
                <w:sz w:val="18"/>
                <w:szCs w:val="18"/>
              </w:rPr>
              <w:t>】</w:t>
            </w:r>
            <w:r w:rsidR="00651870">
              <w:rPr>
                <w:rFonts w:ascii="宋体" w:hAnsi="宋体" w:hint="eastAsia"/>
                <w:b/>
                <w:bCs/>
                <w:sz w:val="18"/>
                <w:szCs w:val="18"/>
              </w:rPr>
              <w:t>。</w:t>
            </w:r>
          </w:p>
          <w:p w:rsidR="00E30D17" w:rsidRDefault="00B4582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w:t>
            </w:r>
            <w:r w:rsidR="00651870">
              <w:rPr>
                <w:rFonts w:asciiTheme="majorEastAsia" w:eastAsiaTheme="majorEastAsia" w:hAnsiTheme="majorEastAsia" w:hint="eastAsia"/>
                <w:b/>
                <w:bCs/>
                <w:sz w:val="18"/>
                <w:szCs w:val="18"/>
              </w:rPr>
              <w:t>.业绩比较基准的提示：</w:t>
            </w:r>
          </w:p>
          <w:p w:rsidR="00E30D17" w:rsidRDefault="00651870">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（1）业绩比较基准不代表理财产品未来表现，不等于理财产品实际收益，不作为产品收益的业绩保证，投资须谨慎。</w:t>
            </w:r>
          </w:p>
          <w:p w:rsidR="00E30D17" w:rsidRDefault="00651870">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w:t>
            </w:r>
            <w:r>
              <w:rPr>
                <w:rFonts w:asciiTheme="majorEastAsia" w:eastAsiaTheme="majorEastAsia" w:hAnsiTheme="majorEastAsia" w:hint="eastAsia"/>
                <w:kern w:val="0"/>
                <w:sz w:val="18"/>
                <w:szCs w:val="18"/>
              </w:rPr>
              <w:lastRenderedPageBreak/>
              <w:t>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E30D17">
        <w:trPr>
          <w:trHeight w:val="1078"/>
          <w:jc w:val="center"/>
        </w:trPr>
        <w:tc>
          <w:tcPr>
            <w:tcW w:w="1945" w:type="dxa"/>
            <w:shd w:val="solid" w:color="FFFFFF" w:fill="FFFFFF"/>
            <w:vAlign w:val="center"/>
          </w:tcPr>
          <w:p w:rsidR="00E30D17" w:rsidRDefault="00651870">
            <w:pPr>
              <w:spacing w:line="360" w:lineRule="auto"/>
              <w:jc w:val="left"/>
              <w:rPr>
                <w:sz w:val="18"/>
                <w:szCs w:val="18"/>
              </w:rPr>
            </w:pPr>
            <w:r>
              <w:rPr>
                <w:rFonts w:hint="eastAsia"/>
                <w:sz w:val="18"/>
                <w:szCs w:val="18"/>
              </w:rPr>
              <w:lastRenderedPageBreak/>
              <w:t>★</w:t>
            </w:r>
            <w:r>
              <w:rPr>
                <w:rFonts w:hint="eastAsia"/>
                <w:b/>
                <w:sz w:val="18"/>
                <w:szCs w:val="18"/>
              </w:rPr>
              <w:t>业绩报酬计提基准</w:t>
            </w:r>
          </w:p>
        </w:tc>
        <w:tc>
          <w:tcPr>
            <w:tcW w:w="7704" w:type="dxa"/>
            <w:shd w:val="solid" w:color="FFFFFF" w:fill="FFFFFF"/>
            <w:vAlign w:val="center"/>
          </w:tcPr>
          <w:p w:rsidR="00E30D17" w:rsidRDefault="00651870">
            <w:pPr>
              <w:spacing w:line="360" w:lineRule="auto"/>
              <w:jc w:val="left"/>
              <w:rPr>
                <w:rFonts w:ascii="宋体" w:hAnsi="宋体"/>
                <w:b/>
                <w:bCs/>
                <w:sz w:val="18"/>
                <w:szCs w:val="18"/>
              </w:rPr>
            </w:pPr>
            <w:r>
              <w:rPr>
                <w:rFonts w:ascii="宋体" w:hAnsi="宋体" w:hint="eastAsia"/>
                <w:sz w:val="18"/>
                <w:szCs w:val="18"/>
              </w:rPr>
              <w:t>本产品不收取超额业绩报酬</w:t>
            </w:r>
            <w:r>
              <w:rPr>
                <w:rFonts w:hAnsi="宋体" w:hint="eastAsia"/>
                <w:bCs/>
                <w:sz w:val="18"/>
                <w:szCs w:val="18"/>
              </w:rPr>
              <w:t>。</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704" w:type="dxa"/>
            <w:shd w:val="solid" w:color="FFFFFF" w:fill="FFFFFF"/>
            <w:vAlign w:val="center"/>
          </w:tcPr>
          <w:p w:rsidR="00E30D17" w:rsidRDefault="00651870">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p>
          <w:p w:rsidR="00E30D17" w:rsidRDefault="00651870">
            <w:pPr>
              <w:spacing w:line="360" w:lineRule="auto"/>
              <w:rPr>
                <w:rFonts w:ascii="宋体" w:hAnsi="宋体"/>
                <w:bCs/>
                <w:color w:val="000000" w:themeColor="text1"/>
                <w:sz w:val="18"/>
                <w:szCs w:val="18"/>
              </w:rPr>
            </w:pPr>
            <w:r>
              <w:rPr>
                <w:rFonts w:ascii="宋体" w:hAnsi="宋体"/>
                <w:b/>
                <w:bCs/>
                <w:color w:val="000000" w:themeColor="text1"/>
                <w:sz w:val="18"/>
                <w:szCs w:val="18"/>
              </w:rPr>
              <w:t>2.申购费：</w:t>
            </w:r>
            <w:r>
              <w:rPr>
                <w:rFonts w:ascii="宋体" w:hAnsi="宋体" w:hint="eastAsia"/>
                <w:bCs/>
                <w:color w:val="000000" w:themeColor="text1"/>
                <w:sz w:val="18"/>
                <w:szCs w:val="18"/>
              </w:rPr>
              <w:t>【/】</w:t>
            </w:r>
            <w:r>
              <w:rPr>
                <w:rFonts w:ascii="宋体" w:hAnsi="宋体"/>
                <w:bCs/>
                <w:color w:val="000000" w:themeColor="text1"/>
                <w:sz w:val="18"/>
                <w:szCs w:val="18"/>
              </w:rPr>
              <w:t>。</w:t>
            </w:r>
          </w:p>
          <w:p w:rsidR="00E30D17" w:rsidRDefault="00651870">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赎回费：</w:t>
            </w:r>
            <w:r>
              <w:rPr>
                <w:rFonts w:ascii="宋体" w:hAnsi="宋体" w:hint="eastAsia"/>
                <w:bCs/>
                <w:color w:val="000000" w:themeColor="text1"/>
                <w:sz w:val="18"/>
                <w:szCs w:val="18"/>
              </w:rPr>
              <w:t>【/】。</w:t>
            </w:r>
          </w:p>
          <w:p w:rsidR="00E30D17" w:rsidRDefault="00651870">
            <w:pPr>
              <w:spacing w:line="360" w:lineRule="auto"/>
              <w:rPr>
                <w:rFonts w:ascii="宋体" w:hAnsi="宋体"/>
                <w:b/>
                <w:bCs/>
                <w:color w:val="000000" w:themeColor="text1"/>
                <w:sz w:val="18"/>
                <w:szCs w:val="18"/>
              </w:rPr>
            </w:pPr>
            <w:r>
              <w:rPr>
                <w:rFonts w:asciiTheme="majorEastAsia" w:eastAsiaTheme="majorEastAsia" w:hAnsiTheme="majorEastAsia"/>
                <w:b/>
                <w:bCs/>
                <w:color w:val="000000" w:themeColor="text1"/>
                <w:sz w:val="18"/>
                <w:szCs w:val="18"/>
              </w:rPr>
              <w:t>4.销售服</w:t>
            </w:r>
            <w:r>
              <w:rPr>
                <w:rFonts w:ascii="宋体" w:hAnsi="宋体" w:hint="eastAsia"/>
                <w:b/>
                <w:bCs/>
                <w:color w:val="000000" w:themeColor="text1"/>
                <w:sz w:val="18"/>
                <w:szCs w:val="18"/>
              </w:rPr>
              <w:t>务费：</w:t>
            </w:r>
          </w:p>
          <w:p w:rsidR="00E30D17" w:rsidRDefault="00651870">
            <w:pPr>
              <w:spacing w:line="360" w:lineRule="auto"/>
              <w:rPr>
                <w:rFonts w:ascii="宋体" w:hAnsi="宋体"/>
                <w:bCs/>
                <w:sz w:val="18"/>
                <w:szCs w:val="18"/>
              </w:rPr>
            </w:pP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【0.40】%</w:t>
            </w:r>
            <w:r>
              <w:rPr>
                <w:rFonts w:ascii="宋体" w:hAnsi="宋体" w:hint="eastAsia"/>
                <w:bCs/>
                <w:color w:val="000000" w:themeColor="text1"/>
                <w:sz w:val="18"/>
                <w:szCs w:val="18"/>
              </w:rPr>
              <w:t>。</w:t>
            </w:r>
            <w:r>
              <w:rPr>
                <w:rFonts w:ascii="宋体" w:hAnsi="宋体" w:hint="eastAsia"/>
                <w:bCs/>
                <w:sz w:val="18"/>
                <w:szCs w:val="18"/>
              </w:rPr>
              <w:t>（适用【A/B</w:t>
            </w:r>
            <w:r>
              <w:rPr>
                <w:rFonts w:ascii="宋体" w:hAnsi="宋体"/>
                <w:bCs/>
                <w:sz w:val="18"/>
                <w:szCs w:val="18"/>
              </w:rPr>
              <w:t>/D</w:t>
            </w:r>
            <w:r>
              <w:rPr>
                <w:rFonts w:ascii="宋体" w:hAnsi="宋体" w:hint="eastAsia"/>
                <w:bCs/>
                <w:sz w:val="18"/>
                <w:szCs w:val="18"/>
              </w:rPr>
              <w:t>】类份额）</w:t>
            </w:r>
          </w:p>
          <w:p w:rsidR="00E30D17" w:rsidRDefault="00651870">
            <w:pPr>
              <w:spacing w:line="360" w:lineRule="auto"/>
              <w:rPr>
                <w:rFonts w:ascii="宋体" w:hAnsi="宋体"/>
                <w:bCs/>
                <w:sz w:val="18"/>
                <w:szCs w:val="18"/>
              </w:rPr>
            </w:pPr>
            <w:r>
              <w:rPr>
                <w:rFonts w:ascii="宋体" w:hAnsi="宋体" w:hint="eastAsia"/>
                <w:bCs/>
                <w:sz w:val="18"/>
                <w:szCs w:val="18"/>
              </w:rPr>
              <w:t>年化</w:t>
            </w:r>
            <w:r>
              <w:rPr>
                <w:rFonts w:ascii="宋体" w:hAnsi="宋体"/>
                <w:bCs/>
                <w:sz w:val="18"/>
                <w:szCs w:val="18"/>
              </w:rPr>
              <w:t>费率</w:t>
            </w:r>
            <w:r>
              <w:rPr>
                <w:rFonts w:ascii="宋体" w:hAnsi="宋体" w:hint="eastAsia"/>
                <w:sz w:val="18"/>
                <w:szCs w:val="18"/>
              </w:rPr>
              <w:t>【0.</w:t>
            </w:r>
            <w:r>
              <w:rPr>
                <w:rFonts w:ascii="宋体" w:hAnsi="宋体"/>
                <w:sz w:val="18"/>
                <w:szCs w:val="18"/>
              </w:rPr>
              <w:t>35</w:t>
            </w:r>
            <w:r>
              <w:rPr>
                <w:rFonts w:ascii="宋体" w:hAnsi="宋体" w:hint="eastAsia"/>
                <w:sz w:val="18"/>
                <w:szCs w:val="18"/>
              </w:rPr>
              <w:t>】%</w:t>
            </w:r>
            <w:r>
              <w:rPr>
                <w:rFonts w:ascii="宋体" w:hAnsi="宋体" w:hint="eastAsia"/>
                <w:bCs/>
                <w:color w:val="000000" w:themeColor="text1"/>
                <w:sz w:val="18"/>
                <w:szCs w:val="18"/>
              </w:rPr>
              <w:t>。</w:t>
            </w:r>
            <w:r>
              <w:rPr>
                <w:rFonts w:ascii="宋体" w:hAnsi="宋体" w:hint="eastAsia"/>
                <w:bCs/>
                <w:sz w:val="18"/>
                <w:szCs w:val="18"/>
              </w:rPr>
              <w:t>（适用【</w:t>
            </w:r>
            <w:r>
              <w:rPr>
                <w:rFonts w:ascii="宋体" w:hAnsi="宋体"/>
                <w:bCs/>
                <w:sz w:val="18"/>
                <w:szCs w:val="18"/>
              </w:rPr>
              <w:t>C</w:t>
            </w:r>
            <w:r>
              <w:rPr>
                <w:rFonts w:ascii="宋体" w:hAnsi="宋体" w:hint="eastAsia"/>
                <w:bCs/>
                <w:sz w:val="18"/>
                <w:szCs w:val="18"/>
              </w:rPr>
              <w:t>】类份额）</w:t>
            </w:r>
          </w:p>
          <w:p w:rsidR="00E30D17" w:rsidRDefault="00651870">
            <w:pPr>
              <w:spacing w:line="360" w:lineRule="auto"/>
              <w:rPr>
                <w:rFonts w:ascii="宋体" w:hAnsi="宋体"/>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w:t>
            </w:r>
            <w:r w:rsidR="00680A63">
              <w:rPr>
                <w:rFonts w:asciiTheme="majorEastAsia" w:eastAsiaTheme="majorEastAsia" w:hAnsiTheme="majorEastAsia"/>
                <w:sz w:val="18"/>
                <w:szCs w:val="18"/>
              </w:rPr>
              <w:t>30</w:t>
            </w:r>
            <w:bookmarkStart w:id="6" w:name="_GoBack"/>
            <w:bookmarkEnd w:id="6"/>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E30D17" w:rsidRDefault="00651870">
            <w:pPr>
              <w:spacing w:line="360" w:lineRule="auto"/>
              <w:rPr>
                <w:rFonts w:ascii="宋体" w:hAnsi="宋体"/>
                <w:bCs/>
                <w:color w:val="000000" w:themeColor="text1"/>
                <w:sz w:val="18"/>
                <w:szCs w:val="18"/>
              </w:rPr>
            </w:pPr>
            <w:r>
              <w:rPr>
                <w:rFonts w:ascii="宋体" w:hAnsi="宋体"/>
                <w:b/>
                <w:bCs/>
                <w:color w:val="000000" w:themeColor="text1"/>
                <w:sz w:val="18"/>
                <w:szCs w:val="18"/>
              </w:rPr>
              <w:t>6.</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.03】</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E30D17" w:rsidRDefault="00651870">
            <w:pPr>
              <w:widowControl/>
              <w:spacing w:line="360" w:lineRule="auto"/>
              <w:jc w:val="left"/>
              <w:rPr>
                <w:rFonts w:ascii="宋体" w:hAnsi="宋体"/>
                <w:sz w:val="18"/>
                <w:szCs w:val="18"/>
              </w:rPr>
            </w:pPr>
            <w:r>
              <w:rPr>
                <w:rFonts w:ascii="宋体" w:hAnsi="宋体" w:hint="eastAsia"/>
                <w:b/>
                <w:bCs/>
                <w:color w:val="000000" w:themeColor="text1"/>
                <w:sz w:val="18"/>
                <w:szCs w:val="18"/>
              </w:rPr>
              <w:t>7</w:t>
            </w:r>
            <w:r>
              <w:rPr>
                <w:rFonts w:ascii="宋体" w:hAnsi="宋体"/>
                <w:b/>
                <w:bCs/>
                <w:color w:val="000000" w:themeColor="text1"/>
                <w:sz w:val="18"/>
                <w:szCs w:val="18"/>
              </w:rPr>
              <w:t>.</w:t>
            </w:r>
            <w:r>
              <w:rPr>
                <w:rFonts w:ascii="宋体" w:hAnsi="宋体" w:hint="eastAsia"/>
                <w:b/>
                <w:bCs/>
                <w:color w:val="000000" w:themeColor="text1"/>
                <w:sz w:val="18"/>
                <w:szCs w:val="18"/>
              </w:rPr>
              <w:t>超额业绩报酬：</w:t>
            </w:r>
            <w:r>
              <w:rPr>
                <w:rFonts w:ascii="宋体" w:hAnsi="宋体" w:hint="eastAsia"/>
                <w:sz w:val="18"/>
                <w:szCs w:val="18"/>
              </w:rPr>
              <w:t>本产品不收取超额业绩报酬。</w:t>
            </w:r>
          </w:p>
          <w:p w:rsidR="00E30D17" w:rsidRDefault="00651870">
            <w:pPr>
              <w:spacing w:line="360" w:lineRule="auto"/>
              <w:rPr>
                <w:rFonts w:ascii="黑体" w:eastAsia="黑体" w:hAnsi="黑体"/>
                <w:bCs/>
                <w:sz w:val="18"/>
                <w:szCs w:val="18"/>
              </w:rPr>
            </w:pPr>
            <w:r>
              <w:rPr>
                <w:rFonts w:ascii="宋体" w:hAnsi="宋体"/>
                <w:bCs/>
                <w:sz w:val="18"/>
                <w:szCs w:val="18"/>
              </w:rPr>
              <w:t>8</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hAnsi="宋体"/>
                <w:sz w:val="18"/>
                <w:szCs w:val="18"/>
              </w:rPr>
            </w:pPr>
            <w:r>
              <w:rPr>
                <w:rFonts w:ascii="宋体" w:hAnsi="宋体" w:hint="eastAsia"/>
                <w:b/>
                <w:bCs/>
                <w:kern w:val="0"/>
                <w:sz w:val="18"/>
                <w:szCs w:val="18"/>
              </w:rPr>
              <w:t>税收</w:t>
            </w:r>
          </w:p>
        </w:tc>
        <w:tc>
          <w:tcPr>
            <w:tcW w:w="7704" w:type="dxa"/>
            <w:shd w:val="solid" w:color="FFFFFF" w:fill="FFFFFF"/>
            <w:vAlign w:val="center"/>
          </w:tcPr>
          <w:p w:rsidR="00E30D17" w:rsidRDefault="00651870">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704" w:type="dxa"/>
            <w:shd w:val="solid" w:color="FFFFFF" w:fill="FFFFFF"/>
            <w:vAlign w:val="center"/>
          </w:tcPr>
          <w:p w:rsidR="00E30D17" w:rsidRDefault="00651870">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E30D17">
        <w:trPr>
          <w:trHeight w:val="275"/>
          <w:jc w:val="center"/>
        </w:trPr>
        <w:tc>
          <w:tcPr>
            <w:tcW w:w="1945" w:type="dxa"/>
            <w:shd w:val="solid" w:color="FFFFFF" w:fill="FFFFFF"/>
            <w:vAlign w:val="center"/>
          </w:tcPr>
          <w:p w:rsidR="00E30D17" w:rsidRDefault="00651870">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704" w:type="dxa"/>
            <w:shd w:val="solid" w:color="FFFFFF" w:fill="FFFFFF"/>
            <w:vAlign w:val="center"/>
          </w:tcPr>
          <w:p w:rsidR="00E30D17" w:rsidRDefault="00651870">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E30D17" w:rsidRDefault="00E30D17">
      <w:pPr>
        <w:pStyle w:val="Default"/>
        <w:spacing w:line="360" w:lineRule="auto"/>
        <w:rPr>
          <w:rFonts w:hAnsi="宋体"/>
          <w:sz w:val="18"/>
          <w:szCs w:val="18"/>
        </w:rPr>
      </w:pPr>
    </w:p>
    <w:p w:rsidR="00E30D17" w:rsidRDefault="00651870">
      <w:pPr>
        <w:widowControl/>
        <w:spacing w:line="360" w:lineRule="auto"/>
        <w:jc w:val="left"/>
        <w:rPr>
          <w:rFonts w:ascii="宋体" w:hAnsi="宋体"/>
          <w:color w:val="000000"/>
          <w:kern w:val="0"/>
          <w:sz w:val="18"/>
          <w:szCs w:val="18"/>
        </w:rPr>
      </w:pPr>
      <w:r>
        <w:rPr>
          <w:rFonts w:hAnsi="宋体"/>
          <w:sz w:val="18"/>
          <w:szCs w:val="18"/>
        </w:rPr>
        <w:br w:type="page"/>
      </w:r>
    </w:p>
    <w:p w:rsidR="00E30D17" w:rsidRDefault="00651870">
      <w:pPr>
        <w:pStyle w:val="1"/>
        <w:spacing w:before="0" w:after="0" w:line="360" w:lineRule="auto"/>
        <w:jc w:val="center"/>
        <w:rPr>
          <w:rFonts w:ascii="Times New Roman"/>
          <w:sz w:val="30"/>
        </w:rPr>
      </w:pPr>
      <w:bookmarkStart w:id="7" w:name="_Toc15862"/>
      <w:bookmarkStart w:id="8" w:name="_Toc92377132"/>
      <w:bookmarkStart w:id="9" w:name="_Toc79154666"/>
      <w:r>
        <w:rPr>
          <w:rFonts w:ascii="Times New Roman"/>
          <w:sz w:val="30"/>
        </w:rPr>
        <w:lastRenderedPageBreak/>
        <w:t>第</w:t>
      </w:r>
      <w:r>
        <w:rPr>
          <w:rFonts w:ascii="Times New Roman" w:hint="eastAsia"/>
          <w:sz w:val="30"/>
        </w:rPr>
        <w:t>三条</w:t>
      </w:r>
      <w:r>
        <w:rPr>
          <w:rFonts w:ascii="Times New Roman"/>
          <w:sz w:val="30"/>
        </w:rPr>
        <w:t xml:space="preserve">  </w:t>
      </w:r>
      <w:bookmarkStart w:id="10" w:name="_Toc79392573"/>
      <w:r>
        <w:rPr>
          <w:rFonts w:ascii="Times New Roman" w:hint="eastAsia"/>
          <w:sz w:val="30"/>
        </w:rPr>
        <w:t>理财产品的认购</w:t>
      </w:r>
      <w:bookmarkEnd w:id="7"/>
      <w:bookmarkEnd w:id="8"/>
      <w:bookmarkEnd w:id="9"/>
    </w:p>
    <w:p w:rsidR="00E30D17" w:rsidRDefault="00651870">
      <w:pPr>
        <w:spacing w:line="360" w:lineRule="auto"/>
        <w:ind w:firstLineChars="200" w:firstLine="361"/>
        <w:rPr>
          <w:rFonts w:asciiTheme="minorEastAsia" w:hAnsiTheme="minorEastAsia"/>
          <w:b/>
          <w:bCs/>
          <w:sz w:val="18"/>
          <w:szCs w:val="18"/>
        </w:rPr>
      </w:pPr>
      <w:bookmarkStart w:id="11" w:name="_Hlt88031774"/>
      <w:bookmarkStart w:id="12" w:name="_Hlt88031741"/>
      <w:bookmarkEnd w:id="11"/>
      <w:r>
        <w:rPr>
          <w:rFonts w:asciiTheme="minorEastAsia" w:hAnsiTheme="minorEastAsia" w:hint="eastAsia"/>
          <w:b/>
          <w:bCs/>
          <w:sz w:val="18"/>
          <w:szCs w:val="18"/>
        </w:rPr>
        <w:t>（一）理财产品的认购</w:t>
      </w:r>
    </w:p>
    <w:p w:rsidR="00E30D17" w:rsidRDefault="0065187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E30D17" w:rsidRDefault="0065187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E30D17" w:rsidRDefault="00651870">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E30D17" w:rsidRDefault="0065187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4"/>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E30D17">
        <w:trPr>
          <w:jc w:val="center"/>
        </w:trPr>
        <w:tc>
          <w:tcPr>
            <w:tcW w:w="1984" w:type="dxa"/>
            <w:vAlign w:val="center"/>
          </w:tcPr>
          <w:p w:rsidR="00E30D17" w:rsidRDefault="00651870">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E30D17" w:rsidRDefault="00651870">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E30D17" w:rsidRDefault="00651870">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E30D17">
        <w:trPr>
          <w:jc w:val="center"/>
        </w:trPr>
        <w:tc>
          <w:tcPr>
            <w:tcW w:w="1984" w:type="dxa"/>
            <w:vAlign w:val="center"/>
          </w:tcPr>
          <w:p w:rsidR="00E30D17" w:rsidRDefault="00651870">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E30D17" w:rsidRDefault="00651870">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w:t>
            </w:r>
            <w:r>
              <w:rPr>
                <w:rFonts w:asciiTheme="minorEastAsia" w:eastAsiaTheme="minorEastAsia" w:hAnsiTheme="minorEastAsia" w:cs="Times New Roman" w:hint="eastAsia"/>
                <w:bCs/>
                <w:sz w:val="18"/>
                <w:szCs w:val="18"/>
              </w:rPr>
              <w:t>，并登记理财份额</w:t>
            </w:r>
            <w:r>
              <w:rPr>
                <w:rFonts w:asciiTheme="minorEastAsia" w:hAnsiTheme="minorEastAsia" w:cs="Times New Roman" w:hint="eastAsia"/>
                <w:bCs/>
                <w:kern w:val="0"/>
                <w:sz w:val="18"/>
                <w:szCs w:val="18"/>
              </w:rPr>
              <w:t>。</w:t>
            </w:r>
          </w:p>
        </w:tc>
        <w:tc>
          <w:tcPr>
            <w:tcW w:w="1610" w:type="dxa"/>
            <w:vAlign w:val="center"/>
          </w:tcPr>
          <w:p w:rsidR="00E30D17" w:rsidRDefault="00651870">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E30D17" w:rsidRDefault="0065187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E30D17" w:rsidRDefault="0065187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E30D17" w:rsidRDefault="00651870">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E30D17" w:rsidRDefault="0065187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E30D17" w:rsidRDefault="00651870">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E30D17" w:rsidRDefault="0065187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p>
    <w:p w:rsidR="00E30D17" w:rsidRDefault="00651870">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E30D17" w:rsidRDefault="00651870">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E30D17" w:rsidRDefault="00651870">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E30D17" w:rsidRDefault="00651870">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E30D17" w:rsidRDefault="0065187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E30D17" w:rsidRDefault="0065187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.认购的起点和追加金额</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30D17" w:rsidRDefault="0065187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E30D17" w:rsidRDefault="0065187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E30D17" w:rsidRDefault="00651870">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w:t>
      </w:r>
      <w:r>
        <w:rPr>
          <w:rFonts w:asciiTheme="minorEastAsia" w:hAnsiTheme="minorEastAsia"/>
          <w:bCs/>
          <w:sz w:val="18"/>
          <w:szCs w:val="18"/>
        </w:rPr>
        <w:t>资金</w:t>
      </w:r>
      <w:r>
        <w:rPr>
          <w:rFonts w:asciiTheme="minorEastAsia" w:hAnsiTheme="minorEastAsia" w:hint="eastAsia"/>
          <w:bCs/>
          <w:sz w:val="18"/>
          <w:szCs w:val="18"/>
        </w:rPr>
        <w:t>进入理财运作，不计算理财利益。</w:t>
      </w:r>
    </w:p>
    <w:p w:rsidR="00E30D17" w:rsidRDefault="00651870">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E30D17" w:rsidRDefault="00651870">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E30D17" w:rsidRDefault="00651870">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E30D17" w:rsidRDefault="0065187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E30D17" w:rsidRDefault="0065187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E30D17" w:rsidRDefault="00E30D17">
      <w:pPr>
        <w:spacing w:line="360" w:lineRule="auto"/>
        <w:ind w:firstLineChars="200" w:firstLine="360"/>
        <w:rPr>
          <w:rFonts w:asciiTheme="minorEastAsia" w:hAnsiTheme="minorEastAsia"/>
          <w:bCs/>
          <w:sz w:val="18"/>
          <w:szCs w:val="18"/>
        </w:rPr>
      </w:pPr>
    </w:p>
    <w:p w:rsidR="00E30D17" w:rsidRDefault="00651870">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E30D17" w:rsidRDefault="00651870">
      <w:pPr>
        <w:pStyle w:val="1"/>
        <w:spacing w:before="0" w:after="0" w:line="360" w:lineRule="auto"/>
        <w:jc w:val="center"/>
        <w:rPr>
          <w:rFonts w:ascii="Times New Roman"/>
          <w:sz w:val="30"/>
        </w:rPr>
      </w:pPr>
      <w:bookmarkStart w:id="13" w:name="_Toc79154667"/>
      <w:bookmarkStart w:id="14" w:name="_Toc28040"/>
      <w:bookmarkStart w:id="15" w:name="_Toc92377133"/>
      <w:r>
        <w:rPr>
          <w:rFonts w:ascii="Times New Roman" w:hint="eastAsia"/>
          <w:sz w:val="30"/>
        </w:rPr>
        <w:lastRenderedPageBreak/>
        <w:t>第四条</w:t>
      </w:r>
      <w:r>
        <w:rPr>
          <w:rFonts w:ascii="Times New Roman" w:hint="eastAsia"/>
          <w:sz w:val="30"/>
        </w:rPr>
        <w:t xml:space="preserve"> </w:t>
      </w:r>
      <w:r>
        <w:rPr>
          <w:rFonts w:ascii="Times New Roman"/>
          <w:sz w:val="30"/>
        </w:rPr>
        <w:t xml:space="preserve"> </w:t>
      </w:r>
      <w:r>
        <w:rPr>
          <w:rFonts w:ascii="Times New Roman" w:hint="eastAsia"/>
          <w:sz w:val="30"/>
        </w:rPr>
        <w:t>理财产品的申购与赎回</w:t>
      </w:r>
      <w:bookmarkEnd w:id="13"/>
      <w:bookmarkEnd w:id="14"/>
      <w:bookmarkEnd w:id="15"/>
    </w:p>
    <w:bookmarkEnd w:id="12"/>
    <w:p w:rsidR="00E30D17" w:rsidRDefault="00E30D17">
      <w:pPr>
        <w:spacing w:line="360" w:lineRule="auto"/>
        <w:ind w:firstLineChars="200" w:firstLine="420"/>
      </w:pPr>
    </w:p>
    <w:p w:rsidR="00E30D17" w:rsidRDefault="0065187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（一）理财产品的申购</w:t>
      </w:r>
    </w:p>
    <w:p w:rsidR="00E30D17" w:rsidRDefault="0065187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1.</w:t>
      </w:r>
      <w:r>
        <w:rPr>
          <w:rFonts w:asciiTheme="minorEastAsia" w:hAnsiTheme="minorEastAsia" w:hint="eastAsia"/>
          <w:b/>
          <w:bCs/>
          <w:color w:val="auto"/>
          <w:sz w:val="18"/>
          <w:szCs w:val="18"/>
        </w:rPr>
        <w:t>申购的时间</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本产品设置预约申购期，具体的预约申购期时间以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bCs/>
          <w:color w:val="auto"/>
          <w:sz w:val="18"/>
          <w:szCs w:val="18"/>
        </w:rPr>
        <w:t>为准。</w:t>
      </w:r>
      <w:r>
        <w:rPr>
          <w:rFonts w:hAnsi="宋体"/>
          <w:bCs/>
          <w:color w:val="auto"/>
          <w:sz w:val="18"/>
          <w:szCs w:val="18"/>
        </w:rPr>
        <w:t>投资者</w:t>
      </w:r>
      <w:r>
        <w:rPr>
          <w:rFonts w:hAnsi="宋体" w:hint="eastAsia"/>
          <w:bCs/>
          <w:color w:val="auto"/>
          <w:sz w:val="18"/>
          <w:szCs w:val="18"/>
        </w:rPr>
        <w:t>可在</w:t>
      </w:r>
      <w:r>
        <w:rPr>
          <w:rFonts w:asciiTheme="majorEastAsia" w:eastAsiaTheme="majorEastAsia" w:hAnsiTheme="majorEastAsia" w:hint="eastAsia"/>
          <w:bCs/>
          <w:color w:val="auto"/>
          <w:sz w:val="18"/>
          <w:szCs w:val="18"/>
        </w:rPr>
        <w:t>本产品预约申购期内提出预约申购申请。</w:t>
      </w:r>
    </w:p>
    <w:p w:rsidR="00E30D17" w:rsidRDefault="0065187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2.申购的方式</w:t>
      </w:r>
    </w:p>
    <w:p w:rsidR="00E30D17" w:rsidRDefault="0065187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bCs/>
          <w:color w:val="auto"/>
          <w:sz w:val="18"/>
          <w:szCs w:val="18"/>
        </w:rPr>
        <w:t>投资者可通过</w:t>
      </w:r>
      <w:r>
        <w:rPr>
          <w:rFonts w:asciiTheme="minorEastAsia" w:hAnsiTheme="minorEastAsia" w:hint="eastAsia"/>
          <w:bCs/>
          <w:color w:val="auto"/>
          <w:sz w:val="18"/>
          <w:szCs w:val="18"/>
        </w:rPr>
        <w:t>销售机构的销售</w:t>
      </w:r>
      <w:r>
        <w:rPr>
          <w:rFonts w:asciiTheme="minorEastAsia" w:hAnsiTheme="minorEastAsia"/>
          <w:bCs/>
          <w:color w:val="auto"/>
          <w:sz w:val="18"/>
          <w:szCs w:val="18"/>
        </w:rPr>
        <w:t>渠道</w:t>
      </w:r>
      <w:r>
        <w:rPr>
          <w:rFonts w:asciiTheme="minorEastAsia" w:hAnsiTheme="minorEastAsia" w:hint="eastAsia"/>
          <w:bCs/>
          <w:color w:val="auto"/>
          <w:sz w:val="18"/>
          <w:szCs w:val="18"/>
        </w:rPr>
        <w:t>申购。不同销售机构</w:t>
      </w:r>
      <w:r>
        <w:rPr>
          <w:rFonts w:asciiTheme="minorEastAsia" w:hAnsiTheme="minorEastAsia"/>
          <w:bCs/>
          <w:color w:val="auto"/>
          <w:sz w:val="18"/>
          <w:szCs w:val="18"/>
        </w:rPr>
        <w:t>的销售</w:t>
      </w:r>
      <w:r>
        <w:rPr>
          <w:rFonts w:asciiTheme="minorEastAsia" w:hAnsiTheme="minorEastAsia" w:hint="eastAsia"/>
          <w:bCs/>
          <w:color w:val="auto"/>
          <w:sz w:val="18"/>
          <w:szCs w:val="18"/>
        </w:rPr>
        <w:t>渠道，申购确认时效可能存在</w:t>
      </w:r>
      <w:r>
        <w:rPr>
          <w:rFonts w:asciiTheme="minorEastAsia" w:hAnsiTheme="minorEastAsia"/>
          <w:bCs/>
          <w:color w:val="auto"/>
          <w:sz w:val="18"/>
          <w:szCs w:val="18"/>
        </w:rPr>
        <w:t>差异</w:t>
      </w:r>
      <w:r>
        <w:rPr>
          <w:rFonts w:asciiTheme="minorEastAsia" w:hAnsiTheme="minorEastAsia" w:hint="eastAsia"/>
          <w:bCs/>
          <w:color w:val="auto"/>
          <w:sz w:val="18"/>
          <w:szCs w:val="18"/>
        </w:rPr>
        <w:t>。</w:t>
      </w:r>
    </w:p>
    <w:p w:rsidR="00E30D17" w:rsidRDefault="0065187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bCs/>
          <w:color w:val="auto"/>
          <w:sz w:val="18"/>
          <w:szCs w:val="18"/>
        </w:rPr>
        <w:t>投资者通过</w:t>
      </w:r>
      <w:r>
        <w:rPr>
          <w:rFonts w:asciiTheme="minorEastAsia" w:hAnsiTheme="minorEastAsia" w:hint="eastAsia"/>
          <w:bCs/>
          <w:color w:val="auto"/>
          <w:sz w:val="18"/>
          <w:szCs w:val="18"/>
        </w:rPr>
        <w:t>销售机构线下</w:t>
      </w:r>
      <w:r>
        <w:rPr>
          <w:rFonts w:asciiTheme="minorEastAsia" w:hAnsiTheme="minorEastAsia"/>
          <w:bCs/>
          <w:color w:val="auto"/>
          <w:sz w:val="18"/>
          <w:szCs w:val="18"/>
        </w:rPr>
        <w:t>渠道申购</w:t>
      </w:r>
      <w:r>
        <w:rPr>
          <w:rFonts w:asciiTheme="minorEastAsia" w:hAnsiTheme="minorEastAsia" w:hint="eastAsia"/>
          <w:bCs/>
          <w:color w:val="auto"/>
          <w:sz w:val="18"/>
          <w:szCs w:val="18"/>
        </w:rPr>
        <w:t>的，应签署有关理财产品销售文件。</w:t>
      </w:r>
    </w:p>
    <w:p w:rsidR="00E30D17" w:rsidRDefault="0065187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投资者通过销售机构线上渠道申购的，应根据销售机构线上渠道的具体要求执行。</w:t>
      </w:r>
    </w:p>
    <w:p w:rsidR="00E30D17" w:rsidRDefault="0065187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申购的确认</w:t>
      </w:r>
    </w:p>
    <w:p w:rsidR="00E30D17" w:rsidRDefault="00651870">
      <w:pPr>
        <w:spacing w:line="360" w:lineRule="auto"/>
        <w:ind w:firstLineChars="200" w:firstLine="360"/>
        <w:rPr>
          <w:rFonts w:asciiTheme="minorEastAsia" w:hAnsiTheme="minorEastAsia"/>
          <w:bCs/>
          <w:sz w:val="18"/>
          <w:szCs w:val="18"/>
        </w:rPr>
      </w:pPr>
      <w:r>
        <w:rPr>
          <w:rFonts w:asciiTheme="minorEastAsia" w:hAnsiTheme="minorEastAsia" w:hint="eastAsia"/>
          <w:sz w:val="18"/>
          <w:szCs w:val="18"/>
        </w:rPr>
        <w:t>详见《产品说明书》“第二条 理财产品基本情况”</w:t>
      </w:r>
      <w:r>
        <w:rPr>
          <w:rFonts w:hint="eastAsia"/>
          <w:bCs/>
          <w:sz w:val="18"/>
          <w:szCs w:val="18"/>
        </w:rPr>
        <w:t>。</w:t>
      </w:r>
    </w:p>
    <w:p w:rsidR="00E30D17" w:rsidRDefault="00651870">
      <w:pPr>
        <w:pStyle w:val="Default"/>
        <w:spacing w:line="360" w:lineRule="auto"/>
        <w:ind w:firstLineChars="200" w:firstLine="360"/>
        <w:rPr>
          <w:rFonts w:asciiTheme="majorEastAsia" w:eastAsiaTheme="majorEastAsia" w:hAnsiTheme="majorEastAsia"/>
          <w:bCs/>
          <w:sz w:val="18"/>
          <w:szCs w:val="18"/>
        </w:rPr>
      </w:pPr>
      <w:r>
        <w:rPr>
          <w:rFonts w:asciiTheme="minorEastAsia" w:hAnsiTheme="minorEastAsia" w:hint="eastAsia"/>
          <w:bCs/>
          <w:color w:val="auto"/>
          <w:sz w:val="18"/>
          <w:szCs w:val="18"/>
        </w:rPr>
        <w:t>预约申购期内产品管理人可受理投资者提交的预约申购申请。</w:t>
      </w:r>
      <w:r>
        <w:rPr>
          <w:rFonts w:asciiTheme="majorEastAsia" w:eastAsiaTheme="majorEastAsia" w:hAnsiTheme="majorEastAsia" w:hint="eastAsia"/>
          <w:color w:val="auto"/>
          <w:sz w:val="18"/>
          <w:szCs w:val="18"/>
        </w:rPr>
        <w:t>提交预约申购申请并不代表申购成功，产品管理人将在申购确认日确认投资者是否申购成功。申购是否成功以管理人的确认结果为准</w:t>
      </w:r>
      <w:r>
        <w:rPr>
          <w:rFonts w:asciiTheme="minorEastAsia" w:eastAsiaTheme="minorEastAsia" w:hAnsiTheme="minorEastAsia" w:hint="eastAsia"/>
          <w:color w:val="auto"/>
          <w:sz w:val="18"/>
          <w:szCs w:val="18"/>
        </w:rPr>
        <w:t>。</w:t>
      </w:r>
      <w:r>
        <w:rPr>
          <w:rFonts w:asciiTheme="minorEastAsia" w:eastAsiaTheme="minorEastAsia" w:hAnsiTheme="minorEastAsia" w:hint="eastAsia"/>
          <w:bCs/>
          <w:color w:val="auto"/>
          <w:sz w:val="18"/>
          <w:szCs w:val="18"/>
        </w:rPr>
        <w:t>投资者可以在申购确认日系统完成处理后，查询产品份额。</w:t>
      </w:r>
    </w:p>
    <w:p w:rsidR="00E30D17" w:rsidRDefault="0065187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.申购</w:t>
      </w:r>
      <w:r>
        <w:rPr>
          <w:rFonts w:asciiTheme="minorEastAsia" w:hAnsiTheme="minorEastAsia"/>
          <w:b/>
          <w:bCs/>
          <w:sz w:val="18"/>
          <w:szCs w:val="18"/>
        </w:rPr>
        <w:t>的价格</w:t>
      </w:r>
    </w:p>
    <w:p w:rsidR="00E30D17" w:rsidRDefault="0065187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申购价格为申购日的产品份额净值。</w:t>
      </w:r>
    </w:p>
    <w:p w:rsidR="00E30D17" w:rsidRDefault="0065187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5.</w:t>
      </w:r>
      <w:r>
        <w:rPr>
          <w:rFonts w:asciiTheme="minorEastAsia" w:hAnsiTheme="minorEastAsia" w:hint="eastAsia"/>
          <w:b/>
          <w:bCs/>
          <w:sz w:val="18"/>
          <w:szCs w:val="18"/>
        </w:rPr>
        <w:t>申购的</w:t>
      </w:r>
      <w:r>
        <w:rPr>
          <w:rFonts w:asciiTheme="minorEastAsia" w:hAnsiTheme="minorEastAsia"/>
          <w:b/>
          <w:bCs/>
          <w:sz w:val="18"/>
          <w:szCs w:val="18"/>
        </w:rPr>
        <w:t>费用</w:t>
      </w:r>
    </w:p>
    <w:p w:rsidR="00E30D17" w:rsidRDefault="00651870">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E30D17" w:rsidRDefault="00651870">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hAnsiTheme="minorEastAsia"/>
          <w:b/>
          <w:bCs/>
          <w:color w:val="auto"/>
          <w:sz w:val="18"/>
          <w:szCs w:val="18"/>
        </w:rPr>
        <w:t>6.</w:t>
      </w:r>
      <w:r>
        <w:rPr>
          <w:rFonts w:asciiTheme="minorEastAsia" w:hAnsiTheme="minorEastAsia" w:hint="eastAsia"/>
          <w:b/>
          <w:bCs/>
          <w:sz w:val="18"/>
          <w:szCs w:val="18"/>
        </w:rPr>
        <w:t>申购份额计算</w:t>
      </w:r>
    </w:p>
    <w:p w:rsidR="00E30D17" w:rsidRDefault="0065187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本产品的申购金额包括申购费用和净申购金额。申购份额的计算公式为：</w:t>
      </w:r>
    </w:p>
    <w:p w:rsidR="00E30D17" w:rsidRDefault="0065187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净申购金额=申购金额/（1+申购费率）</w:t>
      </w:r>
    </w:p>
    <w:p w:rsidR="00E30D17" w:rsidRDefault="0065187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申购费用=申购金额－净申购金额</w:t>
      </w:r>
    </w:p>
    <w:p w:rsidR="00E30D17" w:rsidRDefault="0065187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申购份额=净申购金额/申购日产品份额净值</w:t>
      </w:r>
    </w:p>
    <w:p w:rsidR="00E30D17" w:rsidRDefault="0065187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上述计算结果均按四舍五入方法，保留到小数点后2位，由此产生的收益或损失由理财产品承担。</w:t>
      </w:r>
    </w:p>
    <w:p w:rsidR="00E30D17" w:rsidRDefault="0065187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申购的起点和追加金额</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30D17" w:rsidRDefault="0065187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w:t>
      </w:r>
      <w:r>
        <w:rPr>
          <w:rFonts w:asciiTheme="minorEastAsia" w:eastAsiaTheme="minorEastAsia" w:hAnsiTheme="minorEastAsia" w:hint="eastAsia"/>
          <w:b/>
          <w:color w:val="auto"/>
          <w:sz w:val="18"/>
          <w:szCs w:val="18"/>
        </w:rPr>
        <w:t>申购</w:t>
      </w:r>
      <w:r>
        <w:rPr>
          <w:rFonts w:asciiTheme="minorEastAsia" w:eastAsiaTheme="minorEastAsia" w:hAnsiTheme="minorEastAsia"/>
          <w:b/>
          <w:color w:val="auto"/>
          <w:sz w:val="18"/>
          <w:szCs w:val="18"/>
        </w:rPr>
        <w:t>的数量限制</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30D17" w:rsidRDefault="0065187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（二）理财产品的赎回</w:t>
      </w:r>
    </w:p>
    <w:p w:rsidR="00E30D17" w:rsidRDefault="0065187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lastRenderedPageBreak/>
        <w:t>1.</w:t>
      </w:r>
      <w:r>
        <w:rPr>
          <w:rFonts w:asciiTheme="minorEastAsia" w:hAnsiTheme="minorEastAsia" w:hint="eastAsia"/>
          <w:b/>
          <w:bCs/>
          <w:color w:val="auto"/>
          <w:sz w:val="18"/>
          <w:szCs w:val="18"/>
        </w:rPr>
        <w:t>赎回的时间</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本产品设置预约赎回期，具体的预约赎回期时间以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bCs/>
          <w:color w:val="auto"/>
          <w:sz w:val="18"/>
          <w:szCs w:val="18"/>
        </w:rPr>
        <w:t>为准。</w:t>
      </w:r>
      <w:r>
        <w:rPr>
          <w:rFonts w:hAnsi="宋体"/>
          <w:bCs/>
          <w:color w:val="auto"/>
          <w:sz w:val="18"/>
          <w:szCs w:val="18"/>
        </w:rPr>
        <w:t>投资者</w:t>
      </w:r>
      <w:r>
        <w:rPr>
          <w:rFonts w:hAnsi="宋体" w:hint="eastAsia"/>
          <w:bCs/>
          <w:color w:val="auto"/>
          <w:sz w:val="18"/>
          <w:szCs w:val="18"/>
        </w:rPr>
        <w:t>可在</w:t>
      </w:r>
      <w:r>
        <w:rPr>
          <w:rFonts w:asciiTheme="majorEastAsia" w:eastAsiaTheme="majorEastAsia" w:hAnsiTheme="majorEastAsia" w:hint="eastAsia"/>
          <w:bCs/>
          <w:color w:val="auto"/>
          <w:sz w:val="18"/>
          <w:szCs w:val="18"/>
        </w:rPr>
        <w:t>本产品预约赎回期内提出预约赎回申请。</w:t>
      </w:r>
    </w:p>
    <w:p w:rsidR="00E30D17" w:rsidRDefault="0065187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2.赎回的方式</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投资者可通过</w:t>
      </w:r>
      <w:r>
        <w:rPr>
          <w:rFonts w:asciiTheme="majorEastAsia" w:eastAsiaTheme="majorEastAsia" w:hAnsiTheme="majorEastAsia" w:hint="eastAsia"/>
          <w:color w:val="auto"/>
          <w:sz w:val="18"/>
          <w:szCs w:val="18"/>
        </w:rPr>
        <w:t>销售机构的销售</w:t>
      </w:r>
      <w:r>
        <w:rPr>
          <w:rFonts w:asciiTheme="majorEastAsia" w:eastAsiaTheme="majorEastAsia" w:hAnsiTheme="majorEastAsia"/>
          <w:color w:val="auto"/>
          <w:sz w:val="18"/>
          <w:szCs w:val="18"/>
        </w:rPr>
        <w:t>渠道</w:t>
      </w:r>
      <w:r>
        <w:rPr>
          <w:rFonts w:asciiTheme="majorEastAsia" w:eastAsiaTheme="majorEastAsia" w:hAnsiTheme="majorEastAsia" w:hint="eastAsia"/>
          <w:color w:val="auto"/>
          <w:sz w:val="18"/>
          <w:szCs w:val="18"/>
        </w:rPr>
        <w:t>赎回</w:t>
      </w:r>
      <w:r>
        <w:rPr>
          <w:rFonts w:asciiTheme="majorEastAsia" w:eastAsiaTheme="majorEastAsia" w:hAnsiTheme="majorEastAsia"/>
          <w:color w:val="auto"/>
          <w:sz w:val="18"/>
          <w:szCs w:val="18"/>
        </w:rPr>
        <w:t>。</w:t>
      </w:r>
      <w:r>
        <w:rPr>
          <w:rFonts w:asciiTheme="minorEastAsia" w:hAnsiTheme="minorEastAsia" w:hint="eastAsia"/>
          <w:bCs/>
          <w:color w:val="auto"/>
          <w:sz w:val="18"/>
          <w:szCs w:val="18"/>
        </w:rPr>
        <w:t>不同销售机构</w:t>
      </w:r>
      <w:r>
        <w:rPr>
          <w:rFonts w:asciiTheme="minorEastAsia" w:hAnsiTheme="minorEastAsia"/>
          <w:bCs/>
          <w:color w:val="auto"/>
          <w:sz w:val="18"/>
          <w:szCs w:val="18"/>
        </w:rPr>
        <w:t>的销售</w:t>
      </w:r>
      <w:r>
        <w:rPr>
          <w:rFonts w:asciiTheme="minorEastAsia" w:hAnsiTheme="minorEastAsia" w:hint="eastAsia"/>
          <w:bCs/>
          <w:color w:val="auto"/>
          <w:sz w:val="18"/>
          <w:szCs w:val="18"/>
        </w:rPr>
        <w:t>渠道，赎回确认时效可能存在</w:t>
      </w:r>
      <w:r>
        <w:rPr>
          <w:rFonts w:asciiTheme="minorEastAsia" w:hAnsiTheme="minorEastAsia"/>
          <w:bCs/>
          <w:color w:val="auto"/>
          <w:sz w:val="18"/>
          <w:szCs w:val="18"/>
        </w:rPr>
        <w:t>差异</w:t>
      </w:r>
      <w:r>
        <w:rPr>
          <w:rFonts w:asciiTheme="minorEastAsia" w:hAnsiTheme="minorEastAsia" w:hint="eastAsia"/>
          <w:bCs/>
          <w:color w:val="auto"/>
          <w:sz w:val="18"/>
          <w:szCs w:val="18"/>
        </w:rPr>
        <w:t>。</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w:t>
      </w:r>
      <w:r>
        <w:rPr>
          <w:rFonts w:asciiTheme="minorEastAsia" w:eastAsiaTheme="minorEastAsia" w:hAnsiTheme="minorEastAsia"/>
          <w:color w:val="auto"/>
          <w:sz w:val="18"/>
          <w:szCs w:val="18"/>
        </w:rPr>
        <w:t>渠道赎回的</w:t>
      </w:r>
      <w:r>
        <w:rPr>
          <w:rFonts w:asciiTheme="majorEastAsia" w:eastAsiaTheme="majorEastAsia" w:hAnsiTheme="majorEastAsia" w:hint="eastAsia"/>
          <w:color w:val="auto"/>
          <w:sz w:val="18"/>
          <w:szCs w:val="18"/>
        </w:rPr>
        <w:t>，应签署</w:t>
      </w:r>
      <w:r>
        <w:rPr>
          <w:rFonts w:asciiTheme="minorEastAsia" w:hAnsiTheme="minorEastAsia" w:hint="eastAsia"/>
          <w:bCs/>
          <w:color w:val="auto"/>
          <w:sz w:val="18"/>
          <w:szCs w:val="18"/>
        </w:rPr>
        <w:t>有关理财产品销售文件</w:t>
      </w:r>
      <w:r>
        <w:rPr>
          <w:rFonts w:asciiTheme="majorEastAsia" w:eastAsiaTheme="majorEastAsia" w:hAnsiTheme="majorEastAsia" w:hint="eastAsia"/>
          <w:color w:val="auto"/>
          <w:sz w:val="18"/>
          <w:szCs w:val="18"/>
        </w:rPr>
        <w:t>。</w:t>
      </w:r>
    </w:p>
    <w:p w:rsidR="00E30D17" w:rsidRDefault="00651870">
      <w:pPr>
        <w:pStyle w:val="Default"/>
        <w:spacing w:line="360" w:lineRule="auto"/>
        <w:ind w:firstLineChars="200" w:firstLine="360"/>
        <w:rPr>
          <w:rFonts w:asciiTheme="minorEastAsia" w:hAnsiTheme="minorEastAsia"/>
          <w:bCs/>
          <w:color w:val="auto"/>
          <w:sz w:val="18"/>
          <w:szCs w:val="18"/>
        </w:rPr>
      </w:pPr>
      <w:r>
        <w:rPr>
          <w:rFonts w:asciiTheme="majorEastAsia" w:eastAsiaTheme="majorEastAsia" w:hAnsiTheme="majorEastAsia" w:hint="eastAsia"/>
          <w:color w:val="auto"/>
          <w:sz w:val="18"/>
          <w:szCs w:val="18"/>
        </w:rPr>
        <w:t>投资者通过销售机构线上渠道</w:t>
      </w:r>
      <w:r>
        <w:rPr>
          <w:rFonts w:asciiTheme="minorEastAsia" w:eastAsiaTheme="minorEastAsia" w:hAnsiTheme="minorEastAsia" w:hint="eastAsia"/>
          <w:color w:val="auto"/>
          <w:sz w:val="18"/>
          <w:szCs w:val="18"/>
        </w:rPr>
        <w:t>赎回的，</w:t>
      </w:r>
      <w:r>
        <w:rPr>
          <w:rFonts w:asciiTheme="minorEastAsia" w:hAnsiTheme="minorEastAsia" w:hint="eastAsia"/>
          <w:bCs/>
          <w:color w:val="auto"/>
          <w:sz w:val="18"/>
          <w:szCs w:val="18"/>
        </w:rPr>
        <w:t>应根据销售机构线上渠道的具体要求执行。</w:t>
      </w:r>
    </w:p>
    <w:p w:rsidR="00E30D17" w:rsidRDefault="0065187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赎回的确认</w:t>
      </w:r>
    </w:p>
    <w:p w:rsidR="00E30D17" w:rsidRDefault="00651870">
      <w:pPr>
        <w:spacing w:line="360" w:lineRule="auto"/>
        <w:ind w:firstLineChars="200" w:firstLine="360"/>
        <w:rPr>
          <w:rFonts w:asciiTheme="minorEastAsia" w:hAnsiTheme="minorEastAsia"/>
          <w:bCs/>
          <w:sz w:val="18"/>
          <w:szCs w:val="18"/>
        </w:rPr>
      </w:pPr>
      <w:r>
        <w:rPr>
          <w:rFonts w:asciiTheme="minorEastAsia" w:hAnsiTheme="minorEastAsia" w:hint="eastAsia"/>
          <w:sz w:val="18"/>
          <w:szCs w:val="18"/>
        </w:rPr>
        <w:t>详见《产品说明书》“第二条 理财产品基本情况”</w:t>
      </w:r>
      <w:r>
        <w:rPr>
          <w:rFonts w:hint="eastAsia"/>
          <w:bCs/>
          <w:sz w:val="18"/>
          <w:szCs w:val="18"/>
        </w:rPr>
        <w:t>。</w:t>
      </w:r>
    </w:p>
    <w:p w:rsidR="00E30D17" w:rsidRDefault="0065187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预约赎回期内产品管理人可受理投资者提交的预约赎回申请。</w:t>
      </w:r>
      <w:r>
        <w:rPr>
          <w:rFonts w:asciiTheme="majorEastAsia" w:eastAsiaTheme="majorEastAsia" w:hAnsiTheme="majorEastAsia" w:hint="eastAsia"/>
          <w:color w:val="auto"/>
          <w:sz w:val="18"/>
          <w:szCs w:val="18"/>
        </w:rPr>
        <w:t>提交预约赎回申请并不代表赎回成功，产品管理人将在赎回确认日确认投资者是否赎回成功。赎回是否成功以管理人的确认结果为准</w:t>
      </w:r>
      <w:r>
        <w:rPr>
          <w:rFonts w:asciiTheme="minorEastAsia" w:eastAsiaTheme="minorEastAsia" w:hAnsiTheme="minorEastAsia" w:hint="eastAsia"/>
          <w:color w:val="auto"/>
          <w:sz w:val="18"/>
          <w:szCs w:val="18"/>
        </w:rPr>
        <w:t>。</w:t>
      </w:r>
    </w:p>
    <w:p w:rsidR="00E30D17" w:rsidRDefault="0065187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.赎回</w:t>
      </w:r>
      <w:r>
        <w:rPr>
          <w:rFonts w:asciiTheme="minorEastAsia" w:hAnsiTheme="minorEastAsia"/>
          <w:b/>
          <w:bCs/>
          <w:sz w:val="18"/>
          <w:szCs w:val="18"/>
        </w:rPr>
        <w:t>的价格</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bCs/>
          <w:color w:val="auto"/>
          <w:sz w:val="18"/>
          <w:szCs w:val="18"/>
        </w:rPr>
        <w:t>赎回</w:t>
      </w:r>
      <w:r>
        <w:rPr>
          <w:rFonts w:asciiTheme="majorEastAsia" w:eastAsiaTheme="majorEastAsia" w:hAnsiTheme="majorEastAsia"/>
          <w:bCs/>
          <w:color w:val="auto"/>
          <w:sz w:val="18"/>
          <w:szCs w:val="18"/>
        </w:rPr>
        <w:t>价格为赎回日</w:t>
      </w:r>
      <w:r>
        <w:rPr>
          <w:rFonts w:asciiTheme="majorEastAsia" w:eastAsiaTheme="majorEastAsia" w:hAnsiTheme="majorEastAsia" w:hint="eastAsia"/>
          <w:bCs/>
          <w:color w:val="auto"/>
          <w:sz w:val="18"/>
          <w:szCs w:val="18"/>
        </w:rPr>
        <w:t>的</w:t>
      </w:r>
      <w:r>
        <w:rPr>
          <w:rFonts w:asciiTheme="majorEastAsia" w:eastAsiaTheme="majorEastAsia" w:hAnsiTheme="majorEastAsia"/>
          <w:bCs/>
          <w:color w:val="auto"/>
          <w:sz w:val="18"/>
          <w:szCs w:val="18"/>
        </w:rPr>
        <w:t>产品份额净值</w:t>
      </w:r>
      <w:r>
        <w:rPr>
          <w:rFonts w:asciiTheme="majorEastAsia" w:eastAsiaTheme="majorEastAsia" w:hAnsiTheme="majorEastAsia" w:hint="eastAsia"/>
          <w:bCs/>
          <w:color w:val="auto"/>
          <w:sz w:val="18"/>
          <w:szCs w:val="18"/>
        </w:rPr>
        <w:t>。</w:t>
      </w:r>
    </w:p>
    <w:p w:rsidR="00E30D17" w:rsidRDefault="0065187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5.</w:t>
      </w:r>
      <w:r>
        <w:rPr>
          <w:rFonts w:asciiTheme="minorEastAsia" w:hAnsiTheme="minorEastAsia" w:hint="eastAsia"/>
          <w:b/>
          <w:bCs/>
          <w:sz w:val="18"/>
          <w:szCs w:val="18"/>
        </w:rPr>
        <w:t>赎回的</w:t>
      </w:r>
      <w:r>
        <w:rPr>
          <w:rFonts w:asciiTheme="minorEastAsia" w:hAnsiTheme="minorEastAsia"/>
          <w:b/>
          <w:bCs/>
          <w:sz w:val="18"/>
          <w:szCs w:val="18"/>
        </w:rPr>
        <w:t>费用</w:t>
      </w:r>
    </w:p>
    <w:p w:rsidR="00E30D17" w:rsidRDefault="00651870">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E30D17" w:rsidRDefault="00651870">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hAnsiTheme="minorEastAsia"/>
          <w:b/>
          <w:bCs/>
          <w:color w:val="auto"/>
          <w:sz w:val="18"/>
          <w:szCs w:val="18"/>
        </w:rPr>
        <w:t>6.</w:t>
      </w:r>
      <w:r>
        <w:rPr>
          <w:rFonts w:asciiTheme="minorEastAsia" w:hAnsiTheme="minorEastAsia" w:hint="eastAsia"/>
          <w:b/>
          <w:bCs/>
          <w:color w:val="auto"/>
          <w:sz w:val="18"/>
          <w:szCs w:val="18"/>
        </w:rPr>
        <w:t>赎回</w:t>
      </w:r>
      <w:r>
        <w:rPr>
          <w:rFonts w:asciiTheme="minorEastAsia" w:hAnsiTheme="minorEastAsia" w:hint="eastAsia"/>
          <w:b/>
          <w:bCs/>
          <w:sz w:val="18"/>
          <w:szCs w:val="18"/>
        </w:rPr>
        <w:t>金额计算</w:t>
      </w:r>
    </w:p>
    <w:p w:rsidR="00E30D17" w:rsidRDefault="0065187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本产品赎回</w:t>
      </w:r>
      <w:r>
        <w:rPr>
          <w:rFonts w:asciiTheme="minorEastAsia" w:hAnsiTheme="minorEastAsia"/>
          <w:bCs/>
          <w:color w:val="auto"/>
          <w:sz w:val="18"/>
          <w:szCs w:val="18"/>
        </w:rPr>
        <w:t>金额</w:t>
      </w:r>
      <w:r>
        <w:rPr>
          <w:rFonts w:asciiTheme="minorEastAsia" w:hAnsiTheme="minorEastAsia" w:hint="eastAsia"/>
          <w:bCs/>
          <w:color w:val="auto"/>
          <w:sz w:val="18"/>
          <w:szCs w:val="18"/>
        </w:rPr>
        <w:t>的计算公式如下：</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赎回总金额=赎回份额×赎回日该产品份额净值</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赎回费用=赎回总金额×赎回费率</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净赎回金额=赎回总金额-赎回费用</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上述计算结果均按四舍五入方法，保留到小数点后</w:t>
      </w: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位，由此产生的收益或损失由理财产品承担。</w:t>
      </w:r>
    </w:p>
    <w:p w:rsidR="00E30D17" w:rsidRDefault="0065187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7.</w:t>
      </w:r>
      <w:r>
        <w:rPr>
          <w:rFonts w:asciiTheme="minorEastAsia" w:hAnsiTheme="minorEastAsia" w:hint="eastAsia"/>
          <w:b/>
          <w:bCs/>
          <w:color w:val="auto"/>
          <w:sz w:val="18"/>
          <w:szCs w:val="18"/>
        </w:rPr>
        <w:t>赎回</w:t>
      </w:r>
      <w:r>
        <w:rPr>
          <w:rFonts w:asciiTheme="minorEastAsia" w:eastAsiaTheme="minorEastAsia" w:hAnsiTheme="minorEastAsia"/>
          <w:b/>
          <w:color w:val="auto"/>
          <w:sz w:val="18"/>
          <w:szCs w:val="18"/>
        </w:rPr>
        <w:t>的数量限制</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30D17" w:rsidRDefault="00651870">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（四）</w:t>
      </w:r>
      <w:r>
        <w:rPr>
          <w:rFonts w:asciiTheme="majorEastAsia" w:eastAsiaTheme="majorEastAsia" w:hAnsiTheme="majorEastAsia" w:hint="eastAsia"/>
          <w:b/>
          <w:color w:val="auto"/>
          <w:sz w:val="18"/>
          <w:szCs w:val="18"/>
        </w:rPr>
        <w:t>申购与赎回的原则</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金额申购、份额赎回</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原则，即申购以金额申请，赎回以份额申请。</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2.</w:t>
      </w:r>
      <w:r>
        <w:rPr>
          <w:rFonts w:asciiTheme="majorEastAsia" w:eastAsiaTheme="majorEastAsia" w:hAnsiTheme="majorEastAsia"/>
          <w:bCs/>
          <w:color w:val="auto"/>
          <w:sz w:val="18"/>
          <w:szCs w:val="18"/>
        </w:rPr>
        <w:t>申购和赎回采用“</w:t>
      </w:r>
      <w:r>
        <w:rPr>
          <w:rFonts w:asciiTheme="majorEastAsia" w:eastAsiaTheme="majorEastAsia" w:hAnsiTheme="majorEastAsia" w:hint="eastAsia"/>
          <w:bCs/>
          <w:color w:val="auto"/>
          <w:sz w:val="18"/>
          <w:szCs w:val="18"/>
        </w:rPr>
        <w:t>未知价</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原则，即本产品申购申请和赎回申请提交时，适用的产品份额净值都是未知的。</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3.</w:t>
      </w:r>
      <w:r>
        <w:rPr>
          <w:rFonts w:asciiTheme="majorEastAsia" w:eastAsiaTheme="majorEastAsia" w:hAnsiTheme="majorEastAsia"/>
          <w:color w:val="auto"/>
          <w:sz w:val="18"/>
          <w:szCs w:val="18"/>
        </w:rPr>
        <w:t>申购、</w:t>
      </w:r>
      <w:r>
        <w:rPr>
          <w:rFonts w:asciiTheme="majorEastAsia" w:eastAsiaTheme="majorEastAsia" w:hAnsiTheme="majorEastAsia" w:hint="eastAsia"/>
          <w:color w:val="auto"/>
          <w:sz w:val="18"/>
          <w:szCs w:val="18"/>
        </w:rPr>
        <w:t>赎回</w:t>
      </w:r>
      <w:r>
        <w:rPr>
          <w:rFonts w:asciiTheme="majorEastAsia" w:eastAsiaTheme="majorEastAsia" w:hAnsiTheme="majorEastAsia"/>
          <w:color w:val="auto"/>
          <w:sz w:val="18"/>
          <w:szCs w:val="18"/>
        </w:rPr>
        <w:t>申请可以在对应申购</w:t>
      </w:r>
      <w:r>
        <w:rPr>
          <w:rFonts w:asciiTheme="majorEastAsia" w:eastAsiaTheme="majorEastAsia" w:hAnsiTheme="majorEastAsia" w:hint="eastAsia"/>
          <w:color w:val="auto"/>
          <w:sz w:val="18"/>
          <w:szCs w:val="18"/>
        </w:rPr>
        <w:t>日、</w:t>
      </w:r>
      <w:r>
        <w:rPr>
          <w:rFonts w:asciiTheme="majorEastAsia" w:eastAsiaTheme="majorEastAsia" w:hAnsiTheme="majorEastAsia"/>
          <w:color w:val="auto"/>
          <w:sz w:val="18"/>
          <w:szCs w:val="18"/>
        </w:rPr>
        <w:t>赎回</w:t>
      </w:r>
      <w:r>
        <w:rPr>
          <w:rFonts w:asciiTheme="majorEastAsia" w:eastAsiaTheme="majorEastAsia" w:hAnsiTheme="majorEastAsia" w:hint="eastAsia"/>
          <w:color w:val="auto"/>
          <w:sz w:val="18"/>
          <w:szCs w:val="18"/>
        </w:rPr>
        <w:t>日</w:t>
      </w:r>
      <w:r>
        <w:rPr>
          <w:rFonts w:asciiTheme="majorEastAsia" w:eastAsiaTheme="majorEastAsia" w:hAnsiTheme="majorEastAsia"/>
          <w:color w:val="auto"/>
          <w:sz w:val="18"/>
          <w:szCs w:val="18"/>
        </w:rPr>
        <w:t>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4.</w:t>
      </w:r>
      <w:r>
        <w:rPr>
          <w:rFonts w:asciiTheme="majorEastAsia" w:eastAsiaTheme="majorEastAsia" w:hAnsiTheme="majorEastAsia" w:hint="eastAsia"/>
          <w:color w:val="auto"/>
          <w:sz w:val="18"/>
          <w:szCs w:val="18"/>
        </w:rPr>
        <w:t>赎回遵循“先进先出”原则，即按照投资者认购、申购的先后次序进行顺序赎回。</w:t>
      </w:r>
    </w:p>
    <w:p w:rsidR="00E30D17" w:rsidRDefault="00651870">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（五）拒绝或暂停申购的情形</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w:t>
      </w:r>
      <w:r>
        <w:rPr>
          <w:rFonts w:asciiTheme="majorEastAsia" w:eastAsiaTheme="majorEastAsia" w:hAnsiTheme="majorEastAsia"/>
          <w:color w:val="auto"/>
          <w:sz w:val="18"/>
          <w:szCs w:val="18"/>
        </w:rPr>
        <w:t>申购申请：</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.发生暂停理财资产估值情况时，产品管理人可暂停接受投资者的申购申请。</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.证券交易所或银行间市场在交易时间非正常停市，导致产品管理人无法计算当日理财资产净值。</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4</w:t>
      </w:r>
      <w:r>
        <w:rPr>
          <w:rFonts w:asciiTheme="majorEastAsia" w:eastAsiaTheme="majorEastAsia" w:hAnsiTheme="majorEastAsia" w:hint="eastAsia"/>
          <w:color w:val="auto"/>
          <w:sz w:val="18"/>
          <w:szCs w:val="18"/>
        </w:rPr>
        <w:t>.本产品出现当日净收益小于零的情形，为保护持有人的权益，产品管理人可暂停本产品的申购。</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5</w:t>
      </w:r>
      <w:r>
        <w:rPr>
          <w:rFonts w:asciiTheme="majorEastAsia" w:eastAsiaTheme="majorEastAsia" w:hAnsiTheme="majorEastAsia" w:hint="eastAsia"/>
          <w:color w:val="auto"/>
          <w:sz w:val="18"/>
          <w:szCs w:val="18"/>
        </w:rPr>
        <w:t>.产品管理人认为接受某笔或某些申购申请可能会影响或损害现有理财份额持有人权益时。</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6</w:t>
      </w:r>
      <w:r>
        <w:rPr>
          <w:rFonts w:asciiTheme="majorEastAsia" w:eastAsiaTheme="majorEastAsia" w:hAnsiTheme="majorEastAsia" w:hint="eastAsia"/>
          <w:color w:val="auto"/>
          <w:sz w:val="18"/>
          <w:szCs w:val="18"/>
        </w:rPr>
        <w:t>.理财产品规模过大，产品管理人无法找到合适的投资品种，或其他可能对理财业绩产生负面影响，从而损害现有理财份额持有人权益的情形。</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7</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8</w:t>
      </w:r>
      <w:r>
        <w:rPr>
          <w:rFonts w:asciiTheme="majorEastAsia" w:eastAsiaTheme="majorEastAsia" w:hAnsiTheme="majorEastAsia" w:hint="eastAsia"/>
          <w:color w:val="auto"/>
          <w:sz w:val="18"/>
          <w:szCs w:val="18"/>
        </w:rPr>
        <w:t>.法律法规规定或监管机构认定的其他情形。</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如果投资者的申购申请被拒绝，被拒绝的申购款项将退还给投资者。在暂停申购的情况消除时，产品管理人应及时恢复申购业务的办理。</w:t>
      </w:r>
    </w:p>
    <w:p w:rsidR="00E30D17" w:rsidRDefault="0065187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（六）暂停赎回或延缓支付赎回款项的情形</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发生下列情形时，产品管理人可暂停接受投资者的赎回申请或延缓支付赎回款项：</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.因不可抗力导致产品管理人不能支付赎回款项。</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.发生暂停理财资产估值情况时，产品管理人可暂停接受投资者的赎回申请或延缓支付赎回款项。</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.证券交易所或银行间市场在交易时间非正常停市，导致产品管理人无法计算当日理财资产净值。</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4</w:t>
      </w:r>
      <w:r>
        <w:rPr>
          <w:rFonts w:asciiTheme="majorEastAsia" w:eastAsiaTheme="majorEastAsia" w:hAnsiTheme="majorEastAsia" w:hint="eastAsia"/>
          <w:color w:val="auto"/>
          <w:sz w:val="18"/>
          <w:szCs w:val="18"/>
        </w:rPr>
        <w:t>.</w:t>
      </w:r>
      <w:r>
        <w:rPr>
          <w:rFonts w:asciiTheme="majorEastAsia" w:eastAsiaTheme="majorEastAsia" w:hAnsiTheme="majorEastAsia"/>
          <w:color w:val="auto"/>
          <w:sz w:val="18"/>
          <w:szCs w:val="18"/>
        </w:rPr>
        <w:t>证券交易所或银行间市场出现异常市场情况，管理人无法</w:t>
      </w:r>
      <w:r>
        <w:rPr>
          <w:rFonts w:asciiTheme="majorEastAsia" w:eastAsiaTheme="majorEastAsia" w:hAnsiTheme="majorEastAsia" w:hint="eastAsia"/>
          <w:color w:val="auto"/>
          <w:sz w:val="18"/>
          <w:szCs w:val="18"/>
        </w:rPr>
        <w:t>开展产品的</w:t>
      </w:r>
      <w:r>
        <w:rPr>
          <w:rFonts w:asciiTheme="majorEastAsia" w:eastAsiaTheme="majorEastAsia" w:hAnsiTheme="majorEastAsia"/>
          <w:color w:val="auto"/>
          <w:sz w:val="18"/>
          <w:szCs w:val="18"/>
        </w:rPr>
        <w:t>流动性</w:t>
      </w:r>
      <w:r>
        <w:rPr>
          <w:rFonts w:asciiTheme="majorEastAsia" w:eastAsiaTheme="majorEastAsia" w:hAnsiTheme="majorEastAsia" w:hint="eastAsia"/>
          <w:color w:val="auto"/>
          <w:sz w:val="18"/>
          <w:szCs w:val="18"/>
        </w:rPr>
        <w:t>管理</w:t>
      </w:r>
      <w:r>
        <w:rPr>
          <w:rFonts w:asciiTheme="majorEastAsia" w:eastAsiaTheme="majorEastAsia" w:hAnsiTheme="majorEastAsia"/>
          <w:color w:val="auto"/>
          <w:sz w:val="18"/>
          <w:szCs w:val="18"/>
        </w:rPr>
        <w:t>。</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5</w:t>
      </w:r>
      <w:r>
        <w:rPr>
          <w:rFonts w:asciiTheme="majorEastAsia" w:eastAsiaTheme="majorEastAsia" w:hAnsiTheme="majorEastAsia" w:hint="eastAsia"/>
          <w:color w:val="auto"/>
          <w:sz w:val="18"/>
          <w:szCs w:val="18"/>
        </w:rPr>
        <w:t>.本产品出现当日净收益小于零的情形，为保护持有人的权益，产品管理人可暂停本产品的赎回。</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6</w:t>
      </w:r>
      <w:r>
        <w:rPr>
          <w:rFonts w:asciiTheme="majorEastAsia" w:eastAsiaTheme="majorEastAsia" w:hAnsiTheme="majorEastAsia" w:hint="eastAsia"/>
          <w:color w:val="auto"/>
          <w:sz w:val="18"/>
          <w:szCs w:val="18"/>
        </w:rPr>
        <w:t>.发生单个投资者在赎回日申请赎回的理财产品份额超过限额的。</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7.发生巨额赎回。</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8.产品管理人和产品托管人的技术保障等异常情况导致理财销售系统或会计系统无法正常运行。</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9.证券交易所或银行间市场数据传输延迟、通讯系统故障、银行系统故障或其他非产品管理人及产品托管人所能控制的因素影响了产品运作流程。</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10.法律法规规定或监管机构认定的其他情形。</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bCs/>
          <w:sz w:val="18"/>
          <w:szCs w:val="18"/>
        </w:rPr>
        <w:t>延缓支付赎回款项</w:t>
      </w:r>
      <w:r>
        <w:rPr>
          <w:rFonts w:asciiTheme="majorEastAsia" w:eastAsiaTheme="majorEastAsia" w:hAnsiTheme="majorEastAsia" w:hint="eastAsia"/>
          <w:bCs/>
          <w:sz w:val="18"/>
          <w:szCs w:val="18"/>
        </w:rPr>
        <w:t>的</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已经确认</w:t>
      </w:r>
      <w:r>
        <w:rPr>
          <w:rFonts w:asciiTheme="majorEastAsia" w:eastAsiaTheme="majorEastAsia" w:hAnsiTheme="majorEastAsia"/>
          <w:bCs/>
          <w:sz w:val="18"/>
          <w:szCs w:val="18"/>
        </w:rPr>
        <w:t>的赎回申请的</w:t>
      </w:r>
      <w:r>
        <w:rPr>
          <w:rFonts w:asciiTheme="majorEastAsia" w:eastAsiaTheme="majorEastAsia" w:hAnsiTheme="majorEastAsia" w:hint="eastAsia"/>
          <w:bCs/>
          <w:sz w:val="18"/>
          <w:szCs w:val="18"/>
        </w:rPr>
        <w:t>相应赎回</w:t>
      </w:r>
      <w:r>
        <w:rPr>
          <w:rFonts w:asciiTheme="majorEastAsia" w:eastAsiaTheme="majorEastAsia" w:hAnsiTheme="majorEastAsia"/>
          <w:bCs/>
          <w:sz w:val="18"/>
          <w:szCs w:val="18"/>
        </w:rPr>
        <w:t>款项将会在不超过20个工作日内支付</w:t>
      </w:r>
      <w:r>
        <w:rPr>
          <w:rFonts w:asciiTheme="majorEastAsia" w:eastAsiaTheme="majorEastAsia" w:hAnsiTheme="majorEastAsia" w:hint="eastAsia"/>
          <w:bCs/>
          <w:sz w:val="18"/>
          <w:szCs w:val="18"/>
        </w:rPr>
        <w:t>至</w:t>
      </w:r>
      <w:r>
        <w:rPr>
          <w:rFonts w:asciiTheme="majorEastAsia" w:eastAsiaTheme="majorEastAsia" w:hAnsiTheme="majorEastAsia"/>
          <w:bCs/>
          <w:sz w:val="18"/>
          <w:szCs w:val="18"/>
        </w:rPr>
        <w:t>投资者</w:t>
      </w:r>
      <w:r>
        <w:rPr>
          <w:rFonts w:asciiTheme="majorEastAsia" w:eastAsiaTheme="majorEastAsia" w:hAnsiTheme="majorEastAsia" w:hint="eastAsia"/>
          <w:bCs/>
          <w:sz w:val="18"/>
          <w:szCs w:val="18"/>
        </w:rPr>
        <w:t>。</w:t>
      </w:r>
      <w:r>
        <w:rPr>
          <w:rFonts w:asciiTheme="majorEastAsia" w:eastAsiaTheme="majorEastAsia" w:hAnsiTheme="majorEastAsia" w:hint="eastAsia"/>
          <w:color w:val="auto"/>
          <w:sz w:val="18"/>
          <w:szCs w:val="18"/>
        </w:rPr>
        <w:t>在暂停赎回或延缓支付赎回款项的情况消除时，产品管理人应及时恢复赎回或支付业务赎回款项的办理。</w:t>
      </w:r>
    </w:p>
    <w:p w:rsidR="00E30D17" w:rsidRDefault="0065187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（七）巨额赎回的情形及</w:t>
      </w:r>
      <w:r>
        <w:rPr>
          <w:rFonts w:asciiTheme="majorEastAsia" w:eastAsiaTheme="majorEastAsia" w:hAnsiTheme="majorEastAsia"/>
          <w:b/>
          <w:color w:val="auto"/>
          <w:sz w:val="18"/>
          <w:szCs w:val="18"/>
        </w:rPr>
        <w:t>处理方式</w:t>
      </w:r>
    </w:p>
    <w:p w:rsidR="00E30D17" w:rsidRDefault="00651870">
      <w:pPr>
        <w:widowControl/>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巨额赎回的认定</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E30D17" w:rsidRDefault="00651870">
      <w:pPr>
        <w:widowControl/>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巨额赎回的处理方式</w:t>
      </w:r>
    </w:p>
    <w:p w:rsidR="00E30D17" w:rsidRDefault="00651870">
      <w:pPr>
        <w:widowControl/>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出现巨额赎回时，产品管理人有权决定：（1）</w:t>
      </w:r>
      <w:r>
        <w:rPr>
          <w:rFonts w:asciiTheme="majorEastAsia" w:eastAsiaTheme="majorEastAsia" w:hAnsiTheme="majorEastAsia"/>
          <w:bCs/>
          <w:sz w:val="18"/>
          <w:szCs w:val="18"/>
        </w:rPr>
        <w:t>不接受</w:t>
      </w:r>
      <w:r>
        <w:rPr>
          <w:rFonts w:asciiTheme="majorEastAsia" w:eastAsiaTheme="majorEastAsia" w:hAnsiTheme="majorEastAsia" w:hint="eastAsia"/>
          <w:bCs/>
          <w:sz w:val="18"/>
          <w:szCs w:val="18"/>
        </w:rPr>
        <w:t>超出部分的净预约赎回申请，但投资者可于下一预约赎回期重新进行预约赎回申请；（</w:t>
      </w:r>
      <w:r>
        <w:rPr>
          <w:rFonts w:asciiTheme="majorEastAsia" w:eastAsiaTheme="majorEastAsia" w:hAnsiTheme="majorEastAsia"/>
          <w:bCs/>
          <w:sz w:val="18"/>
          <w:szCs w:val="18"/>
        </w:rPr>
        <w:t>2）延缓支付赎回款项</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如产品管理人认为有必要，</w:t>
      </w:r>
      <w:r>
        <w:rPr>
          <w:rFonts w:asciiTheme="majorEastAsia" w:eastAsiaTheme="majorEastAsia" w:hAnsiTheme="majorEastAsia" w:hint="eastAsia"/>
          <w:bCs/>
          <w:sz w:val="18"/>
          <w:szCs w:val="18"/>
        </w:rPr>
        <w:t>针对</w:t>
      </w:r>
      <w:r>
        <w:rPr>
          <w:rFonts w:asciiTheme="majorEastAsia" w:eastAsiaTheme="majorEastAsia" w:hAnsiTheme="majorEastAsia"/>
          <w:bCs/>
          <w:sz w:val="18"/>
          <w:szCs w:val="18"/>
        </w:rPr>
        <w:t>已经</w:t>
      </w:r>
      <w:r>
        <w:rPr>
          <w:rFonts w:asciiTheme="majorEastAsia" w:eastAsiaTheme="majorEastAsia" w:hAnsiTheme="majorEastAsia" w:hint="eastAsia"/>
          <w:bCs/>
          <w:sz w:val="18"/>
          <w:szCs w:val="18"/>
        </w:rPr>
        <w:t>确认</w:t>
      </w:r>
      <w:r>
        <w:rPr>
          <w:rFonts w:asciiTheme="majorEastAsia" w:eastAsiaTheme="majorEastAsia" w:hAnsiTheme="majorEastAsia"/>
          <w:bCs/>
          <w:sz w:val="18"/>
          <w:szCs w:val="18"/>
        </w:rPr>
        <w:t>的赎回申请</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可以延缓支付赎回款项。延缓支付赎回款项</w:t>
      </w:r>
      <w:r>
        <w:rPr>
          <w:rFonts w:asciiTheme="majorEastAsia" w:eastAsiaTheme="majorEastAsia" w:hAnsiTheme="majorEastAsia" w:hint="eastAsia"/>
          <w:bCs/>
          <w:sz w:val="18"/>
          <w:szCs w:val="18"/>
        </w:rPr>
        <w:t>的</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已经确认</w:t>
      </w:r>
      <w:r>
        <w:rPr>
          <w:rFonts w:asciiTheme="majorEastAsia" w:eastAsiaTheme="majorEastAsia" w:hAnsiTheme="majorEastAsia"/>
          <w:bCs/>
          <w:sz w:val="18"/>
          <w:szCs w:val="18"/>
        </w:rPr>
        <w:t>的赎回申请的</w:t>
      </w:r>
      <w:r>
        <w:rPr>
          <w:rFonts w:asciiTheme="majorEastAsia" w:eastAsiaTheme="majorEastAsia" w:hAnsiTheme="majorEastAsia" w:hint="eastAsia"/>
          <w:bCs/>
          <w:sz w:val="18"/>
          <w:szCs w:val="18"/>
        </w:rPr>
        <w:t>相应赎回</w:t>
      </w:r>
      <w:r>
        <w:rPr>
          <w:rFonts w:asciiTheme="majorEastAsia" w:eastAsiaTheme="majorEastAsia" w:hAnsiTheme="majorEastAsia"/>
          <w:bCs/>
          <w:sz w:val="18"/>
          <w:szCs w:val="18"/>
        </w:rPr>
        <w:t>款项将会在不超过20个工作日内支付</w:t>
      </w:r>
      <w:r>
        <w:rPr>
          <w:rFonts w:asciiTheme="majorEastAsia" w:eastAsiaTheme="majorEastAsia" w:hAnsiTheme="majorEastAsia" w:hint="eastAsia"/>
          <w:bCs/>
          <w:sz w:val="18"/>
          <w:szCs w:val="18"/>
        </w:rPr>
        <w:t>至</w:t>
      </w:r>
      <w:r>
        <w:rPr>
          <w:rFonts w:asciiTheme="majorEastAsia" w:eastAsiaTheme="majorEastAsia" w:hAnsiTheme="majorEastAsia"/>
          <w:bCs/>
          <w:sz w:val="18"/>
          <w:szCs w:val="18"/>
        </w:rPr>
        <w:t>投资者</w:t>
      </w:r>
      <w:r>
        <w:rPr>
          <w:rFonts w:asciiTheme="majorEastAsia" w:eastAsiaTheme="majorEastAsia" w:hAnsiTheme="majorEastAsia" w:hint="eastAsia"/>
          <w:bCs/>
          <w:sz w:val="18"/>
          <w:szCs w:val="18"/>
        </w:rPr>
        <w:t>。（3）法律法规规定或监管机构规定的其他措施。</w:t>
      </w:r>
    </w:p>
    <w:p w:rsidR="00E30D17" w:rsidRDefault="00651870">
      <w:pPr>
        <w:widowControl/>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巨额赎回的公告</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在发生巨额赎回产品管理人暂停接受投资者预约赎回申请时，产品管理人将依约定发布相关公告信息。</w:t>
      </w:r>
    </w:p>
    <w:p w:rsidR="00E30D17" w:rsidRDefault="00651870">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（八）日期遇非工作日的调整</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rsidR="00E30D17" w:rsidRDefault="0065187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（九）投资者持有理财份额的限额和理财产品总规模限额</w:t>
      </w:r>
    </w:p>
    <w:p w:rsidR="00E30D17" w:rsidRDefault="0065187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E30D17" w:rsidRDefault="00651870">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p w:rsidR="00E30D17" w:rsidRDefault="00651870">
      <w:pPr>
        <w:pStyle w:val="1"/>
        <w:spacing w:before="0" w:after="0" w:line="360" w:lineRule="auto"/>
        <w:jc w:val="center"/>
        <w:rPr>
          <w:rFonts w:ascii="Times New Roman"/>
          <w:sz w:val="30"/>
        </w:rPr>
      </w:pPr>
      <w:bookmarkStart w:id="16" w:name="_Toc16265"/>
      <w:bookmarkStart w:id="17" w:name="_Toc7151"/>
      <w:bookmarkStart w:id="18" w:name="_Toc22074"/>
      <w:bookmarkStart w:id="19" w:name="_Toc92377134"/>
      <w:bookmarkStart w:id="20" w:name="_Toc79154668"/>
      <w:bookmarkStart w:id="21" w:name="_Toc74065741"/>
      <w:bookmarkStart w:id="22" w:name="_Toc6714"/>
      <w:bookmarkStart w:id="23" w:name="_Toc29784"/>
      <w:bookmarkStart w:id="24" w:name="_Toc90742390"/>
      <w:bookmarkStart w:id="25" w:name="_Toc90742321"/>
      <w:bookmarkStart w:id="26" w:name="_Toc27189"/>
      <w:bookmarkStart w:id="27" w:name="_Toc27226"/>
      <w:bookmarkStart w:id="28" w:name="_Toc90742688"/>
      <w:bookmarkStart w:id="29" w:name="_Toc15203"/>
      <w:bookmarkStart w:id="30" w:name="_Toc29948"/>
      <w:bookmarkStart w:id="31" w:name="_Toc24722"/>
      <w:bookmarkStart w:id="32" w:name="_Toc3266"/>
      <w:bookmarkEnd w:id="10"/>
      <w:r>
        <w:rPr>
          <w:rFonts w:ascii="Times New Roman"/>
          <w:sz w:val="30"/>
        </w:rPr>
        <w:lastRenderedPageBreak/>
        <w:t>第</w:t>
      </w:r>
      <w:r>
        <w:rPr>
          <w:rFonts w:ascii="Times New Roman" w:hint="eastAsia"/>
          <w:sz w:val="30"/>
        </w:rPr>
        <w:t>五条</w:t>
      </w:r>
      <w:r>
        <w:rPr>
          <w:rFonts w:ascii="Times New Roman"/>
          <w:sz w:val="30"/>
        </w:rPr>
        <w:t xml:space="preserve">  </w:t>
      </w:r>
      <w:r>
        <w:rPr>
          <w:rFonts w:ascii="Times New Roman" w:hint="eastAsia"/>
          <w:sz w:val="30"/>
        </w:rPr>
        <w:t>理财产品的投资</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E30D17" w:rsidRDefault="0065187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E30D17" w:rsidRDefault="00651870">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E30D17" w:rsidRDefault="0065187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E30D17" w:rsidRDefault="0065187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E30D17" w:rsidRDefault="00651870">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（1）银行存款、债券逆回购、货币基金等货币市场工具及其它银行间和交易所资金融通工具；</w:t>
      </w:r>
    </w:p>
    <w:p w:rsidR="00E30D17" w:rsidRDefault="00651870">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E30D17" w:rsidRDefault="00651870">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（3）符合监管要求的债权类资产。</w:t>
      </w:r>
    </w:p>
    <w:p w:rsidR="00E30D17" w:rsidRDefault="00651870">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（4）以套期保值为目的的国债期货、利率互换、</w:t>
      </w:r>
      <w:r>
        <w:rPr>
          <w:rFonts w:asciiTheme="majorEastAsia" w:eastAsiaTheme="majorEastAsia" w:hAnsiTheme="majorEastAsia" w:hint="eastAsia"/>
          <w:bCs/>
          <w:color w:val="000000" w:themeColor="text1"/>
          <w:sz w:val="18"/>
          <w:szCs w:val="18"/>
        </w:rPr>
        <w:t>信用风险缓释工具、</w:t>
      </w:r>
      <w:r>
        <w:rPr>
          <w:rFonts w:asciiTheme="majorEastAsia" w:eastAsiaTheme="majorEastAsia" w:hAnsiTheme="majorEastAsia" w:hint="eastAsia"/>
          <w:bCs/>
          <w:sz w:val="18"/>
          <w:szCs w:val="18"/>
        </w:rPr>
        <w:t>债券借贷。</w:t>
      </w:r>
    </w:p>
    <w:p w:rsidR="00E30D17" w:rsidRDefault="00651870">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rsidR="00E30D17" w:rsidRDefault="00651870">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（6）其他风险不高于前述资产的资产。</w:t>
      </w:r>
    </w:p>
    <w:p w:rsidR="00E30D17" w:rsidRDefault="0065187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E30D17" w:rsidRDefault="0065187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.投资组合比例：</w:t>
      </w:r>
    </w:p>
    <w:p w:rsidR="00E30D17" w:rsidRDefault="00651870">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本产品投资于固定收益类资产的比例不低于产品总资产的</w:t>
      </w:r>
      <w:r>
        <w:rPr>
          <w:rFonts w:asciiTheme="majorEastAsia" w:eastAsiaTheme="majorEastAsia" w:hAnsiTheme="majorEastAsia"/>
          <w:bCs/>
          <w:sz w:val="18"/>
          <w:szCs w:val="18"/>
        </w:rPr>
        <w:t>80%</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p>
    <w:p w:rsidR="00E30D17" w:rsidRDefault="00651870">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bCs/>
          <w:sz w:val="18"/>
          <w:szCs w:val="18"/>
        </w:rPr>
        <w:t>符合监管要求的非标准化债权类资产低于产品总资产的50%。</w:t>
      </w:r>
    </w:p>
    <w:p w:rsidR="00E30D17" w:rsidRDefault="00651870">
      <w:pPr>
        <w:pStyle w:val="Default"/>
        <w:spacing w:line="360" w:lineRule="auto"/>
        <w:ind w:firstLineChars="235" w:firstLine="423"/>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kern w:val="2"/>
          <w:sz w:val="18"/>
          <w:szCs w:val="18"/>
        </w:rPr>
        <w:t>（3）</w:t>
      </w:r>
      <w:r>
        <w:rPr>
          <w:rFonts w:asciiTheme="majorEastAsia" w:eastAsiaTheme="majorEastAsia" w:hAnsiTheme="majorEastAsia" w:hint="eastAsia"/>
          <w:bCs/>
          <w:sz w:val="18"/>
          <w:szCs w:val="18"/>
        </w:rPr>
        <w:t>国债期货、利率互换、信用风险缓释工具等衍生品</w:t>
      </w:r>
      <w:r>
        <w:rPr>
          <w:rFonts w:asciiTheme="majorEastAsia" w:eastAsiaTheme="majorEastAsia" w:hAnsiTheme="majorEastAsia" w:hint="eastAsia"/>
          <w:bCs/>
          <w:color w:val="000000" w:themeColor="text1"/>
          <w:kern w:val="2"/>
          <w:sz w:val="18"/>
          <w:szCs w:val="18"/>
        </w:rPr>
        <w:t>占产品总资产比例低于20%。</w:t>
      </w:r>
    </w:p>
    <w:p w:rsidR="00E30D17" w:rsidRDefault="00651870">
      <w:pPr>
        <w:autoSpaceDE w:val="0"/>
        <w:autoSpaceDN w:val="0"/>
        <w:adjustRightInd w:val="0"/>
        <w:spacing w:line="360" w:lineRule="auto"/>
        <w:ind w:firstLineChars="200" w:firstLine="361"/>
        <w:jc w:val="left"/>
      </w:pPr>
      <w:r>
        <w:rPr>
          <w:rFonts w:asciiTheme="majorEastAsia" w:eastAsiaTheme="majorEastAsia" w:hAnsiTheme="majorEastAsia" w:hint="eastAsia"/>
          <w:b/>
          <w:sz w:val="18"/>
          <w:szCs w:val="18"/>
        </w:rPr>
        <w:t>注：本产品可能投资不存在活跃交易市场，并且需要采用估值技术确定公允价值的资产，且投资上述资产的比例达到理财产品净资产50%以上。</w:t>
      </w:r>
    </w:p>
    <w:p w:rsidR="00E30D17" w:rsidRDefault="0065187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E30D17" w:rsidRDefault="0065187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.如果法律法规对本协议约定投资组合比例限制进行变更的，以变更后的规定为准。</w:t>
      </w:r>
    </w:p>
    <w:p w:rsidR="00E30D17" w:rsidRDefault="00651870">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E30D17" w:rsidRDefault="0065187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r>
        <w:rPr>
          <w:rFonts w:ascii="黑体" w:eastAsia="黑体" w:hAnsi="黑体" w:hint="eastAsia"/>
          <w:bCs/>
          <w:sz w:val="18"/>
          <w:szCs w:val="18"/>
        </w:rPr>
        <w:t>个月内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w:t>
      </w:r>
      <w:r>
        <w:rPr>
          <w:rFonts w:asciiTheme="majorEastAsia" w:eastAsiaTheme="majorEastAsia" w:hAnsiTheme="majorEastAsia"/>
          <w:bCs/>
          <w:sz w:val="18"/>
          <w:szCs w:val="18"/>
        </w:rPr>
        <w:lastRenderedPageBreak/>
        <w:t>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E30D17" w:rsidRDefault="0065187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金融市场发生重大变化导致理财产品投资比例暂时超出浮动区间且可能对理财产品收益产生重大影响的，产品管理人依约定及时向投资者进行信息披露。</w:t>
      </w:r>
    </w:p>
    <w:p w:rsidR="00E30D17" w:rsidRDefault="0065187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eastAsia="黑体" w:hAnsi="黑体"/>
          <w:bCs/>
          <w:sz w:val="18"/>
          <w:szCs w:val="18"/>
        </w:rPr>
        <w:t>投资者有权不接受变更</w:t>
      </w:r>
      <w:r>
        <w:rPr>
          <w:rFonts w:ascii="黑体" w:eastAsia="黑体" w:hAnsi="黑体" w:hint="eastAsia"/>
          <w:bCs/>
          <w:sz w:val="18"/>
          <w:szCs w:val="18"/>
        </w:rPr>
        <w:t>，并通过赎回退出本产品。</w:t>
      </w:r>
    </w:p>
    <w:p w:rsidR="00E30D17" w:rsidRDefault="00651870">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E30D17" w:rsidRDefault="00651870">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E30D17" w:rsidRDefault="0065187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本</w:t>
      </w:r>
      <w:r>
        <w:rPr>
          <w:rFonts w:asciiTheme="majorEastAsia" w:eastAsiaTheme="majorEastAsia" w:hAnsiTheme="majorEastAsia" w:hint="eastAsia"/>
          <w:color w:val="auto"/>
          <w:sz w:val="18"/>
          <w:szCs w:val="18"/>
        </w:rPr>
        <w:t>产品投资单只证券或者单只公募证券投资基金的市值不得超过该理财产品净资产的</w:t>
      </w:r>
      <w:r>
        <w:rPr>
          <w:rFonts w:asciiTheme="majorEastAsia" w:eastAsiaTheme="majorEastAsia" w:hAnsiTheme="majorEastAsia"/>
          <w:color w:val="auto"/>
          <w:sz w:val="18"/>
          <w:szCs w:val="18"/>
        </w:rPr>
        <w:t>10%</w:t>
      </w:r>
      <w:r>
        <w:rPr>
          <w:rFonts w:asciiTheme="majorEastAsia" w:eastAsiaTheme="majorEastAsia" w:hAnsiTheme="majorEastAsia" w:hint="eastAsia"/>
          <w:color w:val="auto"/>
          <w:sz w:val="18"/>
          <w:szCs w:val="18"/>
        </w:rPr>
        <w:t>。</w:t>
      </w:r>
    </w:p>
    <w:p w:rsidR="00E30D17" w:rsidRDefault="0065187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（2）本产品管理人全部公募理财产品持有单只证券或单只公募证券投资基金的市值，不得超过该证券市值或该公募证券投资基金市值的30%。</w:t>
      </w:r>
    </w:p>
    <w:p w:rsidR="00E30D17" w:rsidRDefault="0065187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（3）本产品管理人全部理财产品持有单一上市公司发行的股票，不得超过该上市公司可流通股票的30%。</w:t>
      </w:r>
    </w:p>
    <w:p w:rsidR="00E30D17" w:rsidRDefault="0065187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（4）本产品管理人全部开放式公募理财产品投资单一上市公司发行的股票不得超过该上市公司可流通股票的15%。</w:t>
      </w:r>
    </w:p>
    <w:p w:rsidR="00E30D17" w:rsidRDefault="0065187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（5）本产品直接投资于流动性受限资产的市值在开放日不得超过该产品资产净值的15%。</w:t>
      </w:r>
    </w:p>
    <w:p w:rsidR="00E30D17" w:rsidRDefault="0065187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因证券市场波动、上市公司股票停牌、理财产品规模变动等因素导致理财产品不符合本款规定比例限制的，该理财产品不得主动新增投资流动性受限资产。</w:t>
      </w:r>
    </w:p>
    <w:p w:rsidR="00E30D17" w:rsidRDefault="0065187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6）每只开放式公募理财产品定期开放周期不低于90天的，在开放日及开放日前7个工作日内持有不低于该产品资产净值5%的现金或者到期日在一年以内的国债、中央银行票据和政策性金融债券。其他开放式公募理财产品均应当持续符合前款比例要求。</w:t>
      </w:r>
    </w:p>
    <w:p w:rsidR="00E30D17" w:rsidRDefault="0065187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7）本产品每日确认且需当日支付的净赎回申请不超过前一工作日产品7个工作日可变现资产的可变现价值，银保监会另有规定的除外。在开放日前一工作日内，本产品7个工作日可变现资产的可变现价值应当不低于该产品资产净值的10%。</w:t>
      </w:r>
    </w:p>
    <w:p w:rsidR="00E30D17" w:rsidRDefault="0065187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（8）本产品因为流动性需要可开展存单质押、债券正回购等融资业务，本产品总资产不超过净资产的</w:t>
      </w:r>
      <w:r>
        <w:rPr>
          <w:rFonts w:asciiTheme="majorEastAsia" w:eastAsiaTheme="majorEastAsia" w:hAnsiTheme="majorEastAsia" w:hint="eastAsia"/>
          <w:bCs/>
          <w:kern w:val="0"/>
          <w:sz w:val="18"/>
          <w:szCs w:val="18"/>
        </w:rPr>
        <w:lastRenderedPageBreak/>
        <w:t>140%。</w:t>
      </w:r>
    </w:p>
    <w:p w:rsidR="00E30D17" w:rsidRDefault="0065187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（9）本产品投资资产组合久期不超过【5】年。</w:t>
      </w:r>
    </w:p>
    <w:p w:rsidR="00E30D17" w:rsidRDefault="0065187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（10）本产品投资的各类债券主体（发行人或担保人）或债项评级达到AA级（含）以上。</w:t>
      </w:r>
    </w:p>
    <w:p w:rsidR="00E30D17" w:rsidRDefault="0065187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E30D17" w:rsidRDefault="00651870">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E30D17" w:rsidRDefault="0065187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E30D17" w:rsidRDefault="00651870">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通过对经济基本面、企业盈利、无风险利率水平、资金面等因素进行定性和定量分析，根据产品的业绩目标和回撤目标制定各个阶段产品股债投资比例。</w:t>
      </w:r>
    </w:p>
    <w:p w:rsidR="00E30D17" w:rsidRDefault="0065187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本产品将密切关注股票、债券以及货币市场的运行状况与风险收益特征，综合分析宏观经济基本面、政策面、流动性、估值与供求等因素，判断金融市场运行趋势和不同资产类别的相对投资价值，对各大类资产的风险收益特征进行评估，在符合本产品相关投资比例规定的前提下，确定各类属资产的配置比例，并依据各因素的动态变化进行及时调整。</w:t>
      </w:r>
    </w:p>
    <w:p w:rsidR="00E30D17" w:rsidRDefault="0065187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 xml:space="preserve">（五）业绩比较基准 </w:t>
      </w:r>
    </w:p>
    <w:p w:rsidR="00E30D17" w:rsidRDefault="00651870">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 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E30D17" w:rsidRDefault="00651870">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1.产品管理人设置业绩比较基准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“第二条 理财产品基本情况”</w:t>
      </w:r>
      <w:r>
        <w:rPr>
          <w:rFonts w:asciiTheme="majorEastAsia" w:eastAsiaTheme="majorEastAsia" w:hAnsiTheme="majorEastAsia" w:hint="eastAsia"/>
          <w:sz w:val="18"/>
          <w:szCs w:val="18"/>
        </w:rPr>
        <w:t>为准。</w:t>
      </w:r>
    </w:p>
    <w:p w:rsidR="00E30D17" w:rsidRDefault="00651870">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E30D17" w:rsidRDefault="00651870">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E30D17" w:rsidRDefault="00651870">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产品管理人不设置业绩比较基准。</w:t>
      </w:r>
    </w:p>
    <w:p w:rsidR="00E30D17" w:rsidRDefault="00651870">
      <w:pPr>
        <w:autoSpaceDE w:val="0"/>
        <w:autoSpaceDN w:val="0"/>
        <w:adjustRightInd w:val="0"/>
        <w:spacing w:line="360" w:lineRule="auto"/>
        <w:ind w:firstLineChars="200" w:firstLine="361"/>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（六）业绩报酬计提基准</w:t>
      </w:r>
    </w:p>
    <w:p w:rsidR="00E30D17" w:rsidRDefault="00651870">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产品管理人设置业绩报酬计提基准。</w:t>
      </w:r>
    </w:p>
    <w:p w:rsidR="00E30D17" w:rsidRDefault="00651870">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1.产品管理人设置业绩报酬计提基准并进行公告，具体以当期《产品说明书》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30D17" w:rsidRDefault="00651870">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2.★业绩报酬计提基准仅作为管理人收取超额业绩报酬的参照，不代表理财产品未来表现，不等于理财产品实际收益，不作为产品收益的业绩保证，投资须谨慎。</w:t>
      </w:r>
    </w:p>
    <w:p w:rsidR="00E30D17" w:rsidRDefault="00651870">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3.如果今后法律法规发生变化，或者有其他代表性更强、更科学客观的业绩报酬计提基准适用于本产品时，经产品管理人和产品托管人协商一致后，本产品可以变更业绩报酬计提基准并及时公告。</w:t>
      </w:r>
    </w:p>
    <w:p w:rsidR="00E30D17" w:rsidRDefault="00651870">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产品管理人不设置业绩报酬计提基准。</w:t>
      </w:r>
    </w:p>
    <w:p w:rsidR="00E30D17" w:rsidRDefault="00651870">
      <w:pPr>
        <w:pStyle w:val="HTML"/>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sz w:val="18"/>
          <w:szCs w:val="18"/>
        </w:rPr>
        <w:br w:type="page"/>
      </w:r>
    </w:p>
    <w:p w:rsidR="00E30D17" w:rsidRDefault="00651870">
      <w:pPr>
        <w:pStyle w:val="1"/>
        <w:spacing w:before="0" w:after="0" w:line="360" w:lineRule="auto"/>
        <w:jc w:val="center"/>
        <w:rPr>
          <w:rFonts w:ascii="Times New Roman"/>
          <w:sz w:val="30"/>
        </w:rPr>
      </w:pPr>
      <w:bookmarkStart w:id="33" w:name="_Toc4741"/>
      <w:bookmarkStart w:id="34" w:name="_Toc21988"/>
      <w:bookmarkStart w:id="35" w:name="_Toc27357"/>
      <w:bookmarkStart w:id="36" w:name="_Toc18526"/>
      <w:bookmarkStart w:id="37" w:name="_Toc79154669"/>
      <w:bookmarkStart w:id="38" w:name="_Toc1823"/>
      <w:bookmarkStart w:id="39" w:name="_Toc18329"/>
      <w:bookmarkStart w:id="40" w:name="_Toc7848"/>
      <w:bookmarkStart w:id="41" w:name="_Toc92377135"/>
      <w:bookmarkStart w:id="42" w:name="_Toc74065742"/>
      <w:bookmarkStart w:id="43" w:name="_Toc26986"/>
      <w:bookmarkStart w:id="44" w:name="_Toc18797"/>
      <w:bookmarkStart w:id="45" w:name="_Toc14893"/>
      <w:bookmarkStart w:id="46" w:name="_Toc141703885"/>
      <w:bookmarkStart w:id="47" w:name="_Toc139991735"/>
      <w:bookmarkStart w:id="48" w:name="_Toc17912"/>
      <w:r>
        <w:rPr>
          <w:rFonts w:ascii="Times New Roman"/>
          <w:sz w:val="30"/>
        </w:rPr>
        <w:lastRenderedPageBreak/>
        <w:t>第</w:t>
      </w:r>
      <w:r>
        <w:rPr>
          <w:rFonts w:ascii="Times New Roman" w:hint="eastAsia"/>
          <w:sz w:val="30"/>
        </w:rPr>
        <w:t>六条</w:t>
      </w:r>
      <w:r>
        <w:rPr>
          <w:rFonts w:ascii="Times New Roman"/>
          <w:sz w:val="30"/>
        </w:rPr>
        <w:t xml:space="preserve">  </w:t>
      </w:r>
      <w:r>
        <w:rPr>
          <w:rFonts w:ascii="Times New Roman" w:hint="eastAsia"/>
          <w:sz w:val="30"/>
        </w:rPr>
        <w:t>理财产品的资产</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30D17" w:rsidRDefault="00651870">
      <w:pPr>
        <w:pStyle w:val="Default"/>
        <w:spacing w:line="360" w:lineRule="auto"/>
        <w:ind w:firstLineChars="200" w:firstLine="361"/>
        <w:rPr>
          <w:rFonts w:asciiTheme="majorEastAsia" w:eastAsiaTheme="majorEastAsia" w:hAnsiTheme="majorEastAsia"/>
          <w:b/>
          <w:color w:val="auto"/>
          <w:sz w:val="18"/>
          <w:szCs w:val="18"/>
        </w:rPr>
      </w:pPr>
      <w:bookmarkStart w:id="49" w:name="_Hlk490214295"/>
      <w:r>
        <w:rPr>
          <w:rFonts w:asciiTheme="majorEastAsia" w:eastAsiaTheme="majorEastAsia" w:hAnsiTheme="majorEastAsia" w:hint="eastAsia"/>
          <w:b/>
          <w:color w:val="auto"/>
          <w:sz w:val="18"/>
          <w:szCs w:val="18"/>
        </w:rPr>
        <w:t>（一）理财产品的资产的保管和处分</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E30D17" w:rsidRDefault="0065187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E30D17" w:rsidRDefault="0065187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E30D17" w:rsidRDefault="00651870">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30D17" w:rsidRDefault="00651870">
      <w:pPr>
        <w:pStyle w:val="1"/>
        <w:spacing w:before="0" w:after="0" w:line="360" w:lineRule="auto"/>
        <w:jc w:val="center"/>
        <w:rPr>
          <w:rFonts w:ascii="Times New Roman"/>
          <w:sz w:val="28"/>
          <w:szCs w:val="28"/>
        </w:rPr>
      </w:pPr>
      <w:bookmarkStart w:id="50" w:name="_Toc83391971"/>
      <w:bookmarkStart w:id="51" w:name="_Toc10162"/>
      <w:bookmarkStart w:id="52" w:name="_Toc92377136"/>
      <w:bookmarkStart w:id="53" w:name="_Toc74065743"/>
      <w:bookmarkStart w:id="54" w:name="_Toc10463"/>
      <w:bookmarkStart w:id="55" w:name="_Toc79392606"/>
      <w:bookmarkStart w:id="56" w:name="_Toc48649707"/>
      <w:bookmarkStart w:id="57" w:name="_Toc123112234"/>
      <w:bookmarkStart w:id="58" w:name="_Toc23822"/>
      <w:bookmarkStart w:id="59" w:name="_Toc20733"/>
      <w:bookmarkStart w:id="60" w:name="_Toc1270"/>
      <w:bookmarkStart w:id="61" w:name="_Toc610"/>
      <w:bookmarkStart w:id="62" w:name="_Toc123051452"/>
      <w:bookmarkStart w:id="63" w:name="_Toc98560352"/>
      <w:bookmarkStart w:id="64" w:name="_Toc141703886"/>
      <w:bookmarkStart w:id="65" w:name="_Toc139991736"/>
      <w:bookmarkStart w:id="66" w:name="_Toc79154670"/>
      <w:bookmarkStart w:id="67" w:name="_Toc7920"/>
      <w:bookmarkStart w:id="68" w:name="_Toc4003"/>
      <w:bookmarkStart w:id="69" w:name="_Toc23261"/>
      <w:bookmarkStart w:id="70" w:name="_Toc123102453"/>
      <w:bookmarkStart w:id="71" w:name="_Toc17244"/>
      <w:bookmarkStart w:id="72" w:name="_Toc1427"/>
      <w:bookmarkEnd w:id="49"/>
      <w:r>
        <w:rPr>
          <w:rFonts w:ascii="Times New Roman" w:hint="eastAsia"/>
          <w:sz w:val="28"/>
          <w:szCs w:val="28"/>
        </w:rPr>
        <w:lastRenderedPageBreak/>
        <w:t>第七条</w:t>
      </w:r>
      <w:r>
        <w:rPr>
          <w:rFonts w:ascii="Times New Roman"/>
          <w:sz w:val="28"/>
          <w:szCs w:val="28"/>
        </w:rPr>
        <w:t xml:space="preserve">  </w:t>
      </w:r>
      <w:r>
        <w:rPr>
          <w:rFonts w:ascii="Times New Roman" w:hint="eastAsia"/>
          <w:sz w:val="28"/>
          <w:szCs w:val="28"/>
        </w:rPr>
        <w:t>理财产品项下资产的估值</w:t>
      </w:r>
      <w:bookmarkEnd w:id="50"/>
      <w:bookmarkEnd w:id="51"/>
      <w:bookmarkEnd w:id="52"/>
    </w:p>
    <w:p w:rsidR="00E30D17" w:rsidRDefault="0065187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hint="eastAsia"/>
          <w:b/>
          <w:color w:val="auto"/>
          <w:sz w:val="18"/>
          <w:szCs w:val="18"/>
        </w:rPr>
        <w:t>（一）估值目的</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理财资产估值的目的是客观、准确地反映理财资产是否保值、增值。</w:t>
      </w:r>
    </w:p>
    <w:p w:rsidR="00E30D17" w:rsidRDefault="0065187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hint="eastAsia"/>
          <w:b/>
          <w:color w:val="auto"/>
          <w:sz w:val="18"/>
          <w:szCs w:val="18"/>
        </w:rPr>
        <w:t>（二）估值频率</w:t>
      </w:r>
    </w:p>
    <w:p w:rsidR="00E30D17" w:rsidRDefault="00651870">
      <w:pPr>
        <w:pStyle w:val="HTML"/>
        <w:spacing w:line="360" w:lineRule="auto"/>
        <w:ind w:firstLineChars="200" w:firstLine="360"/>
        <w:rPr>
          <w:rFonts w:asciiTheme="minorEastAsia" w:eastAsiaTheme="minorEastAsia" w:hAnsiTheme="minorEastAsia"/>
          <w:color w:val="2E3033"/>
          <w:sz w:val="18"/>
          <w:szCs w:val="18"/>
        </w:rPr>
      </w:pPr>
      <w:r>
        <w:rPr>
          <w:rFonts w:asciiTheme="minorEastAsia" w:eastAsiaTheme="minorEastAsia" w:hAnsiTheme="minorEastAsia" w:hint="eastAsia"/>
          <w:sz w:val="18"/>
          <w:szCs w:val="18"/>
        </w:rPr>
        <w:t>本产品存续期间</w:t>
      </w:r>
      <w:r>
        <w:rPr>
          <w:rFonts w:asciiTheme="minorEastAsia" w:eastAsiaTheme="minorEastAsia" w:hAnsiTheme="minorEastAsia" w:cs="Times New Roman" w:hint="eastAsia"/>
          <w:sz w:val="18"/>
          <w:szCs w:val="18"/>
        </w:rPr>
        <w:t>，每周进行一次估值。如遇产品</w:t>
      </w:r>
      <w:r>
        <w:rPr>
          <w:rFonts w:asciiTheme="minorEastAsia" w:eastAsiaTheme="minorEastAsia" w:hAnsiTheme="minorEastAsia" w:cs="Times New Roman"/>
          <w:sz w:val="18"/>
          <w:szCs w:val="18"/>
        </w:rPr>
        <w:t>申购</w:t>
      </w:r>
      <w:r>
        <w:rPr>
          <w:rFonts w:asciiTheme="minorEastAsia" w:eastAsiaTheme="minorEastAsia" w:hAnsiTheme="minorEastAsia" w:cs="Times New Roman" w:hint="eastAsia"/>
          <w:sz w:val="18"/>
          <w:szCs w:val="18"/>
        </w:rPr>
        <w:t>日</w:t>
      </w:r>
      <w:r>
        <w:rPr>
          <w:rFonts w:asciiTheme="minorEastAsia" w:eastAsiaTheme="minorEastAsia" w:hAnsiTheme="minorEastAsia" w:cs="Times New Roman"/>
          <w:sz w:val="18"/>
          <w:szCs w:val="18"/>
        </w:rPr>
        <w:t>/赎回</w:t>
      </w:r>
      <w:r>
        <w:rPr>
          <w:rFonts w:asciiTheme="minorEastAsia" w:eastAsiaTheme="minorEastAsia" w:hAnsiTheme="minorEastAsia" w:cs="Times New Roman" w:hint="eastAsia"/>
          <w:sz w:val="18"/>
          <w:szCs w:val="18"/>
        </w:rPr>
        <w:t>日、季度</w:t>
      </w:r>
      <w:r>
        <w:rPr>
          <w:rFonts w:asciiTheme="minorEastAsia" w:eastAsiaTheme="minorEastAsia" w:hAnsiTheme="minorEastAsia" w:cs="Times New Roman"/>
          <w:sz w:val="18"/>
          <w:szCs w:val="18"/>
        </w:rPr>
        <w:t>、半年度、年度</w:t>
      </w:r>
      <w:r>
        <w:rPr>
          <w:rFonts w:asciiTheme="minorEastAsia" w:eastAsiaTheme="minorEastAsia" w:hAnsiTheme="minorEastAsia" w:cs="Times New Roman" w:hint="eastAsia"/>
          <w:sz w:val="18"/>
          <w:szCs w:val="18"/>
        </w:rPr>
        <w:t>末等时间节点管理</w:t>
      </w:r>
      <w:r>
        <w:rPr>
          <w:rFonts w:asciiTheme="minorEastAsia" w:eastAsiaTheme="minorEastAsia" w:hAnsiTheme="minorEastAsia" w:cs="Times New Roman"/>
          <w:sz w:val="18"/>
          <w:szCs w:val="18"/>
        </w:rPr>
        <w:t>人将</w:t>
      </w:r>
      <w:r>
        <w:rPr>
          <w:rFonts w:asciiTheme="minorEastAsia" w:eastAsiaTheme="minorEastAsia" w:hAnsiTheme="minorEastAsia" w:cs="Times New Roman" w:hint="eastAsia"/>
          <w:sz w:val="18"/>
          <w:szCs w:val="18"/>
        </w:rPr>
        <w:t>增加估值日</w:t>
      </w:r>
      <w:r>
        <w:rPr>
          <w:rFonts w:asciiTheme="minorEastAsia" w:eastAsiaTheme="minorEastAsia" w:hAnsiTheme="minorEastAsia" w:hint="eastAsia"/>
          <w:color w:val="2E3033"/>
          <w:sz w:val="18"/>
          <w:szCs w:val="18"/>
        </w:rPr>
        <w:t>。</w:t>
      </w:r>
    </w:p>
    <w:p w:rsidR="00E30D17" w:rsidRDefault="0065187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hint="eastAsia"/>
          <w:b/>
          <w:color w:val="auto"/>
          <w:sz w:val="18"/>
          <w:szCs w:val="18"/>
        </w:rPr>
        <w:t>（三）估值对象</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本产品所拥有的各类证券、资产管理产品、银行存款、应收款项、其它投资等资产及负债。</w:t>
      </w:r>
    </w:p>
    <w:p w:rsidR="00E30D17" w:rsidRDefault="00651870">
      <w:pPr>
        <w:pStyle w:val="Default"/>
        <w:spacing w:line="360" w:lineRule="auto"/>
        <w:ind w:firstLineChars="200" w:firstLine="361"/>
        <w:rPr>
          <w:rFonts w:asciiTheme="minorEastAsia" w:eastAsiaTheme="minorEastAsia" w:hAnsiTheme="minorEastAsia"/>
          <w:b/>
          <w:sz w:val="18"/>
          <w:szCs w:val="18"/>
        </w:rPr>
      </w:pPr>
      <w:r>
        <w:rPr>
          <w:rFonts w:asciiTheme="minorEastAsia" w:eastAsiaTheme="minorEastAsia" w:hAnsiTheme="minorEastAsia" w:hint="eastAsia"/>
          <w:b/>
          <w:sz w:val="18"/>
          <w:szCs w:val="18"/>
        </w:rPr>
        <w:t>（四）估值方法</w:t>
      </w:r>
    </w:p>
    <w:p w:rsidR="00E30D17" w:rsidRDefault="0065187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1.</w:t>
      </w:r>
      <w:r>
        <w:rPr>
          <w:rFonts w:asciiTheme="minorEastAsia" w:eastAsiaTheme="minorEastAsia" w:hAnsiTheme="minorEastAsia" w:hint="eastAsia"/>
          <w:b/>
          <w:color w:val="auto"/>
          <w:sz w:val="18"/>
          <w:szCs w:val="18"/>
        </w:rPr>
        <w:t>标准化债权类资产估值</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1）债券类资产以公允价值计量，主要依据为第三方估值机构提供的价格数据。</w:t>
      </w:r>
      <w:r>
        <w:rPr>
          <w:rFonts w:asciiTheme="majorEastAsia" w:eastAsiaTheme="majorEastAsia" w:hAnsiTheme="majorEastAsia" w:hint="eastAsia"/>
          <w:bCs/>
          <w:color w:val="auto"/>
          <w:sz w:val="18"/>
          <w:szCs w:val="18"/>
        </w:rPr>
        <w:t>第三方估值机构包括：中央国债登记结算公司和中证指数有限公司。</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eastAsiaTheme="majorEastAsia" w:hAnsiTheme="majorEastAsia"/>
          <w:bCs/>
          <w:color w:val="auto"/>
          <w:sz w:val="18"/>
          <w:szCs w:val="18"/>
        </w:rPr>
        <w:t xml:space="preserve"> </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(4)</w:t>
      </w:r>
      <w:r>
        <w:rPr>
          <w:rFonts w:asciiTheme="majorEastAsia" w:eastAsiaTheme="majorEastAsia" w:hAnsiTheme="majorEastAsia" w:hint="eastAsia"/>
          <w:bCs/>
          <w:color w:val="auto"/>
          <w:sz w:val="18"/>
          <w:szCs w:val="18"/>
        </w:rPr>
        <w:t>对在银行间市场或交易所市场已发行未上市流通的债券，且第三方估值机构未提供估值数据，采用估值技术确定其公允价值。</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5）同一债券同时在两个或两个以上市场交易的，按债券所处的市场及相应的估值标准，分别进行估值。</w:t>
      </w:r>
    </w:p>
    <w:p w:rsidR="00E30D17" w:rsidRDefault="0065187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E30D17" w:rsidRDefault="0065187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3.非标准化债权类资产</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非标准化债权类资产，是指不满足中国人民银行制定的标准化债权类资产认定标准的债权类资产。可选取第三方估值机构的价格数据或采用估值技术进行估值。</w:t>
      </w:r>
    </w:p>
    <w:p w:rsidR="00E30D17" w:rsidRDefault="0065187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lastRenderedPageBreak/>
        <w:t>4.上市公司股票</w:t>
      </w:r>
      <w:r>
        <w:rPr>
          <w:rFonts w:asciiTheme="majorEastAsia" w:eastAsiaTheme="majorEastAsia" w:hAnsiTheme="majorEastAsia" w:hint="eastAsia"/>
          <w:b/>
          <w:bCs/>
          <w:color w:val="auto"/>
          <w:sz w:val="18"/>
          <w:szCs w:val="18"/>
        </w:rPr>
        <w:t>估值</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上市公司股票包括正常流通普通股、流通受限股票、长期停牌股票和新发行未上市股票。具体估值方法如下：</w:t>
      </w:r>
    </w:p>
    <w:p w:rsidR="00E30D17" w:rsidRDefault="0065187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2）送股、转增股、配股和公开增发新股等发行未上市的股票，按估值日在证券交易所上市的同一股票的收盘价或最近交易日的收盘价确定公允价值。</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3）通过公开、非公开等方式取得且有明确限售期的股票，在限售期内，应以证券交易所上市交易的同一股票的公允价值为基础，引入流动性折扣进行估值。</w:t>
      </w:r>
      <w:r>
        <w:rPr>
          <w:rFonts w:asciiTheme="minorEastAsia" w:eastAsiaTheme="minorEastAsia" w:hAnsiTheme="minorEastAsia" w:hint="eastAsia"/>
          <w:color w:val="auto"/>
          <w:sz w:val="18"/>
          <w:szCs w:val="18"/>
        </w:rPr>
        <w:t>流动性折扣可依据第三方估值机构提供的数据，或采用看跌期权法以及其他合理的估值方法分析确定。</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4）长期停牌股票，</w:t>
      </w:r>
      <w:r>
        <w:rPr>
          <w:rFonts w:asciiTheme="minorEastAsia" w:eastAsiaTheme="minorEastAsia" w:hAnsiTheme="minorEastAsia" w:hint="eastAsia"/>
          <w:color w:val="auto"/>
          <w:sz w:val="18"/>
          <w:szCs w:val="18"/>
        </w:rPr>
        <w:t>根据停牌原因、停牌时间及停牌公司公告等信息，采用估值技术确定公允价值。</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5）</w:t>
      </w:r>
      <w:r>
        <w:rPr>
          <w:rFonts w:asciiTheme="minorEastAsia" w:eastAsiaTheme="minorEastAsia" w:hAnsiTheme="minorEastAsia" w:hint="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rsidR="00E30D17" w:rsidRDefault="0065187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5.未上市公司股权</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以公允价值计量，应综合考虑被评估企业实际情况、市场交易情况及其他可获得的信息，采用市场法、收益法、重置成本法等估值技术，结合流动性折扣等因素评估公允价值。</w:t>
      </w:r>
    </w:p>
    <w:p w:rsidR="00E30D17" w:rsidRDefault="0065187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6.</w:t>
      </w:r>
      <w:r>
        <w:rPr>
          <w:rFonts w:asciiTheme="minorEastAsia" w:eastAsiaTheme="minorEastAsia" w:hAnsiTheme="minorEastAsia" w:hint="eastAsia"/>
          <w:b/>
          <w:color w:val="auto"/>
          <w:sz w:val="18"/>
          <w:szCs w:val="18"/>
        </w:rPr>
        <w:t>优先股</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E30D17" w:rsidRDefault="0065187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7.</w:t>
      </w:r>
      <w:r>
        <w:rPr>
          <w:rFonts w:asciiTheme="minorEastAsia" w:eastAsiaTheme="minorEastAsia" w:hAnsiTheme="minorEastAsia" w:hint="eastAsia"/>
          <w:b/>
          <w:color w:val="auto"/>
          <w:sz w:val="18"/>
          <w:szCs w:val="18"/>
        </w:rPr>
        <w:t>证券投资基金估值</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1）非上市基金估值</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2)本产品投资的境内货币市场基金，按所投资基金前一估值日后至估值日期间（含节假日）的万份收益计提估值日基金收益。</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2）上市基金估值</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1)本产品投资的ETF基金、境内上市定期开放式基金、封闭式基金，按照所投资基金估值日的收盘价估</w:t>
      </w:r>
      <w:r>
        <w:rPr>
          <w:rFonts w:asciiTheme="minorEastAsia" w:eastAsiaTheme="minorEastAsia" w:hAnsiTheme="minorEastAsia" w:hint="eastAsia"/>
          <w:color w:val="auto"/>
          <w:sz w:val="18"/>
          <w:szCs w:val="18"/>
        </w:rPr>
        <w:t>值；估值日无交易的，以最近交易日的收盘价估值。</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lastRenderedPageBreak/>
        <w:t>2)本产品投资的境内上市开放式基金（LOF），按所投资基金估值日的基金份额净值估值；估值日基金净值未公布的，以基金管理人公布的最近一个工作日基金份额净值计算。</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E30D17" w:rsidRDefault="0065187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w:t>
      </w:r>
      <w:r>
        <w:rPr>
          <w:rFonts w:asciiTheme="minorEastAsia" w:eastAsiaTheme="minorEastAsia" w:hAnsiTheme="minorEastAsia" w:hint="eastAsia"/>
          <w:b/>
          <w:color w:val="auto"/>
          <w:sz w:val="18"/>
          <w:szCs w:val="18"/>
        </w:rPr>
        <w:t>其他资产管理产品的估值</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sz w:val="18"/>
          <w:szCs w:val="18"/>
        </w:rPr>
        <w:t>其他资产管理产品，指理财产品投资的除证券投资基金以外的其他资产管理产品，主要包括：</w:t>
      </w:r>
      <w:r>
        <w:rPr>
          <w:rFonts w:asciiTheme="minorEastAsia" w:eastAsiaTheme="minorEastAsia" w:hAnsiTheme="minorEastAsia" w:hint="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rsidR="00E30D17" w:rsidRDefault="0065187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9.衍生金融工具估值</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eastAsiaTheme="minorEastAsia" w:hAnsiTheme="minorEastAsia"/>
          <w:color w:val="auto"/>
          <w:sz w:val="18"/>
          <w:szCs w:val="18"/>
        </w:rPr>
        <w:t xml:space="preserve"> </w:t>
      </w:r>
    </w:p>
    <w:p w:rsidR="00E30D17" w:rsidRDefault="0065187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10.</w:t>
      </w:r>
      <w:r>
        <w:rPr>
          <w:rFonts w:asciiTheme="minorEastAsia" w:eastAsiaTheme="minorEastAsia" w:hAnsiTheme="minorEastAsia" w:hint="eastAsia"/>
          <w:b/>
          <w:color w:val="auto"/>
          <w:sz w:val="18"/>
          <w:szCs w:val="18"/>
        </w:rPr>
        <w:t>存款、拆借、回购等货币市场工具的估值</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sz w:val="18"/>
          <w:szCs w:val="18"/>
        </w:rPr>
        <w:t>以本金列示，按商定利率在实际持有期间内逐日计提利息。如有估值技术能更准确反映其公允价值的，采用估值技术进行估值。</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11.</w:t>
      </w:r>
      <w:r>
        <w:rPr>
          <w:rFonts w:asciiTheme="minorEastAsia" w:eastAsiaTheme="minorEastAsia" w:hAnsiTheme="minorEastAsia" w:hint="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12.当开放式公募理财产品（现金管理类理财产品除外）遭遇大额申购或赎回时，管理人可以采用摆动定价机制，以确保估值的公平性。具体操作按照相关法律法规、监管规定和自律规则执行。</w:t>
      </w:r>
    </w:p>
    <w:p w:rsidR="00E30D17" w:rsidRDefault="00651870">
      <w:pPr>
        <w:pStyle w:val="Default"/>
        <w:spacing w:line="360" w:lineRule="auto"/>
        <w:ind w:firstLineChars="200" w:firstLine="360"/>
        <w:rPr>
          <w:rFonts w:ascii="黑体" w:eastAsia="黑体" w:hAnsi="黑体"/>
          <w:color w:val="auto"/>
          <w:sz w:val="18"/>
          <w:szCs w:val="18"/>
        </w:rPr>
      </w:pPr>
      <w:r>
        <w:rPr>
          <w:rFonts w:ascii="黑体" w:eastAsia="黑体" w:hAnsi="黑体"/>
          <w:color w:val="auto"/>
          <w:sz w:val="18"/>
          <w:szCs w:val="18"/>
        </w:rPr>
        <w:t>1</w:t>
      </w:r>
      <w:r>
        <w:rPr>
          <w:rFonts w:ascii="黑体" w:eastAsia="黑体" w:hAnsi="黑体" w:hint="eastAsia"/>
          <w:color w:val="auto"/>
          <w:sz w:val="18"/>
          <w:szCs w:val="18"/>
        </w:rPr>
        <w:t>3</w:t>
      </w:r>
      <w:r>
        <w:rPr>
          <w:rFonts w:ascii="黑体" w:eastAsia="黑体" w:hAnsi="黑体"/>
          <w:color w:val="auto"/>
          <w:sz w:val="18"/>
          <w:szCs w:val="18"/>
        </w:rPr>
        <w:t>.</w:t>
      </w:r>
      <w:r>
        <w:rPr>
          <w:rFonts w:ascii="黑体" w:eastAsia="黑体" w:hAnsi="黑体" w:hint="eastAsia"/>
          <w:color w:val="auto"/>
          <w:sz w:val="18"/>
          <w:szCs w:val="18"/>
        </w:rPr>
        <w:t>★估值方法的调整</w:t>
      </w:r>
    </w:p>
    <w:p w:rsidR="00E30D17" w:rsidRDefault="00651870">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若因相关法律法规以及监管部门有规定，需要调整估值方法的，管理人应按相关规定要求使用调整后的估值方法进行估值。</w:t>
      </w:r>
    </w:p>
    <w:p w:rsidR="00E30D17" w:rsidRDefault="0065187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hint="eastAsia"/>
          <w:b/>
          <w:color w:val="auto"/>
          <w:sz w:val="18"/>
          <w:szCs w:val="18"/>
        </w:rPr>
        <w:t>（五）估值程序</w:t>
      </w:r>
    </w:p>
    <w:p w:rsidR="00E30D17" w:rsidRDefault="00651870">
      <w:pPr>
        <w:pStyle w:val="Default"/>
        <w:spacing w:line="360" w:lineRule="auto"/>
        <w:ind w:firstLineChars="200" w:firstLine="360"/>
        <w:rPr>
          <w:rFonts w:asciiTheme="minorEastAsia" w:eastAsiaTheme="minorEastAsia" w:hAnsiTheme="minorEastAsia"/>
          <w:bCs/>
          <w:color w:val="auto"/>
          <w:sz w:val="18"/>
          <w:szCs w:val="18"/>
        </w:rPr>
      </w:pPr>
      <w:r>
        <w:rPr>
          <w:rFonts w:asciiTheme="minorEastAsia" w:eastAsiaTheme="minorEastAsia" w:hAnsiTheme="minorEastAsia"/>
          <w:color w:val="auto"/>
          <w:sz w:val="18"/>
          <w:szCs w:val="18"/>
        </w:rPr>
        <w:t>1.</w:t>
      </w:r>
      <w:r>
        <w:rPr>
          <w:rFonts w:asciiTheme="minorEastAsia" w:eastAsiaTheme="minorEastAsia" w:hAnsiTheme="minorEastAsia" w:hint="eastAsia"/>
          <w:color w:val="auto"/>
          <w:sz w:val="18"/>
          <w:szCs w:val="18"/>
        </w:rPr>
        <w:t>产品份额净值是按照估值日产品资产净值除以当日产品总份额计算，</w:t>
      </w:r>
      <w:r>
        <w:rPr>
          <w:rFonts w:asciiTheme="minorEastAsia" w:eastAsiaTheme="minorEastAsia" w:hAnsiTheme="minorEastAsia"/>
          <w:bCs/>
          <w:color w:val="auto"/>
          <w:sz w:val="18"/>
          <w:szCs w:val="18"/>
        </w:rPr>
        <w:t>四舍五入保留5位小数</w:t>
      </w:r>
      <w:r>
        <w:rPr>
          <w:rFonts w:asciiTheme="minorEastAsia" w:eastAsiaTheme="minorEastAsia" w:hAnsiTheme="minorEastAsia" w:hint="eastAsia"/>
          <w:color w:val="auto"/>
          <w:sz w:val="18"/>
          <w:szCs w:val="18"/>
        </w:rPr>
        <w:t>。国家另有规定的，从其规定。</w:t>
      </w:r>
      <w:r>
        <w:rPr>
          <w:rFonts w:asciiTheme="minorEastAsia" w:eastAsiaTheme="minorEastAsia" w:hAnsiTheme="minorEastAsia" w:hint="eastAsia"/>
          <w:bCs/>
          <w:color w:val="auto"/>
          <w:sz w:val="18"/>
          <w:szCs w:val="18"/>
        </w:rPr>
        <w:t>发生巨额赎回时，为保护投资者利益，产品管理人可提高单位产品净值的精度。</w:t>
      </w:r>
    </w:p>
    <w:p w:rsidR="00E30D17" w:rsidRDefault="00651870">
      <w:pPr>
        <w:pStyle w:val="Default"/>
        <w:spacing w:line="360" w:lineRule="auto"/>
        <w:ind w:firstLineChars="200" w:firstLine="360"/>
        <w:rPr>
          <w:rFonts w:asciiTheme="minorEastAsia" w:eastAsiaTheme="minorEastAsia" w:hAnsiTheme="minorEastAsia"/>
          <w:sz w:val="18"/>
          <w:szCs w:val="18"/>
        </w:rPr>
      </w:pPr>
      <w:r>
        <w:rPr>
          <w:rFonts w:asciiTheme="minorEastAsia" w:eastAsiaTheme="minorEastAsia" w:hAnsiTheme="minorEastAsia"/>
          <w:sz w:val="18"/>
          <w:szCs w:val="18"/>
        </w:rPr>
        <w:t>2.产品管理人对理财资产估值后，将产品份额净值发送产品托管人，经产品托管人复核无误后，由产</w:t>
      </w:r>
      <w:r>
        <w:rPr>
          <w:rFonts w:asciiTheme="minorEastAsia" w:eastAsiaTheme="minorEastAsia" w:hAnsiTheme="minorEastAsia"/>
          <w:sz w:val="18"/>
          <w:szCs w:val="18"/>
        </w:rPr>
        <w:lastRenderedPageBreak/>
        <w:t xml:space="preserve">品管理人按规定对外公布。 </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 xml:space="preserve">3. </w:t>
      </w:r>
      <w:r>
        <w:rPr>
          <w:rFonts w:asciiTheme="minorEastAsia" w:eastAsiaTheme="minorEastAsia" w:hAnsiTheme="minorEastAsia" w:hint="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rsidR="00E30D17" w:rsidRDefault="00651870">
      <w:pPr>
        <w:pStyle w:val="Default"/>
        <w:spacing w:line="360" w:lineRule="auto"/>
        <w:ind w:firstLineChars="200" w:firstLine="361"/>
        <w:rPr>
          <w:rFonts w:asciiTheme="minorEastAsia" w:eastAsiaTheme="minorEastAsia" w:hAnsiTheme="minorEastAsia" w:cs="Times New Roman"/>
          <w:b/>
          <w:color w:val="auto"/>
          <w:sz w:val="18"/>
          <w:szCs w:val="18"/>
        </w:rPr>
      </w:pPr>
      <w:r>
        <w:rPr>
          <w:rFonts w:asciiTheme="minorEastAsia" w:eastAsiaTheme="minorEastAsia" w:hAnsiTheme="minorEastAsia" w:cs="Times New Roman" w:hint="eastAsia"/>
          <w:b/>
          <w:color w:val="auto"/>
          <w:sz w:val="18"/>
          <w:szCs w:val="18"/>
        </w:rPr>
        <w:t>（六）估值主体</w:t>
      </w:r>
    </w:p>
    <w:p w:rsidR="00E30D17" w:rsidRDefault="0065187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E30D17" w:rsidRDefault="0065187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E30D17" w:rsidRDefault="0065187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E30D17" w:rsidRDefault="0065187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E30D17" w:rsidRDefault="0065187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E30D17" w:rsidRDefault="0065187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E30D17" w:rsidRDefault="0065187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E30D17" w:rsidRDefault="00651870">
      <w:pPr>
        <w:widowControl/>
        <w:spacing w:line="360" w:lineRule="auto"/>
        <w:jc w:val="left"/>
        <w:rPr>
          <w:rFonts w:ascii="宋体" w:hAnsi="宋体"/>
          <w:kern w:val="0"/>
          <w:sz w:val="18"/>
          <w:szCs w:val="18"/>
        </w:rPr>
      </w:pPr>
      <w:r>
        <w:rPr>
          <w:rFonts w:hAnsi="宋体"/>
          <w:sz w:val="18"/>
          <w:szCs w:val="18"/>
        </w:rPr>
        <w:br w:type="page"/>
      </w:r>
    </w:p>
    <w:p w:rsidR="00E30D17" w:rsidRDefault="00651870">
      <w:pPr>
        <w:pStyle w:val="1"/>
        <w:spacing w:before="0" w:after="0" w:line="360" w:lineRule="auto"/>
        <w:ind w:left="60" w:firstLine="10"/>
        <w:jc w:val="center"/>
        <w:rPr>
          <w:rFonts w:ascii="Times New Roman"/>
          <w:sz w:val="30"/>
        </w:rPr>
      </w:pPr>
      <w:bookmarkStart w:id="73" w:name="_Hlt70481650"/>
      <w:bookmarkStart w:id="74" w:name="_Toc26207"/>
      <w:bookmarkStart w:id="75" w:name="_Toc3601"/>
      <w:bookmarkStart w:id="76" w:name="_Toc14835"/>
      <w:bookmarkStart w:id="77" w:name="_Toc31644"/>
      <w:bookmarkStart w:id="78" w:name="_Toc123102454"/>
      <w:bookmarkStart w:id="79" w:name="_Toc98560353"/>
      <w:bookmarkStart w:id="80" w:name="_Toc123112235"/>
      <w:bookmarkStart w:id="81" w:name="_Toc31235"/>
      <w:bookmarkStart w:id="82" w:name="_Toc79154671"/>
      <w:bookmarkStart w:id="83" w:name="_Toc29251"/>
      <w:bookmarkStart w:id="84" w:name="_Toc3138"/>
      <w:bookmarkStart w:id="85" w:name="_Toc31653"/>
      <w:bookmarkStart w:id="86" w:name="_Toc6405"/>
      <w:bookmarkStart w:id="87" w:name="_Toc12245"/>
      <w:bookmarkStart w:id="88" w:name="_Toc141703887"/>
      <w:bookmarkStart w:id="89" w:name="_Toc92377137"/>
      <w:bookmarkStart w:id="90" w:name="_Toc123051453"/>
      <w:bookmarkStart w:id="91" w:name="_Toc15143"/>
      <w:bookmarkStart w:id="92" w:name="_Toc139991737"/>
      <w:bookmarkStart w:id="93" w:name="_Toc74065744"/>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ascii="Times New Roman"/>
          <w:sz w:val="30"/>
        </w:rPr>
        <w:lastRenderedPageBreak/>
        <w:t>第</w:t>
      </w:r>
      <w:r>
        <w:rPr>
          <w:rFonts w:ascii="Times New Roman" w:hint="eastAsia"/>
          <w:sz w:val="30"/>
        </w:rPr>
        <w:t>八条</w:t>
      </w:r>
      <w:r>
        <w:rPr>
          <w:rFonts w:ascii="Times New Roman"/>
          <w:sz w:val="30"/>
        </w:rPr>
        <w:t xml:space="preserve">  </w:t>
      </w:r>
      <w:r>
        <w:rPr>
          <w:rFonts w:ascii="Times New Roman" w:hint="eastAsia"/>
          <w:sz w:val="30"/>
        </w:rPr>
        <w:t>理财产品的利益分配</w:t>
      </w:r>
      <w:bookmarkStart w:id="94" w:name="_Hlt55355235"/>
      <w:bookmarkStart w:id="95" w:name="_Toc523711668"/>
      <w:bookmarkStart w:id="96" w:name="_Toc79392580"/>
      <w:bookmarkStart w:id="97" w:name="_Toc15118234"/>
      <w:bookmarkStart w:id="98" w:name="_Toc57530239"/>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E30D17" w:rsidRDefault="00651870">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E30D17" w:rsidRDefault="00651870">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E30D17" w:rsidRDefault="00651870">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E30D17" w:rsidRDefault="00651870">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E30D17" w:rsidRDefault="00651870">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E30D17" w:rsidRDefault="00651870">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E30D17" w:rsidRDefault="00651870">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E30D17" w:rsidRDefault="00651870">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E30D17" w:rsidRDefault="00651870">
      <w:pPr>
        <w:pStyle w:val="Default"/>
        <w:spacing w:line="360" w:lineRule="auto"/>
        <w:ind w:firstLineChars="200" w:firstLine="361"/>
        <w:rPr>
          <w:rFonts w:hAnsi="宋体"/>
          <w:b/>
          <w:bCs/>
          <w:color w:val="auto"/>
          <w:sz w:val="18"/>
          <w:szCs w:val="18"/>
        </w:rPr>
      </w:pPr>
      <w:r>
        <w:rPr>
          <w:rFonts w:hAnsi="宋体" w:hint="eastAsia"/>
          <w:b/>
          <w:bCs/>
          <w:color w:val="auto"/>
          <w:sz w:val="18"/>
          <w:szCs w:val="18"/>
        </w:rPr>
        <w:t>1.分配方案要点：</w:t>
      </w:r>
    </w:p>
    <w:p w:rsidR="00E30D17" w:rsidRDefault="00651870">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E30D17" w:rsidRDefault="00651870">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E30D17" w:rsidRDefault="00651870">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E30D17" w:rsidRDefault="00651870">
      <w:pPr>
        <w:pStyle w:val="Default"/>
        <w:spacing w:line="360" w:lineRule="auto"/>
        <w:ind w:firstLineChars="200" w:firstLine="360"/>
        <w:rPr>
          <w:rFonts w:hAnsi="宋体"/>
          <w:color w:val="auto"/>
          <w:sz w:val="18"/>
          <w:szCs w:val="18"/>
        </w:rPr>
      </w:pPr>
      <w:r>
        <w:rPr>
          <w:rFonts w:hAnsi="宋体" w:hint="eastAsia"/>
          <w:color w:val="auto"/>
          <w:sz w:val="18"/>
          <w:szCs w:val="18"/>
        </w:rPr>
        <w:t>3.产品管理人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 w:rsidR="00E30D17" w:rsidRDefault="00651870">
      <w:pPr>
        <w:spacing w:line="360" w:lineRule="auto"/>
        <w:ind w:firstLine="360"/>
        <w:rPr>
          <w:rFonts w:ascii="宋体" w:hAnsi="宋体"/>
          <w:b/>
          <w:sz w:val="18"/>
          <w:szCs w:val="18"/>
        </w:rPr>
      </w:pPr>
      <w:r>
        <w:rPr>
          <w:rFonts w:ascii="宋体" w:hAnsi="宋体" w:hint="eastAsia"/>
          <w:b/>
          <w:kern w:val="0"/>
          <w:sz w:val="18"/>
          <w:szCs w:val="18"/>
        </w:rPr>
        <w:t>（四）理财利益的分配</w:t>
      </w:r>
    </w:p>
    <w:p w:rsidR="00E30D17" w:rsidRDefault="00651870">
      <w:pPr>
        <w:pStyle w:val="Default"/>
        <w:spacing w:line="360" w:lineRule="auto"/>
        <w:ind w:firstLineChars="200" w:firstLine="360"/>
        <w:rPr>
          <w:rFonts w:hAnsi="宋体"/>
          <w:color w:val="auto"/>
          <w:sz w:val="18"/>
          <w:szCs w:val="18"/>
        </w:rPr>
      </w:pPr>
      <w:r>
        <w:rPr>
          <w:rFonts w:hAnsi="宋体" w:hint="eastAsia"/>
          <w:color w:val="auto"/>
          <w:sz w:val="18"/>
          <w:szCs w:val="18"/>
        </w:rPr>
        <w:t>1.理财利益的分配日</w:t>
      </w:r>
    </w:p>
    <w:p w:rsidR="00E30D17" w:rsidRDefault="00651870">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（1）若为期间分配的，原则上产品管理人应于分配基准日后【5】个工作日内分配理财利益（如有）。</w:t>
      </w:r>
    </w:p>
    <w:p w:rsidR="00E30D17" w:rsidRDefault="00651870">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E30D17" w:rsidRDefault="00651870">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w:t>
      </w:r>
      <w:r>
        <w:rPr>
          <w:rFonts w:hAnsi="宋体" w:hint="eastAsia"/>
          <w:color w:val="auto"/>
          <w:sz w:val="18"/>
          <w:szCs w:val="18"/>
        </w:rPr>
        <w:t>具体的理财利益分配以实际情况为准。</w:t>
      </w:r>
    </w:p>
    <w:p w:rsidR="00E30D17" w:rsidRDefault="00651870">
      <w:pPr>
        <w:widowControl/>
        <w:spacing w:line="360" w:lineRule="auto"/>
        <w:jc w:val="left"/>
        <w:rPr>
          <w:rFonts w:ascii="宋体" w:hAnsi="宋体"/>
          <w:kern w:val="0"/>
          <w:sz w:val="18"/>
          <w:szCs w:val="18"/>
        </w:rPr>
      </w:pPr>
      <w:r>
        <w:rPr>
          <w:rFonts w:hAnsi="宋体"/>
          <w:sz w:val="18"/>
          <w:szCs w:val="18"/>
        </w:rPr>
        <w:br w:type="page"/>
      </w:r>
    </w:p>
    <w:p w:rsidR="00E30D17" w:rsidRDefault="00651870">
      <w:pPr>
        <w:pStyle w:val="1"/>
        <w:spacing w:before="0" w:after="0" w:line="360" w:lineRule="auto"/>
        <w:jc w:val="center"/>
        <w:rPr>
          <w:rFonts w:ascii="Times New Roman"/>
          <w:sz w:val="30"/>
        </w:rPr>
      </w:pPr>
      <w:bookmarkStart w:id="99" w:name="_Hlt88825574"/>
      <w:bookmarkStart w:id="100" w:name="_Hlt88897298"/>
      <w:bookmarkStart w:id="101" w:name="_Toc10650"/>
      <w:bookmarkStart w:id="102" w:name="_Toc79154672"/>
      <w:bookmarkStart w:id="103" w:name="_Toc123112236"/>
      <w:bookmarkStart w:id="104" w:name="_Toc79392583"/>
      <w:bookmarkStart w:id="105" w:name="_Toc74065745"/>
      <w:bookmarkStart w:id="106" w:name="_Toc141703888"/>
      <w:bookmarkStart w:id="107" w:name="_Toc6447"/>
      <w:bookmarkStart w:id="108" w:name="_Toc25783"/>
      <w:bookmarkStart w:id="109" w:name="_Toc4559"/>
      <w:bookmarkStart w:id="110" w:name="_Toc123102455"/>
      <w:bookmarkStart w:id="111" w:name="_Toc17110"/>
      <w:bookmarkStart w:id="112" w:name="_Toc11030"/>
      <w:bookmarkStart w:id="113" w:name="_Toc123051454"/>
      <w:bookmarkStart w:id="114" w:name="_Toc18567"/>
      <w:bookmarkStart w:id="115" w:name="_Toc9706"/>
      <w:bookmarkStart w:id="116" w:name="_Toc3771"/>
      <w:bookmarkStart w:id="117" w:name="_Toc7058"/>
      <w:bookmarkStart w:id="118" w:name="_Toc98560354"/>
      <w:bookmarkStart w:id="119" w:name="_Toc3321"/>
      <w:bookmarkStart w:id="120" w:name="_Toc92377138"/>
      <w:bookmarkStart w:id="121" w:name="_Toc139991738"/>
      <w:bookmarkEnd w:id="95"/>
      <w:bookmarkEnd w:id="96"/>
      <w:bookmarkEnd w:id="97"/>
      <w:bookmarkEnd w:id="98"/>
      <w:bookmarkEnd w:id="99"/>
      <w:bookmarkEnd w:id="100"/>
      <w:r>
        <w:rPr>
          <w:rFonts w:ascii="Times New Roman"/>
          <w:sz w:val="30"/>
        </w:rPr>
        <w:lastRenderedPageBreak/>
        <w:t>第</w:t>
      </w:r>
      <w:r>
        <w:rPr>
          <w:rFonts w:ascii="Times New Roman" w:hint="eastAsia"/>
          <w:sz w:val="30"/>
        </w:rPr>
        <w:t>九条</w:t>
      </w:r>
      <w:r>
        <w:rPr>
          <w:rFonts w:ascii="Times New Roman"/>
          <w:sz w:val="30"/>
        </w:rPr>
        <w:t xml:space="preserve">  </w:t>
      </w:r>
      <w:r>
        <w:rPr>
          <w:rFonts w:ascii="Times New Roman" w:hint="eastAsia"/>
          <w:sz w:val="30"/>
        </w:rPr>
        <w:t>理财产品的费用与税收</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E30D17" w:rsidRDefault="0065187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E30D17" w:rsidRDefault="00651870">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E30D17" w:rsidRDefault="0065187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1）理财产品的认购费、申购费、赎回费</w:t>
      </w:r>
      <w:r>
        <w:rPr>
          <w:rFonts w:ascii="宋体" w:hAnsi="宋体" w:hint="eastAsia"/>
          <w:kern w:val="0"/>
          <w:sz w:val="18"/>
          <w:szCs w:val="18"/>
        </w:rPr>
        <w:t>；</w:t>
      </w:r>
    </w:p>
    <w:p w:rsidR="00E30D17" w:rsidRDefault="0065187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E30D17" w:rsidRDefault="0065187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E30D17" w:rsidRDefault="0065187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E30D17" w:rsidRDefault="0065187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）理财产品的证券交易费用；</w:t>
      </w:r>
    </w:p>
    <w:p w:rsidR="00E30D17" w:rsidRDefault="0065187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E30D17" w:rsidRDefault="0065187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E30D17" w:rsidRDefault="00651870">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E30D17" w:rsidRDefault="0065187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）理财产品的认购费、申购费、赎回费</w:t>
      </w:r>
    </w:p>
    <w:p w:rsidR="00E30D17" w:rsidRDefault="00651870">
      <w:pPr>
        <w:widowControl/>
        <w:spacing w:line="360" w:lineRule="auto"/>
        <w:ind w:firstLineChars="200" w:firstLine="360"/>
        <w:jc w:val="left"/>
        <w:rPr>
          <w:rFonts w:ascii="宋体" w:hAnsi="宋体"/>
          <w:sz w:val="18"/>
          <w:szCs w:val="18"/>
        </w:rPr>
      </w:pPr>
      <w:r>
        <w:rPr>
          <w:rFonts w:ascii="宋体" w:hAnsi="宋体"/>
          <w:kern w:val="0"/>
          <w:sz w:val="18"/>
          <w:szCs w:val="18"/>
        </w:rPr>
        <w:t>1）认购费：</w:t>
      </w: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E30D17" w:rsidRDefault="00651870">
      <w:pPr>
        <w:widowControl/>
        <w:spacing w:line="360" w:lineRule="auto"/>
        <w:ind w:firstLineChars="200" w:firstLine="360"/>
        <w:jc w:val="left"/>
        <w:rPr>
          <w:rFonts w:ascii="宋体" w:hAnsi="宋体"/>
          <w:sz w:val="18"/>
          <w:szCs w:val="18"/>
        </w:rPr>
      </w:pPr>
      <w:r>
        <w:rPr>
          <w:rFonts w:ascii="宋体" w:hAnsi="宋体"/>
          <w:kern w:val="0"/>
          <w:sz w:val="18"/>
          <w:szCs w:val="18"/>
        </w:rPr>
        <w:t>2）申购费：</w:t>
      </w: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hint="eastAsia"/>
          <w:kern w:val="0"/>
          <w:sz w:val="18"/>
          <w:szCs w:val="18"/>
        </w:rPr>
        <w:t>。</w:t>
      </w:r>
    </w:p>
    <w:p w:rsidR="00E30D17" w:rsidRDefault="00651870">
      <w:pPr>
        <w:widowControl/>
        <w:spacing w:line="360" w:lineRule="auto"/>
        <w:ind w:firstLineChars="200" w:firstLine="360"/>
        <w:jc w:val="left"/>
        <w:rPr>
          <w:rStyle w:val="af2"/>
          <w:rFonts w:ascii="宋体" w:hAnsi="宋体"/>
          <w:kern w:val="0"/>
        </w:rPr>
      </w:pPr>
      <w:r>
        <w:rPr>
          <w:rFonts w:ascii="宋体" w:hAnsi="宋体"/>
          <w:kern w:val="0"/>
          <w:sz w:val="18"/>
          <w:szCs w:val="18"/>
        </w:rPr>
        <w:t>3</w:t>
      </w:r>
      <w:r>
        <w:rPr>
          <w:rFonts w:ascii="宋体" w:hAnsi="宋体" w:hint="eastAsia"/>
          <w:kern w:val="0"/>
          <w:sz w:val="18"/>
          <w:szCs w:val="18"/>
        </w:rPr>
        <w:t>）赎回费：</w:t>
      </w: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hint="eastAsia"/>
          <w:kern w:val="0"/>
          <w:sz w:val="18"/>
          <w:szCs w:val="18"/>
        </w:rPr>
        <w:t>。</w:t>
      </w:r>
    </w:p>
    <w:p w:rsidR="00E30D17" w:rsidRDefault="0065187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E30D17" w:rsidRDefault="00651870">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E30D17" w:rsidRDefault="00651870">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E30D17" w:rsidRDefault="00651870">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E30D17" w:rsidRDefault="00651870">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30D17" w:rsidRDefault="00651870">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E30D17" w:rsidRDefault="0065187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E30D17" w:rsidRDefault="00651870">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E30D17" w:rsidRDefault="00651870">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30D17" w:rsidRDefault="00651870">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E30D17" w:rsidRDefault="00651870">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E30D17" w:rsidRDefault="0065187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lastRenderedPageBreak/>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E30D17" w:rsidRDefault="00651870">
      <w:pPr>
        <w:widowControl/>
        <w:spacing w:line="360" w:lineRule="auto"/>
        <w:ind w:firstLineChars="200" w:firstLine="360"/>
        <w:jc w:val="left"/>
        <w:rPr>
          <w:rFonts w:ascii="宋体" w:hAnsi="宋体"/>
          <w:kern w:val="0"/>
          <w:sz w:val="18"/>
          <w:szCs w:val="18"/>
        </w:rPr>
      </w:pPr>
      <w:r>
        <w:rPr>
          <w:rFonts w:ascii="宋体" w:hAnsi="宋体"/>
          <w:kern w:val="0"/>
          <w:sz w:val="18"/>
          <w:szCs w:val="18"/>
        </w:rPr>
        <w:t>（4）超额业绩报酬</w:t>
      </w:r>
    </w:p>
    <w:p w:rsidR="00E30D17" w:rsidRDefault="0065187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本产品不收取超额业绩报酬。</w:t>
      </w:r>
    </w:p>
    <w:p w:rsidR="00E30D17" w:rsidRDefault="0065187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E30D17" w:rsidRDefault="00651870">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E30D17" w:rsidRDefault="00651870">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30D17" w:rsidRDefault="00651870">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E30D17" w:rsidRDefault="00651870">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30D17" w:rsidRDefault="00651870">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E30D17" w:rsidRDefault="0065187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E30D17" w:rsidRDefault="0065187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E30D17" w:rsidRDefault="0065187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E30D17" w:rsidRDefault="0065187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E30D17" w:rsidRDefault="00651870">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E30D17" w:rsidRDefault="00651870">
      <w:pPr>
        <w:pStyle w:val="Default"/>
        <w:spacing w:line="360" w:lineRule="auto"/>
        <w:ind w:firstLineChars="200" w:firstLine="360"/>
        <w:rPr>
          <w:rFonts w:ascii="黑体" w:eastAsia="黑体" w:hAnsi="黑体"/>
          <w:color w:val="auto"/>
          <w:sz w:val="18"/>
        </w:rPr>
      </w:pPr>
      <w:r>
        <w:rPr>
          <w:rFonts w:ascii="黑体" w:eastAsia="黑体" w:hAnsi="黑体" w:hint="eastAsia"/>
          <w:color w:val="auto"/>
          <w:sz w:val="18"/>
        </w:rPr>
        <w:t>（1）发生巨额赎回时，为保护投资者利益，产品管理人有权对赎回日至赎回确认日之间的各项费用进行减免。</w:t>
      </w:r>
    </w:p>
    <w:p w:rsidR="00E30D17" w:rsidRDefault="00651870">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（2）产品管理人有权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E30D17" w:rsidRDefault="0065187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E30D17" w:rsidRDefault="0065187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E30D17" w:rsidRDefault="00651870">
      <w:pPr>
        <w:pStyle w:val="1"/>
        <w:spacing w:line="360" w:lineRule="auto"/>
        <w:jc w:val="center"/>
      </w:pPr>
      <w:bookmarkStart w:id="122" w:name="_Toc1745"/>
      <w:bookmarkStart w:id="123" w:name="_Toc3963"/>
      <w:r>
        <w:br w:type="page"/>
      </w:r>
      <w:bookmarkStart w:id="124" w:name="_Toc98560355"/>
      <w:bookmarkStart w:id="125" w:name="_Toc74065746"/>
      <w:bookmarkStart w:id="126" w:name="_Toc16164"/>
      <w:bookmarkStart w:id="127" w:name="_Toc725"/>
      <w:bookmarkStart w:id="128" w:name="_Toc139991739"/>
      <w:bookmarkStart w:id="129" w:name="_Toc4606"/>
      <w:bookmarkStart w:id="130" w:name="_Toc123102456"/>
      <w:bookmarkStart w:id="131" w:name="_Toc123051455"/>
      <w:bookmarkStart w:id="132" w:name="_Toc31821"/>
      <w:bookmarkStart w:id="133" w:name="_Toc21735"/>
      <w:bookmarkStart w:id="134" w:name="_Toc18206"/>
      <w:bookmarkStart w:id="135" w:name="_Toc123112237"/>
      <w:bookmarkStart w:id="136" w:name="_Toc3572"/>
      <w:bookmarkStart w:id="137" w:name="_Toc10398"/>
      <w:bookmarkStart w:id="138" w:name="_Toc92377139"/>
      <w:bookmarkStart w:id="139" w:name="_Toc141703889"/>
      <w:bookmarkStart w:id="140" w:name="_Toc79154673"/>
      <w:bookmarkStart w:id="141" w:name="_Toc3080"/>
      <w:r>
        <w:rPr>
          <w:rFonts w:hint="eastAsia"/>
          <w:sz w:val="30"/>
        </w:rPr>
        <w:lastRenderedPageBreak/>
        <w:t>第十条</w:t>
      </w:r>
      <w:r>
        <w:rPr>
          <w:sz w:val="30"/>
        </w:rPr>
        <w:t xml:space="preserve">  </w:t>
      </w:r>
      <w:r>
        <w:rPr>
          <w:rFonts w:hint="eastAsia"/>
          <w:sz w:val="30"/>
        </w:rPr>
        <w:t>理财产品的终止与清算</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E30D17" w:rsidRDefault="00651870">
      <w:pPr>
        <w:spacing w:line="360" w:lineRule="auto"/>
        <w:ind w:firstLineChars="200" w:firstLine="361"/>
        <w:rPr>
          <w:rFonts w:asciiTheme="majorEastAsia" w:eastAsiaTheme="majorEastAsia" w:hAnsiTheme="majorEastAsia"/>
          <w:b/>
          <w:bCs/>
          <w:sz w:val="18"/>
          <w:szCs w:val="18"/>
        </w:rPr>
      </w:pPr>
      <w:bookmarkStart w:id="142" w:name="_Toc57530252"/>
      <w:bookmarkStart w:id="143" w:name="_Toc15118245"/>
      <w:bookmarkStart w:id="144" w:name="_Toc79392593"/>
      <w:r>
        <w:rPr>
          <w:rFonts w:asciiTheme="majorEastAsia" w:eastAsiaTheme="majorEastAsia" w:hAnsiTheme="majorEastAsia" w:hint="eastAsia"/>
          <w:b/>
          <w:bCs/>
          <w:sz w:val="18"/>
          <w:szCs w:val="18"/>
        </w:rPr>
        <w:t>（一）理财产品的终止</w:t>
      </w:r>
    </w:p>
    <w:p w:rsidR="00E30D17" w:rsidRDefault="00651870">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E30D17" w:rsidRDefault="00651870">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E30D17" w:rsidRDefault="0065187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E30D17" w:rsidRDefault="0065187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E30D17" w:rsidRDefault="0065187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E30D17" w:rsidRDefault="0065187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E30D17" w:rsidRDefault="0065187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E30D17" w:rsidRDefault="0065187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因法律法规变化或国家金融政策调整、紧急措施出台影响产品继续正常运作。</w:t>
      </w:r>
    </w:p>
    <w:p w:rsidR="00E30D17" w:rsidRDefault="0065187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E30D17" w:rsidRDefault="0065187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E30D17" w:rsidRDefault="0065187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法律法规规定或监管部门认定的其他情形。</w:t>
      </w:r>
    </w:p>
    <w:p w:rsidR="00E30D17" w:rsidRDefault="00651870">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E30D17" w:rsidRDefault="00651870">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E30D17" w:rsidRDefault="00651870">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因市场成交量不足、资产限制赎回、暂停交易、缺乏意愿交易对手等原因，导致产品项下对应的投资标的无法及时变现；</w:t>
      </w:r>
      <w:r>
        <w:rPr>
          <w:rFonts w:ascii="黑体" w:eastAsia="黑体" w:hAnsi="黑体"/>
          <w:bCs/>
          <w:sz w:val="18"/>
          <w:szCs w:val="18"/>
        </w:rPr>
        <w:t xml:space="preserve"> </w:t>
      </w:r>
    </w:p>
    <w:p w:rsidR="00E30D17" w:rsidRDefault="00651870">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E30D17" w:rsidRDefault="00651870">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E30D17" w:rsidRDefault="00651870">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E30D17" w:rsidRDefault="00651870">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E30D17" w:rsidRDefault="00651870">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E30D17" w:rsidRDefault="0065187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w:t>
      </w:r>
      <w:r>
        <w:rPr>
          <w:rFonts w:asciiTheme="majorEastAsia" w:eastAsiaTheme="majorEastAsia" w:hAnsiTheme="majorEastAsia" w:hint="eastAsia"/>
          <w:bCs/>
          <w:sz w:val="18"/>
          <w:szCs w:val="18"/>
        </w:rPr>
        <w:lastRenderedPageBreak/>
        <w:t>清算期不计算投资收益。理财资产清算后扣除理财相关费用、缴纳所欠税款并清偿理财产品负债后，理财利益按投资者持有的理财产品份额比例进行分配。清算期原则上不得超过【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E30D17" w:rsidRDefault="0065187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E30D17" w:rsidRDefault="0065187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E30D17" w:rsidRDefault="0065187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E30D17" w:rsidRDefault="0065187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E30D17" w:rsidRDefault="0065187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rsidR="00E30D17" w:rsidRDefault="0065187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bookmarkEnd w:id="142"/>
    <w:bookmarkEnd w:id="143"/>
    <w:bookmarkEnd w:id="144"/>
    <w:p w:rsidR="00E30D17" w:rsidRDefault="00651870">
      <w:pPr>
        <w:pStyle w:val="1"/>
        <w:spacing w:before="0" w:after="0" w:line="360" w:lineRule="auto"/>
        <w:jc w:val="center"/>
        <w:rPr>
          <w:rFonts w:ascii="Times New Roman"/>
          <w:sz w:val="18"/>
          <w:szCs w:val="18"/>
        </w:rPr>
      </w:pPr>
      <w:r>
        <w:rPr>
          <w:rFonts w:ascii="Times New Roman"/>
          <w:b w:val="0"/>
          <w:bCs w:val="0"/>
          <w:kern w:val="2"/>
        </w:rPr>
        <w:br w:type="page"/>
      </w:r>
      <w:bookmarkStart w:id="145" w:name="_Toc11469"/>
      <w:bookmarkStart w:id="146" w:name="_Toc92377140"/>
      <w:bookmarkStart w:id="147" w:name="_Toc17920"/>
      <w:bookmarkStart w:id="148" w:name="_Toc739"/>
      <w:bookmarkStart w:id="149" w:name="_Toc139991740"/>
      <w:bookmarkStart w:id="150" w:name="_Toc8791"/>
      <w:bookmarkStart w:id="151" w:name="_Toc79154674"/>
      <w:bookmarkStart w:id="152" w:name="_Toc32584"/>
      <w:bookmarkStart w:id="153" w:name="_Toc21237"/>
      <w:bookmarkStart w:id="154" w:name="_Toc3329"/>
      <w:bookmarkStart w:id="155" w:name="_Toc74065747"/>
      <w:bookmarkStart w:id="156" w:name="_Toc123051456"/>
      <w:bookmarkStart w:id="157" w:name="_Toc29408"/>
      <w:bookmarkStart w:id="158" w:name="_Toc83391975"/>
      <w:bookmarkStart w:id="159" w:name="_Toc17198"/>
      <w:bookmarkStart w:id="160" w:name="_Toc5170"/>
      <w:bookmarkStart w:id="161" w:name="_Toc48649708"/>
      <w:bookmarkStart w:id="162" w:name="_Toc141703890"/>
      <w:bookmarkStart w:id="163" w:name="_Toc123112238"/>
      <w:bookmarkStart w:id="164" w:name="_Toc32092"/>
      <w:bookmarkStart w:id="165" w:name="_Toc79392622"/>
      <w:bookmarkStart w:id="166" w:name="_Toc98560356"/>
      <w:bookmarkStart w:id="167" w:name="_Toc123102457"/>
      <w:r>
        <w:rPr>
          <w:rFonts w:ascii="Times New Roman" w:hint="eastAsia"/>
          <w:sz w:val="28"/>
          <w:szCs w:val="28"/>
        </w:rPr>
        <w:lastRenderedPageBreak/>
        <w:t>第十一条</w:t>
      </w:r>
      <w:r>
        <w:rPr>
          <w:rFonts w:ascii="Times New Roman"/>
          <w:sz w:val="28"/>
          <w:szCs w:val="28"/>
        </w:rPr>
        <w:t xml:space="preserve">  </w:t>
      </w:r>
      <w:r>
        <w:rPr>
          <w:rFonts w:ascii="Times New Roman" w:hint="eastAsia"/>
          <w:sz w:val="28"/>
          <w:szCs w:val="28"/>
        </w:rPr>
        <w:t>理财产品的信息披露</w:t>
      </w:r>
      <w:bookmarkEnd w:id="145"/>
      <w:bookmarkEnd w:id="146"/>
    </w:p>
    <w:p w:rsidR="00E30D17" w:rsidRDefault="00651870">
      <w:pPr>
        <w:spacing w:line="360" w:lineRule="auto"/>
        <w:ind w:firstLineChars="200"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E30D17" w:rsidRDefault="00651870">
      <w:pPr>
        <w:spacing w:line="360" w:lineRule="auto"/>
        <w:ind w:firstLineChars="200"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E30D17" w:rsidRDefault="00651870">
      <w:pPr>
        <w:spacing w:line="360" w:lineRule="auto"/>
        <w:ind w:firstLineChars="200" w:firstLine="361"/>
        <w:rPr>
          <w:rFonts w:ascii="宋体" w:hAnsi="宋体"/>
          <w:b/>
          <w:bCs/>
          <w:sz w:val="18"/>
          <w:szCs w:val="18"/>
        </w:rPr>
      </w:pPr>
      <w:r>
        <w:rPr>
          <w:rFonts w:ascii="宋体" w:hAnsi="宋体" w:hint="eastAsia"/>
          <w:b/>
          <w:bCs/>
          <w:sz w:val="18"/>
          <w:szCs w:val="18"/>
        </w:rPr>
        <w:t>（二）信息披露的渠道</w:t>
      </w:r>
    </w:p>
    <w:p w:rsidR="00E30D17" w:rsidRDefault="00651870">
      <w:pPr>
        <w:spacing w:line="360" w:lineRule="auto"/>
        <w:ind w:firstLineChars="200" w:firstLine="36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rsidR="00E30D17" w:rsidRDefault="00651870">
      <w:pPr>
        <w:spacing w:line="360" w:lineRule="auto"/>
        <w:ind w:firstLineChars="200"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通过兴业银行或销售机构的信息披露渠道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E30D17" w:rsidRDefault="00651870">
      <w:pPr>
        <w:spacing w:line="360" w:lineRule="auto"/>
        <w:ind w:firstLineChars="200"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E30D17" w:rsidRDefault="00651870">
      <w:pPr>
        <w:spacing w:line="360" w:lineRule="auto"/>
        <w:ind w:firstLineChars="200"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E30D17" w:rsidRDefault="00651870">
      <w:pPr>
        <w:spacing w:line="360" w:lineRule="auto"/>
        <w:ind w:firstLineChars="200" w:firstLine="361"/>
        <w:rPr>
          <w:rFonts w:ascii="宋体" w:hAnsi="宋体"/>
          <w:b/>
          <w:bCs/>
          <w:sz w:val="18"/>
          <w:szCs w:val="18"/>
        </w:rPr>
      </w:pPr>
      <w:r>
        <w:rPr>
          <w:rFonts w:ascii="宋体" w:hAnsi="宋体" w:hint="eastAsia"/>
          <w:b/>
          <w:bCs/>
          <w:sz w:val="18"/>
          <w:szCs w:val="18"/>
        </w:rPr>
        <w:t>（三）信息披露的内容</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rsidR="00E30D17" w:rsidRDefault="00651870">
      <w:pPr>
        <w:spacing w:line="360" w:lineRule="auto"/>
        <w:ind w:firstLineChars="200" w:firstLine="361"/>
        <w:rPr>
          <w:rFonts w:ascii="宋体" w:hAnsi="宋体"/>
          <w:b/>
          <w:bCs/>
          <w:sz w:val="18"/>
          <w:szCs w:val="18"/>
        </w:rPr>
      </w:pPr>
      <w:r>
        <w:rPr>
          <w:rFonts w:ascii="宋体" w:hAnsi="宋体" w:hint="eastAsia"/>
          <w:b/>
          <w:bCs/>
          <w:sz w:val="18"/>
          <w:szCs w:val="18"/>
        </w:rPr>
        <w:t>（四）信息披露的频率和时间</w:t>
      </w:r>
    </w:p>
    <w:p w:rsidR="00E30D17" w:rsidRDefault="00651870">
      <w:pPr>
        <w:spacing w:line="360" w:lineRule="auto"/>
        <w:ind w:firstLineChars="200" w:firstLine="360"/>
        <w:rPr>
          <w:rFonts w:ascii="宋体" w:hAnsi="宋体"/>
          <w:bCs/>
          <w:sz w:val="18"/>
          <w:szCs w:val="18"/>
        </w:rPr>
      </w:pPr>
      <w:r>
        <w:rPr>
          <w:rFonts w:ascii="宋体" w:hAnsi="宋体"/>
          <w:bCs/>
          <w:sz w:val="18"/>
          <w:szCs w:val="18"/>
        </w:rPr>
        <w:t>1.产品成立公告</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E30D17" w:rsidRDefault="00651870">
      <w:pPr>
        <w:spacing w:line="360" w:lineRule="auto"/>
        <w:ind w:firstLineChars="200"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E30D17" w:rsidRDefault="00651870">
      <w:pPr>
        <w:spacing w:line="360" w:lineRule="auto"/>
        <w:ind w:firstLineChars="200" w:firstLine="360"/>
        <w:rPr>
          <w:rFonts w:ascii="宋体" w:hAnsi="宋体"/>
          <w:bCs/>
          <w:sz w:val="18"/>
          <w:szCs w:val="18"/>
        </w:rPr>
      </w:pPr>
      <w:r>
        <w:rPr>
          <w:rFonts w:ascii="宋体" w:hAnsi="宋体"/>
          <w:bCs/>
          <w:sz w:val="18"/>
          <w:szCs w:val="18"/>
        </w:rPr>
        <w:t>3.定期报告</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E30D17" w:rsidRDefault="00651870">
      <w:pPr>
        <w:spacing w:line="360" w:lineRule="auto"/>
        <w:ind w:firstLineChars="200" w:firstLine="360"/>
        <w:rPr>
          <w:rFonts w:ascii="宋体" w:hAnsi="宋体"/>
          <w:bCs/>
          <w:sz w:val="18"/>
          <w:szCs w:val="18"/>
        </w:rPr>
      </w:pPr>
      <w:r>
        <w:rPr>
          <w:rFonts w:ascii="宋体" w:hAnsi="宋体"/>
          <w:bCs/>
          <w:sz w:val="18"/>
          <w:szCs w:val="18"/>
        </w:rPr>
        <w:t>4.到期公告</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2个工作日进行公告。本产品终止后5个工作日内，产品管理人发布产品到期公告。</w:t>
      </w:r>
    </w:p>
    <w:p w:rsidR="00E30D17" w:rsidRDefault="00651870">
      <w:pPr>
        <w:spacing w:line="360" w:lineRule="auto"/>
        <w:ind w:firstLineChars="200" w:firstLine="360"/>
        <w:rPr>
          <w:rFonts w:ascii="宋体" w:hAnsi="宋体"/>
          <w:bCs/>
          <w:sz w:val="18"/>
          <w:szCs w:val="18"/>
        </w:rPr>
      </w:pPr>
      <w:r>
        <w:rPr>
          <w:rFonts w:ascii="宋体" w:hAnsi="宋体"/>
          <w:bCs/>
          <w:sz w:val="18"/>
          <w:szCs w:val="18"/>
        </w:rPr>
        <w:t>5.开放日公告</w:t>
      </w:r>
    </w:p>
    <w:p w:rsidR="00E30D17" w:rsidRDefault="00651870">
      <w:pPr>
        <w:spacing w:line="360" w:lineRule="auto"/>
        <w:ind w:firstLineChars="200" w:firstLine="360"/>
        <w:rPr>
          <w:rFonts w:ascii="宋体" w:hAnsi="宋体"/>
          <w:bCs/>
          <w:sz w:val="18"/>
          <w:szCs w:val="18"/>
        </w:rPr>
      </w:pPr>
      <w:r>
        <w:rPr>
          <w:rFonts w:ascii="宋体" w:hAnsi="宋体" w:hint="eastAsia"/>
          <w:sz w:val="18"/>
          <w:szCs w:val="18"/>
        </w:rPr>
        <w:t>产品管理人</w:t>
      </w:r>
      <w:r>
        <w:rPr>
          <w:rFonts w:ascii="宋体" w:hAnsi="宋体" w:hint="eastAsia"/>
          <w:bCs/>
          <w:sz w:val="18"/>
          <w:szCs w:val="18"/>
        </w:rPr>
        <w:t>在申购日</w:t>
      </w:r>
      <w:r>
        <w:rPr>
          <w:rFonts w:ascii="宋体" w:hAnsi="宋体"/>
          <w:bCs/>
          <w:sz w:val="18"/>
          <w:szCs w:val="18"/>
        </w:rPr>
        <w:t>/赎回日结束后2个工作日内披露开放日公告，公告内容包括申购日/赎回日</w:t>
      </w:r>
      <w:r>
        <w:rPr>
          <w:rFonts w:ascii="宋体" w:hAnsi="宋体" w:hint="eastAsia"/>
          <w:bCs/>
          <w:sz w:val="18"/>
          <w:szCs w:val="18"/>
        </w:rPr>
        <w:t>的产品份额净值、产品份额累计净值、业绩比较基准（如有）、业绩报酬计提基准（如有）等。</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6</w:t>
      </w:r>
      <w:r>
        <w:rPr>
          <w:rFonts w:ascii="宋体" w:hAnsi="宋体"/>
          <w:bCs/>
          <w:sz w:val="18"/>
          <w:szCs w:val="18"/>
        </w:rPr>
        <w:t>.估值日公告</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ascii="宋体" w:hAnsi="宋体" w:hint="eastAsia"/>
          <w:bCs/>
          <w:sz w:val="18"/>
          <w:szCs w:val="18"/>
        </w:rPr>
        <w:t>基准</w:t>
      </w:r>
      <w:r>
        <w:rPr>
          <w:rFonts w:ascii="宋体" w:hAnsi="宋体"/>
          <w:bCs/>
          <w:sz w:val="18"/>
          <w:szCs w:val="18"/>
        </w:rPr>
        <w:t>（</w:t>
      </w:r>
      <w:r>
        <w:rPr>
          <w:rFonts w:ascii="宋体" w:hAnsi="宋体" w:hint="eastAsia"/>
          <w:bCs/>
          <w:sz w:val="18"/>
          <w:szCs w:val="18"/>
        </w:rPr>
        <w:t>如有</w:t>
      </w:r>
      <w:r>
        <w:rPr>
          <w:rFonts w:ascii="宋体" w:hAnsi="宋体"/>
          <w:bCs/>
          <w:sz w:val="18"/>
          <w:szCs w:val="18"/>
        </w:rPr>
        <w:t>）</w:t>
      </w:r>
      <w:r>
        <w:rPr>
          <w:rFonts w:ascii="宋体" w:hAnsi="宋体" w:hint="eastAsia"/>
          <w:bCs/>
          <w:sz w:val="18"/>
          <w:szCs w:val="18"/>
        </w:rPr>
        <w:t>等。如遇法定节假日顺延。此外，如遇其他特殊情况，以产品管理人信息披露为准。</w:t>
      </w:r>
      <w:r>
        <w:rPr>
          <w:rFonts w:ascii="宋体" w:hAnsi="宋体"/>
          <w:bCs/>
          <w:sz w:val="18"/>
          <w:szCs w:val="18"/>
        </w:rPr>
        <w:t xml:space="preserve"> </w:t>
      </w:r>
    </w:p>
    <w:p w:rsidR="00E30D17" w:rsidRDefault="00651870">
      <w:pPr>
        <w:spacing w:line="360" w:lineRule="auto"/>
        <w:ind w:firstLineChars="200" w:firstLine="360"/>
        <w:rPr>
          <w:rFonts w:ascii="宋体" w:hAnsi="宋体"/>
          <w:bCs/>
          <w:sz w:val="18"/>
          <w:szCs w:val="18"/>
        </w:rPr>
      </w:pPr>
      <w:r>
        <w:rPr>
          <w:rFonts w:ascii="宋体" w:hAnsi="宋体"/>
          <w:bCs/>
          <w:sz w:val="18"/>
          <w:szCs w:val="18"/>
        </w:rPr>
        <w:t>7.临时公告</w:t>
      </w:r>
    </w:p>
    <w:p w:rsidR="00E30D17" w:rsidRDefault="00651870">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E30D17" w:rsidRDefault="00651870">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特别提示：在一个完整投资周期结束前，管理人有权通过更新产品说明书中的业绩比较基准（如有）、业绩报酬计提基准（如有），以明确列示下一个完整投资周期对应的业绩比较基准（如有）、业绩报酬计提基准（如有），若相关基准数值发生变更的，不再另行发布公告。</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w:t>
      </w:r>
      <w:r>
        <w:rPr>
          <w:rFonts w:ascii="宋体" w:hAnsi="宋体"/>
          <w:bCs/>
          <w:sz w:val="18"/>
          <w:szCs w:val="18"/>
        </w:rPr>
        <w:t>/申购</w:t>
      </w:r>
      <w:r>
        <w:rPr>
          <w:rFonts w:ascii="宋体" w:hAnsi="宋体" w:hint="eastAsia"/>
          <w:bCs/>
          <w:sz w:val="18"/>
          <w:szCs w:val="18"/>
        </w:rPr>
        <w:t>申请、暂停接受</w:t>
      </w:r>
      <w:r>
        <w:rPr>
          <w:rFonts w:ascii="宋体" w:hAnsi="宋体"/>
          <w:bCs/>
          <w:sz w:val="18"/>
          <w:szCs w:val="18"/>
        </w:rPr>
        <w:t>投资者</w:t>
      </w:r>
      <w:r>
        <w:rPr>
          <w:rFonts w:ascii="宋体" w:hAnsi="宋体" w:hint="eastAsia"/>
          <w:bCs/>
          <w:sz w:val="18"/>
          <w:szCs w:val="18"/>
        </w:rPr>
        <w:t>赎回申请、延缓支付赎回款项、</w:t>
      </w:r>
      <w:r>
        <w:rPr>
          <w:rFonts w:ascii="宋体" w:hAnsi="宋体"/>
          <w:bCs/>
          <w:sz w:val="18"/>
          <w:szCs w:val="18"/>
        </w:rPr>
        <w:t>巨额赎回</w:t>
      </w:r>
      <w:r>
        <w:rPr>
          <w:rFonts w:ascii="宋体" w:hAnsi="宋体" w:hint="eastAsia"/>
          <w:bCs/>
          <w:sz w:val="18"/>
          <w:szCs w:val="18"/>
        </w:rPr>
        <w:t>、暂停理财产品估值、采用摆动定价</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在发生涉及产品认购、申购或赎回事项调整或潜在影响投资者赎回等事项时，管理人将发布临时公告。</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E30D17" w:rsidRDefault="00651870">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E30D17" w:rsidRDefault="00651870">
      <w:pPr>
        <w:spacing w:line="360" w:lineRule="auto"/>
        <w:ind w:firstLineChars="200" w:firstLine="361"/>
        <w:rPr>
          <w:bCs/>
          <w:sz w:val="24"/>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w:t>
      </w:r>
      <w:r>
        <w:rPr>
          <w:rFonts w:ascii="黑体" w:eastAsia="黑体" w:hAnsi="黑体" w:hint="eastAsia"/>
          <w:b/>
          <w:bCs/>
          <w:sz w:val="18"/>
          <w:szCs w:val="18"/>
        </w:rPr>
        <w:lastRenderedPageBreak/>
        <w:t>财产品的，在符合法律法规及监管政策的前提下，可由管理人另行决定投资者的退出方式）。若投资者未选择退出本产品的，则视为已理解并接受管理人的相应变更。</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sz w:val="24"/>
        </w:rPr>
        <w:br w:type="page"/>
      </w:r>
    </w:p>
    <w:p w:rsidR="00E30D17" w:rsidRDefault="00651870">
      <w:pPr>
        <w:pStyle w:val="1"/>
        <w:spacing w:before="0" w:after="0" w:line="360" w:lineRule="auto"/>
        <w:jc w:val="center"/>
        <w:rPr>
          <w:rFonts w:ascii="Times New Roman"/>
          <w:b w:val="0"/>
          <w:sz w:val="30"/>
        </w:rPr>
      </w:pPr>
      <w:bookmarkStart w:id="168" w:name="_Toc92377141"/>
      <w:bookmarkStart w:id="169" w:name="_Toc24766"/>
      <w:bookmarkStart w:id="170" w:name="_Toc79154675"/>
      <w:r>
        <w:rPr>
          <w:rFonts w:ascii="Times New Roman" w:hint="eastAsia"/>
          <w:sz w:val="30"/>
        </w:rPr>
        <w:lastRenderedPageBreak/>
        <w:t>第十二条</w:t>
      </w:r>
      <w:r>
        <w:rPr>
          <w:rFonts w:ascii="Times New Roman"/>
          <w:sz w:val="30"/>
        </w:rPr>
        <w:t xml:space="preserve">  </w:t>
      </w:r>
      <w:r>
        <w:rPr>
          <w:rFonts w:ascii="Times New Roman" w:hint="eastAsia"/>
          <w:sz w:val="30"/>
        </w:rPr>
        <w:t>理财产品</w:t>
      </w:r>
      <w:r>
        <w:rPr>
          <w:rFonts w:ascii="Times New Roman"/>
          <w:sz w:val="30"/>
        </w:rPr>
        <w:t>的风险揭示</w:t>
      </w:r>
      <w:bookmarkEnd w:id="168"/>
      <w:bookmarkEnd w:id="169"/>
      <w:bookmarkEnd w:id="170"/>
    </w:p>
    <w:p w:rsidR="00E30D17" w:rsidRDefault="00651870">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1.拟投资市场和资产的风险：</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（1）投资固定收益类资产的风险</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1）投资标准化债权类资产的风险</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2）投资非标准化债权类资产的风险</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 xml:space="preserve">（2）投资权益类资产的风险 </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1）投资股票类资产的风险</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2）投资股权类资产的风险</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 xml:space="preserve">（3）投资商品和金融衍生品类资产的风险 </w:t>
      </w:r>
    </w:p>
    <w:p w:rsidR="00E30D17" w:rsidRDefault="00651870">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w:t>
      </w:r>
      <w:r>
        <w:rPr>
          <w:rFonts w:ascii="宋体" w:hAnsi="宋体" w:hint="eastAsia"/>
          <w:bCs/>
          <w:sz w:val="18"/>
          <w:szCs w:val="18"/>
        </w:rPr>
        <w:lastRenderedPageBreak/>
        <w:t>失以及交易成本损失的情况，对投资产生不利影响；当本产品投资的衍生品保证金不足时，可能使所持有的头寸面临被强制平仓的风险。</w:t>
      </w:r>
    </w:p>
    <w:p w:rsidR="00E30D17" w:rsidRDefault="00651870">
      <w:pPr>
        <w:spacing w:line="360" w:lineRule="auto"/>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E30D17" w:rsidRDefault="00651870">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E30D17" w:rsidRDefault="0065187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E30D17" w:rsidRDefault="00651870">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E30D17" w:rsidRDefault="00651870">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E30D17" w:rsidRDefault="00651870">
      <w:pPr>
        <w:spacing w:line="360" w:lineRule="auto"/>
        <w:ind w:firstLineChars="200" w:firstLine="360"/>
        <w:rPr>
          <w:rFonts w:ascii="宋体" w:hAnsi="宋体"/>
          <w:sz w:val="18"/>
          <w:szCs w:val="18"/>
        </w:rPr>
      </w:pPr>
      <w:r>
        <w:rPr>
          <w:rFonts w:ascii="宋体" w:hAnsi="宋体" w:hint="eastAsia"/>
          <w:sz w:val="18"/>
          <w:szCs w:val="18"/>
        </w:rPr>
        <w:t>4.流动性风险：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E30D17" w:rsidRDefault="00651870">
      <w:pPr>
        <w:spacing w:line="360" w:lineRule="auto"/>
        <w:ind w:firstLineChars="200" w:firstLine="360"/>
        <w:rPr>
          <w:rFonts w:ascii="宋体" w:hAnsi="宋体"/>
          <w:sz w:val="18"/>
          <w:szCs w:val="18"/>
        </w:rPr>
      </w:pPr>
      <w:r>
        <w:rPr>
          <w:rFonts w:ascii="宋体" w:hAnsi="宋体"/>
          <w:sz w:val="18"/>
          <w:szCs w:val="18"/>
        </w:rPr>
        <w:t>5</w:t>
      </w:r>
      <w:r>
        <w:rPr>
          <w:rFonts w:ascii="宋体" w:hAnsi="宋体" w:hint="eastAsia"/>
          <w:sz w:val="18"/>
          <w:szCs w:val="18"/>
        </w:rPr>
        <w:t>.</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E30D17" w:rsidRDefault="00651870">
      <w:pPr>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E30D17" w:rsidRDefault="00651870">
      <w:pPr>
        <w:spacing w:line="360" w:lineRule="auto"/>
        <w:ind w:firstLineChars="200" w:firstLine="360"/>
        <w:rPr>
          <w:rFonts w:ascii="宋体" w:hAnsi="宋体"/>
          <w:sz w:val="18"/>
          <w:szCs w:val="18"/>
        </w:rPr>
      </w:pPr>
      <w:r>
        <w:rPr>
          <w:rFonts w:ascii="宋体" w:hAnsi="宋体"/>
          <w:sz w:val="18"/>
          <w:szCs w:val="18"/>
        </w:rPr>
        <w:t>7</w:t>
      </w:r>
      <w:r>
        <w:rPr>
          <w:rFonts w:ascii="宋体" w:hAnsi="宋体" w:hint="eastAsia"/>
          <w:sz w:val="18"/>
          <w:szCs w:val="18"/>
        </w:rPr>
        <w:t>.</w:t>
      </w:r>
      <w:r>
        <w:rPr>
          <w:rFonts w:ascii="宋体" w:hAnsi="宋体"/>
          <w:sz w:val="18"/>
          <w:szCs w:val="18"/>
        </w:rPr>
        <w:t>早偿风险：</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E30D17" w:rsidRDefault="00651870">
      <w:pPr>
        <w:spacing w:line="360" w:lineRule="auto"/>
        <w:ind w:firstLineChars="200" w:firstLine="360"/>
        <w:rPr>
          <w:rFonts w:ascii="黑体" w:eastAsia="黑体" w:hAnsi="黑体"/>
          <w:sz w:val="18"/>
          <w:szCs w:val="18"/>
        </w:rPr>
      </w:pPr>
      <w:r>
        <w:rPr>
          <w:rFonts w:ascii="黑体" w:eastAsia="黑体" w:hAnsi="黑体"/>
          <w:sz w:val="18"/>
          <w:szCs w:val="18"/>
        </w:rPr>
        <w:t>8. ★信息传递风险：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w:t>
      </w:r>
      <w:r>
        <w:rPr>
          <w:rFonts w:ascii="黑体" w:eastAsia="黑体" w:hAnsi="黑体"/>
          <w:sz w:val="18"/>
          <w:szCs w:val="18"/>
        </w:rPr>
        <w:lastRenderedPageBreak/>
        <w:t>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E30D17" w:rsidRDefault="00651870">
      <w:pPr>
        <w:spacing w:line="360" w:lineRule="auto"/>
        <w:ind w:firstLineChars="200" w:firstLine="360"/>
        <w:rPr>
          <w:rFonts w:ascii="宋体" w:hAnsi="宋体"/>
          <w:sz w:val="18"/>
          <w:szCs w:val="18"/>
        </w:rPr>
      </w:pPr>
      <w:r>
        <w:rPr>
          <w:rFonts w:ascii="宋体" w:hAnsi="宋体"/>
          <w:sz w:val="18"/>
          <w:szCs w:val="18"/>
        </w:rPr>
        <w:t>9</w:t>
      </w:r>
      <w:r>
        <w:rPr>
          <w:rFonts w:ascii="宋体" w:hAnsi="宋体" w:hint="eastAsia"/>
          <w:sz w:val="18"/>
          <w:szCs w:val="18"/>
        </w:rPr>
        <w:t>.</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E30D17" w:rsidRDefault="00651870">
      <w:pPr>
        <w:spacing w:line="360" w:lineRule="auto"/>
        <w:ind w:firstLineChars="200" w:firstLine="360"/>
        <w:rPr>
          <w:rFonts w:ascii="宋体" w:hAnsi="宋体"/>
          <w:bCs/>
          <w:sz w:val="18"/>
          <w:szCs w:val="18"/>
        </w:rPr>
      </w:pPr>
      <w:r>
        <w:rPr>
          <w:rFonts w:ascii="宋体" w:hAnsi="宋体"/>
          <w:sz w:val="18"/>
          <w:szCs w:val="18"/>
        </w:rPr>
        <w:t>10</w:t>
      </w:r>
      <w:r>
        <w:rPr>
          <w:rFonts w:ascii="宋体" w:hAnsi="宋体" w:hint="eastAsia"/>
          <w:sz w:val="18"/>
          <w:szCs w:val="18"/>
        </w:rPr>
        <w:t>.</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r>
        <w:rPr>
          <w:rFonts w:ascii="宋体" w:hAnsi="宋体"/>
          <w:bCs/>
          <w:sz w:val="18"/>
          <w:szCs w:val="18"/>
        </w:rPr>
        <w:t xml:space="preserve"> </w:t>
      </w:r>
    </w:p>
    <w:p w:rsidR="00E30D17" w:rsidRDefault="00651870">
      <w:pPr>
        <w:spacing w:line="360" w:lineRule="auto"/>
        <w:ind w:firstLineChars="200" w:firstLine="360"/>
        <w:rPr>
          <w:rFonts w:ascii="宋体" w:hAnsi="宋体"/>
          <w:sz w:val="18"/>
          <w:szCs w:val="18"/>
        </w:rPr>
      </w:pPr>
      <w:r>
        <w:rPr>
          <w:rFonts w:ascii="宋体" w:hAnsi="宋体"/>
          <w:sz w:val="18"/>
          <w:szCs w:val="18"/>
        </w:rPr>
        <w:t>11</w:t>
      </w:r>
      <w:r>
        <w:rPr>
          <w:rFonts w:ascii="宋体" w:hAnsi="宋体" w:hint="eastAsia"/>
          <w:sz w:val="18"/>
          <w:szCs w:val="18"/>
        </w:rPr>
        <w:t>.理财产品不成立风险：如自本产品开始募集至认购期结束认购总金额未达到产品最小成立规模（如有约定），或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E30D17" w:rsidRDefault="00651870">
      <w:pPr>
        <w:spacing w:line="360" w:lineRule="auto"/>
        <w:ind w:firstLineChars="200" w:firstLine="360"/>
        <w:rPr>
          <w:rFonts w:ascii="宋体" w:hAnsi="宋体"/>
          <w:sz w:val="18"/>
          <w:szCs w:val="18"/>
        </w:rPr>
      </w:pPr>
      <w:r>
        <w:rPr>
          <w:rFonts w:ascii="宋体" w:hAnsi="宋体"/>
          <w:sz w:val="18"/>
          <w:szCs w:val="18"/>
        </w:rPr>
        <w:t>12</w:t>
      </w:r>
      <w:r>
        <w:rPr>
          <w:rFonts w:ascii="宋体" w:hAnsi="宋体" w:hint="eastAsia"/>
          <w:sz w:val="18"/>
          <w:szCs w:val="18"/>
        </w:rPr>
        <w:t>.</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E30D17" w:rsidRDefault="00651870">
      <w:pPr>
        <w:spacing w:line="360" w:lineRule="auto"/>
        <w:ind w:firstLineChars="200" w:firstLine="360"/>
        <w:rPr>
          <w:rFonts w:ascii="宋体" w:hAnsi="宋体"/>
          <w:sz w:val="18"/>
          <w:szCs w:val="18"/>
        </w:rPr>
      </w:pPr>
      <w:r>
        <w:rPr>
          <w:rFonts w:ascii="宋体" w:hAnsi="宋体"/>
          <w:sz w:val="18"/>
          <w:szCs w:val="18"/>
        </w:rPr>
        <w:t>13.估值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E30D17" w:rsidRDefault="00651870">
      <w:pPr>
        <w:spacing w:line="360" w:lineRule="auto"/>
        <w:ind w:firstLineChars="200" w:firstLine="360"/>
        <w:rPr>
          <w:rFonts w:ascii="宋体" w:hAnsi="宋体"/>
          <w:sz w:val="18"/>
          <w:szCs w:val="18"/>
        </w:rPr>
      </w:pPr>
      <w:r>
        <w:rPr>
          <w:rFonts w:ascii="宋体" w:hAnsi="宋体"/>
          <w:sz w:val="18"/>
          <w:szCs w:val="18"/>
        </w:rPr>
        <w:t>14</w:t>
      </w:r>
      <w:r>
        <w:rPr>
          <w:rFonts w:ascii="宋体" w:hAnsi="宋体" w:hint="eastAsia"/>
          <w:sz w:val="18"/>
          <w:szCs w:val="18"/>
        </w:rPr>
        <w:t>.</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E30D17" w:rsidRDefault="00651870">
      <w:pPr>
        <w:spacing w:line="360" w:lineRule="auto"/>
        <w:ind w:firstLineChars="200" w:firstLine="360"/>
        <w:rPr>
          <w:rFonts w:ascii="宋体" w:hAnsi="宋体"/>
          <w:sz w:val="18"/>
          <w:szCs w:val="18"/>
        </w:rPr>
      </w:pPr>
      <w:r>
        <w:rPr>
          <w:rFonts w:ascii="宋体" w:hAnsi="宋体"/>
          <w:sz w:val="18"/>
          <w:szCs w:val="18"/>
        </w:rPr>
        <w:t>15</w:t>
      </w:r>
      <w:r>
        <w:rPr>
          <w:rFonts w:ascii="宋体" w:hAnsi="宋体" w:hint="eastAsia"/>
          <w:sz w:val="18"/>
          <w:szCs w:val="18"/>
        </w:rPr>
        <w:t>.★</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ascii="黑体" w:eastAsia="黑体" w:hAnsi="黑体" w:hint="eastAsia"/>
          <w:sz w:val="18"/>
          <w:szCs w:val="18"/>
        </w:rPr>
        <w:t>不免除因代理销售机构过错依法应由代理销售机构承担的责任。</w:t>
      </w:r>
    </w:p>
    <w:p w:rsidR="00E30D17" w:rsidRDefault="00651870">
      <w:pPr>
        <w:spacing w:line="360" w:lineRule="auto"/>
        <w:ind w:firstLineChars="200" w:firstLine="360"/>
        <w:rPr>
          <w:rFonts w:ascii="黑体" w:eastAsia="黑体" w:hAnsi="黑体"/>
          <w:sz w:val="18"/>
          <w:szCs w:val="18"/>
        </w:rPr>
      </w:pPr>
      <w:r>
        <w:rPr>
          <w:rFonts w:ascii="黑体" w:eastAsia="黑体" w:hAnsi="黑体"/>
          <w:sz w:val="18"/>
          <w:szCs w:val="18"/>
        </w:rPr>
        <w:t>16.</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E30D17" w:rsidRDefault="00651870">
      <w:pPr>
        <w:spacing w:line="360" w:lineRule="auto"/>
        <w:ind w:firstLineChars="200" w:firstLine="360"/>
        <w:rPr>
          <w:rFonts w:ascii="宋体" w:hAnsi="宋体"/>
          <w:sz w:val="18"/>
          <w:szCs w:val="18"/>
        </w:rPr>
      </w:pPr>
      <w:r>
        <w:rPr>
          <w:rFonts w:ascii="宋体" w:hAnsi="宋体"/>
          <w:sz w:val="18"/>
          <w:szCs w:val="18"/>
        </w:rPr>
        <w:lastRenderedPageBreak/>
        <w:t>17.</w:t>
      </w:r>
      <w:r>
        <w:rPr>
          <w:rFonts w:ascii="黑体" w:eastAsia="黑体" w:hAnsi="黑体" w:hint="eastAsia"/>
          <w:sz w:val="18"/>
          <w:szCs w:val="18"/>
        </w:rPr>
        <w:t xml:space="preserve"> 关联交易风险</w:t>
      </w: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E30D17" w:rsidRDefault="00651870">
      <w:pPr>
        <w:spacing w:line="360" w:lineRule="auto"/>
        <w:ind w:firstLineChars="200" w:firstLine="361"/>
        <w:rPr>
          <w:rFonts w:ascii="黑体" w:eastAsia="黑体" w:hAnsi="黑体"/>
          <w:b/>
          <w:sz w:val="18"/>
          <w:szCs w:val="18"/>
        </w:rPr>
      </w:pPr>
      <w:r>
        <w:rPr>
          <w:rFonts w:ascii="黑体" w:eastAsia="黑体" w:hAnsi="黑体" w:hint="eastAsia"/>
          <w:b/>
          <w:sz w:val="18"/>
          <w:szCs w:val="18"/>
        </w:rPr>
        <w:t>（</w:t>
      </w:r>
      <w:r>
        <w:rPr>
          <w:rFonts w:ascii="黑体" w:eastAsia="黑体" w:hAnsi="黑体"/>
          <w:b/>
          <w:sz w:val="18"/>
          <w:szCs w:val="18"/>
        </w:rPr>
        <w:t>三</w:t>
      </w:r>
      <w:r>
        <w:rPr>
          <w:rFonts w:ascii="黑体" w:eastAsia="黑体" w:hAnsi="黑体" w:hint="eastAsia"/>
          <w:b/>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b/>
          <w:sz w:val="18"/>
          <w:szCs w:val="18"/>
        </w:rPr>
        <w:t>，甚至投资者的投资本金将遭受损失，在最不利的极端情况下，投资者可能损失全部本金。</w:t>
      </w:r>
    </w:p>
    <w:p w:rsidR="00E30D17" w:rsidRDefault="00E30D17">
      <w:pPr>
        <w:spacing w:line="360" w:lineRule="auto"/>
        <w:ind w:firstLineChars="200" w:firstLine="360"/>
        <w:rPr>
          <w:rFonts w:ascii="宋体" w:hAnsi="宋体"/>
          <w:sz w:val="18"/>
          <w:szCs w:val="18"/>
        </w:rPr>
      </w:pPr>
    </w:p>
    <w:p w:rsidR="00E30D17" w:rsidRDefault="00E30D17">
      <w:pPr>
        <w:pStyle w:val="Default"/>
        <w:spacing w:line="360" w:lineRule="auto"/>
        <w:rPr>
          <w:rFonts w:hAnsi="宋体"/>
          <w:sz w:val="18"/>
          <w:szCs w:val="18"/>
        </w:rPr>
      </w:pPr>
    </w:p>
    <w:sectPr w:rsidR="00E30D17">
      <w:footerReference w:type="default" r:id="rId31"/>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29E" w:rsidRDefault="0015329E">
      <w:r>
        <w:separator/>
      </w:r>
    </w:p>
  </w:endnote>
  <w:endnote w:type="continuationSeparator" w:id="0">
    <w:p w:rsidR="0015329E" w:rsidRDefault="0015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17" w:rsidRDefault="00E30D17">
    <w:pPr>
      <w:pStyle w:val="a4"/>
      <w:jc w:val="both"/>
      <w:rPr>
        <w:rFonts w:ascii="黑体" w:eastAsia="黑体" w:hAnsi="黑体"/>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17" w:rsidRDefault="00E30D17">
    <w:pPr>
      <w:pStyle w:val="a4"/>
      <w:jc w:val="both"/>
      <w:rPr>
        <w:rFonts w:ascii="黑体" w:eastAsia="黑体" w:hAnsi="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17" w:rsidRDefault="00E30D17">
    <w:pPr>
      <w:pStyle w:val="a4"/>
      <w:jc w:val="both"/>
      <w:rPr>
        <w:rFonts w:ascii="黑体" w:eastAsia="黑体" w:hAnsi="黑体"/>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15647"/>
    </w:sdtPr>
    <w:sdtEndPr/>
    <w:sdtContent>
      <w:p w:rsidR="00E30D17" w:rsidRDefault="00651870">
        <w:pPr>
          <w:pStyle w:val="aa"/>
          <w:jc w:val="center"/>
        </w:pPr>
        <w:r>
          <w:fldChar w:fldCharType="begin"/>
        </w:r>
        <w:r>
          <w:instrText xml:space="preserve"> PAGE   \* MERGEFORMAT </w:instrText>
        </w:r>
        <w:r>
          <w:fldChar w:fldCharType="separate"/>
        </w:r>
        <w:r w:rsidR="00680A63" w:rsidRPr="00680A63">
          <w:rPr>
            <w:noProof/>
            <w:lang w:val="zh-CN"/>
          </w:rPr>
          <w:t>13</w:t>
        </w:r>
        <w:r>
          <w:fldChar w:fldCharType="end"/>
        </w:r>
      </w:p>
    </w:sdtContent>
  </w:sdt>
  <w:p w:rsidR="00E30D17" w:rsidRDefault="00E30D17">
    <w:pPr>
      <w:pStyle w:val="a4"/>
      <w:jc w:val="both"/>
      <w:rPr>
        <w:rFonts w:ascii="黑体" w:eastAsia="黑体" w:hAnsi="黑体"/>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29E" w:rsidRDefault="0015329E">
      <w:r>
        <w:separator/>
      </w:r>
    </w:p>
  </w:footnote>
  <w:footnote w:type="continuationSeparator" w:id="0">
    <w:p w:rsidR="0015329E" w:rsidRDefault="00153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17" w:rsidRDefault="00651870">
    <w:pPr>
      <w:pStyle w:val="ab"/>
      <w:pBdr>
        <w:bottom w:val="thickThinLargeGap" w:sz="24" w:space="0" w:color="auto"/>
      </w:pBdr>
      <w:tabs>
        <w:tab w:val="right" w:pos="8280"/>
      </w:tabs>
      <w:wordWrap w:val="0"/>
      <w:adjustRightInd w:val="0"/>
      <w:jc w:val="right"/>
      <w:rPr>
        <w:b/>
      </w:rPr>
    </w:pPr>
    <w:r>
      <w:rPr>
        <w:rFonts w:hint="eastAsia"/>
      </w:rPr>
      <w:t xml:space="preserve"> </w:t>
    </w:r>
    <w:r>
      <w:rPr>
        <w:rFonts w:hint="eastAsia"/>
        <w:b/>
      </w:rPr>
      <w:t>产品说明书</w:t>
    </w:r>
  </w:p>
  <w:p w:rsidR="00E30D17" w:rsidRDefault="00651870">
    <w:pPr>
      <w:pStyle w:val="ab"/>
      <w:pBdr>
        <w:bottom w:val="thickThinLargeGap" w:sz="24" w:space="0"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E7124"/>
    <w:rsid w:val="0000208C"/>
    <w:rsid w:val="00002480"/>
    <w:rsid w:val="0001202B"/>
    <w:rsid w:val="000124BB"/>
    <w:rsid w:val="00014A51"/>
    <w:rsid w:val="000160F8"/>
    <w:rsid w:val="00020E26"/>
    <w:rsid w:val="00022093"/>
    <w:rsid w:val="000240C1"/>
    <w:rsid w:val="0002421F"/>
    <w:rsid w:val="00024B59"/>
    <w:rsid w:val="00024D52"/>
    <w:rsid w:val="000257FD"/>
    <w:rsid w:val="00026801"/>
    <w:rsid w:val="0002771C"/>
    <w:rsid w:val="00027CAD"/>
    <w:rsid w:val="000307FF"/>
    <w:rsid w:val="00030826"/>
    <w:rsid w:val="000310FD"/>
    <w:rsid w:val="00033D3E"/>
    <w:rsid w:val="000360AD"/>
    <w:rsid w:val="00036724"/>
    <w:rsid w:val="0004119D"/>
    <w:rsid w:val="0004124F"/>
    <w:rsid w:val="00042C76"/>
    <w:rsid w:val="00042CE7"/>
    <w:rsid w:val="000438E6"/>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672E"/>
    <w:rsid w:val="0007760F"/>
    <w:rsid w:val="000776F7"/>
    <w:rsid w:val="00077A54"/>
    <w:rsid w:val="00077C13"/>
    <w:rsid w:val="00080277"/>
    <w:rsid w:val="0008037A"/>
    <w:rsid w:val="00081DC7"/>
    <w:rsid w:val="000826C9"/>
    <w:rsid w:val="00082E45"/>
    <w:rsid w:val="00085DD5"/>
    <w:rsid w:val="0009086F"/>
    <w:rsid w:val="00091121"/>
    <w:rsid w:val="00092A5F"/>
    <w:rsid w:val="00094CA6"/>
    <w:rsid w:val="00094DDA"/>
    <w:rsid w:val="00095235"/>
    <w:rsid w:val="00097047"/>
    <w:rsid w:val="000A0882"/>
    <w:rsid w:val="000A0CC9"/>
    <w:rsid w:val="000A0DC8"/>
    <w:rsid w:val="000A1E0C"/>
    <w:rsid w:val="000A3063"/>
    <w:rsid w:val="000A35E5"/>
    <w:rsid w:val="000A45C6"/>
    <w:rsid w:val="000A57AC"/>
    <w:rsid w:val="000A5A4A"/>
    <w:rsid w:val="000A5AAB"/>
    <w:rsid w:val="000B00D8"/>
    <w:rsid w:val="000B378B"/>
    <w:rsid w:val="000B6819"/>
    <w:rsid w:val="000B7F67"/>
    <w:rsid w:val="000C31AC"/>
    <w:rsid w:val="000C3B81"/>
    <w:rsid w:val="000C69CB"/>
    <w:rsid w:val="000C6BF4"/>
    <w:rsid w:val="000C7C96"/>
    <w:rsid w:val="000D0C3A"/>
    <w:rsid w:val="000D10B1"/>
    <w:rsid w:val="000D1473"/>
    <w:rsid w:val="000D19CF"/>
    <w:rsid w:val="000D2623"/>
    <w:rsid w:val="000D3E2A"/>
    <w:rsid w:val="000D3E4A"/>
    <w:rsid w:val="000D4DAE"/>
    <w:rsid w:val="000D548F"/>
    <w:rsid w:val="000D591B"/>
    <w:rsid w:val="000E008C"/>
    <w:rsid w:val="000E10C7"/>
    <w:rsid w:val="000E181B"/>
    <w:rsid w:val="000E18C8"/>
    <w:rsid w:val="000E2054"/>
    <w:rsid w:val="000E5A74"/>
    <w:rsid w:val="000E7029"/>
    <w:rsid w:val="000E798C"/>
    <w:rsid w:val="000E7BB9"/>
    <w:rsid w:val="000F09FA"/>
    <w:rsid w:val="000F4322"/>
    <w:rsid w:val="000F556F"/>
    <w:rsid w:val="000F7FB5"/>
    <w:rsid w:val="00100295"/>
    <w:rsid w:val="00100789"/>
    <w:rsid w:val="00100D6E"/>
    <w:rsid w:val="00103221"/>
    <w:rsid w:val="001048D9"/>
    <w:rsid w:val="00104FAF"/>
    <w:rsid w:val="0010605A"/>
    <w:rsid w:val="0011092D"/>
    <w:rsid w:val="00111430"/>
    <w:rsid w:val="00112922"/>
    <w:rsid w:val="00112FA1"/>
    <w:rsid w:val="001139C8"/>
    <w:rsid w:val="001157E6"/>
    <w:rsid w:val="00115A4C"/>
    <w:rsid w:val="00116240"/>
    <w:rsid w:val="00121A98"/>
    <w:rsid w:val="00122AA4"/>
    <w:rsid w:val="00122E28"/>
    <w:rsid w:val="001232D0"/>
    <w:rsid w:val="0012639A"/>
    <w:rsid w:val="00127FAE"/>
    <w:rsid w:val="00134EC8"/>
    <w:rsid w:val="00140FD0"/>
    <w:rsid w:val="00142E86"/>
    <w:rsid w:val="00144336"/>
    <w:rsid w:val="00144A06"/>
    <w:rsid w:val="00144E84"/>
    <w:rsid w:val="00146F91"/>
    <w:rsid w:val="001507DF"/>
    <w:rsid w:val="0015329E"/>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52D8"/>
    <w:rsid w:val="001864AE"/>
    <w:rsid w:val="00186521"/>
    <w:rsid w:val="00187F37"/>
    <w:rsid w:val="0019010B"/>
    <w:rsid w:val="00190633"/>
    <w:rsid w:val="0019071D"/>
    <w:rsid w:val="00190B9A"/>
    <w:rsid w:val="0019134D"/>
    <w:rsid w:val="00191C98"/>
    <w:rsid w:val="0019285E"/>
    <w:rsid w:val="00192C78"/>
    <w:rsid w:val="00194E1F"/>
    <w:rsid w:val="0019519C"/>
    <w:rsid w:val="0019545E"/>
    <w:rsid w:val="00196469"/>
    <w:rsid w:val="00196E62"/>
    <w:rsid w:val="001A0033"/>
    <w:rsid w:val="001A141C"/>
    <w:rsid w:val="001A352E"/>
    <w:rsid w:val="001A434D"/>
    <w:rsid w:val="001B218F"/>
    <w:rsid w:val="001B21AE"/>
    <w:rsid w:val="001B5BBB"/>
    <w:rsid w:val="001C31CB"/>
    <w:rsid w:val="001C3B80"/>
    <w:rsid w:val="001C41C7"/>
    <w:rsid w:val="001C5E54"/>
    <w:rsid w:val="001C7184"/>
    <w:rsid w:val="001C730C"/>
    <w:rsid w:val="001C770D"/>
    <w:rsid w:val="001C7B1B"/>
    <w:rsid w:val="001D03C8"/>
    <w:rsid w:val="001D06D0"/>
    <w:rsid w:val="001D099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E794F"/>
    <w:rsid w:val="001F00E4"/>
    <w:rsid w:val="001F08F9"/>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3E9"/>
    <w:rsid w:val="00217789"/>
    <w:rsid w:val="00220D74"/>
    <w:rsid w:val="002213EA"/>
    <w:rsid w:val="00223351"/>
    <w:rsid w:val="002237A8"/>
    <w:rsid w:val="00223B5B"/>
    <w:rsid w:val="00224505"/>
    <w:rsid w:val="002265AA"/>
    <w:rsid w:val="00226925"/>
    <w:rsid w:val="00226E60"/>
    <w:rsid w:val="00227359"/>
    <w:rsid w:val="00231FC0"/>
    <w:rsid w:val="002347F9"/>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B"/>
    <w:rsid w:val="00272C40"/>
    <w:rsid w:val="00273F65"/>
    <w:rsid w:val="00274DDB"/>
    <w:rsid w:val="00275526"/>
    <w:rsid w:val="00275757"/>
    <w:rsid w:val="00276ACE"/>
    <w:rsid w:val="00281B9A"/>
    <w:rsid w:val="002826EB"/>
    <w:rsid w:val="00282B2B"/>
    <w:rsid w:val="002869B1"/>
    <w:rsid w:val="002877ED"/>
    <w:rsid w:val="00290893"/>
    <w:rsid w:val="0029197D"/>
    <w:rsid w:val="00293329"/>
    <w:rsid w:val="002A1894"/>
    <w:rsid w:val="002A2964"/>
    <w:rsid w:val="002A3DA0"/>
    <w:rsid w:val="002A6688"/>
    <w:rsid w:val="002B0460"/>
    <w:rsid w:val="002B0A68"/>
    <w:rsid w:val="002B1C83"/>
    <w:rsid w:val="002B2349"/>
    <w:rsid w:val="002B389F"/>
    <w:rsid w:val="002B4AAF"/>
    <w:rsid w:val="002B5421"/>
    <w:rsid w:val="002B6616"/>
    <w:rsid w:val="002B75A8"/>
    <w:rsid w:val="002C0CF5"/>
    <w:rsid w:val="002C3DA6"/>
    <w:rsid w:val="002C3DD6"/>
    <w:rsid w:val="002C446D"/>
    <w:rsid w:val="002C6117"/>
    <w:rsid w:val="002C6DB5"/>
    <w:rsid w:val="002D1DEF"/>
    <w:rsid w:val="002D3AB7"/>
    <w:rsid w:val="002D3AEF"/>
    <w:rsid w:val="002D6AFD"/>
    <w:rsid w:val="002D7737"/>
    <w:rsid w:val="002E134B"/>
    <w:rsid w:val="002E25FC"/>
    <w:rsid w:val="002E393C"/>
    <w:rsid w:val="002E5F4C"/>
    <w:rsid w:val="002E6721"/>
    <w:rsid w:val="002E7C23"/>
    <w:rsid w:val="002F0CD5"/>
    <w:rsid w:val="002F11BA"/>
    <w:rsid w:val="002F29C4"/>
    <w:rsid w:val="002F389F"/>
    <w:rsid w:val="002F45BC"/>
    <w:rsid w:val="002F4C49"/>
    <w:rsid w:val="00301106"/>
    <w:rsid w:val="003029FF"/>
    <w:rsid w:val="0030325C"/>
    <w:rsid w:val="00304C4E"/>
    <w:rsid w:val="00304D9D"/>
    <w:rsid w:val="00306DA6"/>
    <w:rsid w:val="0031156D"/>
    <w:rsid w:val="003122D5"/>
    <w:rsid w:val="00313E17"/>
    <w:rsid w:val="00320153"/>
    <w:rsid w:val="003224C7"/>
    <w:rsid w:val="00327E26"/>
    <w:rsid w:val="00330DD8"/>
    <w:rsid w:val="00330E24"/>
    <w:rsid w:val="00331380"/>
    <w:rsid w:val="00331423"/>
    <w:rsid w:val="00331AA1"/>
    <w:rsid w:val="00332367"/>
    <w:rsid w:val="0033357B"/>
    <w:rsid w:val="003363E0"/>
    <w:rsid w:val="0033710A"/>
    <w:rsid w:val="00337172"/>
    <w:rsid w:val="00337AF2"/>
    <w:rsid w:val="00337EC3"/>
    <w:rsid w:val="003405D3"/>
    <w:rsid w:val="00341DFC"/>
    <w:rsid w:val="003444E9"/>
    <w:rsid w:val="00350B80"/>
    <w:rsid w:val="0035109F"/>
    <w:rsid w:val="0035299D"/>
    <w:rsid w:val="00356734"/>
    <w:rsid w:val="00356F2E"/>
    <w:rsid w:val="003601A7"/>
    <w:rsid w:val="00361109"/>
    <w:rsid w:val="00363191"/>
    <w:rsid w:val="00363504"/>
    <w:rsid w:val="0036433E"/>
    <w:rsid w:val="00370696"/>
    <w:rsid w:val="00371546"/>
    <w:rsid w:val="003727DA"/>
    <w:rsid w:val="00373305"/>
    <w:rsid w:val="003745A5"/>
    <w:rsid w:val="00375BC6"/>
    <w:rsid w:val="00376744"/>
    <w:rsid w:val="00380DB4"/>
    <w:rsid w:val="00381A67"/>
    <w:rsid w:val="003823A6"/>
    <w:rsid w:val="003838B9"/>
    <w:rsid w:val="00387E86"/>
    <w:rsid w:val="00391268"/>
    <w:rsid w:val="00391BBC"/>
    <w:rsid w:val="00392F32"/>
    <w:rsid w:val="0039407B"/>
    <w:rsid w:val="00396E72"/>
    <w:rsid w:val="003A430B"/>
    <w:rsid w:val="003B00EC"/>
    <w:rsid w:val="003B016B"/>
    <w:rsid w:val="003B06BE"/>
    <w:rsid w:val="003B1841"/>
    <w:rsid w:val="003B32A0"/>
    <w:rsid w:val="003B343A"/>
    <w:rsid w:val="003B600B"/>
    <w:rsid w:val="003B72A3"/>
    <w:rsid w:val="003C2C6C"/>
    <w:rsid w:val="003C2FD0"/>
    <w:rsid w:val="003C4A62"/>
    <w:rsid w:val="003C4CEB"/>
    <w:rsid w:val="003C51FE"/>
    <w:rsid w:val="003C64E4"/>
    <w:rsid w:val="003C7EAF"/>
    <w:rsid w:val="003D26D0"/>
    <w:rsid w:val="003D5ED1"/>
    <w:rsid w:val="003D63E6"/>
    <w:rsid w:val="003E1094"/>
    <w:rsid w:val="003E1B2D"/>
    <w:rsid w:val="003E2F07"/>
    <w:rsid w:val="003E31AA"/>
    <w:rsid w:val="003E3D00"/>
    <w:rsid w:val="003F4B74"/>
    <w:rsid w:val="00400144"/>
    <w:rsid w:val="00400D54"/>
    <w:rsid w:val="0040151D"/>
    <w:rsid w:val="004043E5"/>
    <w:rsid w:val="00404A76"/>
    <w:rsid w:val="00404C4F"/>
    <w:rsid w:val="00406C36"/>
    <w:rsid w:val="00407912"/>
    <w:rsid w:val="00410860"/>
    <w:rsid w:val="00411594"/>
    <w:rsid w:val="004134C2"/>
    <w:rsid w:val="00413AD2"/>
    <w:rsid w:val="00416AC9"/>
    <w:rsid w:val="00416CB0"/>
    <w:rsid w:val="0042292D"/>
    <w:rsid w:val="00422B14"/>
    <w:rsid w:val="00424562"/>
    <w:rsid w:val="0042456A"/>
    <w:rsid w:val="00424897"/>
    <w:rsid w:val="004259CB"/>
    <w:rsid w:val="00426CB5"/>
    <w:rsid w:val="0042700C"/>
    <w:rsid w:val="00430DF1"/>
    <w:rsid w:val="00434DA3"/>
    <w:rsid w:val="004365C7"/>
    <w:rsid w:val="004369A7"/>
    <w:rsid w:val="0043725F"/>
    <w:rsid w:val="00440E4C"/>
    <w:rsid w:val="00441309"/>
    <w:rsid w:val="00441A1F"/>
    <w:rsid w:val="00441C87"/>
    <w:rsid w:val="004421A0"/>
    <w:rsid w:val="0044275F"/>
    <w:rsid w:val="00444B08"/>
    <w:rsid w:val="00444C05"/>
    <w:rsid w:val="00444E95"/>
    <w:rsid w:val="004451F2"/>
    <w:rsid w:val="00447A83"/>
    <w:rsid w:val="00450AE7"/>
    <w:rsid w:val="00452527"/>
    <w:rsid w:val="00453F94"/>
    <w:rsid w:val="0045405E"/>
    <w:rsid w:val="0045524D"/>
    <w:rsid w:val="00455720"/>
    <w:rsid w:val="00455EFB"/>
    <w:rsid w:val="00455FA5"/>
    <w:rsid w:val="00456516"/>
    <w:rsid w:val="00461E0D"/>
    <w:rsid w:val="00462328"/>
    <w:rsid w:val="00462D9E"/>
    <w:rsid w:val="00464878"/>
    <w:rsid w:val="00466864"/>
    <w:rsid w:val="00466F57"/>
    <w:rsid w:val="00467C9D"/>
    <w:rsid w:val="00470261"/>
    <w:rsid w:val="004711A9"/>
    <w:rsid w:val="00471ABA"/>
    <w:rsid w:val="00477510"/>
    <w:rsid w:val="00480985"/>
    <w:rsid w:val="00480CC1"/>
    <w:rsid w:val="00480FF7"/>
    <w:rsid w:val="004811BA"/>
    <w:rsid w:val="0048253E"/>
    <w:rsid w:val="00482F37"/>
    <w:rsid w:val="00483507"/>
    <w:rsid w:val="00485D45"/>
    <w:rsid w:val="00486A6C"/>
    <w:rsid w:val="00487444"/>
    <w:rsid w:val="00490E3D"/>
    <w:rsid w:val="004917FC"/>
    <w:rsid w:val="004922CC"/>
    <w:rsid w:val="004940D3"/>
    <w:rsid w:val="004960D3"/>
    <w:rsid w:val="004960F3"/>
    <w:rsid w:val="00497FEC"/>
    <w:rsid w:val="004A0C4A"/>
    <w:rsid w:val="004A0D93"/>
    <w:rsid w:val="004A12AC"/>
    <w:rsid w:val="004A2354"/>
    <w:rsid w:val="004A5AB0"/>
    <w:rsid w:val="004B0D40"/>
    <w:rsid w:val="004B1194"/>
    <w:rsid w:val="004B1599"/>
    <w:rsid w:val="004B3136"/>
    <w:rsid w:val="004B5526"/>
    <w:rsid w:val="004C036F"/>
    <w:rsid w:val="004C1BF8"/>
    <w:rsid w:val="004C2000"/>
    <w:rsid w:val="004C4C0A"/>
    <w:rsid w:val="004C4C12"/>
    <w:rsid w:val="004C4E6C"/>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355"/>
    <w:rsid w:val="004F45E5"/>
    <w:rsid w:val="004F483B"/>
    <w:rsid w:val="004F5319"/>
    <w:rsid w:val="004F58A4"/>
    <w:rsid w:val="004F75E3"/>
    <w:rsid w:val="00500B33"/>
    <w:rsid w:val="0050192C"/>
    <w:rsid w:val="00502068"/>
    <w:rsid w:val="005023E9"/>
    <w:rsid w:val="005030D1"/>
    <w:rsid w:val="00503239"/>
    <w:rsid w:val="005048A9"/>
    <w:rsid w:val="00504CD2"/>
    <w:rsid w:val="005058C6"/>
    <w:rsid w:val="00506FB3"/>
    <w:rsid w:val="005107A4"/>
    <w:rsid w:val="00512B61"/>
    <w:rsid w:val="00512E3B"/>
    <w:rsid w:val="00513143"/>
    <w:rsid w:val="005131E7"/>
    <w:rsid w:val="00517C1B"/>
    <w:rsid w:val="00521905"/>
    <w:rsid w:val="00521A8A"/>
    <w:rsid w:val="0052537A"/>
    <w:rsid w:val="005261C6"/>
    <w:rsid w:val="00526A8B"/>
    <w:rsid w:val="005306F5"/>
    <w:rsid w:val="00530EFC"/>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5FE5"/>
    <w:rsid w:val="00557F13"/>
    <w:rsid w:val="0056057A"/>
    <w:rsid w:val="005634A0"/>
    <w:rsid w:val="00564A34"/>
    <w:rsid w:val="00564BAA"/>
    <w:rsid w:val="005669ED"/>
    <w:rsid w:val="00566CE6"/>
    <w:rsid w:val="005715BF"/>
    <w:rsid w:val="00571676"/>
    <w:rsid w:val="0057386A"/>
    <w:rsid w:val="005745C2"/>
    <w:rsid w:val="00575575"/>
    <w:rsid w:val="005756EF"/>
    <w:rsid w:val="00580472"/>
    <w:rsid w:val="00583DB2"/>
    <w:rsid w:val="00583FFD"/>
    <w:rsid w:val="0058644F"/>
    <w:rsid w:val="00586B5E"/>
    <w:rsid w:val="0058793F"/>
    <w:rsid w:val="00587E86"/>
    <w:rsid w:val="005905CC"/>
    <w:rsid w:val="0059345F"/>
    <w:rsid w:val="005942B5"/>
    <w:rsid w:val="005964FC"/>
    <w:rsid w:val="00596640"/>
    <w:rsid w:val="005A0CDE"/>
    <w:rsid w:val="005A1A2E"/>
    <w:rsid w:val="005A2814"/>
    <w:rsid w:val="005A2F58"/>
    <w:rsid w:val="005A52CE"/>
    <w:rsid w:val="005A5694"/>
    <w:rsid w:val="005A60A3"/>
    <w:rsid w:val="005B1513"/>
    <w:rsid w:val="005B1F01"/>
    <w:rsid w:val="005B3D95"/>
    <w:rsid w:val="005B45B8"/>
    <w:rsid w:val="005B6567"/>
    <w:rsid w:val="005C1011"/>
    <w:rsid w:val="005C1A4B"/>
    <w:rsid w:val="005C2C22"/>
    <w:rsid w:val="005C3351"/>
    <w:rsid w:val="005C46BB"/>
    <w:rsid w:val="005C6C9D"/>
    <w:rsid w:val="005D0EC6"/>
    <w:rsid w:val="005D3EBA"/>
    <w:rsid w:val="005D3F7B"/>
    <w:rsid w:val="005D3F83"/>
    <w:rsid w:val="005D5021"/>
    <w:rsid w:val="005D6B6D"/>
    <w:rsid w:val="005E0304"/>
    <w:rsid w:val="005E1F5B"/>
    <w:rsid w:val="005E2522"/>
    <w:rsid w:val="005E34A7"/>
    <w:rsid w:val="005E3ECC"/>
    <w:rsid w:val="005E6FB7"/>
    <w:rsid w:val="005F0064"/>
    <w:rsid w:val="005F2F17"/>
    <w:rsid w:val="005F30D3"/>
    <w:rsid w:val="005F379A"/>
    <w:rsid w:val="005F4287"/>
    <w:rsid w:val="005F469C"/>
    <w:rsid w:val="005F7FD5"/>
    <w:rsid w:val="00600FE7"/>
    <w:rsid w:val="006016B4"/>
    <w:rsid w:val="006019D1"/>
    <w:rsid w:val="00605524"/>
    <w:rsid w:val="00605B31"/>
    <w:rsid w:val="00605C5D"/>
    <w:rsid w:val="006065FB"/>
    <w:rsid w:val="00607DDC"/>
    <w:rsid w:val="00611A33"/>
    <w:rsid w:val="00612869"/>
    <w:rsid w:val="006146BA"/>
    <w:rsid w:val="006172ED"/>
    <w:rsid w:val="00620063"/>
    <w:rsid w:val="00620D75"/>
    <w:rsid w:val="00621F2C"/>
    <w:rsid w:val="00624760"/>
    <w:rsid w:val="00624F2C"/>
    <w:rsid w:val="00626BC0"/>
    <w:rsid w:val="0063051C"/>
    <w:rsid w:val="00631736"/>
    <w:rsid w:val="006328AE"/>
    <w:rsid w:val="0064020E"/>
    <w:rsid w:val="0064076F"/>
    <w:rsid w:val="0064087A"/>
    <w:rsid w:val="00642A61"/>
    <w:rsid w:val="006451BF"/>
    <w:rsid w:val="006453CC"/>
    <w:rsid w:val="006468C6"/>
    <w:rsid w:val="00646E40"/>
    <w:rsid w:val="00647424"/>
    <w:rsid w:val="006476D3"/>
    <w:rsid w:val="00651870"/>
    <w:rsid w:val="00652FE7"/>
    <w:rsid w:val="0065431E"/>
    <w:rsid w:val="0065499A"/>
    <w:rsid w:val="00655124"/>
    <w:rsid w:val="00657909"/>
    <w:rsid w:val="00657E91"/>
    <w:rsid w:val="006612EA"/>
    <w:rsid w:val="006617D1"/>
    <w:rsid w:val="00661C8C"/>
    <w:rsid w:val="006623D6"/>
    <w:rsid w:val="0066478A"/>
    <w:rsid w:val="0066625E"/>
    <w:rsid w:val="006676FD"/>
    <w:rsid w:val="0067005D"/>
    <w:rsid w:val="00672FF4"/>
    <w:rsid w:val="00675B54"/>
    <w:rsid w:val="006809FB"/>
    <w:rsid w:val="00680A63"/>
    <w:rsid w:val="00682623"/>
    <w:rsid w:val="00684401"/>
    <w:rsid w:val="00684ECC"/>
    <w:rsid w:val="006856C3"/>
    <w:rsid w:val="006863E0"/>
    <w:rsid w:val="006871FD"/>
    <w:rsid w:val="006877C1"/>
    <w:rsid w:val="006904D3"/>
    <w:rsid w:val="0069132D"/>
    <w:rsid w:val="006929EA"/>
    <w:rsid w:val="00692BC9"/>
    <w:rsid w:val="0069501F"/>
    <w:rsid w:val="006961A8"/>
    <w:rsid w:val="00697C87"/>
    <w:rsid w:val="00697D22"/>
    <w:rsid w:val="006A1579"/>
    <w:rsid w:val="006A2FDF"/>
    <w:rsid w:val="006A4A8A"/>
    <w:rsid w:val="006A4B96"/>
    <w:rsid w:val="006A5309"/>
    <w:rsid w:val="006A5968"/>
    <w:rsid w:val="006A68DA"/>
    <w:rsid w:val="006A6C9E"/>
    <w:rsid w:val="006B3727"/>
    <w:rsid w:val="006B4BAA"/>
    <w:rsid w:val="006B5EEE"/>
    <w:rsid w:val="006B7BA8"/>
    <w:rsid w:val="006B7E76"/>
    <w:rsid w:val="006C19CF"/>
    <w:rsid w:val="006C3458"/>
    <w:rsid w:val="006C3815"/>
    <w:rsid w:val="006C4170"/>
    <w:rsid w:val="006C4A05"/>
    <w:rsid w:val="006C5ACD"/>
    <w:rsid w:val="006C7218"/>
    <w:rsid w:val="006C75F7"/>
    <w:rsid w:val="006C7E9B"/>
    <w:rsid w:val="006D0BDE"/>
    <w:rsid w:val="006D0F3C"/>
    <w:rsid w:val="006D160E"/>
    <w:rsid w:val="006D3D10"/>
    <w:rsid w:val="006D4093"/>
    <w:rsid w:val="006D4430"/>
    <w:rsid w:val="006D586E"/>
    <w:rsid w:val="006D6C20"/>
    <w:rsid w:val="006D7C06"/>
    <w:rsid w:val="006D7D05"/>
    <w:rsid w:val="006E011D"/>
    <w:rsid w:val="006E1A9B"/>
    <w:rsid w:val="006E2E41"/>
    <w:rsid w:val="006E535B"/>
    <w:rsid w:val="006E5D67"/>
    <w:rsid w:val="006E6ED0"/>
    <w:rsid w:val="006E7124"/>
    <w:rsid w:val="006E7FC7"/>
    <w:rsid w:val="006F2488"/>
    <w:rsid w:val="006F3519"/>
    <w:rsid w:val="006F356A"/>
    <w:rsid w:val="006F5923"/>
    <w:rsid w:val="006F6174"/>
    <w:rsid w:val="006F7A9E"/>
    <w:rsid w:val="006F7D4D"/>
    <w:rsid w:val="0070045F"/>
    <w:rsid w:val="007048B2"/>
    <w:rsid w:val="00706DCA"/>
    <w:rsid w:val="00707A7B"/>
    <w:rsid w:val="007123F2"/>
    <w:rsid w:val="0071321B"/>
    <w:rsid w:val="007143E3"/>
    <w:rsid w:val="0071446F"/>
    <w:rsid w:val="007165DC"/>
    <w:rsid w:val="007166B2"/>
    <w:rsid w:val="00717330"/>
    <w:rsid w:val="00720D3D"/>
    <w:rsid w:val="00720E8F"/>
    <w:rsid w:val="007210F9"/>
    <w:rsid w:val="00724416"/>
    <w:rsid w:val="0072773A"/>
    <w:rsid w:val="00727C00"/>
    <w:rsid w:val="007305B6"/>
    <w:rsid w:val="007319DA"/>
    <w:rsid w:val="00737C42"/>
    <w:rsid w:val="00741F90"/>
    <w:rsid w:val="007425D7"/>
    <w:rsid w:val="00742D00"/>
    <w:rsid w:val="00743AB2"/>
    <w:rsid w:val="00746AF7"/>
    <w:rsid w:val="00746FAD"/>
    <w:rsid w:val="0075016C"/>
    <w:rsid w:val="00752FA6"/>
    <w:rsid w:val="007530BD"/>
    <w:rsid w:val="00754168"/>
    <w:rsid w:val="00755570"/>
    <w:rsid w:val="00755F45"/>
    <w:rsid w:val="00757357"/>
    <w:rsid w:val="00760BF7"/>
    <w:rsid w:val="00762022"/>
    <w:rsid w:val="007630BD"/>
    <w:rsid w:val="0076459F"/>
    <w:rsid w:val="007648E8"/>
    <w:rsid w:val="00764E0B"/>
    <w:rsid w:val="00764FD2"/>
    <w:rsid w:val="00765862"/>
    <w:rsid w:val="0077274B"/>
    <w:rsid w:val="00775691"/>
    <w:rsid w:val="00775E75"/>
    <w:rsid w:val="00780770"/>
    <w:rsid w:val="00780E1E"/>
    <w:rsid w:val="00783025"/>
    <w:rsid w:val="00784BFC"/>
    <w:rsid w:val="0078739B"/>
    <w:rsid w:val="00793D9D"/>
    <w:rsid w:val="00794CF9"/>
    <w:rsid w:val="00794DBB"/>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1185"/>
    <w:rsid w:val="007D37FB"/>
    <w:rsid w:val="007D3AB0"/>
    <w:rsid w:val="007D3C57"/>
    <w:rsid w:val="007D6324"/>
    <w:rsid w:val="007D68C9"/>
    <w:rsid w:val="007D6F94"/>
    <w:rsid w:val="007D7B84"/>
    <w:rsid w:val="007E1F76"/>
    <w:rsid w:val="007E3453"/>
    <w:rsid w:val="007E3857"/>
    <w:rsid w:val="007E4180"/>
    <w:rsid w:val="007E4A3F"/>
    <w:rsid w:val="007E6E94"/>
    <w:rsid w:val="007E775F"/>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76A"/>
    <w:rsid w:val="00807C0F"/>
    <w:rsid w:val="00807F91"/>
    <w:rsid w:val="0081012C"/>
    <w:rsid w:val="0081039A"/>
    <w:rsid w:val="008103FD"/>
    <w:rsid w:val="00810570"/>
    <w:rsid w:val="00810605"/>
    <w:rsid w:val="00810BBC"/>
    <w:rsid w:val="0081517F"/>
    <w:rsid w:val="0081549F"/>
    <w:rsid w:val="008176FD"/>
    <w:rsid w:val="00820221"/>
    <w:rsid w:val="00820966"/>
    <w:rsid w:val="008216F7"/>
    <w:rsid w:val="00822153"/>
    <w:rsid w:val="00822FBD"/>
    <w:rsid w:val="00823AB7"/>
    <w:rsid w:val="00827113"/>
    <w:rsid w:val="00827169"/>
    <w:rsid w:val="00827DAF"/>
    <w:rsid w:val="008306A2"/>
    <w:rsid w:val="00830FAF"/>
    <w:rsid w:val="00831F70"/>
    <w:rsid w:val="00833134"/>
    <w:rsid w:val="00833713"/>
    <w:rsid w:val="00833D9B"/>
    <w:rsid w:val="008340FE"/>
    <w:rsid w:val="00835A40"/>
    <w:rsid w:val="00835AA0"/>
    <w:rsid w:val="00835FBF"/>
    <w:rsid w:val="00836DA8"/>
    <w:rsid w:val="00836ECE"/>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93A"/>
    <w:rsid w:val="00876C63"/>
    <w:rsid w:val="00876D94"/>
    <w:rsid w:val="0089069E"/>
    <w:rsid w:val="008912D3"/>
    <w:rsid w:val="008914CB"/>
    <w:rsid w:val="008937B1"/>
    <w:rsid w:val="00894A43"/>
    <w:rsid w:val="00895477"/>
    <w:rsid w:val="008A15AE"/>
    <w:rsid w:val="008A1DBB"/>
    <w:rsid w:val="008A2A18"/>
    <w:rsid w:val="008A4832"/>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5A6"/>
    <w:rsid w:val="008D4CB3"/>
    <w:rsid w:val="008D5CDB"/>
    <w:rsid w:val="008D643C"/>
    <w:rsid w:val="008D6554"/>
    <w:rsid w:val="008D7E71"/>
    <w:rsid w:val="008E0B20"/>
    <w:rsid w:val="008E584F"/>
    <w:rsid w:val="008E5E8B"/>
    <w:rsid w:val="008E6072"/>
    <w:rsid w:val="008E6640"/>
    <w:rsid w:val="008F2669"/>
    <w:rsid w:val="008F2710"/>
    <w:rsid w:val="008F432E"/>
    <w:rsid w:val="008F50BB"/>
    <w:rsid w:val="008F784B"/>
    <w:rsid w:val="008F7A01"/>
    <w:rsid w:val="00900322"/>
    <w:rsid w:val="00900AF7"/>
    <w:rsid w:val="00901909"/>
    <w:rsid w:val="00901ACE"/>
    <w:rsid w:val="00901B37"/>
    <w:rsid w:val="009043D1"/>
    <w:rsid w:val="0090500B"/>
    <w:rsid w:val="0090746E"/>
    <w:rsid w:val="0090771A"/>
    <w:rsid w:val="00907D44"/>
    <w:rsid w:val="009106C1"/>
    <w:rsid w:val="00910BA4"/>
    <w:rsid w:val="00912C9D"/>
    <w:rsid w:val="00913112"/>
    <w:rsid w:val="00915499"/>
    <w:rsid w:val="00916595"/>
    <w:rsid w:val="009169DE"/>
    <w:rsid w:val="00922E94"/>
    <w:rsid w:val="00924CB1"/>
    <w:rsid w:val="00925905"/>
    <w:rsid w:val="00925FC9"/>
    <w:rsid w:val="00926039"/>
    <w:rsid w:val="009275C5"/>
    <w:rsid w:val="00927772"/>
    <w:rsid w:val="00931E88"/>
    <w:rsid w:val="00933939"/>
    <w:rsid w:val="00934162"/>
    <w:rsid w:val="009342D4"/>
    <w:rsid w:val="00936818"/>
    <w:rsid w:val="009369EF"/>
    <w:rsid w:val="00936A52"/>
    <w:rsid w:val="00940B15"/>
    <w:rsid w:val="0094391C"/>
    <w:rsid w:val="00945661"/>
    <w:rsid w:val="00946996"/>
    <w:rsid w:val="0095322B"/>
    <w:rsid w:val="0095360A"/>
    <w:rsid w:val="009559EB"/>
    <w:rsid w:val="009604D5"/>
    <w:rsid w:val="009626CA"/>
    <w:rsid w:val="00962D06"/>
    <w:rsid w:val="00963402"/>
    <w:rsid w:val="00964835"/>
    <w:rsid w:val="00966868"/>
    <w:rsid w:val="00966917"/>
    <w:rsid w:val="00967387"/>
    <w:rsid w:val="009709AB"/>
    <w:rsid w:val="00971FD5"/>
    <w:rsid w:val="0097223A"/>
    <w:rsid w:val="009729E3"/>
    <w:rsid w:val="00974167"/>
    <w:rsid w:val="00974BED"/>
    <w:rsid w:val="00976143"/>
    <w:rsid w:val="009775A7"/>
    <w:rsid w:val="00980073"/>
    <w:rsid w:val="00980784"/>
    <w:rsid w:val="0098167D"/>
    <w:rsid w:val="00982041"/>
    <w:rsid w:val="00983099"/>
    <w:rsid w:val="009832E7"/>
    <w:rsid w:val="009836DB"/>
    <w:rsid w:val="009839EA"/>
    <w:rsid w:val="00984A57"/>
    <w:rsid w:val="00984EF3"/>
    <w:rsid w:val="00986062"/>
    <w:rsid w:val="009911A1"/>
    <w:rsid w:val="0099175F"/>
    <w:rsid w:val="00992322"/>
    <w:rsid w:val="00992A3A"/>
    <w:rsid w:val="00993261"/>
    <w:rsid w:val="00993578"/>
    <w:rsid w:val="00997E03"/>
    <w:rsid w:val="009A0770"/>
    <w:rsid w:val="009A0BA3"/>
    <w:rsid w:val="009A1A8B"/>
    <w:rsid w:val="009A2A56"/>
    <w:rsid w:val="009A418D"/>
    <w:rsid w:val="009A520C"/>
    <w:rsid w:val="009A75FE"/>
    <w:rsid w:val="009B137E"/>
    <w:rsid w:val="009B2144"/>
    <w:rsid w:val="009B2D08"/>
    <w:rsid w:val="009B6315"/>
    <w:rsid w:val="009B6C73"/>
    <w:rsid w:val="009C4645"/>
    <w:rsid w:val="009C59F9"/>
    <w:rsid w:val="009C63B1"/>
    <w:rsid w:val="009C6C6F"/>
    <w:rsid w:val="009D0173"/>
    <w:rsid w:val="009D0895"/>
    <w:rsid w:val="009D3283"/>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40F"/>
    <w:rsid w:val="009E5FD0"/>
    <w:rsid w:val="009E60EA"/>
    <w:rsid w:val="009E6590"/>
    <w:rsid w:val="009E7F8B"/>
    <w:rsid w:val="009F01CF"/>
    <w:rsid w:val="009F06C5"/>
    <w:rsid w:val="009F0C46"/>
    <w:rsid w:val="009F2505"/>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47E4F"/>
    <w:rsid w:val="00A513D2"/>
    <w:rsid w:val="00A51406"/>
    <w:rsid w:val="00A530A2"/>
    <w:rsid w:val="00A53E78"/>
    <w:rsid w:val="00A54A51"/>
    <w:rsid w:val="00A56887"/>
    <w:rsid w:val="00A60B29"/>
    <w:rsid w:val="00A60B80"/>
    <w:rsid w:val="00A61197"/>
    <w:rsid w:val="00A63267"/>
    <w:rsid w:val="00A635F0"/>
    <w:rsid w:val="00A64046"/>
    <w:rsid w:val="00A64535"/>
    <w:rsid w:val="00A71411"/>
    <w:rsid w:val="00A71C30"/>
    <w:rsid w:val="00A71EF1"/>
    <w:rsid w:val="00A72235"/>
    <w:rsid w:val="00A72A25"/>
    <w:rsid w:val="00A740D7"/>
    <w:rsid w:val="00A75555"/>
    <w:rsid w:val="00A759CD"/>
    <w:rsid w:val="00A763C4"/>
    <w:rsid w:val="00A7660D"/>
    <w:rsid w:val="00A776D2"/>
    <w:rsid w:val="00A836BF"/>
    <w:rsid w:val="00A83C4D"/>
    <w:rsid w:val="00A83D4C"/>
    <w:rsid w:val="00A84317"/>
    <w:rsid w:val="00A85490"/>
    <w:rsid w:val="00A85845"/>
    <w:rsid w:val="00A86707"/>
    <w:rsid w:val="00A86794"/>
    <w:rsid w:val="00A914E9"/>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3C76"/>
    <w:rsid w:val="00AA3E6B"/>
    <w:rsid w:val="00AA3FDF"/>
    <w:rsid w:val="00AA5D0C"/>
    <w:rsid w:val="00AA6B2C"/>
    <w:rsid w:val="00AB15E6"/>
    <w:rsid w:val="00AB1EE0"/>
    <w:rsid w:val="00AB2014"/>
    <w:rsid w:val="00AB234B"/>
    <w:rsid w:val="00AB23FC"/>
    <w:rsid w:val="00AB2493"/>
    <w:rsid w:val="00AB34BD"/>
    <w:rsid w:val="00AB3C03"/>
    <w:rsid w:val="00AB50AF"/>
    <w:rsid w:val="00AB52EA"/>
    <w:rsid w:val="00AB5EF6"/>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0F5"/>
    <w:rsid w:val="00AE68F6"/>
    <w:rsid w:val="00AF17F6"/>
    <w:rsid w:val="00AF2D24"/>
    <w:rsid w:val="00AF413F"/>
    <w:rsid w:val="00AF420A"/>
    <w:rsid w:val="00AF4465"/>
    <w:rsid w:val="00AF4901"/>
    <w:rsid w:val="00AF670F"/>
    <w:rsid w:val="00AF6E5B"/>
    <w:rsid w:val="00AF75AC"/>
    <w:rsid w:val="00AF766A"/>
    <w:rsid w:val="00B014BB"/>
    <w:rsid w:val="00B02826"/>
    <w:rsid w:val="00B045EC"/>
    <w:rsid w:val="00B058FF"/>
    <w:rsid w:val="00B07483"/>
    <w:rsid w:val="00B074D0"/>
    <w:rsid w:val="00B10CFD"/>
    <w:rsid w:val="00B158C3"/>
    <w:rsid w:val="00B22517"/>
    <w:rsid w:val="00B2293D"/>
    <w:rsid w:val="00B2353C"/>
    <w:rsid w:val="00B272BE"/>
    <w:rsid w:val="00B27737"/>
    <w:rsid w:val="00B27A14"/>
    <w:rsid w:val="00B32C84"/>
    <w:rsid w:val="00B33E5E"/>
    <w:rsid w:val="00B34D85"/>
    <w:rsid w:val="00B3567F"/>
    <w:rsid w:val="00B36270"/>
    <w:rsid w:val="00B3710C"/>
    <w:rsid w:val="00B37FE3"/>
    <w:rsid w:val="00B413CC"/>
    <w:rsid w:val="00B41521"/>
    <w:rsid w:val="00B415FE"/>
    <w:rsid w:val="00B42205"/>
    <w:rsid w:val="00B43502"/>
    <w:rsid w:val="00B445B9"/>
    <w:rsid w:val="00B44E97"/>
    <w:rsid w:val="00B4582C"/>
    <w:rsid w:val="00B46A08"/>
    <w:rsid w:val="00B46C4E"/>
    <w:rsid w:val="00B47DAA"/>
    <w:rsid w:val="00B504BE"/>
    <w:rsid w:val="00B506B0"/>
    <w:rsid w:val="00B52A04"/>
    <w:rsid w:val="00B53238"/>
    <w:rsid w:val="00B5343C"/>
    <w:rsid w:val="00B53EA7"/>
    <w:rsid w:val="00B55E5A"/>
    <w:rsid w:val="00B561E7"/>
    <w:rsid w:val="00B568BF"/>
    <w:rsid w:val="00B573CF"/>
    <w:rsid w:val="00B60383"/>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0C2A"/>
    <w:rsid w:val="00B916FF"/>
    <w:rsid w:val="00B9217D"/>
    <w:rsid w:val="00B92345"/>
    <w:rsid w:val="00B92C4F"/>
    <w:rsid w:val="00B95196"/>
    <w:rsid w:val="00B9530E"/>
    <w:rsid w:val="00B95B12"/>
    <w:rsid w:val="00BA02A3"/>
    <w:rsid w:val="00BA14BA"/>
    <w:rsid w:val="00BA17A9"/>
    <w:rsid w:val="00BA30F2"/>
    <w:rsid w:val="00BA3736"/>
    <w:rsid w:val="00BA4EAC"/>
    <w:rsid w:val="00BA617C"/>
    <w:rsid w:val="00BA68B2"/>
    <w:rsid w:val="00BA7C51"/>
    <w:rsid w:val="00BA7E1E"/>
    <w:rsid w:val="00BA7E21"/>
    <w:rsid w:val="00BB18C4"/>
    <w:rsid w:val="00BB4BBA"/>
    <w:rsid w:val="00BB505E"/>
    <w:rsid w:val="00BB7324"/>
    <w:rsid w:val="00BB78A6"/>
    <w:rsid w:val="00BC0543"/>
    <w:rsid w:val="00BC11E8"/>
    <w:rsid w:val="00BC15FB"/>
    <w:rsid w:val="00BC16FF"/>
    <w:rsid w:val="00BC1721"/>
    <w:rsid w:val="00BC22CF"/>
    <w:rsid w:val="00BC3D6F"/>
    <w:rsid w:val="00BC4C6A"/>
    <w:rsid w:val="00BC57F5"/>
    <w:rsid w:val="00BC782B"/>
    <w:rsid w:val="00BD1D4D"/>
    <w:rsid w:val="00BD498B"/>
    <w:rsid w:val="00BD604B"/>
    <w:rsid w:val="00BD65CD"/>
    <w:rsid w:val="00BD6A7C"/>
    <w:rsid w:val="00BD768A"/>
    <w:rsid w:val="00BD7AFF"/>
    <w:rsid w:val="00BD7CA7"/>
    <w:rsid w:val="00BE13B9"/>
    <w:rsid w:val="00BE4FCF"/>
    <w:rsid w:val="00BE5827"/>
    <w:rsid w:val="00BE5DA9"/>
    <w:rsid w:val="00BE69FF"/>
    <w:rsid w:val="00BF0872"/>
    <w:rsid w:val="00BF1745"/>
    <w:rsid w:val="00BF19FA"/>
    <w:rsid w:val="00BF4C3E"/>
    <w:rsid w:val="00BF757A"/>
    <w:rsid w:val="00C017FF"/>
    <w:rsid w:val="00C01FBD"/>
    <w:rsid w:val="00C02090"/>
    <w:rsid w:val="00C022E9"/>
    <w:rsid w:val="00C03970"/>
    <w:rsid w:val="00C04AA0"/>
    <w:rsid w:val="00C060B9"/>
    <w:rsid w:val="00C06806"/>
    <w:rsid w:val="00C0746C"/>
    <w:rsid w:val="00C07ED9"/>
    <w:rsid w:val="00C11341"/>
    <w:rsid w:val="00C15A5E"/>
    <w:rsid w:val="00C17352"/>
    <w:rsid w:val="00C17507"/>
    <w:rsid w:val="00C17BFA"/>
    <w:rsid w:val="00C22767"/>
    <w:rsid w:val="00C22C2F"/>
    <w:rsid w:val="00C25992"/>
    <w:rsid w:val="00C267E3"/>
    <w:rsid w:val="00C27B64"/>
    <w:rsid w:val="00C30167"/>
    <w:rsid w:val="00C308DC"/>
    <w:rsid w:val="00C31AC5"/>
    <w:rsid w:val="00C31CE3"/>
    <w:rsid w:val="00C3206E"/>
    <w:rsid w:val="00C365F1"/>
    <w:rsid w:val="00C36EA2"/>
    <w:rsid w:val="00C37F27"/>
    <w:rsid w:val="00C40CC6"/>
    <w:rsid w:val="00C41E59"/>
    <w:rsid w:val="00C449B4"/>
    <w:rsid w:val="00C4510D"/>
    <w:rsid w:val="00C471D2"/>
    <w:rsid w:val="00C4754D"/>
    <w:rsid w:val="00C50A1C"/>
    <w:rsid w:val="00C514CD"/>
    <w:rsid w:val="00C5311E"/>
    <w:rsid w:val="00C5343D"/>
    <w:rsid w:val="00C54A52"/>
    <w:rsid w:val="00C5641F"/>
    <w:rsid w:val="00C60A5E"/>
    <w:rsid w:val="00C61028"/>
    <w:rsid w:val="00C61954"/>
    <w:rsid w:val="00C62B36"/>
    <w:rsid w:val="00C63219"/>
    <w:rsid w:val="00C632D8"/>
    <w:rsid w:val="00C64182"/>
    <w:rsid w:val="00C66EA0"/>
    <w:rsid w:val="00C70604"/>
    <w:rsid w:val="00C7392F"/>
    <w:rsid w:val="00C74920"/>
    <w:rsid w:val="00C7610F"/>
    <w:rsid w:val="00C773F9"/>
    <w:rsid w:val="00C775A1"/>
    <w:rsid w:val="00C77B0A"/>
    <w:rsid w:val="00C8091E"/>
    <w:rsid w:val="00C80EE0"/>
    <w:rsid w:val="00C8162B"/>
    <w:rsid w:val="00C816BA"/>
    <w:rsid w:val="00C81CA2"/>
    <w:rsid w:val="00C8291D"/>
    <w:rsid w:val="00C833B1"/>
    <w:rsid w:val="00C913EF"/>
    <w:rsid w:val="00C91C9D"/>
    <w:rsid w:val="00C939B9"/>
    <w:rsid w:val="00C93A2E"/>
    <w:rsid w:val="00C95F0B"/>
    <w:rsid w:val="00C96435"/>
    <w:rsid w:val="00C96BF3"/>
    <w:rsid w:val="00C97AFD"/>
    <w:rsid w:val="00CA17E1"/>
    <w:rsid w:val="00CA1E0F"/>
    <w:rsid w:val="00CA2484"/>
    <w:rsid w:val="00CA2910"/>
    <w:rsid w:val="00CA296D"/>
    <w:rsid w:val="00CA32BF"/>
    <w:rsid w:val="00CA32DC"/>
    <w:rsid w:val="00CA5D88"/>
    <w:rsid w:val="00CA5EA6"/>
    <w:rsid w:val="00CA6433"/>
    <w:rsid w:val="00CA647F"/>
    <w:rsid w:val="00CA69D7"/>
    <w:rsid w:val="00CA70D9"/>
    <w:rsid w:val="00CA79F7"/>
    <w:rsid w:val="00CB00DA"/>
    <w:rsid w:val="00CB32A6"/>
    <w:rsid w:val="00CB5291"/>
    <w:rsid w:val="00CB644D"/>
    <w:rsid w:val="00CB7517"/>
    <w:rsid w:val="00CC016D"/>
    <w:rsid w:val="00CC01F2"/>
    <w:rsid w:val="00CC07FA"/>
    <w:rsid w:val="00CC0B97"/>
    <w:rsid w:val="00CC174B"/>
    <w:rsid w:val="00CC2B30"/>
    <w:rsid w:val="00CC3532"/>
    <w:rsid w:val="00CC5AC0"/>
    <w:rsid w:val="00CC6554"/>
    <w:rsid w:val="00CD00BC"/>
    <w:rsid w:val="00CD1954"/>
    <w:rsid w:val="00CD1F12"/>
    <w:rsid w:val="00CD34FF"/>
    <w:rsid w:val="00CD36CA"/>
    <w:rsid w:val="00CD37B5"/>
    <w:rsid w:val="00CD3B65"/>
    <w:rsid w:val="00CD3CB1"/>
    <w:rsid w:val="00CD43FA"/>
    <w:rsid w:val="00CD608D"/>
    <w:rsid w:val="00CD7616"/>
    <w:rsid w:val="00CD795A"/>
    <w:rsid w:val="00CE11DD"/>
    <w:rsid w:val="00CE30E7"/>
    <w:rsid w:val="00CE3283"/>
    <w:rsid w:val="00CE35FD"/>
    <w:rsid w:val="00CE4D95"/>
    <w:rsid w:val="00CE629D"/>
    <w:rsid w:val="00CF07E6"/>
    <w:rsid w:val="00CF226E"/>
    <w:rsid w:val="00CF2562"/>
    <w:rsid w:val="00CF33B6"/>
    <w:rsid w:val="00CF406F"/>
    <w:rsid w:val="00CF5521"/>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787"/>
    <w:rsid w:val="00D17B1C"/>
    <w:rsid w:val="00D20593"/>
    <w:rsid w:val="00D22406"/>
    <w:rsid w:val="00D2384D"/>
    <w:rsid w:val="00D25869"/>
    <w:rsid w:val="00D25AC0"/>
    <w:rsid w:val="00D25C0A"/>
    <w:rsid w:val="00D25D86"/>
    <w:rsid w:val="00D263F1"/>
    <w:rsid w:val="00D26487"/>
    <w:rsid w:val="00D265C8"/>
    <w:rsid w:val="00D323C4"/>
    <w:rsid w:val="00D33F2B"/>
    <w:rsid w:val="00D340DB"/>
    <w:rsid w:val="00D34189"/>
    <w:rsid w:val="00D34CE8"/>
    <w:rsid w:val="00D34E19"/>
    <w:rsid w:val="00D3593A"/>
    <w:rsid w:val="00D36139"/>
    <w:rsid w:val="00D375D6"/>
    <w:rsid w:val="00D4001C"/>
    <w:rsid w:val="00D438F0"/>
    <w:rsid w:val="00D44372"/>
    <w:rsid w:val="00D443D4"/>
    <w:rsid w:val="00D4603C"/>
    <w:rsid w:val="00D5206B"/>
    <w:rsid w:val="00D52ADB"/>
    <w:rsid w:val="00D53161"/>
    <w:rsid w:val="00D5508F"/>
    <w:rsid w:val="00D55786"/>
    <w:rsid w:val="00D55EC2"/>
    <w:rsid w:val="00D55F02"/>
    <w:rsid w:val="00D60812"/>
    <w:rsid w:val="00D60A30"/>
    <w:rsid w:val="00D623DD"/>
    <w:rsid w:val="00D62D39"/>
    <w:rsid w:val="00D62FA0"/>
    <w:rsid w:val="00D632DB"/>
    <w:rsid w:val="00D63708"/>
    <w:rsid w:val="00D63B83"/>
    <w:rsid w:val="00D6481B"/>
    <w:rsid w:val="00D66900"/>
    <w:rsid w:val="00D67371"/>
    <w:rsid w:val="00D70935"/>
    <w:rsid w:val="00D724FE"/>
    <w:rsid w:val="00D759E5"/>
    <w:rsid w:val="00D77706"/>
    <w:rsid w:val="00D77A2F"/>
    <w:rsid w:val="00D80219"/>
    <w:rsid w:val="00D8128F"/>
    <w:rsid w:val="00D82717"/>
    <w:rsid w:val="00D82D31"/>
    <w:rsid w:val="00D82E17"/>
    <w:rsid w:val="00D83283"/>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22"/>
    <w:rsid w:val="00DA6E7B"/>
    <w:rsid w:val="00DA7022"/>
    <w:rsid w:val="00DB0AED"/>
    <w:rsid w:val="00DB10AB"/>
    <w:rsid w:val="00DB1F0A"/>
    <w:rsid w:val="00DB2B34"/>
    <w:rsid w:val="00DB3CCC"/>
    <w:rsid w:val="00DB53CB"/>
    <w:rsid w:val="00DB67F3"/>
    <w:rsid w:val="00DC11F9"/>
    <w:rsid w:val="00DC2867"/>
    <w:rsid w:val="00DC2BC4"/>
    <w:rsid w:val="00DC343A"/>
    <w:rsid w:val="00DD130F"/>
    <w:rsid w:val="00DD4131"/>
    <w:rsid w:val="00DD4387"/>
    <w:rsid w:val="00DD5B36"/>
    <w:rsid w:val="00DD7C42"/>
    <w:rsid w:val="00DE0C12"/>
    <w:rsid w:val="00DE295D"/>
    <w:rsid w:val="00DE2B95"/>
    <w:rsid w:val="00DE45E9"/>
    <w:rsid w:val="00DE51F9"/>
    <w:rsid w:val="00DE52FB"/>
    <w:rsid w:val="00DE56BC"/>
    <w:rsid w:val="00DE7F8F"/>
    <w:rsid w:val="00DF03B9"/>
    <w:rsid w:val="00DF0C4B"/>
    <w:rsid w:val="00DF0F34"/>
    <w:rsid w:val="00DF1657"/>
    <w:rsid w:val="00DF36FD"/>
    <w:rsid w:val="00DF38F5"/>
    <w:rsid w:val="00DF6462"/>
    <w:rsid w:val="00DF6D4A"/>
    <w:rsid w:val="00E00B6A"/>
    <w:rsid w:val="00E01C2C"/>
    <w:rsid w:val="00E020B4"/>
    <w:rsid w:val="00E023F7"/>
    <w:rsid w:val="00E028E3"/>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0D17"/>
    <w:rsid w:val="00E313CE"/>
    <w:rsid w:val="00E3165C"/>
    <w:rsid w:val="00E3244D"/>
    <w:rsid w:val="00E32751"/>
    <w:rsid w:val="00E33895"/>
    <w:rsid w:val="00E3398B"/>
    <w:rsid w:val="00E33A3B"/>
    <w:rsid w:val="00E367DC"/>
    <w:rsid w:val="00E36D70"/>
    <w:rsid w:val="00E377C9"/>
    <w:rsid w:val="00E37B82"/>
    <w:rsid w:val="00E37D59"/>
    <w:rsid w:val="00E42E68"/>
    <w:rsid w:val="00E44A20"/>
    <w:rsid w:val="00E44C2A"/>
    <w:rsid w:val="00E453B2"/>
    <w:rsid w:val="00E46571"/>
    <w:rsid w:val="00E501E2"/>
    <w:rsid w:val="00E51651"/>
    <w:rsid w:val="00E550CC"/>
    <w:rsid w:val="00E55672"/>
    <w:rsid w:val="00E5616A"/>
    <w:rsid w:val="00E56FEA"/>
    <w:rsid w:val="00E60196"/>
    <w:rsid w:val="00E61F8D"/>
    <w:rsid w:val="00E63C2D"/>
    <w:rsid w:val="00E67590"/>
    <w:rsid w:val="00E67F1D"/>
    <w:rsid w:val="00E703B0"/>
    <w:rsid w:val="00E709FC"/>
    <w:rsid w:val="00E71ADD"/>
    <w:rsid w:val="00E73876"/>
    <w:rsid w:val="00E74575"/>
    <w:rsid w:val="00E74AD8"/>
    <w:rsid w:val="00E76CEE"/>
    <w:rsid w:val="00E77115"/>
    <w:rsid w:val="00E77286"/>
    <w:rsid w:val="00E77455"/>
    <w:rsid w:val="00E77A51"/>
    <w:rsid w:val="00E804D3"/>
    <w:rsid w:val="00E80AC4"/>
    <w:rsid w:val="00E816A6"/>
    <w:rsid w:val="00E81DB4"/>
    <w:rsid w:val="00E82C77"/>
    <w:rsid w:val="00E84A30"/>
    <w:rsid w:val="00E857F8"/>
    <w:rsid w:val="00E86ECC"/>
    <w:rsid w:val="00E87CB3"/>
    <w:rsid w:val="00E90E85"/>
    <w:rsid w:val="00E91141"/>
    <w:rsid w:val="00E925A6"/>
    <w:rsid w:val="00E945AC"/>
    <w:rsid w:val="00E94859"/>
    <w:rsid w:val="00E94C30"/>
    <w:rsid w:val="00E955C4"/>
    <w:rsid w:val="00E95C4B"/>
    <w:rsid w:val="00E965EE"/>
    <w:rsid w:val="00E9683E"/>
    <w:rsid w:val="00E96ECC"/>
    <w:rsid w:val="00E9744A"/>
    <w:rsid w:val="00E97657"/>
    <w:rsid w:val="00EA2A51"/>
    <w:rsid w:val="00EA3F51"/>
    <w:rsid w:val="00EA536C"/>
    <w:rsid w:val="00EA7696"/>
    <w:rsid w:val="00EA7A63"/>
    <w:rsid w:val="00EB0052"/>
    <w:rsid w:val="00EB0FBB"/>
    <w:rsid w:val="00EB215C"/>
    <w:rsid w:val="00EB3768"/>
    <w:rsid w:val="00EB3A44"/>
    <w:rsid w:val="00EB5817"/>
    <w:rsid w:val="00EB5D26"/>
    <w:rsid w:val="00EB7522"/>
    <w:rsid w:val="00EB7D69"/>
    <w:rsid w:val="00EC223C"/>
    <w:rsid w:val="00EC2870"/>
    <w:rsid w:val="00EC2AC1"/>
    <w:rsid w:val="00EC4184"/>
    <w:rsid w:val="00EC7BA7"/>
    <w:rsid w:val="00ED0CB1"/>
    <w:rsid w:val="00ED230B"/>
    <w:rsid w:val="00ED3570"/>
    <w:rsid w:val="00ED368F"/>
    <w:rsid w:val="00ED3B71"/>
    <w:rsid w:val="00ED4A3F"/>
    <w:rsid w:val="00ED4FDE"/>
    <w:rsid w:val="00ED6D87"/>
    <w:rsid w:val="00EE1DB5"/>
    <w:rsid w:val="00EE3357"/>
    <w:rsid w:val="00EF00C9"/>
    <w:rsid w:val="00EF0C29"/>
    <w:rsid w:val="00EF30E2"/>
    <w:rsid w:val="00EF3119"/>
    <w:rsid w:val="00EF3282"/>
    <w:rsid w:val="00EF6C64"/>
    <w:rsid w:val="00F002AB"/>
    <w:rsid w:val="00F00F89"/>
    <w:rsid w:val="00F013B9"/>
    <w:rsid w:val="00F016BB"/>
    <w:rsid w:val="00F0237A"/>
    <w:rsid w:val="00F039CF"/>
    <w:rsid w:val="00F05335"/>
    <w:rsid w:val="00F0536E"/>
    <w:rsid w:val="00F05D39"/>
    <w:rsid w:val="00F06333"/>
    <w:rsid w:val="00F10E47"/>
    <w:rsid w:val="00F12F6E"/>
    <w:rsid w:val="00F13CBC"/>
    <w:rsid w:val="00F14855"/>
    <w:rsid w:val="00F21417"/>
    <w:rsid w:val="00F21E4B"/>
    <w:rsid w:val="00F22A72"/>
    <w:rsid w:val="00F231CE"/>
    <w:rsid w:val="00F2385F"/>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21E6"/>
    <w:rsid w:val="00F4303A"/>
    <w:rsid w:val="00F44BC3"/>
    <w:rsid w:val="00F475D0"/>
    <w:rsid w:val="00F5118A"/>
    <w:rsid w:val="00F555B0"/>
    <w:rsid w:val="00F6162A"/>
    <w:rsid w:val="00F66759"/>
    <w:rsid w:val="00F67967"/>
    <w:rsid w:val="00F67CF6"/>
    <w:rsid w:val="00F72651"/>
    <w:rsid w:val="00F7301E"/>
    <w:rsid w:val="00F8175E"/>
    <w:rsid w:val="00F81B05"/>
    <w:rsid w:val="00F81F15"/>
    <w:rsid w:val="00F82049"/>
    <w:rsid w:val="00F82C9F"/>
    <w:rsid w:val="00F8388A"/>
    <w:rsid w:val="00F84E80"/>
    <w:rsid w:val="00F87537"/>
    <w:rsid w:val="00F947DC"/>
    <w:rsid w:val="00F9781A"/>
    <w:rsid w:val="00FA057C"/>
    <w:rsid w:val="00FA086F"/>
    <w:rsid w:val="00FA0D16"/>
    <w:rsid w:val="00FA185B"/>
    <w:rsid w:val="00FA60BF"/>
    <w:rsid w:val="00FA6883"/>
    <w:rsid w:val="00FA7405"/>
    <w:rsid w:val="00FB0D12"/>
    <w:rsid w:val="00FB1CB4"/>
    <w:rsid w:val="00FB23B5"/>
    <w:rsid w:val="00FB3D40"/>
    <w:rsid w:val="00FB44EB"/>
    <w:rsid w:val="00FB675F"/>
    <w:rsid w:val="00FC11A3"/>
    <w:rsid w:val="00FC1300"/>
    <w:rsid w:val="00FC1C93"/>
    <w:rsid w:val="00FC3307"/>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1ADC"/>
    <w:rsid w:val="00FE225D"/>
    <w:rsid w:val="00FE4989"/>
    <w:rsid w:val="00FE5C3E"/>
    <w:rsid w:val="00FF0A2F"/>
    <w:rsid w:val="00FF1B04"/>
    <w:rsid w:val="00FF22F8"/>
    <w:rsid w:val="01654C82"/>
    <w:rsid w:val="01A31AE7"/>
    <w:rsid w:val="020A6A96"/>
    <w:rsid w:val="0356786B"/>
    <w:rsid w:val="03C96CBB"/>
    <w:rsid w:val="046E31C1"/>
    <w:rsid w:val="056C4F65"/>
    <w:rsid w:val="06F4696E"/>
    <w:rsid w:val="070E6B8F"/>
    <w:rsid w:val="07245E56"/>
    <w:rsid w:val="0C023D8C"/>
    <w:rsid w:val="0C225D7B"/>
    <w:rsid w:val="0E94232E"/>
    <w:rsid w:val="0F1306D5"/>
    <w:rsid w:val="0F3D11FD"/>
    <w:rsid w:val="11295396"/>
    <w:rsid w:val="163E2FB7"/>
    <w:rsid w:val="17622796"/>
    <w:rsid w:val="1A48157B"/>
    <w:rsid w:val="1BD70953"/>
    <w:rsid w:val="1BF87698"/>
    <w:rsid w:val="1D73517C"/>
    <w:rsid w:val="1E585AB7"/>
    <w:rsid w:val="1EB160C2"/>
    <w:rsid w:val="1FF145B9"/>
    <w:rsid w:val="2193546F"/>
    <w:rsid w:val="26F50BA9"/>
    <w:rsid w:val="27BD5E26"/>
    <w:rsid w:val="285E4249"/>
    <w:rsid w:val="29026D00"/>
    <w:rsid w:val="293556EA"/>
    <w:rsid w:val="2EA644DF"/>
    <w:rsid w:val="2FB532A0"/>
    <w:rsid w:val="302A0BDB"/>
    <w:rsid w:val="319C4BEA"/>
    <w:rsid w:val="34740810"/>
    <w:rsid w:val="34C829B2"/>
    <w:rsid w:val="35381804"/>
    <w:rsid w:val="386A3F56"/>
    <w:rsid w:val="38D50832"/>
    <w:rsid w:val="39B27394"/>
    <w:rsid w:val="3A810EF7"/>
    <w:rsid w:val="3ACF0F3F"/>
    <w:rsid w:val="3C3802E9"/>
    <w:rsid w:val="3E586AB8"/>
    <w:rsid w:val="3E5C1B1D"/>
    <w:rsid w:val="3EAE14E9"/>
    <w:rsid w:val="3FD261A6"/>
    <w:rsid w:val="40BA4D25"/>
    <w:rsid w:val="42EB2F9C"/>
    <w:rsid w:val="45226963"/>
    <w:rsid w:val="45546609"/>
    <w:rsid w:val="4D39606F"/>
    <w:rsid w:val="4E2E25F7"/>
    <w:rsid w:val="4F8E3D4D"/>
    <w:rsid w:val="53063B85"/>
    <w:rsid w:val="533C1961"/>
    <w:rsid w:val="53B3493A"/>
    <w:rsid w:val="5418588F"/>
    <w:rsid w:val="5537323C"/>
    <w:rsid w:val="555A43BF"/>
    <w:rsid w:val="55855837"/>
    <w:rsid w:val="56503211"/>
    <w:rsid w:val="598B567E"/>
    <w:rsid w:val="5AF44D38"/>
    <w:rsid w:val="5C624734"/>
    <w:rsid w:val="5FE91ABC"/>
    <w:rsid w:val="61386B66"/>
    <w:rsid w:val="628E734C"/>
    <w:rsid w:val="6580603B"/>
    <w:rsid w:val="6811538A"/>
    <w:rsid w:val="68C7223A"/>
    <w:rsid w:val="68EF6886"/>
    <w:rsid w:val="68F55069"/>
    <w:rsid w:val="6A563D47"/>
    <w:rsid w:val="6D643F0F"/>
    <w:rsid w:val="6EAA7DFD"/>
    <w:rsid w:val="6FDD1093"/>
    <w:rsid w:val="709C0126"/>
    <w:rsid w:val="76022652"/>
    <w:rsid w:val="768501BE"/>
    <w:rsid w:val="76C8601E"/>
    <w:rsid w:val="785F6471"/>
    <w:rsid w:val="78AB3944"/>
    <w:rsid w:val="79952C43"/>
    <w:rsid w:val="7B1E63C9"/>
    <w:rsid w:val="7BEA1CFE"/>
    <w:rsid w:val="7D803772"/>
    <w:rsid w:val="7D80556D"/>
    <w:rsid w:val="7E3713F1"/>
    <w:rsid w:val="7E9D5B85"/>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78D677-DD72-49A7-A887-91956C01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pPr>
      <w:widowControl w:val="0"/>
    </w:pPr>
    <w:rPr>
      <w:rFonts w:ascii="Calibri" w:hAnsi="Calibri"/>
      <w:b/>
      <w:bCs/>
      <w:kern w:val="2"/>
      <w:sz w:val="21"/>
      <w:szCs w:val="22"/>
    </w:rPr>
  </w:style>
  <w:style w:type="paragraph" w:styleId="a4">
    <w:name w:val="annotation text"/>
    <w:basedOn w:val="a"/>
    <w:link w:val="Char0"/>
    <w:uiPriority w:val="99"/>
    <w:qFormat/>
    <w:pPr>
      <w:widowControl/>
      <w:jc w:val="left"/>
    </w:pPr>
    <w:rPr>
      <w:rFonts w:ascii="宋体" w:hAnsi="宋体"/>
      <w:kern w:val="0"/>
      <w:sz w:val="24"/>
      <w:szCs w:val="24"/>
    </w:rPr>
  </w:style>
  <w:style w:type="paragraph" w:styleId="a5">
    <w:name w:val="Normal Indent"/>
    <w:basedOn w:val="a"/>
    <w:qFormat/>
    <w:pPr>
      <w:ind w:firstLineChars="200" w:firstLine="420"/>
    </w:pPr>
    <w:rPr>
      <w:rFonts w:ascii="Times New Roman" w:hAnsi="Times New Roman" w:cs="Times New Roman"/>
      <w:szCs w:val="20"/>
    </w:rPr>
  </w:style>
  <w:style w:type="paragraph" w:styleId="a6">
    <w:name w:val="Document Map"/>
    <w:basedOn w:val="a"/>
    <w:link w:val="Char1"/>
    <w:qFormat/>
    <w:pPr>
      <w:shd w:val="clear" w:color="auto" w:fill="000080"/>
    </w:pPr>
    <w:rPr>
      <w:rFonts w:ascii="Times New Roman" w:hAnsi="Times New Roman" w:cs="Times New Roman"/>
      <w:szCs w:val="20"/>
    </w:rPr>
  </w:style>
  <w:style w:type="paragraph" w:styleId="a7">
    <w:name w:val="Body Text"/>
    <w:basedOn w:val="a"/>
    <w:link w:val="Char2"/>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8">
    <w:name w:val="Plain Text"/>
    <w:basedOn w:val="a"/>
    <w:link w:val="Char3"/>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c">
    <w:name w:val="footnote text"/>
    <w:basedOn w:val="a"/>
    <w:link w:val="Char7"/>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d">
    <w:name w:val="Normal (Web)"/>
    <w:basedOn w:val="a"/>
    <w:qFormat/>
    <w:pPr>
      <w:widowControl/>
      <w:spacing w:before="100" w:beforeAutospacing="1" w:after="100" w:afterAutospacing="1"/>
      <w:jc w:val="left"/>
    </w:pPr>
    <w:rPr>
      <w:rFonts w:ascii="宋体" w:hAnsi="宋体"/>
      <w:kern w:val="0"/>
      <w:sz w:val="24"/>
      <w:szCs w:val="24"/>
    </w:rPr>
  </w:style>
  <w:style w:type="paragraph" w:styleId="ae">
    <w:name w:val="Title"/>
    <w:basedOn w:val="a"/>
    <w:next w:val="a"/>
    <w:link w:val="Char8"/>
    <w:qFormat/>
    <w:pPr>
      <w:spacing w:before="240" w:after="60"/>
      <w:jc w:val="center"/>
      <w:outlineLvl w:val="0"/>
    </w:pPr>
    <w:rPr>
      <w:rFonts w:ascii="Cambria" w:hAnsi="Cambria"/>
      <w:b/>
      <w:sz w:val="32"/>
      <w:szCs w:val="20"/>
    </w:rPr>
  </w:style>
  <w:style w:type="character" w:styleId="af">
    <w:name w:val="Strong"/>
    <w:uiPriority w:val="22"/>
    <w:qFormat/>
    <w:rPr>
      <w:b/>
      <w:bCs/>
    </w:rPr>
  </w:style>
  <w:style w:type="character" w:styleId="af0">
    <w:name w:val="page number"/>
    <w:basedOn w:val="a0"/>
    <w:qFormat/>
  </w:style>
  <w:style w:type="character" w:styleId="af1">
    <w:name w:val="Hyperlink"/>
    <w:basedOn w:val="a0"/>
    <w:uiPriority w:val="99"/>
    <w:unhideWhenUsed/>
    <w:qFormat/>
    <w:rPr>
      <w:color w:val="0000FF" w:themeColor="hyperlink"/>
      <w:u w:val="single"/>
    </w:rPr>
  </w:style>
  <w:style w:type="character" w:styleId="af2">
    <w:name w:val="annotation reference"/>
    <w:uiPriority w:val="99"/>
    <w:qFormat/>
    <w:rPr>
      <w:sz w:val="21"/>
      <w:szCs w:val="21"/>
    </w:rPr>
  </w:style>
  <w:style w:type="character" w:styleId="af3">
    <w:name w:val="footnote reference"/>
    <w:qFormat/>
    <w:rPr>
      <w:vertAlign w:val="superscript"/>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页眉 Char"/>
    <w:basedOn w:val="a0"/>
    <w:link w:val="ab"/>
    <w:uiPriority w:val="99"/>
    <w:qFormat/>
    <w:rPr>
      <w:sz w:val="18"/>
      <w:szCs w:val="18"/>
    </w:rPr>
  </w:style>
  <w:style w:type="character" w:customStyle="1" w:styleId="Char5">
    <w:name w:val="页脚 Char"/>
    <w:basedOn w:val="a0"/>
    <w:link w:val="aa"/>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4"/>
    <w:uiPriority w:val="99"/>
    <w:qFormat/>
    <w:rPr>
      <w:rFonts w:ascii="宋体" w:eastAsia="宋体" w:hAnsi="宋体" w:cs="宋体"/>
      <w:kern w:val="0"/>
      <w:sz w:val="24"/>
      <w:szCs w:val="24"/>
    </w:rPr>
  </w:style>
  <w:style w:type="character" w:customStyle="1" w:styleId="Char4">
    <w:name w:val="批注框文本 Char"/>
    <w:basedOn w:val="a0"/>
    <w:link w:val="a9"/>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
    <w:name w:val="批注主题 Char"/>
    <w:basedOn w:val="Char0"/>
    <w:link w:val="a3"/>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8">
    <w:name w:val="标题 Char"/>
    <w:link w:val="ae"/>
    <w:qFormat/>
    <w:rPr>
      <w:rFonts w:ascii="Cambria" w:hAnsi="Cambria"/>
      <w:b/>
      <w:kern w:val="2"/>
      <w:sz w:val="32"/>
    </w:rPr>
  </w:style>
  <w:style w:type="character" w:customStyle="1" w:styleId="Char2">
    <w:name w:val="正文文本 Char"/>
    <w:link w:val="a7"/>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1">
    <w:name w:val="文档结构图 Char"/>
    <w:basedOn w:val="a0"/>
    <w:link w:val="a6"/>
    <w:qFormat/>
    <w:rPr>
      <w:rFonts w:ascii="Times New Roman" w:hAnsi="Times New Roman" w:cs="Times New Roman"/>
      <w:kern w:val="2"/>
      <w:sz w:val="21"/>
      <w:shd w:val="clear" w:color="auto" w:fill="000080"/>
    </w:rPr>
  </w:style>
  <w:style w:type="character" w:customStyle="1" w:styleId="Char3">
    <w:name w:val="纯文本 Char"/>
    <w:basedOn w:val="a0"/>
    <w:link w:val="a8"/>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7">
    <w:name w:val="脚注文本 Char"/>
    <w:basedOn w:val="a0"/>
    <w:link w:val="ac"/>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0">
    <w:name w:val="修订4"/>
    <w:hidden/>
    <w:uiPriority w:val="99"/>
    <w:semiHidden/>
    <w:qFormat/>
    <w:rPr>
      <w:rFonts w:ascii="Calibri" w:hAnsi="Calibri" w:cs="宋体"/>
      <w:kern w:val="2"/>
      <w:sz w:val="21"/>
      <w:szCs w:val="22"/>
    </w:rPr>
  </w:style>
  <w:style w:type="paragraph" w:customStyle="1" w:styleId="5">
    <w:name w:val="修订5"/>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503087">
      <w:bodyDiv w:val="1"/>
      <w:marLeft w:val="0"/>
      <w:marRight w:val="0"/>
      <w:marTop w:val="0"/>
      <w:marBottom w:val="0"/>
      <w:divBdr>
        <w:top w:val="none" w:sz="0" w:space="0" w:color="auto"/>
        <w:left w:val="none" w:sz="0" w:space="0" w:color="auto"/>
        <w:bottom w:val="none" w:sz="0" w:space="0" w:color="auto"/>
        <w:right w:val="none" w:sz="0" w:space="0" w:color="auto"/>
      </w:divBdr>
    </w:div>
    <w:div w:id="2095010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hyperlink" Target="http://www.chinawealth.com.cn" TargetMode="Externa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0.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1.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2.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3.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4.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15.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6.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7.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8.xml><?xml version="1.0" encoding="utf-8"?>
<ds:datastoreItem xmlns:ds="http://schemas.openxmlformats.org/officeDocument/2006/customXml" ds:itemID="{04C4F194-6E55-4714-AFBE-5939A3A4EF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4.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5.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6.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7.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8.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9.xml><?xml version="1.0" encoding="utf-8"?>
<ds:datastoreItem xmlns:ds="http://schemas.openxmlformats.org/officeDocument/2006/customXml" ds:itemID="{3A3C3A8D-C5E4-45AF-8B48-C3BF528808AD}">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41</Pages>
  <Words>4651</Words>
  <Characters>26515</Characters>
  <Application>Microsoft Office Word</Application>
  <DocSecurity>0</DocSecurity>
  <Lines>220</Lines>
  <Paragraphs>62</Paragraphs>
  <ScaleCrop>false</ScaleCrop>
  <Company>Microsoft</Company>
  <LinksUpToDate>false</LinksUpToDate>
  <CharactersWithSpaces>31104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罗钦</cp:lastModifiedBy>
  <cp:revision>112</cp:revision>
  <cp:lastPrinted>2022-01-18T08:37:00Z</cp:lastPrinted>
  <dcterms:created xsi:type="dcterms:W3CDTF">2021-09-06T06:01:00Z</dcterms:created>
  <dcterms:modified xsi:type="dcterms:W3CDTF">2023-08-03T03:14:00Z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5466F5ED04264CD88390FDC4DDCA6BAE</vt:lpwstr>
  </property>
</Properties>
</file>