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CB9" w:rsidRDefault="00712C96">
      <w:pPr>
        <w:widowControl/>
        <w:spacing w:line="360" w:lineRule="auto"/>
        <w:jc w:val="center"/>
        <w:rPr>
          <w:rStyle w:val="af"/>
          <w:rFonts w:ascii="宋体" w:hAnsi="宋体"/>
          <w:sz w:val="30"/>
          <w:szCs w:val="30"/>
        </w:rPr>
      </w:pPr>
      <w:r>
        <w:rPr>
          <w:rFonts w:ascii="宋体" w:hAnsi="宋体" w:hint="eastAsia"/>
          <w:b/>
          <w:sz w:val="30"/>
          <w:szCs w:val="30"/>
        </w:rPr>
        <w:t>理财非存款、产品有风险、投资须谨慎！</w:t>
      </w:r>
    </w:p>
    <w:p w:rsidR="00360CB9" w:rsidRDefault="00360CB9">
      <w:pPr>
        <w:adjustRightInd w:val="0"/>
        <w:spacing w:line="360" w:lineRule="auto"/>
        <w:jc w:val="center"/>
        <w:rPr>
          <w:rStyle w:val="af"/>
          <w:rFonts w:ascii="宋体" w:hAnsi="宋体"/>
          <w:sz w:val="32"/>
          <w:szCs w:val="32"/>
        </w:rPr>
      </w:pPr>
    </w:p>
    <w:p w:rsidR="00360CB9" w:rsidRDefault="00712C96">
      <w:pPr>
        <w:adjustRightInd w:val="0"/>
        <w:spacing w:line="360" w:lineRule="auto"/>
        <w:jc w:val="center"/>
        <w:rPr>
          <w:rStyle w:val="af"/>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360CB9" w:rsidRDefault="00360CB9">
      <w:pPr>
        <w:adjustRightInd w:val="0"/>
        <w:spacing w:line="360" w:lineRule="auto"/>
        <w:jc w:val="center"/>
        <w:rPr>
          <w:rStyle w:val="af"/>
          <w:rFonts w:ascii="宋体" w:hAnsi="宋体"/>
          <w:sz w:val="32"/>
          <w:szCs w:val="32"/>
        </w:rPr>
      </w:pPr>
    </w:p>
    <w:p w:rsidR="00360CB9" w:rsidRDefault="00712C96">
      <w:pPr>
        <w:adjustRightInd w:val="0"/>
        <w:spacing w:line="360" w:lineRule="auto"/>
        <w:jc w:val="center"/>
        <w:rPr>
          <w:rStyle w:val="af"/>
          <w:rFonts w:ascii="黑体" w:eastAsia="黑体" w:hAnsi="黑体"/>
          <w:sz w:val="44"/>
          <w:szCs w:val="44"/>
        </w:rPr>
      </w:pPr>
      <w:r>
        <w:rPr>
          <w:rStyle w:val="af"/>
          <w:rFonts w:ascii="黑体" w:eastAsia="黑体" w:hAnsi="黑体" w:hint="eastAsia"/>
          <w:sz w:val="44"/>
          <w:szCs w:val="44"/>
        </w:rPr>
        <w:t>兴银理财【添利】理财产品</w:t>
      </w:r>
    </w:p>
    <w:p w:rsidR="00360CB9" w:rsidRDefault="00712C96">
      <w:pPr>
        <w:adjustRightInd w:val="0"/>
        <w:spacing w:line="360" w:lineRule="auto"/>
        <w:jc w:val="center"/>
        <w:rPr>
          <w:rStyle w:val="af"/>
          <w:rFonts w:ascii="黑体" w:eastAsia="黑体" w:hAnsi="黑体"/>
          <w:sz w:val="44"/>
          <w:szCs w:val="44"/>
        </w:rPr>
      </w:pPr>
      <w:r>
        <w:rPr>
          <w:rStyle w:val="af"/>
          <w:rFonts w:ascii="黑体" w:eastAsia="黑体" w:hAnsi="黑体" w:hint="eastAsia"/>
          <w:sz w:val="44"/>
          <w:szCs w:val="44"/>
        </w:rPr>
        <w:t>产品说明书</w:t>
      </w:r>
    </w:p>
    <w:p w:rsidR="00360CB9" w:rsidRDefault="00360CB9">
      <w:pPr>
        <w:adjustRightInd w:val="0"/>
        <w:spacing w:line="360" w:lineRule="auto"/>
        <w:jc w:val="center"/>
        <w:rPr>
          <w:rStyle w:val="af"/>
          <w:rFonts w:ascii="宋体" w:hAnsi="宋体"/>
          <w:sz w:val="32"/>
          <w:szCs w:val="32"/>
        </w:rPr>
      </w:pPr>
    </w:p>
    <w:p w:rsidR="00360CB9" w:rsidRDefault="00360CB9">
      <w:pPr>
        <w:adjustRightInd w:val="0"/>
        <w:spacing w:line="360" w:lineRule="auto"/>
        <w:rPr>
          <w:rStyle w:val="af"/>
          <w:rFonts w:ascii="黑体" w:eastAsia="黑体" w:hAnsi="黑体"/>
          <w:bCs w:val="0"/>
          <w:sz w:val="28"/>
          <w:szCs w:val="28"/>
        </w:rPr>
      </w:pPr>
    </w:p>
    <w:p w:rsidR="00360CB9" w:rsidRDefault="00360CB9">
      <w:pPr>
        <w:adjustRightInd w:val="0"/>
        <w:spacing w:line="360" w:lineRule="auto"/>
        <w:jc w:val="center"/>
        <w:rPr>
          <w:rStyle w:val="af"/>
          <w:rFonts w:ascii="黑体" w:eastAsia="黑体" w:hAnsi="黑体"/>
          <w:bCs w:val="0"/>
          <w:sz w:val="28"/>
          <w:szCs w:val="28"/>
        </w:rPr>
      </w:pPr>
    </w:p>
    <w:p w:rsidR="00360CB9" w:rsidRDefault="00360CB9">
      <w:pPr>
        <w:adjustRightInd w:val="0"/>
        <w:spacing w:line="360" w:lineRule="auto"/>
        <w:jc w:val="center"/>
        <w:rPr>
          <w:rStyle w:val="af"/>
          <w:rFonts w:ascii="黑体" w:eastAsia="黑体" w:hAnsi="黑体"/>
          <w:bCs w:val="0"/>
          <w:sz w:val="28"/>
          <w:szCs w:val="28"/>
        </w:rPr>
      </w:pPr>
    </w:p>
    <w:p w:rsidR="00360CB9" w:rsidRDefault="00712C96">
      <w:pPr>
        <w:adjustRightInd w:val="0"/>
        <w:spacing w:line="360" w:lineRule="auto"/>
        <w:jc w:val="center"/>
        <w:rPr>
          <w:rStyle w:val="af"/>
          <w:rFonts w:ascii="宋体" w:hAnsi="宋体" w:cs="Times New Roman"/>
          <w:sz w:val="32"/>
          <w:szCs w:val="32"/>
        </w:rPr>
      </w:pPr>
      <w:r>
        <w:rPr>
          <w:rStyle w:val="af"/>
          <w:rFonts w:ascii="宋体" w:hAnsi="宋体" w:cs="Times New Roman" w:hint="eastAsia"/>
          <w:sz w:val="32"/>
          <w:szCs w:val="32"/>
        </w:rPr>
        <w:t>理财产品管理人：兴银理财有限责任公司</w:t>
      </w:r>
    </w:p>
    <w:p w:rsidR="00360CB9" w:rsidRDefault="00360CB9">
      <w:pPr>
        <w:adjustRightInd w:val="0"/>
        <w:spacing w:line="360" w:lineRule="auto"/>
        <w:jc w:val="center"/>
        <w:rPr>
          <w:rStyle w:val="af"/>
          <w:rFonts w:ascii="宋体" w:hAnsi="宋体"/>
          <w:sz w:val="32"/>
          <w:szCs w:val="32"/>
        </w:rPr>
      </w:pPr>
    </w:p>
    <w:p w:rsidR="00360CB9" w:rsidRDefault="00360CB9">
      <w:pPr>
        <w:adjustRightInd w:val="0"/>
        <w:spacing w:line="360" w:lineRule="auto"/>
        <w:jc w:val="center"/>
        <w:rPr>
          <w:rStyle w:val="af"/>
          <w:rFonts w:ascii="宋体" w:hAnsi="宋体"/>
          <w:sz w:val="32"/>
          <w:szCs w:val="32"/>
        </w:rPr>
      </w:pPr>
    </w:p>
    <w:p w:rsidR="00360CB9" w:rsidRDefault="00712C96">
      <w:pPr>
        <w:adjustRightInd w:val="0"/>
        <w:spacing w:line="360" w:lineRule="auto"/>
        <w:jc w:val="center"/>
        <w:rPr>
          <w:rStyle w:val="af"/>
          <w:rFonts w:ascii="宋体" w:hAnsi="宋体" w:cs="Times New Roman"/>
          <w:sz w:val="32"/>
          <w:szCs w:val="32"/>
        </w:rPr>
      </w:pPr>
      <w:r>
        <w:rPr>
          <w:rStyle w:val="af"/>
          <w:rFonts w:ascii="宋体" w:hAnsi="宋体" w:cs="Times New Roman" w:hint="eastAsia"/>
          <w:sz w:val="32"/>
          <w:szCs w:val="32"/>
        </w:rPr>
        <w:t>日期</w:t>
      </w:r>
      <w:r>
        <w:rPr>
          <w:rStyle w:val="af"/>
          <w:rFonts w:ascii="宋体" w:hAnsi="宋体" w:cs="Times New Roman"/>
          <w:sz w:val="32"/>
          <w:szCs w:val="32"/>
        </w:rPr>
        <w:t>：</w:t>
      </w:r>
      <w:r>
        <w:rPr>
          <w:rStyle w:val="af"/>
          <w:rFonts w:ascii="宋体" w:hAnsi="宋体" w:cs="Times New Roman" w:hint="eastAsia"/>
          <w:sz w:val="32"/>
          <w:szCs w:val="32"/>
        </w:rPr>
        <w:t>【202</w:t>
      </w:r>
      <w:r w:rsidR="00D83542">
        <w:rPr>
          <w:rStyle w:val="af"/>
          <w:rFonts w:ascii="宋体" w:hAnsi="宋体" w:cs="Times New Roman"/>
          <w:sz w:val="32"/>
          <w:szCs w:val="32"/>
        </w:rPr>
        <w:t>3</w:t>
      </w:r>
      <w:r>
        <w:rPr>
          <w:rStyle w:val="af"/>
          <w:rFonts w:ascii="宋体" w:hAnsi="宋体" w:cs="Times New Roman" w:hint="eastAsia"/>
          <w:sz w:val="32"/>
          <w:szCs w:val="32"/>
        </w:rPr>
        <w:t>】年【</w:t>
      </w:r>
      <w:r w:rsidR="00D83542">
        <w:rPr>
          <w:rStyle w:val="af"/>
          <w:rFonts w:ascii="宋体" w:hAnsi="宋体" w:cs="Times New Roman"/>
          <w:sz w:val="32"/>
          <w:szCs w:val="32"/>
        </w:rPr>
        <w:t>3</w:t>
      </w:r>
      <w:r>
        <w:rPr>
          <w:rStyle w:val="af"/>
          <w:rFonts w:ascii="宋体" w:hAnsi="宋体" w:cs="Times New Roman" w:hint="eastAsia"/>
          <w:sz w:val="32"/>
          <w:szCs w:val="32"/>
        </w:rPr>
        <w:t>】月</w:t>
      </w:r>
    </w:p>
    <w:p w:rsidR="00360CB9" w:rsidRDefault="00360CB9">
      <w:pPr>
        <w:adjustRightInd w:val="0"/>
        <w:spacing w:line="360" w:lineRule="auto"/>
        <w:jc w:val="center"/>
        <w:rPr>
          <w:rStyle w:val="af"/>
          <w:rFonts w:ascii="宋体" w:hAnsi="宋体"/>
          <w:sz w:val="32"/>
          <w:szCs w:val="32"/>
        </w:rPr>
      </w:pPr>
    </w:p>
    <w:p w:rsidR="00360CB9" w:rsidRDefault="00712C96">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360CB9" w:rsidRDefault="00712C96">
          <w:pPr>
            <w:pStyle w:val="TOC2"/>
            <w:spacing w:line="360" w:lineRule="auto"/>
            <w:jc w:val="center"/>
          </w:pPr>
          <w:r>
            <w:rPr>
              <w:lang w:val="zh-CN"/>
            </w:rPr>
            <w:t>目录</w:t>
          </w:r>
        </w:p>
        <w:p w:rsidR="00360CB9" w:rsidRDefault="00712C96">
          <w:pPr>
            <w:pStyle w:val="10"/>
            <w:tabs>
              <w:tab w:val="right" w:leader="dot" w:pos="8306"/>
            </w:tabs>
          </w:pPr>
          <w:r>
            <w:fldChar w:fldCharType="begin"/>
          </w:r>
          <w:r>
            <w:instrText xml:space="preserve"> TOC \o "1-3" \h \z \u </w:instrText>
          </w:r>
          <w:r>
            <w:fldChar w:fldCharType="separate"/>
          </w:r>
          <w:hyperlink w:anchor="_Toc6906" w:history="1">
            <w:r>
              <w:rPr>
                <w:rFonts w:ascii="Times New Roman"/>
              </w:rPr>
              <w:t>第</w:t>
            </w:r>
            <w:r>
              <w:rPr>
                <w:rFonts w:ascii="Times New Roman" w:hint="eastAsia"/>
              </w:rPr>
              <w:t>一条</w:t>
            </w:r>
            <w:r>
              <w:rPr>
                <w:rFonts w:ascii="Times New Roman" w:hint="eastAsia"/>
              </w:rPr>
              <w:t xml:space="preserve"> </w:t>
            </w:r>
            <w:r>
              <w:rPr>
                <w:rFonts w:ascii="Times New Roman"/>
              </w:rPr>
              <w:t xml:space="preserve"> </w:t>
            </w:r>
            <w:r>
              <w:rPr>
                <w:rFonts w:ascii="Times New Roman"/>
              </w:rPr>
              <w:t>释义</w:t>
            </w:r>
            <w:r>
              <w:tab/>
            </w:r>
            <w:r>
              <w:fldChar w:fldCharType="begin"/>
            </w:r>
            <w:r>
              <w:instrText xml:space="preserve"> PAGEREF _Toc6906 \h </w:instrText>
            </w:r>
            <w:r>
              <w:fldChar w:fldCharType="separate"/>
            </w:r>
            <w:r>
              <w:t>1</w:t>
            </w:r>
            <w:r>
              <w:fldChar w:fldCharType="end"/>
            </w:r>
          </w:hyperlink>
        </w:p>
        <w:p w:rsidR="00360CB9" w:rsidRDefault="00FC1255">
          <w:pPr>
            <w:pStyle w:val="10"/>
            <w:tabs>
              <w:tab w:val="right" w:leader="dot" w:pos="8306"/>
            </w:tabs>
          </w:pPr>
          <w:hyperlink w:anchor="_Toc29961" w:history="1">
            <w:r w:rsidR="00712C96">
              <w:rPr>
                <w:rFonts w:hAnsi="宋体" w:hint="eastAsia"/>
                <w:szCs w:val="28"/>
              </w:rPr>
              <w:t>第二条</w:t>
            </w:r>
            <w:r w:rsidR="00712C96">
              <w:rPr>
                <w:rFonts w:hAnsi="宋体" w:hint="eastAsia"/>
                <w:szCs w:val="28"/>
              </w:rPr>
              <w:t xml:space="preserve">  </w:t>
            </w:r>
            <w:r w:rsidR="00712C96">
              <w:rPr>
                <w:rFonts w:hAnsi="宋体" w:hint="eastAsia"/>
                <w:szCs w:val="28"/>
              </w:rPr>
              <w:t>理财产品基本情况</w:t>
            </w:r>
            <w:r w:rsidR="00712C96">
              <w:tab/>
            </w:r>
            <w:r w:rsidR="00712C96">
              <w:fldChar w:fldCharType="begin"/>
            </w:r>
            <w:r w:rsidR="00712C96">
              <w:instrText xml:space="preserve"> PAGEREF _Toc29961 \h </w:instrText>
            </w:r>
            <w:r w:rsidR="00712C96">
              <w:fldChar w:fldCharType="separate"/>
            </w:r>
            <w:r w:rsidR="00712C96">
              <w:t>6</w:t>
            </w:r>
            <w:r w:rsidR="00712C96">
              <w:fldChar w:fldCharType="end"/>
            </w:r>
          </w:hyperlink>
        </w:p>
        <w:p w:rsidR="00360CB9" w:rsidRDefault="00FC1255">
          <w:pPr>
            <w:pStyle w:val="10"/>
            <w:tabs>
              <w:tab w:val="right" w:leader="dot" w:pos="8306"/>
            </w:tabs>
          </w:pPr>
          <w:hyperlink w:anchor="_Toc3800" w:history="1">
            <w:r w:rsidR="00712C96">
              <w:rPr>
                <w:rFonts w:ascii="Times New Roman"/>
              </w:rPr>
              <w:t>第</w:t>
            </w:r>
            <w:r w:rsidR="00712C96">
              <w:rPr>
                <w:rFonts w:ascii="Times New Roman" w:hint="eastAsia"/>
              </w:rPr>
              <w:t>三条</w:t>
            </w:r>
            <w:r w:rsidR="00712C96">
              <w:rPr>
                <w:rFonts w:ascii="Times New Roman"/>
              </w:rPr>
              <w:t xml:space="preserve">  </w:t>
            </w:r>
            <w:r w:rsidR="00712C96">
              <w:rPr>
                <w:rFonts w:ascii="Times New Roman" w:hint="eastAsia"/>
              </w:rPr>
              <w:t>理财产品的认购</w:t>
            </w:r>
            <w:r w:rsidR="00712C96">
              <w:tab/>
            </w:r>
            <w:r w:rsidR="00712C96">
              <w:fldChar w:fldCharType="begin"/>
            </w:r>
            <w:r w:rsidR="00712C96">
              <w:instrText xml:space="preserve"> PAGEREF _Toc3800 \h </w:instrText>
            </w:r>
            <w:r w:rsidR="00712C96">
              <w:fldChar w:fldCharType="separate"/>
            </w:r>
            <w:r w:rsidR="00712C96">
              <w:t>12</w:t>
            </w:r>
            <w:r w:rsidR="00712C96">
              <w:fldChar w:fldCharType="end"/>
            </w:r>
          </w:hyperlink>
        </w:p>
        <w:p w:rsidR="00360CB9" w:rsidRDefault="00FC1255">
          <w:pPr>
            <w:pStyle w:val="10"/>
            <w:tabs>
              <w:tab w:val="right" w:leader="dot" w:pos="8306"/>
            </w:tabs>
          </w:pPr>
          <w:hyperlink w:anchor="_Toc28773" w:history="1">
            <w:r w:rsidR="00712C96">
              <w:rPr>
                <w:rFonts w:ascii="Times New Roman" w:hint="eastAsia"/>
              </w:rPr>
              <w:t>第四条</w:t>
            </w:r>
            <w:r w:rsidR="00712C96">
              <w:rPr>
                <w:rFonts w:ascii="Times New Roman" w:hint="eastAsia"/>
              </w:rPr>
              <w:t xml:space="preserve"> </w:t>
            </w:r>
            <w:r w:rsidR="00712C96">
              <w:rPr>
                <w:rFonts w:ascii="Times New Roman"/>
              </w:rPr>
              <w:t xml:space="preserve"> </w:t>
            </w:r>
            <w:r w:rsidR="00712C96">
              <w:rPr>
                <w:rFonts w:ascii="Times New Roman" w:hint="eastAsia"/>
              </w:rPr>
              <w:t>理财产品的申购与赎回</w:t>
            </w:r>
            <w:r w:rsidR="00712C96">
              <w:tab/>
            </w:r>
            <w:r w:rsidR="00712C96">
              <w:fldChar w:fldCharType="begin"/>
            </w:r>
            <w:r w:rsidR="00712C96">
              <w:instrText xml:space="preserve"> PAGEREF _Toc28773 \h </w:instrText>
            </w:r>
            <w:r w:rsidR="00712C96">
              <w:fldChar w:fldCharType="separate"/>
            </w:r>
            <w:r w:rsidR="00712C96">
              <w:t>14</w:t>
            </w:r>
            <w:r w:rsidR="00712C96">
              <w:fldChar w:fldCharType="end"/>
            </w:r>
          </w:hyperlink>
        </w:p>
        <w:p w:rsidR="00360CB9" w:rsidRDefault="00FC1255">
          <w:pPr>
            <w:pStyle w:val="10"/>
            <w:tabs>
              <w:tab w:val="right" w:leader="dot" w:pos="8306"/>
            </w:tabs>
          </w:pPr>
          <w:hyperlink w:anchor="_Toc2561" w:history="1">
            <w:r w:rsidR="00712C96">
              <w:rPr>
                <w:rFonts w:ascii="Times New Roman"/>
              </w:rPr>
              <w:t>第</w:t>
            </w:r>
            <w:r w:rsidR="00712C96">
              <w:rPr>
                <w:rFonts w:ascii="Times New Roman" w:hint="eastAsia"/>
              </w:rPr>
              <w:t>五条</w:t>
            </w:r>
            <w:r w:rsidR="00712C96">
              <w:rPr>
                <w:rFonts w:ascii="Times New Roman"/>
              </w:rPr>
              <w:t xml:space="preserve">  </w:t>
            </w:r>
            <w:r w:rsidR="00712C96">
              <w:rPr>
                <w:rFonts w:ascii="Times New Roman" w:hint="eastAsia"/>
              </w:rPr>
              <w:t>理财产品的投资</w:t>
            </w:r>
            <w:r w:rsidR="00712C96">
              <w:tab/>
            </w:r>
            <w:r w:rsidR="00712C96">
              <w:fldChar w:fldCharType="begin"/>
            </w:r>
            <w:r w:rsidR="00712C96">
              <w:instrText xml:space="preserve"> PAGEREF _Toc2561 \h </w:instrText>
            </w:r>
            <w:r w:rsidR="00712C96">
              <w:fldChar w:fldCharType="separate"/>
            </w:r>
            <w:r w:rsidR="00712C96">
              <w:t>18</w:t>
            </w:r>
            <w:r w:rsidR="00712C96">
              <w:fldChar w:fldCharType="end"/>
            </w:r>
          </w:hyperlink>
        </w:p>
        <w:p w:rsidR="00360CB9" w:rsidRDefault="00FC1255">
          <w:pPr>
            <w:pStyle w:val="10"/>
            <w:tabs>
              <w:tab w:val="right" w:leader="dot" w:pos="8306"/>
            </w:tabs>
          </w:pPr>
          <w:hyperlink w:anchor="_Toc24783" w:history="1">
            <w:r w:rsidR="00712C96">
              <w:rPr>
                <w:rFonts w:ascii="Times New Roman"/>
              </w:rPr>
              <w:t>第</w:t>
            </w:r>
            <w:r w:rsidR="00712C96">
              <w:rPr>
                <w:rFonts w:ascii="Times New Roman" w:hint="eastAsia"/>
              </w:rPr>
              <w:t>六条</w:t>
            </w:r>
            <w:r w:rsidR="00712C96">
              <w:rPr>
                <w:rFonts w:ascii="Times New Roman"/>
              </w:rPr>
              <w:t xml:space="preserve">  </w:t>
            </w:r>
            <w:r w:rsidR="00712C96">
              <w:rPr>
                <w:rFonts w:ascii="Times New Roman" w:hint="eastAsia"/>
              </w:rPr>
              <w:t>理财产品的资产</w:t>
            </w:r>
            <w:r w:rsidR="00712C96">
              <w:tab/>
            </w:r>
            <w:r w:rsidR="00712C96">
              <w:fldChar w:fldCharType="begin"/>
            </w:r>
            <w:r w:rsidR="00712C96">
              <w:instrText xml:space="preserve"> PAGEREF _Toc24783 \h </w:instrText>
            </w:r>
            <w:r w:rsidR="00712C96">
              <w:fldChar w:fldCharType="separate"/>
            </w:r>
            <w:r w:rsidR="00712C96">
              <w:t>22</w:t>
            </w:r>
            <w:r w:rsidR="00712C96">
              <w:fldChar w:fldCharType="end"/>
            </w:r>
          </w:hyperlink>
        </w:p>
        <w:p w:rsidR="00360CB9" w:rsidRDefault="00FC1255">
          <w:pPr>
            <w:pStyle w:val="10"/>
            <w:tabs>
              <w:tab w:val="right" w:leader="dot" w:pos="8306"/>
            </w:tabs>
          </w:pPr>
          <w:hyperlink w:anchor="_Toc5681" w:history="1">
            <w:r w:rsidR="00712C96">
              <w:rPr>
                <w:rFonts w:ascii="Times New Roman"/>
              </w:rPr>
              <w:t>第</w:t>
            </w:r>
            <w:r w:rsidR="00712C96">
              <w:rPr>
                <w:rFonts w:ascii="Times New Roman" w:hint="eastAsia"/>
              </w:rPr>
              <w:t>七条</w:t>
            </w:r>
            <w:r w:rsidR="00712C96">
              <w:rPr>
                <w:rFonts w:ascii="Times New Roman"/>
              </w:rPr>
              <w:t xml:space="preserve">  </w:t>
            </w:r>
            <w:r w:rsidR="00712C96">
              <w:rPr>
                <w:rFonts w:ascii="Times New Roman" w:hint="eastAsia"/>
              </w:rPr>
              <w:t>理财产品项下资产的估值</w:t>
            </w:r>
            <w:r w:rsidR="00712C96">
              <w:tab/>
            </w:r>
            <w:r w:rsidR="00712C96">
              <w:fldChar w:fldCharType="begin"/>
            </w:r>
            <w:r w:rsidR="00712C96">
              <w:instrText xml:space="preserve"> PAGEREF _Toc5681 \h </w:instrText>
            </w:r>
            <w:r w:rsidR="00712C96">
              <w:fldChar w:fldCharType="separate"/>
            </w:r>
            <w:r w:rsidR="00712C96">
              <w:t>23</w:t>
            </w:r>
            <w:r w:rsidR="00712C96">
              <w:fldChar w:fldCharType="end"/>
            </w:r>
          </w:hyperlink>
        </w:p>
        <w:p w:rsidR="00360CB9" w:rsidRDefault="00FC1255">
          <w:pPr>
            <w:pStyle w:val="10"/>
            <w:tabs>
              <w:tab w:val="right" w:leader="dot" w:pos="8306"/>
            </w:tabs>
          </w:pPr>
          <w:hyperlink w:anchor="_Toc6810" w:history="1">
            <w:r w:rsidR="00712C96">
              <w:rPr>
                <w:rFonts w:ascii="Times New Roman"/>
              </w:rPr>
              <w:t>第</w:t>
            </w:r>
            <w:r w:rsidR="00712C96">
              <w:rPr>
                <w:rFonts w:ascii="Times New Roman" w:hint="eastAsia"/>
              </w:rPr>
              <w:t>八条</w:t>
            </w:r>
            <w:r w:rsidR="00712C96">
              <w:rPr>
                <w:rFonts w:ascii="Times New Roman"/>
              </w:rPr>
              <w:t xml:space="preserve">  </w:t>
            </w:r>
            <w:r w:rsidR="00712C96">
              <w:rPr>
                <w:rFonts w:ascii="Times New Roman" w:hint="eastAsia"/>
              </w:rPr>
              <w:t>理财产品的利益分配</w:t>
            </w:r>
            <w:r w:rsidR="00712C96">
              <w:tab/>
            </w:r>
            <w:r w:rsidR="00712C96">
              <w:fldChar w:fldCharType="begin"/>
            </w:r>
            <w:r w:rsidR="00712C96">
              <w:instrText xml:space="preserve"> PAGEREF _Toc6810 \h </w:instrText>
            </w:r>
            <w:r w:rsidR="00712C96">
              <w:fldChar w:fldCharType="separate"/>
            </w:r>
            <w:r w:rsidR="00712C96">
              <w:t>25</w:t>
            </w:r>
            <w:r w:rsidR="00712C96">
              <w:fldChar w:fldCharType="end"/>
            </w:r>
          </w:hyperlink>
        </w:p>
        <w:p w:rsidR="00360CB9" w:rsidRDefault="00FC1255">
          <w:pPr>
            <w:pStyle w:val="10"/>
            <w:tabs>
              <w:tab w:val="right" w:leader="dot" w:pos="8306"/>
            </w:tabs>
          </w:pPr>
          <w:hyperlink w:anchor="_Toc27112" w:history="1">
            <w:r w:rsidR="00712C96">
              <w:rPr>
                <w:rFonts w:ascii="Times New Roman"/>
              </w:rPr>
              <w:t>第</w:t>
            </w:r>
            <w:r w:rsidR="00712C96">
              <w:rPr>
                <w:rFonts w:ascii="Times New Roman" w:hint="eastAsia"/>
              </w:rPr>
              <w:t>九条</w:t>
            </w:r>
            <w:r w:rsidR="00712C96">
              <w:rPr>
                <w:rFonts w:ascii="Times New Roman"/>
              </w:rPr>
              <w:t xml:space="preserve">  </w:t>
            </w:r>
            <w:r w:rsidR="00712C96">
              <w:rPr>
                <w:rFonts w:ascii="Times New Roman" w:hint="eastAsia"/>
              </w:rPr>
              <w:t>理财产品的费用与税收</w:t>
            </w:r>
            <w:r w:rsidR="00712C96">
              <w:tab/>
            </w:r>
            <w:r w:rsidR="00712C96">
              <w:fldChar w:fldCharType="begin"/>
            </w:r>
            <w:r w:rsidR="00712C96">
              <w:instrText xml:space="preserve"> PAGEREF _Toc27112 \h </w:instrText>
            </w:r>
            <w:r w:rsidR="00712C96">
              <w:fldChar w:fldCharType="separate"/>
            </w:r>
            <w:r w:rsidR="00712C96">
              <w:t>27</w:t>
            </w:r>
            <w:r w:rsidR="00712C96">
              <w:fldChar w:fldCharType="end"/>
            </w:r>
          </w:hyperlink>
        </w:p>
        <w:p w:rsidR="00360CB9" w:rsidRDefault="00FC1255">
          <w:pPr>
            <w:pStyle w:val="10"/>
            <w:tabs>
              <w:tab w:val="right" w:leader="dot" w:pos="8306"/>
            </w:tabs>
          </w:pPr>
          <w:hyperlink w:anchor="_Toc18383" w:history="1">
            <w:r w:rsidR="00712C96">
              <w:rPr>
                <w:rFonts w:hint="eastAsia"/>
              </w:rPr>
              <w:t>第十条</w:t>
            </w:r>
            <w:r w:rsidR="00712C96">
              <w:t xml:space="preserve">  </w:t>
            </w:r>
            <w:r w:rsidR="00712C96">
              <w:rPr>
                <w:rFonts w:hint="eastAsia"/>
              </w:rPr>
              <w:t>理财产品的终止与清算</w:t>
            </w:r>
            <w:r w:rsidR="00712C96">
              <w:tab/>
            </w:r>
            <w:r w:rsidR="00712C96">
              <w:fldChar w:fldCharType="begin"/>
            </w:r>
            <w:r w:rsidR="00712C96">
              <w:instrText xml:space="preserve"> PAGEREF _Toc18383 \h </w:instrText>
            </w:r>
            <w:r w:rsidR="00712C96">
              <w:fldChar w:fldCharType="separate"/>
            </w:r>
            <w:r w:rsidR="00712C96">
              <w:t>29</w:t>
            </w:r>
            <w:r w:rsidR="00712C96">
              <w:fldChar w:fldCharType="end"/>
            </w:r>
          </w:hyperlink>
        </w:p>
        <w:p w:rsidR="00360CB9" w:rsidRDefault="00FC1255">
          <w:pPr>
            <w:pStyle w:val="10"/>
            <w:tabs>
              <w:tab w:val="right" w:leader="dot" w:pos="8306"/>
            </w:tabs>
          </w:pPr>
          <w:hyperlink w:anchor="_Toc26192" w:history="1">
            <w:r w:rsidR="00712C96">
              <w:rPr>
                <w:rFonts w:ascii="Times New Roman"/>
              </w:rPr>
              <w:t>第十</w:t>
            </w:r>
            <w:r w:rsidR="00712C96">
              <w:rPr>
                <w:rFonts w:ascii="Times New Roman" w:hint="eastAsia"/>
              </w:rPr>
              <w:t>一条</w:t>
            </w:r>
            <w:r w:rsidR="00712C96">
              <w:rPr>
                <w:rFonts w:ascii="Times New Roman"/>
              </w:rPr>
              <w:t xml:space="preserve">  </w:t>
            </w:r>
            <w:r w:rsidR="00712C96">
              <w:rPr>
                <w:rFonts w:ascii="Times New Roman" w:hint="eastAsia"/>
              </w:rPr>
              <w:t>理财产品的信息披露</w:t>
            </w:r>
            <w:r w:rsidR="00712C96">
              <w:tab/>
            </w:r>
            <w:r w:rsidR="00712C96">
              <w:fldChar w:fldCharType="begin"/>
            </w:r>
            <w:r w:rsidR="00712C96">
              <w:instrText xml:space="preserve"> PAGEREF _Toc26192 \h </w:instrText>
            </w:r>
            <w:r w:rsidR="00712C96">
              <w:fldChar w:fldCharType="separate"/>
            </w:r>
            <w:r w:rsidR="00712C96">
              <w:t>31</w:t>
            </w:r>
            <w:r w:rsidR="00712C96">
              <w:fldChar w:fldCharType="end"/>
            </w:r>
          </w:hyperlink>
        </w:p>
        <w:p w:rsidR="00360CB9" w:rsidRDefault="00FC1255">
          <w:pPr>
            <w:pStyle w:val="10"/>
            <w:tabs>
              <w:tab w:val="right" w:leader="dot" w:pos="8306"/>
            </w:tabs>
          </w:pPr>
          <w:hyperlink w:anchor="_Toc20251" w:history="1">
            <w:r w:rsidR="00712C96">
              <w:rPr>
                <w:rFonts w:ascii="Times New Roman" w:hint="eastAsia"/>
              </w:rPr>
              <w:t>第十二条</w:t>
            </w:r>
            <w:r w:rsidR="00712C96">
              <w:rPr>
                <w:rFonts w:ascii="Times New Roman"/>
              </w:rPr>
              <w:t xml:space="preserve">  </w:t>
            </w:r>
            <w:r w:rsidR="00712C96">
              <w:rPr>
                <w:rFonts w:ascii="Times New Roman" w:hint="eastAsia"/>
              </w:rPr>
              <w:t>理财产品</w:t>
            </w:r>
            <w:r w:rsidR="00712C96">
              <w:rPr>
                <w:rFonts w:ascii="Times New Roman"/>
              </w:rPr>
              <w:t>的风险揭示</w:t>
            </w:r>
            <w:r w:rsidR="00712C96">
              <w:tab/>
            </w:r>
            <w:r w:rsidR="00712C96">
              <w:fldChar w:fldCharType="begin"/>
            </w:r>
            <w:r w:rsidR="00712C96">
              <w:instrText xml:space="preserve"> PAGEREF _Toc20251 \h </w:instrText>
            </w:r>
            <w:r w:rsidR="00712C96">
              <w:fldChar w:fldCharType="separate"/>
            </w:r>
            <w:r w:rsidR="00712C96">
              <w:t>33</w:t>
            </w:r>
            <w:r w:rsidR="00712C96">
              <w:fldChar w:fldCharType="end"/>
            </w:r>
          </w:hyperlink>
        </w:p>
        <w:p w:rsidR="00360CB9" w:rsidRDefault="00712C96">
          <w:pPr>
            <w:spacing w:line="360" w:lineRule="auto"/>
          </w:pPr>
          <w:r>
            <w:fldChar w:fldCharType="end"/>
          </w:r>
        </w:p>
      </w:sdtContent>
    </w:sdt>
    <w:p w:rsidR="00360CB9" w:rsidRDefault="00360CB9">
      <w:pPr>
        <w:widowControl/>
        <w:spacing w:line="360" w:lineRule="auto"/>
        <w:jc w:val="left"/>
        <w:rPr>
          <w:rFonts w:ascii="Times New Roman"/>
          <w:sz w:val="30"/>
        </w:rPr>
      </w:pPr>
    </w:p>
    <w:p w:rsidR="00360CB9" w:rsidRDefault="00360CB9">
      <w:pPr>
        <w:widowControl/>
        <w:spacing w:line="360" w:lineRule="auto"/>
        <w:jc w:val="left"/>
        <w:rPr>
          <w:rFonts w:ascii="Times New Roman"/>
          <w:sz w:val="30"/>
        </w:rPr>
        <w:sectPr w:rsidR="00360CB9">
          <w:headerReference w:type="default" r:id="rId26"/>
          <w:footerReference w:type="default" r:id="rId27"/>
          <w:pgSz w:w="11906" w:h="16838"/>
          <w:pgMar w:top="1276" w:right="1800" w:bottom="1418" w:left="1800" w:header="567" w:footer="850" w:gutter="0"/>
          <w:cols w:space="425"/>
          <w:docGrid w:type="lines" w:linePitch="312"/>
        </w:sectPr>
      </w:pPr>
    </w:p>
    <w:p w:rsidR="00360CB9" w:rsidRDefault="00712C96">
      <w:pPr>
        <w:pStyle w:val="1"/>
        <w:spacing w:before="0" w:after="0" w:line="360" w:lineRule="auto"/>
        <w:jc w:val="center"/>
        <w:rPr>
          <w:rFonts w:ascii="Times New Roman"/>
          <w:sz w:val="30"/>
        </w:rPr>
      </w:pPr>
      <w:bookmarkStart w:id="1" w:name="_Toc6906"/>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360CB9" w:rsidRDefault="00712C96">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360CB9" w:rsidRDefault="00712C96">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2）提供单只或多只理财产品投资建议；3）为投资者办理理财产品认购、申购和赎回；4）银保监会认定的其他业务活动。各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360CB9" w:rsidRDefault="00712C96">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360CB9" w:rsidRDefault="00712C96">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360CB9" w:rsidRDefault="00712C96">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360CB9" w:rsidRDefault="00712C96">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360CB9" w:rsidRDefault="00712C96">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（6）全国银行业理财信息登记系统：指供商业银行及商业银行理财公司进行理财产品电子化报告和信息登记的电子信息系统。</w:t>
      </w:r>
    </w:p>
    <w:p w:rsidR="00360CB9" w:rsidRDefault="00712C96">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360CB9" w:rsidRDefault="00712C96">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：指产品管理人向投资者提供的，用于描述产品特征，约定权利义务的文件。具体指《兴银理财【添利】理财产品销售文件》，包括《投资协议书》、《产品说明书》、《（代理）销售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w:t>
      </w:r>
      <w:r>
        <w:rPr>
          <w:rFonts w:asciiTheme="majorEastAsia" w:eastAsiaTheme="majorEastAsia" w:hAnsiTheme="majorEastAsia"/>
          <w:bCs/>
          <w:sz w:val="18"/>
          <w:szCs w:val="18"/>
        </w:rPr>
        <w:lastRenderedPageBreak/>
        <w:t>议书</w:t>
      </w:r>
      <w:r>
        <w:rPr>
          <w:rFonts w:asciiTheme="majorEastAsia" w:eastAsiaTheme="majorEastAsia" w:hAnsiTheme="majorEastAsia" w:hint="eastAsia"/>
          <w:bCs/>
          <w:sz w:val="18"/>
          <w:szCs w:val="18"/>
        </w:rPr>
        <w:t>》、《风险揭示书》、《投资者权益须知》。</w:t>
      </w:r>
    </w:p>
    <w:p w:rsidR="00360CB9" w:rsidRDefault="00712C96">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《投资协议书》：指管理人统一编制的《兴银理财【添利】理财产品投资协议书》，以及对该文件的有效修改或补充。</w:t>
      </w:r>
    </w:p>
    <w:p w:rsidR="00360CB9" w:rsidRDefault="00712C96">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）《产品说明书》：指管理人统一编制的《兴银理财【添利】理财产品产品说明书》，以及对该文件的有效修改或补充。</w:t>
      </w:r>
    </w:p>
    <w:p w:rsidR="00360CB9" w:rsidRDefault="00712C96">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（4）《（代理）销售协议书》：指管理人统一编制的《兴银理财【添利】理财产品（代理）销售协议书》或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的《兴银理财【添利】理财产品（代理）销售协议书》（文件名称以代理销售机构实际编制为准），以及对该文件的有效修改或补充。</w:t>
      </w:r>
    </w:p>
    <w:p w:rsidR="00360CB9" w:rsidRDefault="00712C96">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）《风险揭示书》：指管理人统一编制的《兴银理财【添利】理财产品风险揭示书》或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的《兴银理财【添利】理财产品风险揭示书》（文件名称以代理销售机构实际编制为准），以及对该文件的有效修改或补充。</w:t>
      </w:r>
    </w:p>
    <w:p w:rsidR="00360CB9" w:rsidRDefault="00712C96">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）《投资者权益须知》：指管理人统一编制的《兴银理财【添利】理财产品投资者权益须知》或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《兴银理财【添利】理财产品投资者权益须知》（文件名称以代理销售机构实际编制为准），以及对该文件的有效修改或补充。</w:t>
      </w:r>
    </w:p>
    <w:p w:rsidR="00360CB9" w:rsidRDefault="00712C96">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，为在理财产品销售管理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每</w:t>
      </w:r>
      <w:r>
        <w:rPr>
          <w:rFonts w:asciiTheme="majorEastAsia" w:eastAsiaTheme="majorEastAsia" w:hAnsiTheme="majorEastAsia"/>
          <w:bCs/>
          <w:color w:val="auto"/>
          <w:sz w:val="18"/>
          <w:szCs w:val="18"/>
        </w:rPr>
        <w:t>类份额类别设置的</w:t>
      </w:r>
      <w:r>
        <w:rPr>
          <w:rFonts w:asciiTheme="majorEastAsia" w:eastAsiaTheme="majorEastAsia" w:hAnsiTheme="majorEastAsia" w:hint="eastAsia"/>
          <w:bCs/>
          <w:color w:val="auto"/>
          <w:sz w:val="18"/>
          <w:szCs w:val="18"/>
        </w:rPr>
        <w:t>唯一性内部识别码。</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w:t>
      </w:r>
      <w:r>
        <w:rPr>
          <w:rFonts w:asciiTheme="majorEastAsia" w:eastAsiaTheme="majorEastAsia" w:hAnsiTheme="majorEastAsia" w:hint="eastAsia"/>
          <w:bCs/>
          <w:color w:val="auto"/>
          <w:sz w:val="18"/>
          <w:szCs w:val="18"/>
        </w:rPr>
        <w:lastRenderedPageBreak/>
        <w:t>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（10）理财产品估值：指计算评估理财产品资产和理财产品负债的价值，以确定理财产品份额净值、每万份理财产品已实现收益和7日年化收益率的过程。</w:t>
      </w:r>
    </w:p>
    <w:p w:rsidR="00360CB9" w:rsidRDefault="00712C96">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360CB9" w:rsidRDefault="00712C96">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w:t>
      </w:r>
      <w:r>
        <w:rPr>
          <w:rFonts w:ascii="黑体" w:eastAsia="黑体" w:hAnsi="黑体"/>
          <w:bCs/>
          <w:color w:val="auto"/>
          <w:sz w:val="18"/>
          <w:szCs w:val="18"/>
        </w:rPr>
        <w:t>计提</w:t>
      </w:r>
      <w:r>
        <w:rPr>
          <w:rFonts w:ascii="黑体" w:eastAsia="黑体" w:hAnsi="黑体" w:hint="eastAsia"/>
          <w:bCs/>
          <w:color w:val="auto"/>
          <w:sz w:val="18"/>
          <w:szCs w:val="18"/>
        </w:rPr>
        <w:t>基准不代表理财产品未来表现，不等于理财产品实际收益，不作为产品收益的业绩保证，投资须谨慎。</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理财产品利益/理财利益：指投资者因持有理财产品份额，按照销售文件约定取得或有权取得的理财产品管理人分配的理财产品资产。</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 xml:space="preserve">）利益分配：指产品管理人向投资者进行理财产品利益分配。 </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 xml:space="preserve">）期间分配：指在理财产品终止日（不含当日）前的理财产品利益分配。 </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360CB9" w:rsidRDefault="00712C96">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8）申购：</w:t>
      </w:r>
      <w:r>
        <w:rPr>
          <w:rFonts w:asciiTheme="minorEastAsia" w:eastAsiaTheme="minorEastAsia" w:hAnsiTheme="minorEastAsia" w:hint="eastAsia"/>
          <w:color w:val="auto"/>
          <w:sz w:val="18"/>
          <w:szCs w:val="18"/>
        </w:rPr>
        <w:t>指理财产品成立后，投资者申请购买理财产品份额的行为。</w:t>
      </w:r>
    </w:p>
    <w:p w:rsidR="00360CB9" w:rsidRDefault="00712C96">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360CB9" w:rsidRDefault="00712C96">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360CB9" w:rsidRDefault="00712C96">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lastRenderedPageBreak/>
        <w:t>（19）赎回：</w:t>
      </w:r>
      <w:r>
        <w:rPr>
          <w:rFonts w:asciiTheme="minorEastAsia" w:eastAsiaTheme="minorEastAsia" w:hAnsiTheme="minorEastAsia" w:hint="eastAsia"/>
          <w:color w:val="auto"/>
          <w:sz w:val="18"/>
          <w:szCs w:val="18"/>
        </w:rPr>
        <w:t>指理财产品成立后，投资者申请赎回理财产品份额的行为，即投资者申请将理财产品份额兑换为现金。</w:t>
      </w:r>
    </w:p>
    <w:p w:rsidR="00360CB9" w:rsidRDefault="00712C96">
      <w:pPr>
        <w:pStyle w:val="Default"/>
        <w:spacing w:line="360" w:lineRule="auto"/>
        <w:ind w:firstLineChars="200" w:firstLine="360"/>
        <w:rPr>
          <w:rFonts w:asciiTheme="minorEastAsia" w:hAnsiTheme="min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0）巨额赎回：</w:t>
      </w:r>
      <w:r>
        <w:rPr>
          <w:rFonts w:asciiTheme="minorEastAsia" w:hAnsiTheme="minorEastAsia" w:hint="eastAsia"/>
          <w:bCs/>
          <w:color w:val="auto"/>
          <w:sz w:val="18"/>
          <w:szCs w:val="18"/>
        </w:rPr>
        <w:t>单个开放日中，本产品的产品份额净赎回申请（赎回申请总份额扣除申购总份额后的余额</w:t>
      </w:r>
      <w:r>
        <w:rPr>
          <w:rFonts w:asciiTheme="minorEastAsia" w:hAnsiTheme="minorEastAsia"/>
          <w:bCs/>
          <w:color w:val="auto"/>
          <w:sz w:val="18"/>
          <w:szCs w:val="18"/>
        </w:rPr>
        <w:t>,</w:t>
      </w:r>
      <w:r>
        <w:rPr>
          <w:rFonts w:asciiTheme="minorEastAsia" w:hAnsiTheme="minorEastAsia" w:hint="eastAsia"/>
          <w:bCs/>
          <w:color w:val="auto"/>
          <w:sz w:val="18"/>
          <w:szCs w:val="18"/>
        </w:rPr>
        <w:t>下同）之和达到上一日产品总份额的</w:t>
      </w:r>
      <w:r>
        <w:rPr>
          <w:rFonts w:asciiTheme="minorEastAsia" w:hAnsiTheme="minorEastAsia"/>
          <w:bCs/>
          <w:color w:val="auto"/>
          <w:sz w:val="18"/>
          <w:szCs w:val="18"/>
        </w:rPr>
        <w:t>约定百分比</w:t>
      </w:r>
      <w:r>
        <w:rPr>
          <w:rFonts w:asciiTheme="minorEastAsia" w:hAnsiTheme="minorEastAsia" w:hint="eastAsia"/>
          <w:bCs/>
          <w:color w:val="auto"/>
          <w:sz w:val="18"/>
          <w:szCs w:val="18"/>
        </w:rPr>
        <w:t>，为巨额赎回。</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21）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rsidR="00360CB9" w:rsidRDefault="00712C96">
      <w:pPr>
        <w:pStyle w:val="Default"/>
        <w:spacing w:line="360" w:lineRule="auto"/>
        <w:ind w:firstLineChars="200" w:firstLine="360"/>
        <w:rPr>
          <w:rFonts w:asciiTheme="minorEastAsia" w:eastAsiaTheme="majorEastAsia" w:hAnsiTheme="minorEastAsia"/>
          <w:bCs/>
          <w:color w:val="auto"/>
          <w:sz w:val="18"/>
          <w:szCs w:val="18"/>
        </w:rPr>
      </w:pPr>
      <w:r>
        <w:rPr>
          <w:rFonts w:asciiTheme="majorEastAsia" w:eastAsiaTheme="majorEastAsia" w:hAnsiTheme="majorEastAsia" w:hint="eastAsia"/>
          <w:bCs/>
          <w:color w:val="auto"/>
          <w:sz w:val="18"/>
          <w:szCs w:val="18"/>
        </w:rPr>
        <w:t>（22）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rsidR="00360CB9" w:rsidRDefault="00712C96">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（2）交易日：指银行间市场、证券交易所市场的共同正常开盘交易日。</w:t>
      </w:r>
      <w:r>
        <w:rPr>
          <w:rFonts w:asciiTheme="majorEastAsia" w:eastAsiaTheme="majorEastAsia" w:hAnsiTheme="majorEastAsia"/>
          <w:bCs/>
          <w:color w:val="auto"/>
          <w:sz w:val="18"/>
          <w:szCs w:val="18"/>
        </w:rPr>
        <w:t xml:space="preserve"> </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360CB9" w:rsidRDefault="00712C96">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360CB9" w:rsidRDefault="00712C96">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360CB9" w:rsidRDefault="00712C96">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360CB9" w:rsidRDefault="00712C96">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w:t>
      </w:r>
      <w:r>
        <w:rPr>
          <w:rFonts w:hAnsi="宋体" w:hint="eastAsia"/>
          <w:color w:val="auto"/>
          <w:sz w:val="18"/>
          <w:szCs w:val="18"/>
        </w:rPr>
        <w:t>利益的日期。</w:t>
      </w:r>
    </w:p>
    <w:p w:rsidR="00360CB9" w:rsidRDefault="00712C96">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（10）持有期：指自产品成立日/申购确认日起，投资者持有该产品份额的期间。</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1）产品存续期：指自理财产品成立日起，至理财产品终止日的期间。</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2）清算期：指自本理财产品终止日至投资者理财利益到账日之间的期间。</w:t>
      </w:r>
    </w:p>
    <w:p w:rsidR="00360CB9" w:rsidRDefault="00712C96">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360CB9" w:rsidRDefault="00712C96">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360CB9" w:rsidRDefault="00712C96">
      <w:pPr>
        <w:widowControl/>
        <w:spacing w:line="360" w:lineRule="auto"/>
        <w:ind w:firstLineChars="200" w:firstLine="360"/>
        <w:jc w:val="left"/>
        <w:rPr>
          <w:rFonts w:ascii="宋体" w:hAnsi="宋体"/>
          <w:sz w:val="18"/>
          <w:szCs w:val="18"/>
        </w:rPr>
      </w:pPr>
      <w:r>
        <w:rPr>
          <w:rFonts w:ascii="宋体" w:hAnsi="宋体" w:hint="eastAsia"/>
          <w:kern w:val="0"/>
          <w:sz w:val="18"/>
          <w:szCs w:val="18"/>
        </w:rPr>
        <w:t>（2）</w:t>
      </w:r>
      <w:r>
        <w:rPr>
          <w:rFonts w:ascii="黑体" w:eastAsia="黑体" w:hAnsi="黑体" w:cs="仿宋_GB2312" w:hint="eastAsia"/>
          <w:bCs/>
          <w:sz w:val="18"/>
          <w:szCs w:val="18"/>
        </w:rPr>
        <w:t>★</w:t>
      </w:r>
      <w:r>
        <w:rPr>
          <w:rFonts w:ascii="宋体" w:hAnsi="宋体"/>
          <w:kern w:val="0"/>
          <w:sz w:val="18"/>
          <w:szCs w:val="18"/>
        </w:rPr>
        <w:t>申购费：</w:t>
      </w:r>
      <w:r>
        <w:rPr>
          <w:rFonts w:ascii="宋体" w:hAnsi="宋体" w:hint="eastAsia"/>
          <w:kern w:val="0"/>
          <w:sz w:val="18"/>
          <w:szCs w:val="18"/>
        </w:rPr>
        <w:t>指</w:t>
      </w:r>
      <w:r>
        <w:rPr>
          <w:rFonts w:ascii="宋体" w:hAnsi="宋体"/>
          <w:kern w:val="0"/>
          <w:sz w:val="18"/>
          <w:szCs w:val="18"/>
        </w:rPr>
        <w:t>投资者申购产品时</w:t>
      </w:r>
      <w:r>
        <w:rPr>
          <w:rFonts w:ascii="宋体" w:hAnsi="宋体" w:hint="eastAsia"/>
          <w:kern w:val="0"/>
          <w:sz w:val="18"/>
          <w:szCs w:val="18"/>
        </w:rPr>
        <w:t>需缴纳的费用。</w:t>
      </w:r>
    </w:p>
    <w:p w:rsidR="00360CB9" w:rsidRDefault="00712C96">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赎回费：指投资者赎回产品时需缴纳的费用。</w:t>
      </w:r>
    </w:p>
    <w:p w:rsidR="00360CB9" w:rsidRDefault="00712C96">
      <w:pPr>
        <w:pStyle w:val="Default"/>
        <w:spacing w:line="360" w:lineRule="auto"/>
        <w:ind w:firstLineChars="200" w:firstLine="360"/>
        <w:rPr>
          <w:rFonts w:hAnsi="宋体"/>
          <w:sz w:val="18"/>
          <w:szCs w:val="18"/>
        </w:rPr>
      </w:pPr>
      <w:r>
        <w:rPr>
          <w:rFonts w:hAnsi="宋体" w:hint="eastAsia"/>
          <w:sz w:val="18"/>
          <w:szCs w:val="18"/>
        </w:rPr>
        <w:lastRenderedPageBreak/>
        <w:t>（4）</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360CB9" w:rsidRDefault="00712C96">
      <w:pPr>
        <w:pStyle w:val="Default"/>
        <w:spacing w:line="360" w:lineRule="auto"/>
        <w:ind w:firstLineChars="200" w:firstLine="360"/>
        <w:rPr>
          <w:rFonts w:hAnsi="宋体"/>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360CB9" w:rsidRDefault="00712C96">
      <w:pPr>
        <w:pStyle w:val="Default"/>
        <w:spacing w:line="360" w:lineRule="auto"/>
        <w:ind w:firstLineChars="200" w:firstLine="360"/>
        <w:rPr>
          <w:rFonts w:hAnsi="宋体"/>
          <w:sz w:val="18"/>
          <w:szCs w:val="18"/>
        </w:rPr>
      </w:pPr>
      <w:r>
        <w:rPr>
          <w:rFonts w:hAnsi="宋体" w:hint="eastAsia"/>
          <w:sz w:val="18"/>
          <w:szCs w:val="18"/>
        </w:rPr>
        <w:t>（6）</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（7）</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360CB9" w:rsidRDefault="00712C96">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360CB9" w:rsidRDefault="00712C96">
      <w:pPr>
        <w:spacing w:line="360" w:lineRule="auto"/>
        <w:ind w:firstLineChars="200" w:firstLine="360"/>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rsidR="00360CB9" w:rsidRDefault="00712C96">
      <w:pPr>
        <w:widowControl/>
        <w:spacing w:line="360" w:lineRule="auto"/>
        <w:jc w:val="left"/>
        <w:rPr>
          <w:rFonts w:ascii="宋体" w:hAnsi="宋体"/>
          <w:color w:val="000000"/>
          <w:kern w:val="0"/>
          <w:sz w:val="28"/>
          <w:szCs w:val="28"/>
        </w:rPr>
      </w:pPr>
      <w:r>
        <w:rPr>
          <w:rFonts w:hAnsi="宋体"/>
          <w:sz w:val="28"/>
          <w:szCs w:val="28"/>
        </w:rPr>
        <w:br w:type="page"/>
      </w:r>
    </w:p>
    <w:p w:rsidR="00360CB9" w:rsidRDefault="00712C96">
      <w:pPr>
        <w:pStyle w:val="1"/>
        <w:spacing w:before="0" w:after="0" w:line="360" w:lineRule="auto"/>
        <w:jc w:val="center"/>
        <w:rPr>
          <w:rFonts w:hAnsi="宋体"/>
          <w:sz w:val="28"/>
          <w:szCs w:val="28"/>
        </w:rPr>
      </w:pPr>
      <w:bookmarkStart w:id="2" w:name="_Toc79154665"/>
      <w:bookmarkStart w:id="3" w:name="_Toc29961"/>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bookmarkEnd w:id="3"/>
      <w:r>
        <w:rPr>
          <w:rFonts w:hAnsi="宋体" w:hint="eastAsia"/>
          <w:sz w:val="28"/>
          <w:szCs w:val="28"/>
        </w:rPr>
        <w:t xml:space="preserve"> </w:t>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828"/>
        <w:gridCol w:w="7816"/>
      </w:tblGrid>
      <w:tr w:rsidR="00360CB9">
        <w:trPr>
          <w:trHeight w:val="401"/>
          <w:jc w:val="center"/>
        </w:trPr>
        <w:tc>
          <w:tcPr>
            <w:tcW w:w="1828" w:type="dxa"/>
            <w:shd w:val="solid" w:color="FFFFFF" w:fill="FFFFFF"/>
          </w:tcPr>
          <w:p w:rsidR="00360CB9" w:rsidRDefault="00712C96">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816" w:type="dxa"/>
            <w:shd w:val="solid" w:color="FFFFFF" w:fill="FFFFFF"/>
          </w:tcPr>
          <w:p w:rsidR="00360CB9" w:rsidRDefault="00712C96">
            <w:pPr>
              <w:spacing w:line="360" w:lineRule="auto"/>
              <w:jc w:val="left"/>
              <w:rPr>
                <w:rFonts w:ascii="宋体" w:hAnsi="宋体"/>
                <w:bCs/>
                <w:sz w:val="18"/>
                <w:szCs w:val="18"/>
              </w:rPr>
            </w:pPr>
            <w:r>
              <w:rPr>
                <w:rFonts w:ascii="宋体" w:hAnsi="宋体" w:hint="eastAsia"/>
                <w:bCs/>
                <w:sz w:val="18"/>
                <w:szCs w:val="18"/>
              </w:rPr>
              <w:t>【</w:t>
            </w:r>
            <w:r>
              <w:rPr>
                <w:rFonts w:asciiTheme="minorEastAsia" w:hAnsiTheme="minorEastAsia" w:hint="eastAsia"/>
                <w:sz w:val="18"/>
                <w:szCs w:val="18"/>
              </w:rPr>
              <w:t>兴银理财添利10号</w:t>
            </w:r>
            <w:r>
              <w:rPr>
                <w:rFonts w:asciiTheme="minorEastAsia" w:hAnsiTheme="minorEastAsia"/>
                <w:sz w:val="18"/>
                <w:szCs w:val="18"/>
              </w:rPr>
              <w:t>净值型理财产品</w:t>
            </w:r>
            <w:r>
              <w:rPr>
                <w:rFonts w:ascii="宋体" w:hAnsi="宋体" w:hint="eastAsia"/>
                <w:bCs/>
                <w:sz w:val="18"/>
                <w:szCs w:val="18"/>
              </w:rPr>
              <w:t>】</w:t>
            </w:r>
          </w:p>
        </w:tc>
      </w:tr>
      <w:tr w:rsidR="00360CB9">
        <w:trPr>
          <w:trHeight w:val="383"/>
          <w:jc w:val="center"/>
        </w:trPr>
        <w:tc>
          <w:tcPr>
            <w:tcW w:w="1828" w:type="dxa"/>
            <w:shd w:val="solid" w:color="FFFFFF" w:fill="FFFFFF"/>
          </w:tcPr>
          <w:p w:rsidR="00360CB9" w:rsidRDefault="00712C96">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816" w:type="dxa"/>
            <w:shd w:val="solid" w:color="FFFFFF" w:fill="FFFFFF"/>
            <w:vAlign w:val="center"/>
          </w:tcPr>
          <w:p w:rsidR="00360CB9" w:rsidRDefault="00712C96">
            <w:pPr>
              <w:widowControl/>
              <w:spacing w:line="360" w:lineRule="auto"/>
              <w:jc w:val="left"/>
              <w:rPr>
                <w:rFonts w:ascii="宋体" w:hAnsi="宋体"/>
                <w:kern w:val="0"/>
                <w:sz w:val="22"/>
              </w:rPr>
            </w:pPr>
            <w:r>
              <w:rPr>
                <w:rFonts w:ascii="宋体" w:hAnsi="宋体" w:hint="eastAsia"/>
                <w:bCs/>
                <w:sz w:val="18"/>
                <w:szCs w:val="18"/>
              </w:rPr>
              <w:t>【兴银添利10号</w:t>
            </w:r>
            <w:r>
              <w:rPr>
                <w:rFonts w:ascii="宋体" w:hAnsi="宋体"/>
                <w:bCs/>
                <w:sz w:val="18"/>
                <w:szCs w:val="18"/>
              </w:rPr>
              <w:t>C</w:t>
            </w:r>
            <w:r>
              <w:rPr>
                <w:rFonts w:ascii="宋体" w:hAnsi="宋体" w:hint="eastAsia"/>
                <w:bCs/>
                <w:sz w:val="18"/>
                <w:szCs w:val="18"/>
              </w:rPr>
              <w:t>】（适用【</w:t>
            </w:r>
            <w:r>
              <w:rPr>
                <w:rFonts w:ascii="宋体" w:hAnsi="宋体"/>
                <w:bCs/>
                <w:sz w:val="18"/>
                <w:szCs w:val="18"/>
              </w:rPr>
              <w:t>C</w:t>
            </w:r>
            <w:r>
              <w:rPr>
                <w:rFonts w:ascii="宋体" w:hAnsi="宋体" w:hint="eastAsia"/>
                <w:bCs/>
                <w:sz w:val="18"/>
                <w:szCs w:val="18"/>
              </w:rPr>
              <w:t>】类份额）</w:t>
            </w:r>
          </w:p>
        </w:tc>
      </w:tr>
      <w:tr w:rsidR="00360CB9">
        <w:trPr>
          <w:trHeight w:val="251"/>
          <w:jc w:val="center"/>
        </w:trPr>
        <w:tc>
          <w:tcPr>
            <w:tcW w:w="1828" w:type="dxa"/>
            <w:shd w:val="solid" w:color="FFFFFF" w:fill="FFFFFF"/>
          </w:tcPr>
          <w:p w:rsidR="00360CB9" w:rsidRDefault="00712C96">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816" w:type="dxa"/>
            <w:shd w:val="solid" w:color="FFFFFF" w:fill="FFFFFF"/>
          </w:tcPr>
          <w:p w:rsidR="00360CB9" w:rsidRDefault="00712C96">
            <w:pPr>
              <w:spacing w:line="360" w:lineRule="auto"/>
              <w:jc w:val="left"/>
              <w:rPr>
                <w:rFonts w:ascii="宋体" w:hAnsi="宋体"/>
                <w:b/>
                <w:sz w:val="18"/>
                <w:szCs w:val="18"/>
              </w:rPr>
            </w:pPr>
            <w:r>
              <w:rPr>
                <w:rFonts w:asciiTheme="minorEastAsia" w:hAnsiTheme="minorEastAsia" w:hint="eastAsia"/>
                <w:sz w:val="18"/>
                <w:szCs w:val="18"/>
              </w:rPr>
              <w:t>【</w:t>
            </w:r>
            <w:r>
              <w:rPr>
                <w:rFonts w:ascii="宋体" w:hAnsi="宋体"/>
                <w:bCs/>
                <w:sz w:val="18"/>
                <w:szCs w:val="18"/>
              </w:rPr>
              <w:t>Z7002021000107</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投资者可依据理财产品登记编码在中国理财网</w:t>
            </w:r>
            <w:r>
              <w:rPr>
                <w:rFonts w:asciiTheme="majorEastAsia" w:eastAsiaTheme="majorEastAsia" w:hAnsiTheme="majorEastAsia"/>
                <w:sz w:val="18"/>
                <w:szCs w:val="18"/>
              </w:rPr>
              <w:t>(</w:t>
            </w:r>
            <w:hyperlink r:id="rId28"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360CB9">
        <w:trPr>
          <w:trHeight w:val="251"/>
          <w:jc w:val="center"/>
        </w:trPr>
        <w:tc>
          <w:tcPr>
            <w:tcW w:w="1828" w:type="dxa"/>
            <w:shd w:val="solid" w:color="FFFFFF" w:fill="FFFFFF"/>
            <w:vAlign w:val="center"/>
          </w:tcPr>
          <w:p w:rsidR="00360CB9" w:rsidRDefault="00712C96">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816" w:type="dxa"/>
            <w:shd w:val="solid" w:color="FFFFFF" w:fill="FFFFFF"/>
            <w:vAlign w:val="center"/>
          </w:tcPr>
          <w:p w:rsidR="00360CB9" w:rsidRDefault="00712C96">
            <w:pPr>
              <w:spacing w:line="360" w:lineRule="auto"/>
              <w:jc w:val="left"/>
              <w:rPr>
                <w:rFonts w:ascii="宋体" w:hAnsi="宋体"/>
                <w:bCs/>
                <w:sz w:val="18"/>
                <w:szCs w:val="18"/>
              </w:rPr>
            </w:pPr>
            <w:r>
              <w:rPr>
                <w:rFonts w:ascii="宋体" w:hAnsi="宋体"/>
                <w:bCs/>
                <w:color w:val="000000" w:themeColor="text1"/>
                <w:sz w:val="18"/>
                <w:szCs w:val="18"/>
              </w:rPr>
              <w:t>【</w:t>
            </w:r>
            <w:r>
              <w:rPr>
                <w:rFonts w:ascii="宋体" w:hAnsi="宋体" w:hint="eastAsia"/>
                <w:bCs/>
                <w:color w:val="000000" w:themeColor="text1"/>
                <w:sz w:val="18"/>
                <w:szCs w:val="18"/>
              </w:rPr>
              <w:t>9B310090</w:t>
            </w:r>
            <w:r>
              <w:rPr>
                <w:rFonts w:ascii="宋体" w:hAnsi="宋体"/>
                <w:bCs/>
                <w:color w:val="000000" w:themeColor="text1"/>
                <w:sz w:val="18"/>
                <w:szCs w:val="18"/>
              </w:rPr>
              <w:t>】</w:t>
            </w:r>
          </w:p>
        </w:tc>
      </w:tr>
      <w:tr w:rsidR="00360CB9">
        <w:trPr>
          <w:trHeight w:val="251"/>
          <w:jc w:val="center"/>
        </w:trPr>
        <w:tc>
          <w:tcPr>
            <w:tcW w:w="1828" w:type="dxa"/>
            <w:shd w:val="solid" w:color="FFFFFF" w:fill="FFFFFF"/>
          </w:tcPr>
          <w:p w:rsidR="00360CB9" w:rsidRDefault="00712C96">
            <w:pPr>
              <w:spacing w:line="360" w:lineRule="auto"/>
              <w:jc w:val="left"/>
              <w:rPr>
                <w:rFonts w:hAnsi="宋体"/>
                <w:sz w:val="18"/>
                <w:szCs w:val="18"/>
              </w:rPr>
            </w:pPr>
            <w:r>
              <w:rPr>
                <w:rFonts w:hAnsi="宋体" w:hint="eastAsia"/>
                <w:b/>
                <w:sz w:val="18"/>
                <w:szCs w:val="18"/>
              </w:rPr>
              <w:t>★销售代码</w:t>
            </w:r>
          </w:p>
        </w:tc>
        <w:tc>
          <w:tcPr>
            <w:tcW w:w="7816" w:type="dxa"/>
            <w:shd w:val="solid" w:color="FFFFFF" w:fill="FFFFFF"/>
            <w:vAlign w:val="center"/>
          </w:tcPr>
          <w:p w:rsidR="00360CB9" w:rsidRDefault="00712C96">
            <w:pPr>
              <w:spacing w:line="360" w:lineRule="auto"/>
              <w:jc w:val="left"/>
              <w:rPr>
                <w:rFonts w:ascii="宋体" w:hAnsi="宋体"/>
                <w:bCs/>
                <w:sz w:val="18"/>
                <w:szCs w:val="18"/>
              </w:rPr>
            </w:pPr>
            <w:r>
              <w:rPr>
                <w:rFonts w:ascii="宋体" w:hAnsi="宋体" w:hint="eastAsia"/>
                <w:bCs/>
                <w:sz w:val="18"/>
                <w:szCs w:val="18"/>
              </w:rPr>
              <w:t>【</w:t>
            </w:r>
            <w:r>
              <w:rPr>
                <w:rFonts w:ascii="宋体" w:hAnsi="宋体"/>
                <w:bCs/>
                <w:sz w:val="18"/>
                <w:szCs w:val="18"/>
              </w:rPr>
              <w:t>9B31009C</w:t>
            </w:r>
            <w:r>
              <w:rPr>
                <w:rFonts w:ascii="宋体" w:hAnsi="宋体" w:hint="eastAsia"/>
                <w:bCs/>
                <w:sz w:val="18"/>
                <w:szCs w:val="18"/>
              </w:rPr>
              <w:t>】（适用【</w:t>
            </w:r>
            <w:r>
              <w:rPr>
                <w:rFonts w:ascii="宋体" w:hAnsi="宋体"/>
                <w:bCs/>
                <w:sz w:val="18"/>
                <w:szCs w:val="18"/>
              </w:rPr>
              <w:t>C</w:t>
            </w:r>
            <w:r>
              <w:rPr>
                <w:rFonts w:ascii="宋体" w:hAnsi="宋体" w:hint="eastAsia"/>
                <w:bCs/>
                <w:sz w:val="18"/>
                <w:szCs w:val="18"/>
              </w:rPr>
              <w:t>】类份额）</w:t>
            </w:r>
          </w:p>
        </w:tc>
      </w:tr>
      <w:tr w:rsidR="00360CB9">
        <w:trPr>
          <w:trHeight w:val="251"/>
          <w:jc w:val="center"/>
        </w:trPr>
        <w:tc>
          <w:tcPr>
            <w:tcW w:w="1828" w:type="dxa"/>
            <w:shd w:val="solid" w:color="FFFFFF" w:fill="FFFFFF"/>
            <w:vAlign w:val="center"/>
          </w:tcPr>
          <w:p w:rsidR="00360CB9" w:rsidRDefault="00712C96">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816" w:type="dxa"/>
            <w:shd w:val="solid" w:color="FFFFFF" w:fill="FFFFFF"/>
            <w:vAlign w:val="center"/>
          </w:tcPr>
          <w:p w:rsidR="00360CB9" w:rsidRDefault="00712C96">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360CB9" w:rsidRDefault="00712C96">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.本产品设置不同的理财产品份额，每类理财产品份额以下内容将单独设置：</w:t>
            </w:r>
          </w:p>
          <w:p w:rsidR="00360CB9" w:rsidRDefault="00712C96">
            <w:pPr>
              <w:spacing w:line="360" w:lineRule="auto"/>
              <w:rPr>
                <w:rFonts w:ascii="宋体" w:hAnsi="宋体"/>
                <w:bCs/>
                <w:sz w:val="18"/>
                <w:szCs w:val="18"/>
              </w:rPr>
            </w:pPr>
            <w:r>
              <w:rPr>
                <w:rFonts w:ascii="宋体" w:hAnsi="宋体" w:hint="eastAsia"/>
                <w:bCs/>
                <w:sz w:val="18"/>
                <w:szCs w:val="18"/>
              </w:rPr>
              <w:t>（1）销售名称</w:t>
            </w:r>
          </w:p>
          <w:p w:rsidR="00360CB9" w:rsidRDefault="00712C96">
            <w:pPr>
              <w:spacing w:line="360" w:lineRule="auto"/>
              <w:rPr>
                <w:rFonts w:ascii="宋体" w:hAnsi="宋体"/>
                <w:bCs/>
                <w:sz w:val="18"/>
                <w:szCs w:val="18"/>
              </w:rPr>
            </w:pPr>
            <w:r>
              <w:rPr>
                <w:rFonts w:ascii="宋体" w:hAnsi="宋体" w:hint="eastAsia"/>
                <w:bCs/>
                <w:sz w:val="18"/>
                <w:szCs w:val="18"/>
              </w:rPr>
              <w:t>（2）收费方式</w:t>
            </w:r>
          </w:p>
          <w:p w:rsidR="00360CB9" w:rsidRDefault="00712C96">
            <w:pPr>
              <w:spacing w:line="360" w:lineRule="auto"/>
              <w:rPr>
                <w:rFonts w:ascii="宋体" w:hAnsi="宋体"/>
                <w:bCs/>
                <w:sz w:val="18"/>
                <w:szCs w:val="18"/>
              </w:rPr>
            </w:pPr>
            <w:r>
              <w:rPr>
                <w:rFonts w:ascii="宋体" w:hAnsi="宋体" w:hint="eastAsia"/>
                <w:bCs/>
                <w:sz w:val="18"/>
                <w:szCs w:val="18"/>
              </w:rPr>
              <w:t>（3）销售服务费</w:t>
            </w:r>
          </w:p>
          <w:p w:rsidR="00360CB9" w:rsidRDefault="00712C96">
            <w:pPr>
              <w:spacing w:line="360" w:lineRule="auto"/>
              <w:rPr>
                <w:rFonts w:ascii="宋体" w:hAnsi="宋体"/>
                <w:bCs/>
                <w:sz w:val="18"/>
                <w:szCs w:val="18"/>
              </w:rPr>
            </w:pPr>
            <w:r>
              <w:rPr>
                <w:rFonts w:ascii="宋体" w:hAnsi="宋体" w:hint="eastAsia"/>
                <w:bCs/>
                <w:sz w:val="18"/>
                <w:szCs w:val="18"/>
              </w:rPr>
              <w:t>（4）销售代码</w:t>
            </w:r>
          </w:p>
          <w:p w:rsidR="00360CB9" w:rsidRDefault="00712C96">
            <w:pPr>
              <w:spacing w:line="360" w:lineRule="auto"/>
              <w:rPr>
                <w:rFonts w:ascii="宋体" w:hAnsi="宋体"/>
                <w:bCs/>
                <w:sz w:val="18"/>
                <w:szCs w:val="18"/>
              </w:rPr>
            </w:pPr>
            <w:r>
              <w:rPr>
                <w:rFonts w:ascii="宋体" w:hAnsi="宋体" w:hint="eastAsia"/>
                <w:bCs/>
                <w:sz w:val="18"/>
                <w:szCs w:val="18"/>
              </w:rPr>
              <w:t>（5）销售对象</w:t>
            </w:r>
          </w:p>
          <w:p w:rsidR="00360CB9" w:rsidRDefault="00712C96">
            <w:pPr>
              <w:spacing w:line="360" w:lineRule="auto"/>
              <w:rPr>
                <w:rFonts w:ascii="宋体" w:hAnsi="宋体"/>
                <w:bCs/>
                <w:sz w:val="18"/>
                <w:szCs w:val="18"/>
              </w:rPr>
            </w:pPr>
            <w:r>
              <w:rPr>
                <w:rFonts w:ascii="宋体" w:hAnsi="宋体" w:hint="eastAsia"/>
                <w:bCs/>
                <w:sz w:val="18"/>
                <w:szCs w:val="18"/>
              </w:rPr>
              <w:t>（6）销售起点金额（认购、申购的起点金额）</w:t>
            </w:r>
          </w:p>
          <w:p w:rsidR="00360CB9" w:rsidRDefault="00712C96">
            <w:pPr>
              <w:spacing w:line="360" w:lineRule="auto"/>
              <w:rPr>
                <w:rFonts w:ascii="宋体" w:hAnsi="宋体"/>
                <w:bCs/>
                <w:sz w:val="18"/>
                <w:szCs w:val="18"/>
              </w:rPr>
            </w:pPr>
            <w:r>
              <w:rPr>
                <w:rFonts w:ascii="宋体" w:hAnsi="宋体" w:hint="eastAsia"/>
                <w:bCs/>
                <w:sz w:val="18"/>
                <w:szCs w:val="18"/>
              </w:rPr>
              <w:t>（7）投资者认购、申购和赎回的数量限制</w:t>
            </w:r>
          </w:p>
          <w:p w:rsidR="00360CB9" w:rsidRDefault="00712C96">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360CB9" w:rsidRDefault="00712C96">
            <w:pPr>
              <w:spacing w:line="360" w:lineRule="auto"/>
              <w:rPr>
                <w:rFonts w:ascii="宋体" w:hAnsi="宋体"/>
                <w:bCs/>
                <w:sz w:val="18"/>
                <w:szCs w:val="18"/>
              </w:rPr>
            </w:pPr>
            <w:r>
              <w:rPr>
                <w:rFonts w:ascii="宋体" w:hAnsi="宋体" w:hint="eastAsia"/>
                <w:bCs/>
                <w:sz w:val="18"/>
                <w:szCs w:val="18"/>
              </w:rPr>
              <w:t>（9）分别计算和公告产品份额净值</w:t>
            </w:r>
          </w:p>
          <w:p w:rsidR="00360CB9" w:rsidRDefault="00712C96">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360CB9" w:rsidRDefault="00712C96">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hAnsi="宋体"/>
                <w:b/>
                <w:bCs/>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816" w:type="dxa"/>
            <w:shd w:val="solid" w:color="FFFFFF" w:fill="FFFFFF"/>
            <w:vAlign w:val="center"/>
          </w:tcPr>
          <w:p w:rsidR="00360CB9" w:rsidRDefault="00712C96">
            <w:pPr>
              <w:spacing w:line="360" w:lineRule="auto"/>
              <w:rPr>
                <w:rFonts w:ascii="宋体" w:hAnsi="宋体"/>
                <w:b/>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、开放式、固定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816" w:type="dxa"/>
            <w:shd w:val="solid" w:color="FFFFFF" w:fill="FFFFFF"/>
            <w:vAlign w:val="center"/>
          </w:tcPr>
          <w:p w:rsidR="00360CB9" w:rsidRDefault="00712C96">
            <w:pPr>
              <w:spacing w:line="360" w:lineRule="auto"/>
              <w:rPr>
                <w:rFonts w:ascii="宋体" w:hAnsi="宋体"/>
                <w:b/>
                <w:bCs/>
                <w:sz w:val="18"/>
                <w:szCs w:val="18"/>
              </w:rPr>
            </w:pPr>
            <w:r>
              <w:rPr>
                <w:rFonts w:asciiTheme="majorEastAsia" w:eastAsiaTheme="majorEastAsia" w:hAnsiTheme="majorEastAsia" w:hint="eastAsia"/>
                <w:sz w:val="18"/>
                <w:szCs w:val="18"/>
              </w:rPr>
              <w:t>公募</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816" w:type="dxa"/>
            <w:shd w:val="solid" w:color="FFFFFF" w:fill="FFFFFF"/>
            <w:vAlign w:val="center"/>
          </w:tcPr>
          <w:p w:rsidR="00360CB9" w:rsidRDefault="00712C96">
            <w:pPr>
              <w:spacing w:line="360" w:lineRule="auto"/>
              <w:rPr>
                <w:rFonts w:ascii="宋体" w:hAnsi="宋体"/>
                <w:b/>
                <w:bCs/>
                <w:sz w:val="18"/>
                <w:szCs w:val="18"/>
              </w:rPr>
            </w:pPr>
            <w:r>
              <w:rPr>
                <w:rFonts w:ascii="宋体" w:hAnsi="宋体" w:hint="eastAsia"/>
                <w:bCs/>
                <w:sz w:val="18"/>
                <w:szCs w:val="18"/>
              </w:rPr>
              <w:t>开放式</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816" w:type="dxa"/>
            <w:shd w:val="solid" w:color="FFFFFF" w:fill="FFFFFF"/>
            <w:vAlign w:val="center"/>
          </w:tcPr>
          <w:p w:rsidR="00360CB9" w:rsidRDefault="00712C96">
            <w:pPr>
              <w:adjustRightInd w:val="0"/>
              <w:snapToGrid w:val="0"/>
              <w:spacing w:line="360" w:lineRule="auto"/>
              <w:rPr>
                <w:rFonts w:asciiTheme="majorEastAsia" w:eastAsiaTheme="majorEastAsia" w:hAnsiTheme="majorEastAsia"/>
                <w:b/>
                <w:bCs/>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360CB9" w:rsidRDefault="00712C96">
            <w:pPr>
              <w:adjustRightInd w:val="0"/>
              <w:snapToGrid w:val="0"/>
              <w:spacing w:line="360" w:lineRule="auto"/>
              <w:rPr>
                <w:rFonts w:ascii="宋体" w:hAnsi="宋体"/>
                <w:b/>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816" w:type="dxa"/>
            <w:shd w:val="solid" w:color="FFFFFF" w:fill="FFFFFF"/>
            <w:vAlign w:val="center"/>
          </w:tcPr>
          <w:p w:rsidR="00360CB9" w:rsidRDefault="00712C96">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360CB9" w:rsidRDefault="00712C96">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360CB9" w:rsidRDefault="00712C96">
            <w:pPr>
              <w:adjustRightInd w:val="0"/>
              <w:snapToGrid w:val="0"/>
              <w:spacing w:line="360" w:lineRule="auto"/>
              <w:rPr>
                <w:rFonts w:ascii="黑体" w:eastAsia="黑体" w:hAnsi="黑体"/>
                <w:b/>
                <w:color w:val="000000" w:themeColor="text1"/>
                <w:sz w:val="18"/>
                <w:szCs w:val="18"/>
              </w:rPr>
            </w:pPr>
            <w:r>
              <w:rPr>
                <w:rFonts w:ascii="黑体" w:eastAsia="黑体" w:hAnsi="黑体" w:hint="eastAsia"/>
                <w:bCs/>
                <w:sz w:val="18"/>
                <w:szCs w:val="18"/>
              </w:rPr>
              <w:t>产品管理人对本产品的本金并不提供保证，也不承诺任何固定收益。</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816" w:type="dxa"/>
            <w:shd w:val="solid" w:color="FFFFFF" w:fill="FFFFFF"/>
            <w:vAlign w:val="center"/>
          </w:tcPr>
          <w:p w:rsidR="00360CB9" w:rsidRDefault="00712C96">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816" w:type="dxa"/>
            <w:shd w:val="solid" w:color="FFFFFF" w:fill="FFFFFF"/>
          </w:tcPr>
          <w:p w:rsidR="00360CB9" w:rsidRDefault="00712C96">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本产品属于【■ </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360CB9" w:rsidRDefault="00712C96">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360CB9" w:rsidRDefault="00712C96">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816" w:type="dxa"/>
            <w:shd w:val="solid" w:color="FFFFFF" w:fill="FFFFFF"/>
            <w:vAlign w:val="bottom"/>
          </w:tcPr>
          <w:p w:rsidR="00360CB9" w:rsidRDefault="00712C96">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360CB9" w:rsidRDefault="00712C96">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360CB9" w:rsidRDefault="00712C96">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机构投资者：</w:t>
            </w:r>
            <w:r w:rsidR="00E37CF5">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金融同业客户</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816" w:type="dxa"/>
            <w:shd w:val="solid" w:color="FFFFFF" w:fill="FFFFFF"/>
            <w:vAlign w:val="center"/>
          </w:tcPr>
          <w:p w:rsidR="00360CB9" w:rsidRDefault="00712C96">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360CB9" w:rsidRDefault="00712C96">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816" w:type="dxa"/>
            <w:shd w:val="solid" w:color="FFFFFF" w:fill="FFFFFF"/>
            <w:vAlign w:val="center"/>
          </w:tcPr>
          <w:p w:rsidR="00360CB9" w:rsidRDefault="00712C96">
            <w:pPr>
              <w:spacing w:line="360" w:lineRule="auto"/>
              <w:jc w:val="left"/>
              <w:rPr>
                <w:rFonts w:ascii="宋体" w:hAnsi="宋体"/>
                <w:sz w:val="18"/>
                <w:szCs w:val="18"/>
              </w:rPr>
            </w:pPr>
            <w:r>
              <w:rPr>
                <w:rFonts w:ascii="宋体" w:hAnsi="宋体" w:hint="eastAsia"/>
                <w:sz w:val="18"/>
                <w:szCs w:val="18"/>
              </w:rPr>
              <w:t>□ 直销适用</w:t>
            </w:r>
          </w:p>
          <w:p w:rsidR="00360CB9" w:rsidRDefault="00712C96">
            <w:pPr>
              <w:spacing w:line="360" w:lineRule="auto"/>
              <w:jc w:val="left"/>
              <w:rPr>
                <w:rFonts w:ascii="宋体" w:hAnsi="宋体"/>
                <w:sz w:val="18"/>
                <w:szCs w:val="18"/>
              </w:rPr>
            </w:pPr>
            <w:r>
              <w:rPr>
                <w:rFonts w:ascii="宋体" w:hAnsi="宋体" w:hint="eastAsia"/>
                <w:sz w:val="18"/>
                <w:szCs w:val="18"/>
              </w:rPr>
              <w:t>本产品由产品管理人销售。</w:t>
            </w:r>
          </w:p>
          <w:p w:rsidR="00360CB9" w:rsidRDefault="00712C96">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360CB9" w:rsidRDefault="00712C96">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360CB9" w:rsidRDefault="00712C96">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816" w:type="dxa"/>
            <w:shd w:val="solid" w:color="FFFFFF" w:fill="FFFFFF"/>
            <w:vAlign w:val="center"/>
          </w:tcPr>
          <w:p w:rsidR="00360CB9" w:rsidRDefault="00712C96">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816" w:type="dxa"/>
            <w:shd w:val="solid" w:color="FFFFFF" w:fill="FFFFFF"/>
            <w:vAlign w:val="center"/>
          </w:tcPr>
          <w:p w:rsidR="00360CB9" w:rsidRDefault="00712C96">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816" w:type="dxa"/>
            <w:shd w:val="solid" w:color="FFFFFF" w:fill="FFFFFF"/>
            <w:vAlign w:val="center"/>
          </w:tcPr>
          <w:p w:rsidR="00360CB9" w:rsidRDefault="00712C96">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规模为【50】亿元，最小成立规模为【/】亿元。</w:t>
            </w:r>
          </w:p>
          <w:p w:rsidR="00360CB9" w:rsidRDefault="00712C96">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816" w:type="dxa"/>
            <w:shd w:val="solid" w:color="FFFFFF" w:fill="FFFFFF"/>
            <w:vAlign w:val="center"/>
          </w:tcPr>
          <w:p w:rsidR="00360CB9" w:rsidRDefault="00712C96">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无固定期限</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816" w:type="dxa"/>
            <w:shd w:val="solid" w:color="FFFFFF" w:fill="FFFFFF"/>
            <w:vAlign w:val="center"/>
          </w:tcPr>
          <w:p w:rsidR="00360CB9" w:rsidRDefault="00712C96">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本产品认购期/募集期为</w:t>
            </w:r>
            <w:r>
              <w:rPr>
                <w:rFonts w:asciiTheme="minorEastAsia" w:hAnsiTheme="minorEastAsia" w:hint="eastAsia"/>
                <w:bCs/>
                <w:sz w:val="18"/>
                <w:szCs w:val="18"/>
              </w:rPr>
              <w:t>：</w:t>
            </w:r>
            <w:r>
              <w:rPr>
                <w:rFonts w:asciiTheme="minorEastAsia" w:hAnsiTheme="minorEastAsia" w:cs="Times New Roman" w:hint="eastAsia"/>
                <w:sz w:val="18"/>
                <w:szCs w:val="18"/>
              </w:rPr>
              <w:t>【2021】年【06】月【10】日【</w:t>
            </w:r>
            <w:r>
              <w:rPr>
                <w:rFonts w:asciiTheme="minorEastAsia" w:hAnsiTheme="minorEastAsia" w:cs="Times New Roman"/>
                <w:sz w:val="18"/>
                <w:szCs w:val="18"/>
              </w:rPr>
              <w:t>8:30</w:t>
            </w:r>
            <w:r>
              <w:rPr>
                <w:rFonts w:asciiTheme="minorEastAsia" w:hAnsiTheme="minorEastAsia" w:cs="Times New Roman" w:hint="eastAsia"/>
                <w:sz w:val="18"/>
                <w:szCs w:val="18"/>
              </w:rPr>
              <w:t>】至【2021】年【06】月【10】日【15：30】</w:t>
            </w:r>
            <w:r>
              <w:rPr>
                <w:rFonts w:asciiTheme="majorEastAsia" w:eastAsiaTheme="majorEastAsia" w:hAnsiTheme="majorEastAsia"/>
                <w:sz w:val="18"/>
                <w:szCs w:val="18"/>
              </w:rPr>
              <w:t>。</w:t>
            </w:r>
          </w:p>
          <w:p w:rsidR="00360CB9" w:rsidRDefault="00712C96">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360CB9" w:rsidRDefault="00712C96">
            <w:pPr>
              <w:spacing w:line="360" w:lineRule="auto"/>
              <w:rPr>
                <w:rFonts w:asciiTheme="majorEastAsia" w:eastAsiaTheme="majorEastAsia" w:hAnsiTheme="majorEastAsia"/>
                <w:bCs/>
                <w:sz w:val="18"/>
                <w:szCs w:val="18"/>
              </w:rPr>
            </w:pPr>
            <w:r>
              <w:rPr>
                <w:rFonts w:ascii="宋体" w:hAnsi="宋体"/>
                <w:bCs/>
                <w:sz w:val="18"/>
                <w:szCs w:val="18"/>
              </w:rPr>
              <w:t>3</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募集期内资金按照活期存款利息计息，认购期/募集期内的利息不计入认购</w:t>
            </w:r>
            <w:r>
              <w:rPr>
                <w:rFonts w:ascii="宋体" w:hAnsi="宋体"/>
                <w:bCs/>
                <w:sz w:val="18"/>
                <w:szCs w:val="18"/>
              </w:rPr>
              <w:t>资金</w:t>
            </w:r>
            <w:r>
              <w:rPr>
                <w:rFonts w:ascii="宋体" w:hAnsi="宋体" w:hint="eastAsia"/>
                <w:sz w:val="18"/>
              </w:rPr>
              <w:t>。</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816" w:type="dxa"/>
            <w:shd w:val="solid" w:color="FFFFFF" w:fill="FFFFFF"/>
            <w:vAlign w:val="center"/>
          </w:tcPr>
          <w:p w:rsidR="00360CB9" w:rsidRDefault="00712C96">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816" w:type="dxa"/>
            <w:shd w:val="solid" w:color="FFFFFF" w:fill="FFFFFF"/>
            <w:vAlign w:val="center"/>
          </w:tcPr>
          <w:p w:rsidR="00360CB9" w:rsidRDefault="00712C96">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【2021】年【06】月【11】日（遇节假日顺延）</w:t>
            </w:r>
            <w:r>
              <w:rPr>
                <w:rFonts w:asciiTheme="minorEastAsia" w:hAnsiTheme="minorEastAsia" w:hint="eastAsia"/>
                <w:bCs/>
                <w:sz w:val="18"/>
                <w:szCs w:val="18"/>
              </w:rPr>
              <w:t>。</w:t>
            </w:r>
          </w:p>
          <w:p w:rsidR="00360CB9" w:rsidRDefault="00712C96">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360CB9">
        <w:trPr>
          <w:trHeight w:val="275"/>
          <w:jc w:val="center"/>
        </w:trPr>
        <w:tc>
          <w:tcPr>
            <w:tcW w:w="1828" w:type="dxa"/>
            <w:shd w:val="solid" w:color="FFFFFF" w:fill="FFFFFF"/>
          </w:tcPr>
          <w:p w:rsidR="00360CB9" w:rsidRDefault="00712C96">
            <w:pPr>
              <w:spacing w:line="360" w:lineRule="auto"/>
              <w:jc w:val="left"/>
              <w:rPr>
                <w:rFonts w:asciiTheme="minorEastAsia" w:hAnsiTheme="minorEastAsia"/>
                <w:b/>
                <w:bCs/>
                <w:sz w:val="18"/>
                <w:szCs w:val="18"/>
              </w:rPr>
            </w:pPr>
            <w:r>
              <w:rPr>
                <w:rFonts w:hAnsi="宋体" w:hint="eastAsia"/>
                <w:sz w:val="18"/>
                <w:szCs w:val="18"/>
              </w:rPr>
              <w:t>★</w:t>
            </w:r>
            <w:r>
              <w:rPr>
                <w:rFonts w:asciiTheme="minorEastAsia" w:hAnsiTheme="minorEastAsia" w:hint="eastAsia"/>
                <w:b/>
                <w:sz w:val="18"/>
                <w:szCs w:val="18"/>
              </w:rPr>
              <w:t>封闭期</w:t>
            </w:r>
          </w:p>
        </w:tc>
        <w:tc>
          <w:tcPr>
            <w:tcW w:w="7816" w:type="dxa"/>
            <w:shd w:val="solid" w:color="FFFFFF" w:fill="FFFFFF"/>
          </w:tcPr>
          <w:p w:rsidR="00360CB9" w:rsidRDefault="00712C96">
            <w:pPr>
              <w:spacing w:line="360" w:lineRule="auto"/>
              <w:rPr>
                <w:rFonts w:asciiTheme="minorEastAsia" w:eastAsiaTheme="majorEastAsia" w:hAnsiTheme="minorEastAsia" w:cstheme="majorBidi"/>
                <w:b/>
                <w:bCs/>
                <w:sz w:val="18"/>
                <w:szCs w:val="18"/>
              </w:rPr>
            </w:pPr>
            <w:r>
              <w:rPr>
                <w:rFonts w:asciiTheme="minorEastAsia" w:hAnsiTheme="minorEastAsia" w:cs="Times New Roman"/>
                <w:sz w:val="18"/>
                <w:szCs w:val="18"/>
              </w:rPr>
              <w:t>1.</w:t>
            </w:r>
            <w:r>
              <w:rPr>
                <w:rFonts w:ascii="宋体" w:hAnsi="宋体" w:hint="eastAsia"/>
                <w:bCs/>
                <w:sz w:val="18"/>
                <w:szCs w:val="18"/>
              </w:rPr>
              <w:t>本产品封闭期为：</w:t>
            </w:r>
            <w:r>
              <w:rPr>
                <w:rFonts w:asciiTheme="minorEastAsia" w:hAnsiTheme="minorEastAsia" w:cs="Times New Roman" w:hint="eastAsia"/>
                <w:sz w:val="18"/>
                <w:szCs w:val="18"/>
              </w:rPr>
              <w:t>【/</w:t>
            </w:r>
            <w:r>
              <w:rPr>
                <w:rFonts w:asciiTheme="minorEastAsia" w:hAnsiTheme="minorEastAsia" w:cs="Times New Roman"/>
                <w:sz w:val="18"/>
                <w:szCs w:val="18"/>
              </w:rPr>
              <w:t>】年【</w:t>
            </w:r>
            <w:r>
              <w:rPr>
                <w:rFonts w:asciiTheme="minorEastAsia" w:hAnsiTheme="minorEastAsia" w:cs="Times New Roman" w:hint="eastAsia"/>
                <w:sz w:val="18"/>
                <w:szCs w:val="18"/>
              </w:rPr>
              <w:t>/】月【/】日</w:t>
            </w:r>
            <w:r>
              <w:rPr>
                <w:rFonts w:asciiTheme="minorEastAsia" w:hAnsiTheme="minorEastAsia" w:cs="仿宋_GB2312" w:hint="eastAsia"/>
                <w:sz w:val="18"/>
                <w:szCs w:val="18"/>
              </w:rPr>
              <w:t>至</w:t>
            </w:r>
            <w:r>
              <w:rPr>
                <w:rFonts w:asciiTheme="minorEastAsia" w:hAnsiTheme="minorEastAsia" w:cs="Times New Roman" w:hint="eastAsia"/>
                <w:sz w:val="18"/>
                <w:szCs w:val="18"/>
              </w:rPr>
              <w:t>【/</w:t>
            </w:r>
            <w:r>
              <w:rPr>
                <w:rFonts w:asciiTheme="minorEastAsia" w:hAnsiTheme="minorEastAsia" w:cs="Times New Roman"/>
                <w:sz w:val="18"/>
                <w:szCs w:val="18"/>
              </w:rPr>
              <w:t>】年【</w:t>
            </w:r>
            <w:r>
              <w:rPr>
                <w:rFonts w:asciiTheme="minorEastAsia" w:hAnsiTheme="minorEastAsia" w:cs="Times New Roman" w:hint="eastAsia"/>
                <w:sz w:val="18"/>
                <w:szCs w:val="18"/>
              </w:rPr>
              <w:t>】月【/】日</w:t>
            </w:r>
            <w:r>
              <w:rPr>
                <w:rFonts w:asciiTheme="majorEastAsia" w:eastAsiaTheme="majorEastAsia" w:hAnsiTheme="majorEastAsia" w:hint="eastAsia"/>
                <w:sz w:val="18"/>
                <w:szCs w:val="18"/>
              </w:rPr>
              <w:t>。</w:t>
            </w:r>
          </w:p>
          <w:p w:rsidR="00360CB9" w:rsidRDefault="00712C96">
            <w:pPr>
              <w:spacing w:line="360" w:lineRule="auto"/>
              <w:rPr>
                <w:rFonts w:asciiTheme="minorEastAsia" w:hAnsiTheme="minorEastAsia"/>
                <w:bCs/>
                <w:sz w:val="18"/>
                <w:szCs w:val="18"/>
              </w:rPr>
            </w:pPr>
            <w:r>
              <w:rPr>
                <w:rFonts w:asciiTheme="minorEastAsia" w:hAnsiTheme="minorEastAsia"/>
                <w:sz w:val="18"/>
                <w:szCs w:val="18"/>
              </w:rPr>
              <w:t>2.</w:t>
            </w:r>
            <w:r>
              <w:rPr>
                <w:rFonts w:asciiTheme="minorEastAsia" w:hAnsiTheme="minorEastAsia" w:hint="eastAsia"/>
                <w:sz w:val="18"/>
                <w:szCs w:val="18"/>
              </w:rPr>
              <w:t>封闭期内不接受申购或赎回申请。</w:t>
            </w:r>
          </w:p>
        </w:tc>
      </w:tr>
      <w:tr w:rsidR="00360CB9">
        <w:trPr>
          <w:trHeight w:val="275"/>
          <w:jc w:val="center"/>
        </w:trPr>
        <w:tc>
          <w:tcPr>
            <w:tcW w:w="1828" w:type="dxa"/>
            <w:shd w:val="solid" w:color="FFFFFF" w:fill="FFFFFF"/>
          </w:tcPr>
          <w:p w:rsidR="00360CB9" w:rsidRDefault="00712C96">
            <w:pPr>
              <w:spacing w:line="360" w:lineRule="auto"/>
              <w:jc w:val="left"/>
              <w:rPr>
                <w:rFonts w:hAnsi="宋体"/>
                <w:sz w:val="18"/>
                <w:szCs w:val="18"/>
              </w:rPr>
            </w:pPr>
            <w:r>
              <w:rPr>
                <w:rFonts w:hAnsi="宋体" w:hint="eastAsia"/>
                <w:sz w:val="18"/>
                <w:szCs w:val="18"/>
              </w:rPr>
              <w:t>★</w:t>
            </w:r>
            <w:r>
              <w:rPr>
                <w:rFonts w:hAnsi="宋体" w:hint="eastAsia"/>
                <w:b/>
                <w:sz w:val="18"/>
                <w:szCs w:val="18"/>
              </w:rPr>
              <w:t>申购</w:t>
            </w:r>
            <w:r>
              <w:rPr>
                <w:rFonts w:hAnsi="宋体" w:hint="eastAsia"/>
                <w:b/>
                <w:sz w:val="18"/>
                <w:szCs w:val="18"/>
              </w:rPr>
              <w:t>/</w:t>
            </w:r>
            <w:r>
              <w:rPr>
                <w:rFonts w:hAnsi="宋体" w:hint="eastAsia"/>
                <w:b/>
                <w:sz w:val="18"/>
                <w:szCs w:val="18"/>
              </w:rPr>
              <w:t>赎回安排</w:t>
            </w:r>
          </w:p>
        </w:tc>
        <w:tc>
          <w:tcPr>
            <w:tcW w:w="7816" w:type="dxa"/>
            <w:shd w:val="solid" w:color="FFFFFF" w:fill="FFFFFF"/>
          </w:tcPr>
          <w:p w:rsidR="00360CB9" w:rsidRDefault="00712C96">
            <w:pPr>
              <w:spacing w:line="360" w:lineRule="auto"/>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w:t>
            </w:r>
            <w:r>
              <w:rPr>
                <w:rFonts w:asciiTheme="minorEastAsia" w:hAnsiTheme="minorEastAsia" w:hint="eastAsia"/>
                <w:sz w:val="18"/>
                <w:szCs w:val="18"/>
              </w:rPr>
              <w:t>本产品在封闭期后，产品按以下规则设置开放期：</w:t>
            </w:r>
          </w:p>
          <w:p w:rsidR="00360CB9" w:rsidRDefault="00712C96">
            <w:pPr>
              <w:spacing w:line="360" w:lineRule="auto"/>
              <w:rPr>
                <w:rFonts w:asciiTheme="minorEastAsia" w:hAnsiTheme="minorEastAsia"/>
                <w:sz w:val="18"/>
                <w:szCs w:val="18"/>
              </w:rPr>
            </w:pPr>
            <w:r>
              <w:rPr>
                <w:rFonts w:asciiTheme="minorEastAsia" w:hAnsiTheme="minorEastAsia" w:hint="eastAsia"/>
                <w:sz w:val="18"/>
                <w:szCs w:val="18"/>
              </w:rPr>
              <w:t>（1）本</w:t>
            </w:r>
            <w:r>
              <w:rPr>
                <w:rFonts w:asciiTheme="minorEastAsia" w:hAnsiTheme="minorEastAsia"/>
                <w:sz w:val="18"/>
                <w:szCs w:val="18"/>
              </w:rPr>
              <w:t>产品成立后</w:t>
            </w:r>
            <w:r>
              <w:rPr>
                <w:rFonts w:asciiTheme="minorEastAsia" w:hAnsiTheme="minorEastAsia" w:hint="eastAsia"/>
                <w:sz w:val="18"/>
                <w:szCs w:val="18"/>
              </w:rPr>
              <w:t>，</w:t>
            </w:r>
            <w:r>
              <w:rPr>
                <w:rFonts w:asciiTheme="minorEastAsia" w:hAnsiTheme="minorEastAsia"/>
                <w:sz w:val="18"/>
                <w:szCs w:val="18"/>
              </w:rPr>
              <w:t>在封闭期之</w:t>
            </w:r>
            <w:r>
              <w:rPr>
                <w:rFonts w:asciiTheme="minorEastAsia" w:hAnsiTheme="minorEastAsia" w:hint="eastAsia"/>
                <w:sz w:val="18"/>
                <w:szCs w:val="18"/>
              </w:rPr>
              <w:t>后的每个【工作日】为开放日，开放日开放投资者的申购与赎回；</w:t>
            </w:r>
          </w:p>
          <w:p w:rsidR="00360CB9" w:rsidRDefault="00712C96">
            <w:pPr>
              <w:spacing w:line="360" w:lineRule="auto"/>
              <w:rPr>
                <w:rFonts w:asciiTheme="minorEastAsia" w:hAnsiTheme="minorEastAsia"/>
                <w:sz w:val="18"/>
                <w:szCs w:val="18"/>
              </w:rPr>
            </w:pPr>
            <w:r>
              <w:rPr>
                <w:rFonts w:asciiTheme="minorEastAsia" w:hAnsiTheme="minorEastAsia" w:hint="eastAsia"/>
                <w:sz w:val="18"/>
                <w:szCs w:val="18"/>
              </w:rPr>
              <w:t>（2）产品管理人公告暂停开放的日期除外。</w:t>
            </w:r>
          </w:p>
          <w:p w:rsidR="00360CB9" w:rsidRDefault="00712C96">
            <w:pPr>
              <w:spacing w:line="360" w:lineRule="auto"/>
              <w:rPr>
                <w:rFonts w:asciiTheme="minorEastAsia" w:eastAsia="黑体" w:hAnsiTheme="minorEastAsia"/>
                <w:b/>
                <w:sz w:val="18"/>
                <w:szCs w:val="18"/>
              </w:rPr>
            </w:pPr>
            <w:r>
              <w:rPr>
                <w:rFonts w:asciiTheme="minorEastAsia" w:hAnsiTheme="minorEastAsia" w:hint="eastAsia"/>
                <w:sz w:val="18"/>
                <w:szCs w:val="18"/>
              </w:rPr>
              <w:t>2</w:t>
            </w:r>
            <w:r>
              <w:rPr>
                <w:rFonts w:asciiTheme="minorEastAsia" w:hAnsiTheme="minorEastAsia"/>
                <w:sz w:val="18"/>
                <w:szCs w:val="18"/>
              </w:rPr>
              <w:t>.</w:t>
            </w:r>
            <w:r>
              <w:rPr>
                <w:rFonts w:asciiTheme="minorEastAsia" w:hAnsiTheme="minorEastAsia" w:hint="eastAsia"/>
                <w:sz w:val="18"/>
                <w:szCs w:val="18"/>
              </w:rPr>
              <w:t>申购安排</w:t>
            </w:r>
          </w:p>
          <w:p w:rsidR="00360CB9" w:rsidRDefault="00712C96">
            <w:pPr>
              <w:spacing w:line="360" w:lineRule="auto"/>
              <w:rPr>
                <w:rFonts w:asciiTheme="minorEastAsia" w:eastAsia="黑体" w:hAnsiTheme="minorEastAsia"/>
                <w:b/>
                <w:sz w:val="18"/>
                <w:szCs w:val="18"/>
              </w:rPr>
            </w:pPr>
            <w:r>
              <w:rPr>
                <w:rFonts w:asciiTheme="minorEastAsia" w:hAnsiTheme="minorEastAsia" w:hint="eastAsia"/>
                <w:sz w:val="18"/>
                <w:szCs w:val="18"/>
              </w:rPr>
              <w:t>（1）申购的时间</w:t>
            </w:r>
          </w:p>
          <w:p w:rsidR="00360CB9" w:rsidRDefault="00712C96">
            <w:pPr>
              <w:spacing w:line="360" w:lineRule="auto"/>
              <w:rPr>
                <w:rFonts w:asciiTheme="minorEastAsia" w:eastAsia="黑体" w:hAnsiTheme="minorEastAsia"/>
                <w:b/>
                <w:sz w:val="18"/>
                <w:szCs w:val="18"/>
              </w:rPr>
            </w:pPr>
            <w:r>
              <w:rPr>
                <w:rFonts w:asciiTheme="minorEastAsia" w:hAnsiTheme="minorEastAsia" w:hint="eastAsia"/>
                <w:sz w:val="18"/>
                <w:szCs w:val="18"/>
              </w:rPr>
              <w:t>本产品封闭期后的每个开放日开放申购。投资者可于开放日内提交申购申请，产品管理人公告暂停开放的日期除外。</w:t>
            </w:r>
          </w:p>
          <w:p w:rsidR="00360CB9" w:rsidRDefault="00712C96">
            <w:pPr>
              <w:spacing w:line="360" w:lineRule="auto"/>
              <w:rPr>
                <w:rFonts w:asciiTheme="minorEastAsia" w:eastAsia="黑体" w:hAnsiTheme="minorEastAsia"/>
                <w:b/>
                <w:sz w:val="18"/>
                <w:szCs w:val="18"/>
              </w:rPr>
            </w:pPr>
            <w:r>
              <w:rPr>
                <w:rFonts w:asciiTheme="minorEastAsia" w:hAnsiTheme="minorEastAsia" w:hint="eastAsia"/>
                <w:sz w:val="18"/>
                <w:szCs w:val="18"/>
              </w:rPr>
              <w:t>（2）申购的确认</w:t>
            </w:r>
          </w:p>
          <w:tbl>
            <w:tblPr>
              <w:tblStyle w:val="af4"/>
              <w:tblW w:w="75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37"/>
              <w:gridCol w:w="1701"/>
              <w:gridCol w:w="1984"/>
              <w:gridCol w:w="1985"/>
            </w:tblGrid>
            <w:tr w:rsidR="00360CB9">
              <w:trPr>
                <w:trHeight w:val="259"/>
              </w:trPr>
              <w:tc>
                <w:tcPr>
                  <w:tcW w:w="1837" w:type="dxa"/>
                  <w:vAlign w:val="center"/>
                </w:tcPr>
                <w:p w:rsidR="00360CB9" w:rsidRDefault="00712C96">
                  <w:pPr>
                    <w:pStyle w:val="Default"/>
                    <w:spacing w:line="360" w:lineRule="auto"/>
                    <w:jc w:val="center"/>
                    <w:rPr>
                      <w:rFonts w:asciiTheme="minorEastAsia" w:hAnsiTheme="minorEastAsia"/>
                      <w:b/>
                      <w:bCs/>
                      <w:kern w:val="2"/>
                      <w:sz w:val="18"/>
                      <w:szCs w:val="18"/>
                    </w:rPr>
                  </w:pPr>
                  <w:r>
                    <w:rPr>
                      <w:rFonts w:asciiTheme="majorEastAsia" w:eastAsiaTheme="majorEastAsia" w:hAnsiTheme="majorEastAsia" w:hint="eastAsia"/>
                      <w:b/>
                      <w:bCs/>
                      <w:color w:val="auto"/>
                      <w:sz w:val="18"/>
                      <w:szCs w:val="18"/>
                    </w:rPr>
                    <w:t>申购申请日</w:t>
                  </w:r>
                </w:p>
              </w:tc>
              <w:tc>
                <w:tcPr>
                  <w:tcW w:w="1701" w:type="dxa"/>
                  <w:vAlign w:val="center"/>
                </w:tcPr>
                <w:p w:rsidR="00360CB9" w:rsidRDefault="00712C96">
                  <w:pPr>
                    <w:pStyle w:val="Default"/>
                    <w:spacing w:line="360" w:lineRule="auto"/>
                    <w:jc w:val="center"/>
                    <w:rPr>
                      <w:rFonts w:asciiTheme="minorEastAsia" w:hAnsiTheme="minorEastAsia" w:cs="Times New Roman"/>
                      <w:b/>
                      <w:bCs/>
                      <w:color w:val="auto"/>
                      <w:kern w:val="2"/>
                      <w:sz w:val="18"/>
                      <w:szCs w:val="18"/>
                    </w:rPr>
                  </w:pPr>
                  <w:r>
                    <w:rPr>
                      <w:rFonts w:asciiTheme="minorEastAsia" w:hAnsiTheme="minorEastAsia" w:cs="Times New Roman" w:hint="eastAsia"/>
                      <w:b/>
                      <w:bCs/>
                      <w:color w:val="auto"/>
                      <w:sz w:val="18"/>
                      <w:szCs w:val="18"/>
                    </w:rPr>
                    <w:t>申购日</w:t>
                  </w:r>
                </w:p>
              </w:tc>
              <w:tc>
                <w:tcPr>
                  <w:tcW w:w="1984" w:type="dxa"/>
                  <w:vAlign w:val="center"/>
                </w:tcPr>
                <w:p w:rsidR="00360CB9" w:rsidRDefault="00712C96">
                  <w:pPr>
                    <w:pStyle w:val="Default"/>
                    <w:spacing w:line="360" w:lineRule="auto"/>
                    <w:jc w:val="center"/>
                    <w:rPr>
                      <w:rFonts w:asciiTheme="minorEastAsia" w:hAnsiTheme="minorEastAsia"/>
                      <w:b/>
                      <w:bCs/>
                      <w:kern w:val="2"/>
                      <w:sz w:val="18"/>
                      <w:szCs w:val="18"/>
                    </w:rPr>
                  </w:pPr>
                  <w:r>
                    <w:rPr>
                      <w:rFonts w:asciiTheme="minorEastAsia" w:hAnsiTheme="minorEastAsia" w:cs="Times New Roman" w:hint="eastAsia"/>
                      <w:b/>
                      <w:bCs/>
                      <w:color w:val="auto"/>
                      <w:sz w:val="18"/>
                      <w:szCs w:val="18"/>
                    </w:rPr>
                    <w:t>申购确认日</w:t>
                  </w:r>
                </w:p>
              </w:tc>
              <w:tc>
                <w:tcPr>
                  <w:tcW w:w="1985" w:type="dxa"/>
                  <w:vAlign w:val="center"/>
                </w:tcPr>
                <w:p w:rsidR="00360CB9" w:rsidRDefault="00712C96">
                  <w:pPr>
                    <w:pStyle w:val="Default"/>
                    <w:spacing w:line="360" w:lineRule="auto"/>
                    <w:jc w:val="center"/>
                    <w:rPr>
                      <w:rFonts w:asciiTheme="minorEastAsia" w:hAnsiTheme="minorEastAsia" w:cs="Times New Roman"/>
                      <w:b/>
                      <w:bCs/>
                      <w:color w:val="auto"/>
                      <w:sz w:val="18"/>
                      <w:szCs w:val="18"/>
                    </w:rPr>
                  </w:pPr>
                  <w:r>
                    <w:rPr>
                      <w:rFonts w:asciiTheme="minorEastAsia" w:hAnsiTheme="minorEastAsia" w:cs="Times New Roman" w:hint="eastAsia"/>
                      <w:b/>
                      <w:bCs/>
                      <w:color w:val="auto"/>
                      <w:sz w:val="18"/>
                      <w:szCs w:val="18"/>
                    </w:rPr>
                    <w:t>申购确认方式</w:t>
                  </w:r>
                </w:p>
              </w:tc>
            </w:tr>
            <w:tr w:rsidR="00360CB9">
              <w:trPr>
                <w:trHeight w:val="520"/>
              </w:trPr>
              <w:tc>
                <w:tcPr>
                  <w:tcW w:w="1837" w:type="dxa"/>
                  <w:vAlign w:val="center"/>
                </w:tcPr>
                <w:p w:rsidR="00360CB9" w:rsidRDefault="00712C96">
                  <w:pPr>
                    <w:pStyle w:val="Default"/>
                    <w:spacing w:line="360" w:lineRule="auto"/>
                    <w:jc w:val="left"/>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开放日内交易时间：</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0：00</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 xml:space="preserve">-【17：00】 </w:t>
                  </w:r>
                </w:p>
              </w:tc>
              <w:tc>
                <w:tcPr>
                  <w:tcW w:w="1701" w:type="dxa"/>
                  <w:vAlign w:val="center"/>
                </w:tcPr>
                <w:p w:rsidR="00360CB9" w:rsidRDefault="00712C96">
                  <w:pPr>
                    <w:pStyle w:val="Default"/>
                    <w:spacing w:line="360" w:lineRule="auto"/>
                    <w:jc w:val="left"/>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申购申请日当日</w:t>
                  </w:r>
                </w:p>
              </w:tc>
              <w:tc>
                <w:tcPr>
                  <w:tcW w:w="1984" w:type="dxa"/>
                  <w:vAlign w:val="center"/>
                </w:tcPr>
                <w:p w:rsidR="00360CB9" w:rsidRDefault="00712C96">
                  <w:pPr>
                    <w:pStyle w:val="Default"/>
                    <w:spacing w:line="360" w:lineRule="auto"/>
                    <w:jc w:val="left"/>
                    <w:rPr>
                      <w:rFonts w:asciiTheme="majorEastAsia" w:eastAsiaTheme="majorEastAsia" w:hAnsiTheme="majorEastAsia"/>
                      <w:bCs/>
                      <w:color w:val="auto"/>
                      <w:kern w:val="2"/>
                      <w:sz w:val="18"/>
                      <w:szCs w:val="18"/>
                    </w:rPr>
                  </w:pPr>
                  <w:r>
                    <w:rPr>
                      <w:rFonts w:asciiTheme="majorEastAsia" w:eastAsiaTheme="majorEastAsia" w:hAnsiTheme="majorEastAsia" w:hint="eastAsia"/>
                      <w:bCs/>
                      <w:color w:val="auto"/>
                      <w:sz w:val="18"/>
                      <w:szCs w:val="18"/>
                    </w:rPr>
                    <w:t>申购日后的下一个开放日</w:t>
                  </w:r>
                </w:p>
              </w:tc>
              <w:tc>
                <w:tcPr>
                  <w:tcW w:w="1985" w:type="dxa"/>
                  <w:vMerge w:val="restart"/>
                </w:tcPr>
                <w:p w:rsidR="00360CB9" w:rsidRDefault="00712C96">
                  <w:pPr>
                    <w:pStyle w:val="Default"/>
                    <w:spacing w:line="360" w:lineRule="auto"/>
                    <w:jc w:val="left"/>
                    <w:rPr>
                      <w:rFonts w:asciiTheme="majorEastAsia" w:eastAsiaTheme="majorEastAsia" w:hAnsiTheme="majorEastAsia"/>
                      <w:bCs/>
                      <w:color w:val="auto"/>
                      <w:kern w:val="2"/>
                      <w:sz w:val="18"/>
                      <w:szCs w:val="18"/>
                    </w:rPr>
                  </w:pPr>
                  <w:r>
                    <w:rPr>
                      <w:rFonts w:asciiTheme="majorEastAsia" w:eastAsiaTheme="majorEastAsia" w:hAnsiTheme="majorEastAsia" w:hint="eastAsia"/>
                      <w:bCs/>
                      <w:color w:val="auto"/>
                      <w:sz w:val="18"/>
                      <w:szCs w:val="18"/>
                    </w:rPr>
                    <w:t>产品管理人在申购确认日对投资者的申购申请的有效性进行确认，并登记理财份额。</w:t>
                  </w:r>
                </w:p>
              </w:tc>
            </w:tr>
            <w:tr w:rsidR="00360CB9">
              <w:trPr>
                <w:trHeight w:val="520"/>
              </w:trPr>
              <w:tc>
                <w:tcPr>
                  <w:tcW w:w="1837" w:type="dxa"/>
                  <w:vAlign w:val="center"/>
                </w:tcPr>
                <w:p w:rsidR="00360CB9" w:rsidRDefault="00712C96">
                  <w:pPr>
                    <w:pStyle w:val="Default"/>
                    <w:spacing w:line="360" w:lineRule="auto"/>
                    <w:jc w:val="left"/>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开放日内非交易时间：</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17：00</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 xml:space="preserve">-【24：00】 </w:t>
                  </w:r>
                </w:p>
              </w:tc>
              <w:tc>
                <w:tcPr>
                  <w:tcW w:w="1701" w:type="dxa"/>
                  <w:vAlign w:val="center"/>
                </w:tcPr>
                <w:p w:rsidR="00360CB9" w:rsidRDefault="00712C96">
                  <w:pPr>
                    <w:pStyle w:val="Default"/>
                    <w:spacing w:line="360" w:lineRule="auto"/>
                    <w:jc w:val="left"/>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申购申请日后的下一个开放日</w:t>
                  </w:r>
                </w:p>
              </w:tc>
              <w:tc>
                <w:tcPr>
                  <w:tcW w:w="1984" w:type="dxa"/>
                  <w:vAlign w:val="center"/>
                </w:tcPr>
                <w:p w:rsidR="00360CB9" w:rsidRDefault="00712C96">
                  <w:pPr>
                    <w:pStyle w:val="Default"/>
                    <w:spacing w:line="360" w:lineRule="auto"/>
                    <w:jc w:val="left"/>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申购日后的下一个开放日</w:t>
                  </w:r>
                </w:p>
              </w:tc>
              <w:tc>
                <w:tcPr>
                  <w:tcW w:w="1985" w:type="dxa"/>
                  <w:vMerge/>
                </w:tcPr>
                <w:p w:rsidR="00360CB9" w:rsidRDefault="00360CB9">
                  <w:pPr>
                    <w:pStyle w:val="Default"/>
                    <w:spacing w:line="360" w:lineRule="auto"/>
                    <w:jc w:val="left"/>
                    <w:rPr>
                      <w:rFonts w:asciiTheme="majorEastAsia" w:eastAsiaTheme="majorEastAsia" w:hAnsiTheme="majorEastAsia"/>
                      <w:bCs/>
                      <w:color w:val="auto"/>
                      <w:kern w:val="2"/>
                      <w:sz w:val="18"/>
                      <w:szCs w:val="18"/>
                    </w:rPr>
                  </w:pPr>
                </w:p>
              </w:tc>
            </w:tr>
            <w:tr w:rsidR="00360CB9">
              <w:trPr>
                <w:trHeight w:val="520"/>
              </w:trPr>
              <w:tc>
                <w:tcPr>
                  <w:tcW w:w="1837" w:type="dxa"/>
                  <w:vAlign w:val="center"/>
                </w:tcPr>
                <w:p w:rsidR="00360CB9" w:rsidRDefault="00712C96">
                  <w:pPr>
                    <w:pStyle w:val="Default"/>
                    <w:spacing w:line="360" w:lineRule="auto"/>
                    <w:jc w:val="left"/>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 xml:space="preserve">非开放日 </w:t>
                  </w:r>
                </w:p>
              </w:tc>
              <w:tc>
                <w:tcPr>
                  <w:tcW w:w="1701" w:type="dxa"/>
                  <w:vAlign w:val="center"/>
                </w:tcPr>
                <w:p w:rsidR="00360CB9" w:rsidRDefault="00712C96">
                  <w:pPr>
                    <w:pStyle w:val="Default"/>
                    <w:spacing w:line="360" w:lineRule="auto"/>
                    <w:jc w:val="left"/>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申购申请日后的下一个开放日</w:t>
                  </w:r>
                </w:p>
              </w:tc>
              <w:tc>
                <w:tcPr>
                  <w:tcW w:w="1984" w:type="dxa"/>
                  <w:vAlign w:val="center"/>
                </w:tcPr>
                <w:p w:rsidR="00360CB9" w:rsidRDefault="00712C96">
                  <w:pPr>
                    <w:pStyle w:val="Default"/>
                    <w:spacing w:line="360" w:lineRule="auto"/>
                    <w:jc w:val="left"/>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申购日后的下一个开放日</w:t>
                  </w:r>
                </w:p>
              </w:tc>
              <w:tc>
                <w:tcPr>
                  <w:tcW w:w="1985" w:type="dxa"/>
                  <w:vMerge/>
                </w:tcPr>
                <w:p w:rsidR="00360CB9" w:rsidRDefault="00360CB9">
                  <w:pPr>
                    <w:pStyle w:val="Default"/>
                    <w:spacing w:line="360" w:lineRule="auto"/>
                    <w:jc w:val="left"/>
                    <w:rPr>
                      <w:rFonts w:asciiTheme="majorEastAsia" w:eastAsiaTheme="majorEastAsia" w:hAnsiTheme="majorEastAsia"/>
                      <w:bCs/>
                      <w:color w:val="auto"/>
                      <w:kern w:val="2"/>
                      <w:sz w:val="18"/>
                      <w:szCs w:val="18"/>
                    </w:rPr>
                  </w:pPr>
                </w:p>
              </w:tc>
            </w:tr>
          </w:tbl>
          <w:p w:rsidR="00360CB9" w:rsidRDefault="00712C96">
            <w:pPr>
              <w:spacing w:line="360" w:lineRule="auto"/>
              <w:rPr>
                <w:rFonts w:asciiTheme="minorEastAsia" w:hAnsiTheme="minorEastAsia"/>
                <w:sz w:val="18"/>
                <w:szCs w:val="18"/>
              </w:rPr>
            </w:pPr>
            <w:r>
              <w:rPr>
                <w:rFonts w:asciiTheme="minorEastAsia" w:hAnsiTheme="minorEastAsia"/>
                <w:sz w:val="18"/>
                <w:szCs w:val="18"/>
              </w:rPr>
              <w:t>3.赎回</w:t>
            </w:r>
            <w:r>
              <w:rPr>
                <w:rFonts w:asciiTheme="minorEastAsia" w:hAnsiTheme="minorEastAsia" w:hint="eastAsia"/>
                <w:sz w:val="18"/>
                <w:szCs w:val="18"/>
              </w:rPr>
              <w:t>安排</w:t>
            </w:r>
          </w:p>
          <w:p w:rsidR="00360CB9" w:rsidRDefault="00712C96">
            <w:pPr>
              <w:spacing w:line="360" w:lineRule="auto"/>
              <w:rPr>
                <w:rFonts w:asciiTheme="minorEastAsia" w:hAnsiTheme="minorEastAsia"/>
                <w:sz w:val="18"/>
                <w:szCs w:val="18"/>
              </w:rPr>
            </w:pPr>
            <w:r>
              <w:rPr>
                <w:rFonts w:asciiTheme="minorEastAsia" w:hAnsiTheme="minorEastAsia" w:hint="eastAsia"/>
                <w:sz w:val="18"/>
                <w:szCs w:val="18"/>
              </w:rPr>
              <w:t>（1）赎回的时间</w:t>
            </w:r>
          </w:p>
          <w:p w:rsidR="00360CB9" w:rsidRDefault="00712C96">
            <w:pPr>
              <w:spacing w:line="360" w:lineRule="auto"/>
              <w:rPr>
                <w:rFonts w:asciiTheme="minorEastAsia" w:hAnsiTheme="minorEastAsia"/>
                <w:sz w:val="18"/>
                <w:szCs w:val="18"/>
              </w:rPr>
            </w:pPr>
            <w:r>
              <w:rPr>
                <w:rFonts w:asciiTheme="minorEastAsia" w:hAnsiTheme="minorEastAsia" w:hint="eastAsia"/>
                <w:sz w:val="18"/>
                <w:szCs w:val="18"/>
              </w:rPr>
              <w:t>本产品</w:t>
            </w:r>
            <w:r>
              <w:rPr>
                <w:rFonts w:asciiTheme="minorEastAsia" w:hAnsiTheme="minorEastAsia"/>
                <w:sz w:val="18"/>
                <w:szCs w:val="18"/>
              </w:rPr>
              <w:t>封闭期</w:t>
            </w:r>
            <w:r>
              <w:rPr>
                <w:rFonts w:asciiTheme="minorEastAsia" w:hAnsiTheme="minorEastAsia" w:hint="eastAsia"/>
                <w:sz w:val="18"/>
                <w:szCs w:val="18"/>
              </w:rPr>
              <w:t>后</w:t>
            </w:r>
            <w:r>
              <w:rPr>
                <w:rFonts w:asciiTheme="minorEastAsia" w:hAnsiTheme="minorEastAsia" w:cs="Times New Roman" w:hint="eastAsia"/>
                <w:sz w:val="18"/>
                <w:szCs w:val="18"/>
              </w:rPr>
              <w:t>的</w:t>
            </w:r>
            <w:r>
              <w:rPr>
                <w:rFonts w:asciiTheme="minorEastAsia" w:hAnsiTheme="minorEastAsia" w:hint="eastAsia"/>
                <w:sz w:val="18"/>
                <w:szCs w:val="18"/>
              </w:rPr>
              <w:t>每个开放日开放</w:t>
            </w:r>
            <w:r>
              <w:rPr>
                <w:rFonts w:asciiTheme="minorEastAsia" w:hAnsiTheme="minorEastAsia" w:hint="eastAsia"/>
                <w:bCs/>
                <w:sz w:val="18"/>
                <w:szCs w:val="18"/>
              </w:rPr>
              <w:t>赎回</w:t>
            </w:r>
            <w:r>
              <w:rPr>
                <w:rFonts w:asciiTheme="minorEastAsia" w:hAnsiTheme="minorEastAsia"/>
                <w:sz w:val="18"/>
                <w:szCs w:val="18"/>
              </w:rPr>
              <w:t>。</w:t>
            </w:r>
            <w:r>
              <w:rPr>
                <w:rFonts w:asciiTheme="minorEastAsia" w:hAnsiTheme="minorEastAsia" w:hint="eastAsia"/>
                <w:sz w:val="18"/>
                <w:szCs w:val="18"/>
              </w:rPr>
              <w:t>投资者可于开放日内提交赎回申请，产品管理人公告暂停开放的日期除外</w:t>
            </w:r>
            <w:r>
              <w:rPr>
                <w:rFonts w:asciiTheme="majorEastAsia" w:eastAsiaTheme="majorEastAsia" w:hAnsiTheme="majorEastAsia" w:hint="eastAsia"/>
                <w:bCs/>
                <w:sz w:val="18"/>
                <w:szCs w:val="18"/>
              </w:rPr>
              <w:t>。</w:t>
            </w:r>
          </w:p>
          <w:p w:rsidR="00360CB9" w:rsidRDefault="00712C96">
            <w:pPr>
              <w:spacing w:line="360" w:lineRule="auto"/>
              <w:rPr>
                <w:rFonts w:asciiTheme="minorEastAsia" w:hAnsiTheme="minorEastAsia"/>
                <w:sz w:val="18"/>
                <w:szCs w:val="18"/>
              </w:rPr>
            </w:pPr>
            <w:r>
              <w:rPr>
                <w:rFonts w:asciiTheme="minorEastAsia" w:hAnsiTheme="minorEastAsia" w:hint="eastAsia"/>
                <w:sz w:val="18"/>
                <w:szCs w:val="18"/>
              </w:rPr>
              <w:t>（2）赎回的确认</w:t>
            </w:r>
          </w:p>
          <w:tbl>
            <w:tblPr>
              <w:tblStyle w:val="af4"/>
              <w:tblW w:w="75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33"/>
              <w:gridCol w:w="1701"/>
              <w:gridCol w:w="1984"/>
              <w:gridCol w:w="2043"/>
            </w:tblGrid>
            <w:tr w:rsidR="00360CB9">
              <w:trPr>
                <w:trHeight w:val="474"/>
                <w:jc w:val="center"/>
              </w:trPr>
              <w:tc>
                <w:tcPr>
                  <w:tcW w:w="1833" w:type="dxa"/>
                  <w:vAlign w:val="center"/>
                </w:tcPr>
                <w:p w:rsidR="00360CB9" w:rsidRDefault="00712C96">
                  <w:pPr>
                    <w:spacing w:line="360" w:lineRule="auto"/>
                    <w:jc w:val="center"/>
                    <w:rPr>
                      <w:rFonts w:asciiTheme="minorEastAsia" w:eastAsiaTheme="minorEastAsia" w:hAnsiTheme="minorEastAsia"/>
                      <w:b/>
                      <w:bCs/>
                      <w:sz w:val="18"/>
                      <w:szCs w:val="18"/>
                    </w:rPr>
                  </w:pPr>
                  <w:r>
                    <w:rPr>
                      <w:rFonts w:asciiTheme="minorEastAsia" w:eastAsiaTheme="minorEastAsia" w:hAnsiTheme="minorEastAsia" w:cs="Times New Roman" w:hint="eastAsia"/>
                      <w:b/>
                      <w:bCs/>
                      <w:kern w:val="0"/>
                      <w:sz w:val="18"/>
                      <w:szCs w:val="18"/>
                    </w:rPr>
                    <w:t>赎回申请日</w:t>
                  </w:r>
                </w:p>
              </w:tc>
              <w:tc>
                <w:tcPr>
                  <w:tcW w:w="1701" w:type="dxa"/>
                </w:tcPr>
                <w:p w:rsidR="00360CB9" w:rsidRDefault="00712C96">
                  <w:pPr>
                    <w:spacing w:line="360" w:lineRule="auto"/>
                    <w:jc w:val="center"/>
                    <w:rPr>
                      <w:rFonts w:asciiTheme="minorEastAsia" w:eastAsiaTheme="minorEastAsia" w:hAnsiTheme="minorEastAsia" w:cs="Times New Roman"/>
                      <w:b/>
                      <w:bCs/>
                      <w:kern w:val="0"/>
                      <w:sz w:val="18"/>
                      <w:szCs w:val="18"/>
                    </w:rPr>
                  </w:pPr>
                  <w:r>
                    <w:rPr>
                      <w:rFonts w:asciiTheme="minorEastAsia" w:eastAsiaTheme="minorEastAsia" w:hAnsiTheme="minorEastAsia" w:cs="Times New Roman" w:hint="eastAsia"/>
                      <w:b/>
                      <w:bCs/>
                      <w:kern w:val="0"/>
                      <w:sz w:val="18"/>
                      <w:szCs w:val="18"/>
                    </w:rPr>
                    <w:t>赎回</w:t>
                  </w:r>
                  <w:r>
                    <w:rPr>
                      <w:rFonts w:asciiTheme="minorEastAsia" w:eastAsiaTheme="minorEastAsia" w:hAnsiTheme="minorEastAsia" w:cs="Times New Roman"/>
                      <w:b/>
                      <w:bCs/>
                      <w:kern w:val="0"/>
                      <w:sz w:val="18"/>
                      <w:szCs w:val="18"/>
                    </w:rPr>
                    <w:t>日</w:t>
                  </w:r>
                </w:p>
              </w:tc>
              <w:tc>
                <w:tcPr>
                  <w:tcW w:w="1984" w:type="dxa"/>
                  <w:vAlign w:val="center"/>
                </w:tcPr>
                <w:p w:rsidR="00360CB9" w:rsidRDefault="00712C96">
                  <w:pPr>
                    <w:spacing w:line="360" w:lineRule="auto"/>
                    <w:jc w:val="center"/>
                    <w:rPr>
                      <w:rFonts w:asciiTheme="minorEastAsia" w:eastAsiaTheme="minorEastAsia" w:hAnsiTheme="minorEastAsia"/>
                      <w:b/>
                      <w:bCs/>
                      <w:sz w:val="18"/>
                      <w:szCs w:val="18"/>
                    </w:rPr>
                  </w:pPr>
                  <w:r>
                    <w:rPr>
                      <w:rFonts w:asciiTheme="minorEastAsia" w:eastAsiaTheme="minorEastAsia" w:hAnsiTheme="minorEastAsia" w:cs="Times New Roman" w:hint="eastAsia"/>
                      <w:b/>
                      <w:bCs/>
                      <w:kern w:val="0"/>
                      <w:sz w:val="18"/>
                      <w:szCs w:val="18"/>
                    </w:rPr>
                    <w:t>赎回确认日</w:t>
                  </w:r>
                </w:p>
              </w:tc>
              <w:tc>
                <w:tcPr>
                  <w:tcW w:w="2043" w:type="dxa"/>
                  <w:vAlign w:val="center"/>
                </w:tcPr>
                <w:p w:rsidR="00360CB9" w:rsidRDefault="00712C96">
                  <w:pPr>
                    <w:spacing w:line="360" w:lineRule="auto"/>
                    <w:jc w:val="center"/>
                    <w:rPr>
                      <w:rFonts w:asciiTheme="minorEastAsia" w:eastAsiaTheme="minorEastAsia" w:hAnsiTheme="minorEastAsia"/>
                      <w:b/>
                      <w:bCs/>
                      <w:sz w:val="18"/>
                      <w:szCs w:val="18"/>
                    </w:rPr>
                  </w:pPr>
                  <w:r>
                    <w:rPr>
                      <w:rFonts w:asciiTheme="minorEastAsia" w:eastAsiaTheme="minorEastAsia" w:hAnsiTheme="minorEastAsia" w:cs="Times New Roman" w:hint="eastAsia"/>
                      <w:b/>
                      <w:bCs/>
                      <w:kern w:val="0"/>
                      <w:sz w:val="18"/>
                      <w:szCs w:val="18"/>
                    </w:rPr>
                    <w:t>赎回确认方式</w:t>
                  </w:r>
                </w:p>
              </w:tc>
            </w:tr>
            <w:tr w:rsidR="00360CB9">
              <w:trPr>
                <w:trHeight w:val="549"/>
                <w:jc w:val="center"/>
              </w:trPr>
              <w:tc>
                <w:tcPr>
                  <w:tcW w:w="1833" w:type="dxa"/>
                  <w:tcBorders>
                    <w:bottom w:val="single" w:sz="12" w:space="0" w:color="auto"/>
                  </w:tcBorders>
                  <w:vAlign w:val="center"/>
                </w:tcPr>
                <w:p w:rsidR="00360CB9" w:rsidRDefault="00712C96">
                  <w:pPr>
                    <w:pStyle w:val="Default"/>
                    <w:spacing w:line="360" w:lineRule="auto"/>
                    <w:jc w:val="left"/>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开放日内交易时间：</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0：00</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-【17：00】</w:t>
                  </w:r>
                </w:p>
              </w:tc>
              <w:tc>
                <w:tcPr>
                  <w:tcW w:w="1701" w:type="dxa"/>
                  <w:tcBorders>
                    <w:bottom w:val="single" w:sz="12" w:space="0" w:color="auto"/>
                  </w:tcBorders>
                  <w:vAlign w:val="center"/>
                </w:tcPr>
                <w:p w:rsidR="00360CB9" w:rsidRDefault="00712C96">
                  <w:pPr>
                    <w:spacing w:line="360" w:lineRule="auto"/>
                    <w:rPr>
                      <w:rFonts w:asciiTheme="minorEastAsia" w:eastAsiaTheme="minorEastAsia" w:hAnsiTheme="minorEastAsia" w:cs="Times New Roman"/>
                      <w:bCs/>
                      <w:kern w:val="0"/>
                      <w:sz w:val="18"/>
                      <w:szCs w:val="18"/>
                    </w:rPr>
                  </w:pPr>
                  <w:r>
                    <w:rPr>
                      <w:rFonts w:asciiTheme="majorEastAsia" w:eastAsiaTheme="majorEastAsia" w:hAnsiTheme="majorEastAsia" w:hint="eastAsia"/>
                      <w:bCs/>
                      <w:sz w:val="18"/>
                      <w:szCs w:val="18"/>
                    </w:rPr>
                    <w:t>赎回申请日当日</w:t>
                  </w:r>
                </w:p>
              </w:tc>
              <w:tc>
                <w:tcPr>
                  <w:tcW w:w="1984" w:type="dxa"/>
                  <w:tcBorders>
                    <w:bottom w:val="single" w:sz="12" w:space="0" w:color="auto"/>
                  </w:tcBorders>
                  <w:vAlign w:val="center"/>
                </w:tcPr>
                <w:p w:rsidR="00360CB9" w:rsidRDefault="00712C96">
                  <w:pPr>
                    <w:spacing w:line="360" w:lineRule="auto"/>
                    <w:rPr>
                      <w:rFonts w:asciiTheme="minorEastAsia" w:eastAsiaTheme="minorEastAsia" w:hAnsiTheme="minorEastAsia"/>
                      <w:bCs/>
                      <w:sz w:val="18"/>
                      <w:szCs w:val="18"/>
                    </w:rPr>
                  </w:pPr>
                  <w:r>
                    <w:rPr>
                      <w:rFonts w:asciiTheme="minorEastAsia" w:eastAsiaTheme="minorEastAsia" w:hAnsiTheme="minorEastAsia" w:cs="Times New Roman" w:hint="eastAsia"/>
                      <w:bCs/>
                      <w:kern w:val="0"/>
                      <w:sz w:val="18"/>
                      <w:szCs w:val="18"/>
                    </w:rPr>
                    <w:t>赎回日</w:t>
                  </w:r>
                  <w:r>
                    <w:rPr>
                      <w:rFonts w:asciiTheme="majorEastAsia" w:eastAsiaTheme="majorEastAsia" w:hAnsiTheme="majorEastAsia" w:hint="eastAsia"/>
                      <w:bCs/>
                      <w:sz w:val="18"/>
                      <w:szCs w:val="18"/>
                    </w:rPr>
                    <w:t>后的下一个开放日</w:t>
                  </w:r>
                </w:p>
              </w:tc>
              <w:tc>
                <w:tcPr>
                  <w:tcW w:w="2043" w:type="dxa"/>
                  <w:vMerge w:val="restart"/>
                  <w:vAlign w:val="center"/>
                </w:tcPr>
                <w:p w:rsidR="00360CB9" w:rsidRDefault="00712C96">
                  <w:pPr>
                    <w:spacing w:line="360" w:lineRule="auto"/>
                    <w:rPr>
                      <w:rFonts w:asciiTheme="minorEastAsia" w:eastAsiaTheme="minorEastAsia" w:hAnsiTheme="minorEastAsia"/>
                      <w:bCs/>
                      <w:sz w:val="18"/>
                      <w:szCs w:val="18"/>
                    </w:rPr>
                  </w:pPr>
                  <w:r>
                    <w:rPr>
                      <w:rFonts w:asciiTheme="minorEastAsia" w:eastAsiaTheme="minorEastAsia" w:hAnsiTheme="minorEastAsia" w:cs="Times New Roman" w:hint="eastAsia"/>
                      <w:bCs/>
                      <w:kern w:val="0"/>
                      <w:sz w:val="18"/>
                      <w:szCs w:val="18"/>
                    </w:rPr>
                    <w:t>产品管理人在赎回</w:t>
                  </w:r>
                  <w:r>
                    <w:rPr>
                      <w:rFonts w:asciiTheme="minorEastAsia" w:eastAsiaTheme="minorEastAsia" w:hAnsiTheme="minorEastAsia" w:cs="Times New Roman"/>
                      <w:bCs/>
                      <w:kern w:val="0"/>
                      <w:sz w:val="18"/>
                      <w:szCs w:val="18"/>
                    </w:rPr>
                    <w:t>确认日</w:t>
                  </w:r>
                  <w:r>
                    <w:rPr>
                      <w:rFonts w:asciiTheme="minorEastAsia" w:eastAsiaTheme="minorEastAsia" w:hAnsiTheme="minorEastAsia" w:cs="Times New Roman" w:hint="eastAsia"/>
                      <w:bCs/>
                      <w:kern w:val="0"/>
                      <w:sz w:val="18"/>
                      <w:szCs w:val="18"/>
                    </w:rPr>
                    <w:t>对赎回申请的有效性进行确认，并注销理财份额。</w:t>
                  </w:r>
                </w:p>
              </w:tc>
            </w:tr>
            <w:tr w:rsidR="00360CB9">
              <w:trPr>
                <w:trHeight w:val="899"/>
                <w:jc w:val="center"/>
              </w:trPr>
              <w:tc>
                <w:tcPr>
                  <w:tcW w:w="1833" w:type="dxa"/>
                  <w:tcBorders>
                    <w:top w:val="single" w:sz="12" w:space="0" w:color="auto"/>
                    <w:bottom w:val="single" w:sz="12" w:space="0" w:color="auto"/>
                  </w:tcBorders>
                  <w:vAlign w:val="center"/>
                </w:tcPr>
                <w:p w:rsidR="00360CB9" w:rsidRDefault="00712C96">
                  <w:pPr>
                    <w:pStyle w:val="Default"/>
                    <w:spacing w:line="360" w:lineRule="auto"/>
                    <w:jc w:val="left"/>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开放日内非交易时间：</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17：00</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-【24：00】</w:t>
                  </w:r>
                </w:p>
              </w:tc>
              <w:tc>
                <w:tcPr>
                  <w:tcW w:w="1701" w:type="dxa"/>
                  <w:tcBorders>
                    <w:top w:val="single" w:sz="12" w:space="0" w:color="auto"/>
                    <w:bottom w:val="single" w:sz="12" w:space="0" w:color="auto"/>
                  </w:tcBorders>
                  <w:vAlign w:val="center"/>
                </w:tcPr>
                <w:p w:rsidR="00360CB9" w:rsidRDefault="00712C96">
                  <w:pPr>
                    <w:spacing w:line="360" w:lineRule="auto"/>
                    <w:rPr>
                      <w:rFonts w:asciiTheme="minorEastAsia" w:eastAsiaTheme="minorEastAsia" w:hAnsiTheme="minorEastAsia" w:cs="Times New Roman"/>
                      <w:bCs/>
                      <w:kern w:val="0"/>
                      <w:sz w:val="18"/>
                      <w:szCs w:val="18"/>
                    </w:rPr>
                  </w:pPr>
                  <w:r>
                    <w:rPr>
                      <w:rFonts w:asciiTheme="majorEastAsia" w:eastAsiaTheme="majorEastAsia" w:hAnsiTheme="majorEastAsia" w:hint="eastAsia"/>
                      <w:bCs/>
                      <w:sz w:val="18"/>
                      <w:szCs w:val="18"/>
                    </w:rPr>
                    <w:t>赎回申请日后的下一个开放日</w:t>
                  </w:r>
                </w:p>
              </w:tc>
              <w:tc>
                <w:tcPr>
                  <w:tcW w:w="1984" w:type="dxa"/>
                  <w:tcBorders>
                    <w:top w:val="single" w:sz="12" w:space="0" w:color="auto"/>
                    <w:bottom w:val="single" w:sz="12" w:space="0" w:color="auto"/>
                  </w:tcBorders>
                  <w:vAlign w:val="center"/>
                </w:tcPr>
                <w:p w:rsidR="00360CB9" w:rsidRDefault="00712C96">
                  <w:pPr>
                    <w:spacing w:line="360" w:lineRule="auto"/>
                    <w:rPr>
                      <w:rFonts w:asciiTheme="minorEastAsia" w:eastAsiaTheme="minorEastAsia" w:hAnsiTheme="minorEastAsia" w:cs="Times New Roman"/>
                      <w:bCs/>
                      <w:kern w:val="0"/>
                      <w:sz w:val="18"/>
                      <w:szCs w:val="18"/>
                    </w:rPr>
                  </w:pPr>
                  <w:r>
                    <w:rPr>
                      <w:rFonts w:asciiTheme="minorEastAsia" w:eastAsiaTheme="minorEastAsia" w:hAnsiTheme="minorEastAsia" w:cs="Times New Roman"/>
                      <w:bCs/>
                      <w:kern w:val="0"/>
                      <w:sz w:val="18"/>
                      <w:szCs w:val="18"/>
                    </w:rPr>
                    <w:t>赎回日</w:t>
                  </w:r>
                  <w:r>
                    <w:rPr>
                      <w:rFonts w:asciiTheme="majorEastAsia" w:eastAsiaTheme="majorEastAsia" w:hAnsiTheme="majorEastAsia" w:hint="eastAsia"/>
                      <w:bCs/>
                      <w:sz w:val="18"/>
                      <w:szCs w:val="18"/>
                    </w:rPr>
                    <w:t>后的下一个开放日</w:t>
                  </w:r>
                </w:p>
              </w:tc>
              <w:tc>
                <w:tcPr>
                  <w:tcW w:w="2043" w:type="dxa"/>
                  <w:vMerge/>
                  <w:vAlign w:val="center"/>
                </w:tcPr>
                <w:p w:rsidR="00360CB9" w:rsidRDefault="00360CB9">
                  <w:pPr>
                    <w:spacing w:line="360" w:lineRule="auto"/>
                    <w:rPr>
                      <w:rFonts w:asciiTheme="minorEastAsia" w:eastAsiaTheme="minorEastAsia" w:hAnsiTheme="minorEastAsia" w:cs="Times New Roman"/>
                      <w:bCs/>
                      <w:kern w:val="0"/>
                      <w:sz w:val="18"/>
                      <w:szCs w:val="18"/>
                    </w:rPr>
                  </w:pPr>
                </w:p>
              </w:tc>
            </w:tr>
            <w:tr w:rsidR="00360CB9">
              <w:trPr>
                <w:trHeight w:val="899"/>
                <w:jc w:val="center"/>
              </w:trPr>
              <w:tc>
                <w:tcPr>
                  <w:tcW w:w="1833" w:type="dxa"/>
                  <w:tcBorders>
                    <w:top w:val="single" w:sz="12" w:space="0" w:color="auto"/>
                  </w:tcBorders>
                  <w:vAlign w:val="center"/>
                </w:tcPr>
                <w:p w:rsidR="00360CB9" w:rsidRDefault="00712C96">
                  <w:pPr>
                    <w:pStyle w:val="Default"/>
                    <w:spacing w:line="360" w:lineRule="auto"/>
                    <w:jc w:val="left"/>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非</w:t>
                  </w:r>
                  <w:r>
                    <w:rPr>
                      <w:rFonts w:asciiTheme="majorEastAsia" w:eastAsiaTheme="majorEastAsia" w:hAnsiTheme="majorEastAsia"/>
                      <w:bCs/>
                      <w:color w:val="auto"/>
                      <w:sz w:val="18"/>
                      <w:szCs w:val="18"/>
                    </w:rPr>
                    <w:t>开放</w:t>
                  </w:r>
                  <w:r>
                    <w:rPr>
                      <w:rFonts w:asciiTheme="majorEastAsia" w:eastAsiaTheme="majorEastAsia" w:hAnsiTheme="majorEastAsia" w:hint="eastAsia"/>
                      <w:bCs/>
                      <w:color w:val="auto"/>
                      <w:sz w:val="18"/>
                      <w:szCs w:val="18"/>
                    </w:rPr>
                    <w:t>日</w:t>
                  </w:r>
                </w:p>
              </w:tc>
              <w:tc>
                <w:tcPr>
                  <w:tcW w:w="1701" w:type="dxa"/>
                  <w:tcBorders>
                    <w:top w:val="single" w:sz="12" w:space="0" w:color="auto"/>
                  </w:tcBorders>
                  <w:vAlign w:val="center"/>
                </w:tcPr>
                <w:p w:rsidR="00360CB9" w:rsidRDefault="00712C96">
                  <w:pPr>
                    <w:spacing w:line="360" w:lineRule="auto"/>
                    <w:rPr>
                      <w:rFonts w:asciiTheme="minorEastAsia" w:eastAsiaTheme="minorEastAsia" w:hAnsiTheme="minorEastAsia" w:cs="Times New Roman"/>
                      <w:bCs/>
                      <w:kern w:val="0"/>
                      <w:sz w:val="18"/>
                      <w:szCs w:val="18"/>
                    </w:rPr>
                  </w:pPr>
                  <w:r>
                    <w:rPr>
                      <w:rFonts w:asciiTheme="majorEastAsia" w:eastAsiaTheme="majorEastAsia" w:hAnsiTheme="majorEastAsia" w:hint="eastAsia"/>
                      <w:bCs/>
                      <w:sz w:val="18"/>
                      <w:szCs w:val="18"/>
                    </w:rPr>
                    <w:t>赎回申请日后的下一个开放日</w:t>
                  </w:r>
                </w:p>
              </w:tc>
              <w:tc>
                <w:tcPr>
                  <w:tcW w:w="1984" w:type="dxa"/>
                  <w:tcBorders>
                    <w:top w:val="single" w:sz="12" w:space="0" w:color="auto"/>
                  </w:tcBorders>
                </w:tcPr>
                <w:p w:rsidR="00360CB9" w:rsidRDefault="00712C96">
                  <w:pPr>
                    <w:spacing w:line="360" w:lineRule="auto"/>
                    <w:rPr>
                      <w:rFonts w:asciiTheme="minorEastAsia" w:eastAsiaTheme="minorEastAsia" w:hAnsiTheme="minorEastAsia" w:cs="Times New Roman"/>
                      <w:bCs/>
                      <w:kern w:val="0"/>
                      <w:sz w:val="18"/>
                      <w:szCs w:val="18"/>
                    </w:rPr>
                  </w:pPr>
                  <w:r>
                    <w:rPr>
                      <w:rFonts w:asciiTheme="minorEastAsia" w:eastAsiaTheme="minorEastAsia" w:hAnsiTheme="minorEastAsia" w:cs="Times New Roman"/>
                      <w:bCs/>
                      <w:kern w:val="0"/>
                      <w:sz w:val="18"/>
                      <w:szCs w:val="18"/>
                    </w:rPr>
                    <w:t>赎回日</w:t>
                  </w:r>
                  <w:r>
                    <w:rPr>
                      <w:rFonts w:asciiTheme="majorEastAsia" w:eastAsiaTheme="majorEastAsia" w:hAnsiTheme="majorEastAsia" w:hint="eastAsia"/>
                      <w:bCs/>
                      <w:sz w:val="18"/>
                      <w:szCs w:val="18"/>
                    </w:rPr>
                    <w:t>后的下一个开放日</w:t>
                  </w:r>
                </w:p>
              </w:tc>
              <w:tc>
                <w:tcPr>
                  <w:tcW w:w="2043" w:type="dxa"/>
                  <w:vMerge/>
                </w:tcPr>
                <w:p w:rsidR="00360CB9" w:rsidRDefault="00360CB9">
                  <w:pPr>
                    <w:spacing w:line="360" w:lineRule="auto"/>
                    <w:rPr>
                      <w:rFonts w:asciiTheme="minorEastAsia" w:eastAsiaTheme="minorEastAsia" w:hAnsiTheme="minorEastAsia" w:cs="Times New Roman"/>
                      <w:bCs/>
                      <w:kern w:val="0"/>
                      <w:sz w:val="18"/>
                      <w:szCs w:val="18"/>
                    </w:rPr>
                  </w:pPr>
                </w:p>
              </w:tc>
            </w:tr>
          </w:tbl>
          <w:p w:rsidR="00360CB9" w:rsidRDefault="00712C96">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注：</w:t>
            </w:r>
            <w:r>
              <w:rPr>
                <w:rFonts w:asciiTheme="majorEastAsia" w:hAnsiTheme="majorEastAsia" w:hint="eastAsia"/>
                <w:color w:val="000000" w:themeColor="text1"/>
                <w:sz w:val="18"/>
              </w:rPr>
              <w:t>赎回</w:t>
            </w:r>
            <w:r>
              <w:rPr>
                <w:rFonts w:asciiTheme="majorEastAsia" w:eastAsiaTheme="majorEastAsia" w:hAnsiTheme="majorEastAsia" w:hint="eastAsia"/>
                <w:bCs/>
                <w:color w:val="000000" w:themeColor="text1"/>
                <w:sz w:val="18"/>
                <w:szCs w:val="18"/>
              </w:rPr>
              <w:t>款项于</w:t>
            </w:r>
            <w:r>
              <w:rPr>
                <w:rFonts w:asciiTheme="minorEastAsia" w:eastAsiaTheme="minorEastAsia" w:hAnsiTheme="minorEastAsia" w:cs="Times New Roman" w:hint="eastAsia"/>
                <w:bCs/>
                <w:kern w:val="0"/>
                <w:sz w:val="18"/>
                <w:szCs w:val="18"/>
              </w:rPr>
              <w:t>赎回</w:t>
            </w:r>
            <w:r>
              <w:rPr>
                <w:rFonts w:asciiTheme="minorEastAsia" w:hAnsiTheme="minorEastAsia" w:hint="eastAsia"/>
                <w:kern w:val="0"/>
                <w:sz w:val="18"/>
              </w:rPr>
              <w:t>日后【1】个开放日</w:t>
            </w:r>
            <w:r>
              <w:rPr>
                <w:rFonts w:asciiTheme="minorEastAsia" w:eastAsiaTheme="minorEastAsia" w:hAnsiTheme="minorEastAsia" w:cs="Times New Roman" w:hint="eastAsia"/>
                <w:bCs/>
                <w:kern w:val="0"/>
                <w:sz w:val="18"/>
                <w:szCs w:val="18"/>
              </w:rPr>
              <w:t>内支付给</w:t>
            </w:r>
            <w:r>
              <w:rPr>
                <w:rFonts w:asciiTheme="minorEastAsia" w:hAnsiTheme="minorEastAsia" w:hint="eastAsia"/>
                <w:kern w:val="0"/>
                <w:sz w:val="18"/>
              </w:rPr>
              <w:t>投资者</w:t>
            </w:r>
            <w:r>
              <w:rPr>
                <w:rFonts w:asciiTheme="minorEastAsia" w:eastAsiaTheme="minorEastAsia" w:hAnsiTheme="minorEastAsia" w:cs="Times New Roman" w:hint="eastAsia"/>
                <w:bCs/>
                <w:kern w:val="0"/>
                <w:sz w:val="18"/>
                <w:szCs w:val="18"/>
              </w:rPr>
              <w:t>。</w:t>
            </w:r>
          </w:p>
          <w:p w:rsidR="00360CB9" w:rsidRDefault="00712C96">
            <w:pPr>
              <w:spacing w:line="360" w:lineRule="auto"/>
              <w:rPr>
                <w:rFonts w:asciiTheme="minorEastAsia" w:hAnsiTheme="minorEastAsia"/>
                <w:sz w:val="18"/>
                <w:szCs w:val="18"/>
              </w:rPr>
            </w:pPr>
            <w:r>
              <w:rPr>
                <w:rFonts w:asciiTheme="majorEastAsia" w:eastAsiaTheme="majorEastAsia" w:hAnsiTheme="majorEastAsia"/>
                <w:bCs/>
                <w:color w:val="000000" w:themeColor="text1"/>
                <w:sz w:val="18"/>
                <w:szCs w:val="18"/>
              </w:rPr>
              <w:t>4.申购/</w:t>
            </w:r>
            <w:r>
              <w:rPr>
                <w:rFonts w:asciiTheme="majorEastAsia" w:eastAsiaTheme="majorEastAsia" w:hAnsiTheme="majorEastAsia" w:hint="eastAsia"/>
                <w:bCs/>
                <w:color w:val="000000" w:themeColor="text1"/>
                <w:sz w:val="18"/>
                <w:szCs w:val="18"/>
              </w:rPr>
              <w:t>赎回申请时间如遇非工作日，则产品管理人做相应调整。</w:t>
            </w:r>
          </w:p>
          <w:p w:rsidR="00360CB9" w:rsidRDefault="00712C96">
            <w:pPr>
              <w:spacing w:line="360" w:lineRule="auto"/>
              <w:rPr>
                <w:rFonts w:ascii="黑体" w:eastAsia="黑体" w:hAnsi="黑体"/>
                <w:sz w:val="18"/>
                <w:szCs w:val="18"/>
              </w:rPr>
            </w:pPr>
            <w:r>
              <w:rPr>
                <w:rFonts w:ascii="黑体" w:eastAsia="黑体" w:hAnsi="黑体" w:hint="eastAsia"/>
                <w:sz w:val="18"/>
                <w:szCs w:val="18"/>
              </w:rPr>
              <w:t>★注：关于代理销售机构的实际工作服务时段的提示</w:t>
            </w:r>
          </w:p>
          <w:p w:rsidR="00360CB9" w:rsidRDefault="00712C96">
            <w:pPr>
              <w:spacing w:line="360" w:lineRule="auto"/>
              <w:rPr>
                <w:rFonts w:ascii="黑体" w:eastAsia="黑体" w:hAnsi="黑体"/>
                <w:sz w:val="18"/>
                <w:szCs w:val="18"/>
              </w:rPr>
            </w:pPr>
            <w:r>
              <w:rPr>
                <w:rFonts w:ascii="黑体" w:eastAsia="黑体" w:hAnsi="黑体" w:hint="eastAsia"/>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360CB9" w:rsidRDefault="00712C96">
            <w:pPr>
              <w:spacing w:line="360" w:lineRule="auto"/>
              <w:rPr>
                <w:rFonts w:asciiTheme="majorEastAsia" w:eastAsiaTheme="majorEastAsia" w:hAnsiTheme="majorEastAsia" w:cs="仿宋_GB2312"/>
                <w:color w:val="000000" w:themeColor="text1"/>
                <w:kern w:val="0"/>
                <w:sz w:val="18"/>
                <w:szCs w:val="18"/>
              </w:rPr>
            </w:pPr>
            <w:r>
              <w:rPr>
                <w:rFonts w:ascii="黑体" w:eastAsia="黑体" w:hAnsi="黑体" w:hint="eastAsia"/>
                <w:sz w:val="18"/>
                <w:szCs w:val="18"/>
              </w:rPr>
              <w:t>②代理销售机构的实际工作服务时段，最早不得早于销售文件约定的起始时点、最晚不得晚于销售文件约定的终止时点。</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asciiTheme="majorEastAsia" w:eastAsiaTheme="majorEastAsia" w:hAnsiTheme="majorEastAsia"/>
                <w:b/>
                <w:sz w:val="18"/>
                <w:szCs w:val="18"/>
              </w:rPr>
            </w:pPr>
            <w:r>
              <w:rPr>
                <w:rFonts w:hAnsi="宋体" w:hint="eastAsia"/>
                <w:sz w:val="18"/>
                <w:szCs w:val="18"/>
              </w:rPr>
              <w:lastRenderedPageBreak/>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816" w:type="dxa"/>
            <w:shd w:val="solid" w:color="FFFFFF" w:fill="FFFFFF"/>
            <w:vAlign w:val="center"/>
          </w:tcPr>
          <w:p w:rsidR="00360CB9" w:rsidRDefault="00712C96">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w:t>
            </w:r>
            <w:r w:rsidR="008F49FF">
              <w:rPr>
                <w:rFonts w:asciiTheme="majorEastAsia" w:eastAsiaTheme="majorEastAsia" w:hAnsiTheme="majorEastAsia"/>
                <w:bCs/>
                <w:sz w:val="18"/>
                <w:szCs w:val="18"/>
              </w:rPr>
              <w:t>0.01</w:t>
            </w:r>
            <w:r>
              <w:rPr>
                <w:rFonts w:asciiTheme="majorEastAsia" w:eastAsiaTheme="majorEastAsia" w:hAnsiTheme="majorEastAsia" w:hint="eastAsia"/>
                <w:bCs/>
                <w:sz w:val="18"/>
                <w:szCs w:val="18"/>
              </w:rPr>
              <w:t>】元；超出起点金额的部分以【0.01】元的整数倍递增。</w:t>
            </w:r>
            <w:r>
              <w:rPr>
                <w:rFonts w:asciiTheme="majorEastAsia" w:eastAsiaTheme="majorEastAsia" w:hAnsiTheme="majorEastAsia" w:hint="eastAsia"/>
                <w:bCs/>
                <w:color w:val="000000" w:themeColor="text1"/>
                <w:sz w:val="18"/>
                <w:szCs w:val="18"/>
              </w:rPr>
              <w:t>（适用【</w:t>
            </w:r>
            <w:r>
              <w:rPr>
                <w:rFonts w:asciiTheme="majorEastAsia" w:eastAsiaTheme="majorEastAsia" w:hAnsiTheme="majorEastAsia"/>
                <w:bCs/>
                <w:color w:val="000000" w:themeColor="text1"/>
                <w:sz w:val="18"/>
                <w:szCs w:val="18"/>
              </w:rPr>
              <w:t>C</w:t>
            </w:r>
            <w:r>
              <w:rPr>
                <w:rFonts w:asciiTheme="majorEastAsia" w:eastAsiaTheme="majorEastAsia" w:hAnsiTheme="majorEastAsia" w:hint="eastAsia"/>
                <w:bCs/>
                <w:color w:val="000000" w:themeColor="text1"/>
                <w:sz w:val="18"/>
                <w:szCs w:val="18"/>
              </w:rPr>
              <w:t>】类份额）</w:t>
            </w:r>
          </w:p>
          <w:p w:rsidR="00360CB9" w:rsidRDefault="00712C96">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360CB9" w:rsidRDefault="00712C96">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360CB9" w:rsidRDefault="00712C96">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hAnsi="宋体"/>
                <w:sz w:val="18"/>
                <w:szCs w:val="18"/>
              </w:rPr>
            </w:pPr>
            <w:r>
              <w:rPr>
                <w:rFonts w:hAnsi="宋体" w:hint="eastAsia"/>
                <w:b/>
                <w:sz w:val="18"/>
                <w:szCs w:val="18"/>
              </w:rPr>
              <w:t>★认购、申购与赎回的数量限制</w:t>
            </w:r>
          </w:p>
        </w:tc>
        <w:tc>
          <w:tcPr>
            <w:tcW w:w="7816" w:type="dxa"/>
            <w:shd w:val="solid" w:color="FFFFFF" w:fill="FFFFFF"/>
            <w:vAlign w:val="center"/>
          </w:tcPr>
          <w:p w:rsidR="00360CB9" w:rsidRDefault="00712C96">
            <w:pPr>
              <w:pStyle w:val="Default"/>
              <w:spacing w:line="360" w:lineRule="auto"/>
              <w:rPr>
                <w:rFonts w:asciiTheme="minorEastAsia" w:eastAsiaTheme="minorEastAsia" w:hAnsiTheme="minorEastAsia"/>
                <w:color w:val="auto"/>
                <w:sz w:val="18"/>
                <w:szCs w:val="18"/>
              </w:rPr>
            </w:pPr>
            <w:r>
              <w:rPr>
                <w:rFonts w:hAnsi="宋体" w:hint="eastAsia"/>
                <w:sz w:val="18"/>
                <w:szCs w:val="18"/>
              </w:rPr>
              <w:t>（适用【C】类份额）</w:t>
            </w:r>
          </w:p>
          <w:p w:rsidR="00360CB9" w:rsidRDefault="00712C96">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1.认购的数量限制</w:t>
            </w:r>
          </w:p>
          <w:p w:rsidR="00360CB9" w:rsidRDefault="00712C96">
            <w:pPr>
              <w:pStyle w:val="Default"/>
              <w:spacing w:line="360" w:lineRule="auto"/>
              <w:rPr>
                <w:rFonts w:hAnsi="宋体"/>
                <w:bCs/>
                <w:sz w:val="18"/>
                <w:szCs w:val="18"/>
              </w:rPr>
            </w:pPr>
            <w:r>
              <w:rPr>
                <w:rFonts w:asciiTheme="minorEastAsia" w:eastAsiaTheme="minorEastAsia" w:hAnsiTheme="minorEastAsia" w:hint="eastAsia"/>
                <w:color w:val="auto"/>
                <w:sz w:val="18"/>
                <w:szCs w:val="18"/>
              </w:rPr>
              <w:t>单一投资者认购上限为【10</w:t>
            </w:r>
            <w:r>
              <w:rPr>
                <w:rFonts w:asciiTheme="minorEastAsia" w:eastAsiaTheme="minorEastAsia" w:hAnsiTheme="minorEastAsia"/>
                <w:color w:val="auto"/>
                <w:sz w:val="18"/>
                <w:szCs w:val="18"/>
              </w:rPr>
              <w:t>,000,000</w:t>
            </w:r>
            <w:r w:rsidR="00EA15C8">
              <w:rPr>
                <w:rFonts w:asciiTheme="minorEastAsia" w:eastAsiaTheme="minorEastAsia" w:hAnsiTheme="minorEastAsia" w:hint="eastAsia"/>
                <w:color w:val="auto"/>
                <w:sz w:val="18"/>
                <w:szCs w:val="18"/>
              </w:rPr>
              <w:t>.00</w:t>
            </w:r>
            <w:r>
              <w:rPr>
                <w:rFonts w:asciiTheme="minorEastAsia" w:eastAsiaTheme="minorEastAsia" w:hAnsiTheme="minorEastAsia" w:hint="eastAsia"/>
                <w:color w:val="auto"/>
                <w:sz w:val="18"/>
                <w:szCs w:val="18"/>
              </w:rPr>
              <w:t>】</w:t>
            </w:r>
            <w:r w:rsidR="00D83542">
              <w:rPr>
                <w:rFonts w:asciiTheme="minorEastAsia" w:eastAsiaTheme="minorEastAsia" w:hAnsiTheme="minorEastAsia" w:hint="eastAsia"/>
                <w:color w:val="auto"/>
                <w:sz w:val="18"/>
                <w:szCs w:val="18"/>
              </w:rPr>
              <w:t>元</w:t>
            </w:r>
            <w:r>
              <w:rPr>
                <w:rFonts w:asciiTheme="minorEastAsia" w:eastAsiaTheme="minorEastAsia" w:hAnsiTheme="minorEastAsia" w:hint="eastAsia"/>
                <w:color w:val="auto"/>
                <w:sz w:val="18"/>
                <w:szCs w:val="18"/>
              </w:rPr>
              <w:t>。如需突破上限，请与产品管理人或销售机构客户经理联系。</w:t>
            </w:r>
          </w:p>
          <w:p w:rsidR="00360CB9" w:rsidRDefault="00712C96">
            <w:pPr>
              <w:pStyle w:val="Default"/>
              <w:spacing w:line="360" w:lineRule="auto"/>
              <w:rPr>
                <w:rFonts w:asciiTheme="minorEastAsia" w:eastAsiaTheme="minorEastAsia" w:hAnsiTheme="minorEastAsia"/>
                <w:color w:val="auto"/>
                <w:sz w:val="18"/>
                <w:szCs w:val="18"/>
              </w:rPr>
            </w:pPr>
            <w:r>
              <w:rPr>
                <w:rFonts w:hAnsi="宋体" w:hint="eastAsia"/>
                <w:bCs/>
                <w:sz w:val="18"/>
                <w:szCs w:val="18"/>
              </w:rPr>
              <w:t>2.</w:t>
            </w:r>
            <w:r>
              <w:rPr>
                <w:rFonts w:asciiTheme="minorEastAsia" w:eastAsiaTheme="minorEastAsia" w:hAnsiTheme="minorEastAsia" w:hint="eastAsia"/>
                <w:color w:val="auto"/>
                <w:sz w:val="18"/>
                <w:szCs w:val="18"/>
              </w:rPr>
              <w:t>申购的数量限制</w:t>
            </w:r>
          </w:p>
          <w:p w:rsidR="00360CB9" w:rsidRDefault="00712C96">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（1）单一投资者申购上限为【100</w:t>
            </w:r>
            <w:r>
              <w:rPr>
                <w:rFonts w:asciiTheme="minorEastAsia" w:eastAsiaTheme="minorEastAsia" w:hAnsiTheme="minorEastAsia"/>
                <w:color w:val="auto"/>
                <w:sz w:val="18"/>
                <w:szCs w:val="18"/>
              </w:rPr>
              <w:t>,000,000</w:t>
            </w:r>
            <w:r w:rsidR="00EA15C8">
              <w:rPr>
                <w:rFonts w:asciiTheme="minorEastAsia" w:eastAsiaTheme="minorEastAsia" w:hAnsiTheme="minorEastAsia" w:hint="eastAsia"/>
                <w:color w:val="auto"/>
                <w:sz w:val="18"/>
                <w:szCs w:val="18"/>
              </w:rPr>
              <w:t>.00</w:t>
            </w:r>
            <w:bookmarkStart w:id="4" w:name="_GoBack"/>
            <w:bookmarkEnd w:id="4"/>
            <w:r>
              <w:rPr>
                <w:rFonts w:asciiTheme="minorEastAsia" w:eastAsiaTheme="minorEastAsia" w:hAnsiTheme="minorEastAsia" w:hint="eastAsia"/>
                <w:color w:val="auto"/>
                <w:sz w:val="18"/>
                <w:szCs w:val="18"/>
              </w:rPr>
              <w:t>】</w:t>
            </w:r>
            <w:r w:rsidR="00D83542">
              <w:rPr>
                <w:rFonts w:asciiTheme="minorEastAsia" w:eastAsiaTheme="minorEastAsia" w:hAnsiTheme="minorEastAsia" w:hint="eastAsia"/>
                <w:color w:val="auto"/>
                <w:sz w:val="18"/>
                <w:szCs w:val="18"/>
              </w:rPr>
              <w:t>元</w:t>
            </w:r>
            <w:r>
              <w:rPr>
                <w:rFonts w:asciiTheme="minorEastAsia" w:eastAsiaTheme="minorEastAsia" w:hAnsiTheme="minorEastAsia" w:hint="eastAsia"/>
                <w:color w:val="auto"/>
                <w:sz w:val="18"/>
                <w:szCs w:val="18"/>
              </w:rPr>
              <w:t>。</w:t>
            </w:r>
          </w:p>
          <w:p w:rsidR="00360CB9" w:rsidRDefault="00712C96">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【/】份，符合产品管理人流动性管理的稳定资金除外。</w:t>
            </w:r>
          </w:p>
          <w:p w:rsidR="00360CB9" w:rsidRDefault="00712C96">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 xml:space="preserve">如需突破上限，请与产品管理人或销售机构客户经理联系。 </w:t>
            </w:r>
          </w:p>
          <w:p w:rsidR="00360CB9" w:rsidRDefault="00712C96">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3.赎回的数量限制</w:t>
            </w:r>
          </w:p>
          <w:p w:rsidR="00360CB9" w:rsidRDefault="00712C96">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（1）单一投资者赎回上限为【/】。</w:t>
            </w:r>
          </w:p>
          <w:p w:rsidR="00360CB9" w:rsidRDefault="00712C96">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（2）投资者可全部或部分赎回其理财份额，但是部分赎回后单一投资者持有产品份额不得低于【0.</w:t>
            </w:r>
            <w:r w:rsidR="00D83542">
              <w:rPr>
                <w:rFonts w:asciiTheme="minorEastAsia" w:eastAsiaTheme="minorEastAsia" w:hAnsiTheme="minorEastAsia"/>
                <w:color w:val="auto"/>
                <w:sz w:val="18"/>
                <w:szCs w:val="18"/>
              </w:rPr>
              <w:t>01</w:t>
            </w:r>
            <w:r>
              <w:rPr>
                <w:rFonts w:asciiTheme="minorEastAsia" w:eastAsiaTheme="minorEastAsia" w:hAnsiTheme="minorEastAsia" w:hint="eastAsia"/>
                <w:color w:val="auto"/>
                <w:sz w:val="18"/>
                <w:szCs w:val="18"/>
              </w:rPr>
              <w:t>】份。受理财利益分配去尾规则的影响，投资者持有产品份额较低时可能无法取得利益。巨额赎回情景发生时，投资者的可赎回份额需要根据巨额赎回规则确定。</w:t>
            </w:r>
          </w:p>
          <w:p w:rsidR="00360CB9" w:rsidRDefault="00712C96">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本产品单一投资者持有份额不得超过产品总份额50%。</w:t>
            </w:r>
          </w:p>
          <w:p w:rsidR="00360CB9" w:rsidRDefault="00712C96">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（1）投资者认购或申购确认后可能导致其持有份额超过产品总份额50%的，管理人有权拒绝或暂停认购、申购。</w:t>
            </w:r>
          </w:p>
          <w:p w:rsidR="00360CB9" w:rsidRDefault="00712C96">
            <w:pPr>
              <w:spacing w:line="360" w:lineRule="auto"/>
              <w:rPr>
                <w:rFonts w:asciiTheme="minorEastAsia" w:eastAsiaTheme="minorEastAsia" w:hAnsiTheme="minorEastAsia"/>
                <w:sz w:val="18"/>
                <w:szCs w:val="18"/>
              </w:rPr>
            </w:pPr>
            <w:r>
              <w:rPr>
                <w:rFonts w:ascii="黑体" w:eastAsia="黑体" w:hAnsi="黑体" w:hint="eastAsia"/>
                <w:bCs/>
                <w:color w:val="000000" w:themeColor="text1"/>
                <w:sz w:val="18"/>
                <w:szCs w:val="18"/>
              </w:rPr>
              <w:t>（2）非因管理人主观因素导致突破该比例限制的，在单一投资者持有比例降至50%以下之前，管理人不再接受该投资者对本产品的认购、申购申请。</w:t>
            </w:r>
          </w:p>
        </w:tc>
      </w:tr>
      <w:tr w:rsidR="00360CB9">
        <w:trPr>
          <w:trHeight w:val="275"/>
          <w:jc w:val="center"/>
        </w:trPr>
        <w:tc>
          <w:tcPr>
            <w:tcW w:w="1828" w:type="dxa"/>
            <w:shd w:val="solid" w:color="FFFFFF" w:fill="FFFFFF"/>
          </w:tcPr>
          <w:p w:rsidR="00360CB9" w:rsidRDefault="00712C96">
            <w:pPr>
              <w:spacing w:line="360" w:lineRule="auto"/>
              <w:jc w:val="left"/>
              <w:rPr>
                <w:rFonts w:hAnsi="宋体"/>
                <w:b/>
                <w:sz w:val="18"/>
                <w:szCs w:val="18"/>
              </w:rPr>
            </w:pPr>
            <w:r>
              <w:rPr>
                <w:rFonts w:hint="eastAsia"/>
                <w:sz w:val="18"/>
                <w:szCs w:val="18"/>
              </w:rPr>
              <w:lastRenderedPageBreak/>
              <w:t>★</w:t>
            </w:r>
            <w:r>
              <w:rPr>
                <w:rFonts w:hAnsi="宋体" w:hint="eastAsia"/>
                <w:b/>
                <w:sz w:val="18"/>
                <w:szCs w:val="18"/>
              </w:rPr>
              <w:t>巨额赎回的认定</w:t>
            </w:r>
          </w:p>
        </w:tc>
        <w:tc>
          <w:tcPr>
            <w:tcW w:w="7816" w:type="dxa"/>
            <w:shd w:val="solid" w:color="FFFFFF" w:fill="FFFFFF"/>
          </w:tcPr>
          <w:p w:rsidR="00360CB9" w:rsidRDefault="00712C96">
            <w:pPr>
              <w:pStyle w:val="Default"/>
              <w:spacing w:line="360" w:lineRule="auto"/>
              <w:rPr>
                <w:rFonts w:asciiTheme="minorEastAsia" w:eastAsiaTheme="minorEastAsia" w:hAnsiTheme="minorEastAsia"/>
                <w:color w:val="auto"/>
                <w:kern w:val="2"/>
                <w:sz w:val="18"/>
                <w:szCs w:val="18"/>
              </w:rPr>
            </w:pPr>
            <w:r>
              <w:rPr>
                <w:rFonts w:asciiTheme="minorEastAsia" w:hAnsiTheme="minorEastAsia" w:hint="eastAsia"/>
                <w:bCs/>
                <w:sz w:val="18"/>
                <w:szCs w:val="18"/>
              </w:rPr>
              <w:t>单个开放日中</w:t>
            </w:r>
            <w:r>
              <w:rPr>
                <w:rFonts w:asciiTheme="majorEastAsia" w:eastAsiaTheme="majorEastAsia" w:hAnsiTheme="majorEastAsia" w:hint="eastAsia"/>
                <w:bCs/>
                <w:sz w:val="18"/>
                <w:szCs w:val="18"/>
              </w:rPr>
              <w:t>，本产品的累计产品份额净赎回申请（赎回申请总份额扣除申购总份额后的余额</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下同）之和达到上一日产品总份额的1</w:t>
            </w:r>
            <w:r>
              <w:rPr>
                <w:rFonts w:asciiTheme="majorEastAsia" w:eastAsiaTheme="majorEastAsia" w:hAnsiTheme="majorEastAsia"/>
                <w:bCs/>
                <w:sz w:val="18"/>
                <w:szCs w:val="18"/>
              </w:rPr>
              <w:t>0%</w:t>
            </w:r>
            <w:r>
              <w:rPr>
                <w:rFonts w:asciiTheme="majorEastAsia" w:eastAsiaTheme="majorEastAsia" w:hAnsiTheme="majorEastAsia" w:hint="eastAsia"/>
                <w:bCs/>
                <w:sz w:val="18"/>
                <w:szCs w:val="18"/>
              </w:rPr>
              <w:t>，为巨额赎回。</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份额发售面值</w:t>
            </w:r>
          </w:p>
        </w:tc>
        <w:tc>
          <w:tcPr>
            <w:tcW w:w="7816" w:type="dxa"/>
            <w:shd w:val="solid" w:color="FFFFFF" w:fill="FFFFFF"/>
            <w:vAlign w:val="center"/>
          </w:tcPr>
          <w:p w:rsidR="00360CB9" w:rsidRDefault="00712C96">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816" w:type="dxa"/>
            <w:shd w:val="solid" w:color="FFFFFF" w:fill="FFFFFF"/>
            <w:vAlign w:val="center"/>
          </w:tcPr>
          <w:p w:rsidR="00360CB9" w:rsidRDefault="00712C96">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sz w:val="18"/>
                <w:szCs w:val="18"/>
              </w:rPr>
              <w:t>.</w:t>
            </w:r>
            <w:r>
              <w:rPr>
                <w:rFonts w:asciiTheme="minorEastAsia" w:hAnsiTheme="minorEastAsia" w:hint="eastAsia"/>
                <w:bCs/>
                <w:sz w:val="18"/>
                <w:szCs w:val="18"/>
              </w:rPr>
              <w:t>理财产品份额净值</w:t>
            </w:r>
            <w:r>
              <w:rPr>
                <w:rFonts w:asciiTheme="minorEastAsia" w:hAnsiTheme="minorEastAsia"/>
                <w:bCs/>
                <w:sz w:val="18"/>
                <w:szCs w:val="18"/>
              </w:rPr>
              <w:t>为提取</w:t>
            </w:r>
            <w:r>
              <w:rPr>
                <w:rFonts w:asciiTheme="minorEastAsia" w:hAnsiTheme="minorEastAsia" w:hint="eastAsia"/>
                <w:bCs/>
                <w:sz w:val="18"/>
                <w:szCs w:val="18"/>
              </w:rPr>
              <w:t>理财产品</w:t>
            </w:r>
            <w:r>
              <w:rPr>
                <w:rFonts w:asciiTheme="minorEastAsia" w:hAnsiTheme="minorEastAsia"/>
                <w:bCs/>
                <w:sz w:val="18"/>
                <w:szCs w:val="18"/>
              </w:rPr>
              <w:t>费用后的理财产品份额净值，</w:t>
            </w:r>
            <w:r>
              <w:rPr>
                <w:rFonts w:asciiTheme="minorEastAsia" w:hAnsiTheme="minorEastAsia" w:hint="eastAsia"/>
                <w:bCs/>
                <w:sz w:val="18"/>
                <w:szCs w:val="18"/>
              </w:rPr>
              <w:t>投资者</w:t>
            </w:r>
            <w:r>
              <w:rPr>
                <w:rFonts w:asciiTheme="minorEastAsia" w:hAnsiTheme="minorEastAsia"/>
                <w:bCs/>
                <w:sz w:val="18"/>
                <w:szCs w:val="18"/>
              </w:rPr>
              <w:t>按该</w:t>
            </w:r>
            <w:r>
              <w:rPr>
                <w:rFonts w:asciiTheme="minorEastAsia" w:hAnsiTheme="minorEastAsia" w:hint="eastAsia"/>
                <w:bCs/>
                <w:sz w:val="18"/>
                <w:szCs w:val="18"/>
              </w:rPr>
              <w:t>理财产品份额净值</w:t>
            </w:r>
            <w:r>
              <w:rPr>
                <w:rFonts w:asciiTheme="minorEastAsia" w:hAnsiTheme="minorEastAsia"/>
                <w:bCs/>
                <w:sz w:val="18"/>
                <w:szCs w:val="18"/>
              </w:rPr>
              <w:t>进行赎回和提前终止分配。</w:t>
            </w:r>
          </w:p>
          <w:p w:rsidR="00360CB9" w:rsidRDefault="00712C96">
            <w:pPr>
              <w:spacing w:line="360" w:lineRule="auto"/>
              <w:jc w:val="left"/>
              <w:rPr>
                <w:rFonts w:asciiTheme="minorEastAsia" w:hAnsiTheme="minorEastAsia" w:cs="Times New Roman"/>
                <w:sz w:val="18"/>
                <w:szCs w:val="18"/>
              </w:rPr>
            </w:pPr>
            <w:r>
              <w:rPr>
                <w:rFonts w:asciiTheme="minorEastAsia" w:hAnsiTheme="minorEastAsia"/>
                <w:bCs/>
                <w:sz w:val="18"/>
                <w:szCs w:val="18"/>
              </w:rPr>
              <w:t>2</w:t>
            </w:r>
            <w:r>
              <w:rPr>
                <w:rFonts w:asciiTheme="minorEastAsia" w:hAnsiTheme="minorEastAsia"/>
                <w:sz w:val="18"/>
                <w:szCs w:val="18"/>
              </w:rPr>
              <w:t>.</w:t>
            </w:r>
            <w:r>
              <w:rPr>
                <w:rFonts w:asciiTheme="minorEastAsia" w:hAnsiTheme="minorEastAsia"/>
                <w:bCs/>
                <w:sz w:val="18"/>
                <w:szCs w:val="18"/>
              </w:rPr>
              <w:t>本产品采用1.00</w:t>
            </w:r>
            <w:r>
              <w:rPr>
                <w:rFonts w:asciiTheme="minorEastAsia" w:hAnsiTheme="minorEastAsia" w:hint="eastAsia"/>
                <w:bCs/>
                <w:sz w:val="18"/>
                <w:szCs w:val="18"/>
              </w:rPr>
              <w:t>元固定理财产品份额净值交易方式，自产品成立日起每日将实现的产品净收益以分红形式（或净损失）分配给理财产品投资者，并将该部分收益以份额形式按日结转到投资者理财账户，参与下一日产品收益分配，使理财产品份额净值始终保持</w:t>
            </w:r>
            <w:r>
              <w:rPr>
                <w:rFonts w:asciiTheme="minorEastAsia" w:hAnsiTheme="minorEastAsia"/>
                <w:bCs/>
                <w:sz w:val="18"/>
                <w:szCs w:val="18"/>
              </w:rPr>
              <w:t>1.00</w:t>
            </w:r>
            <w:r>
              <w:rPr>
                <w:rFonts w:asciiTheme="minorEastAsia" w:hAnsiTheme="minorEastAsia" w:hint="eastAsia"/>
                <w:bCs/>
                <w:sz w:val="18"/>
                <w:szCs w:val="18"/>
              </w:rPr>
              <w:t>元。</w:t>
            </w:r>
          </w:p>
        </w:tc>
      </w:tr>
      <w:tr w:rsidR="00360CB9">
        <w:trPr>
          <w:trHeight w:val="275"/>
          <w:jc w:val="center"/>
        </w:trPr>
        <w:tc>
          <w:tcPr>
            <w:tcW w:w="1828" w:type="dxa"/>
            <w:shd w:val="solid" w:color="FFFFFF" w:fill="FFFFFF"/>
          </w:tcPr>
          <w:p w:rsidR="00360CB9" w:rsidRDefault="00712C96">
            <w:pPr>
              <w:spacing w:line="360" w:lineRule="auto"/>
              <w:jc w:val="left"/>
              <w:rPr>
                <w:rFonts w:ascii="宋体" w:hAnsi="宋体"/>
                <w:b/>
                <w:bCs/>
                <w:kern w:val="0"/>
                <w:sz w:val="18"/>
                <w:szCs w:val="18"/>
              </w:rPr>
            </w:pPr>
            <w:r>
              <w:rPr>
                <w:rFonts w:hAnsi="宋体" w:hint="eastAsia"/>
                <w:sz w:val="18"/>
                <w:szCs w:val="18"/>
              </w:rPr>
              <w:t>★</w:t>
            </w:r>
            <w:r>
              <w:rPr>
                <w:rFonts w:asciiTheme="minorEastAsia" w:hAnsiTheme="minorEastAsia" w:hint="eastAsia"/>
                <w:b/>
                <w:sz w:val="18"/>
                <w:szCs w:val="18"/>
              </w:rPr>
              <w:t>每万份理财产品已实现收益</w:t>
            </w:r>
          </w:p>
        </w:tc>
        <w:tc>
          <w:tcPr>
            <w:tcW w:w="7816" w:type="dxa"/>
            <w:shd w:val="solid" w:color="FFFFFF" w:fill="FFFFFF"/>
          </w:tcPr>
          <w:p w:rsidR="00360CB9" w:rsidRDefault="00712C96">
            <w:pPr>
              <w:autoSpaceDE w:val="0"/>
              <w:autoSpaceDN w:val="0"/>
              <w:adjustRightInd w:val="0"/>
              <w:spacing w:line="360" w:lineRule="auto"/>
              <w:jc w:val="left"/>
              <w:rPr>
                <w:rFonts w:asciiTheme="minorEastAsia" w:hAnsiTheme="minorEastAsia"/>
                <w:sz w:val="18"/>
                <w:szCs w:val="18"/>
              </w:rPr>
            </w:pPr>
            <w:r>
              <w:rPr>
                <w:rFonts w:asciiTheme="minorEastAsia" w:hAnsiTheme="minorEastAsia"/>
                <w:sz w:val="18"/>
                <w:szCs w:val="18"/>
              </w:rPr>
              <w:t>1.每万份理财产品已实现收益</w:t>
            </w:r>
            <w:r>
              <w:rPr>
                <w:rFonts w:asciiTheme="minorEastAsia" w:hAnsiTheme="minorEastAsia" w:hint="eastAsia"/>
                <w:bCs/>
                <w:sz w:val="18"/>
                <w:szCs w:val="18"/>
              </w:rPr>
              <w:t>＝</w:t>
            </w:r>
            <w:r>
              <w:rPr>
                <w:rFonts w:asciiTheme="minorEastAsia" w:hAnsiTheme="minorEastAsia" w:hint="eastAsia"/>
                <w:sz w:val="18"/>
                <w:szCs w:val="18"/>
              </w:rPr>
              <w:t>当日理财产品份额已实现收益÷当日理财产品份额×</w:t>
            </w:r>
            <w:r>
              <w:rPr>
                <w:rFonts w:asciiTheme="minorEastAsia" w:hAnsiTheme="minorEastAsia"/>
                <w:sz w:val="18"/>
                <w:szCs w:val="18"/>
              </w:rPr>
              <w:t>10000</w:t>
            </w:r>
            <w:r>
              <w:rPr>
                <w:rFonts w:asciiTheme="minorEastAsia" w:hAnsiTheme="minorEastAsia" w:hint="eastAsia"/>
                <w:sz w:val="18"/>
                <w:szCs w:val="18"/>
              </w:rPr>
              <w:t>。</w:t>
            </w:r>
          </w:p>
          <w:p w:rsidR="00360CB9" w:rsidRDefault="00712C96">
            <w:pPr>
              <w:spacing w:line="360" w:lineRule="auto"/>
              <w:jc w:val="left"/>
              <w:rPr>
                <w:rFonts w:asciiTheme="majorEastAsia" w:eastAsiaTheme="majorEastAsia" w:hAnsiTheme="majorEastAsia"/>
                <w:bCs/>
                <w:sz w:val="18"/>
                <w:szCs w:val="18"/>
              </w:rPr>
            </w:pPr>
            <w:r>
              <w:rPr>
                <w:rFonts w:asciiTheme="minorEastAsia" w:hAnsiTheme="minorEastAsia"/>
                <w:sz w:val="18"/>
                <w:szCs w:val="18"/>
              </w:rPr>
              <w:t>2.</w:t>
            </w:r>
            <w:r>
              <w:rPr>
                <w:rFonts w:asciiTheme="minorEastAsia" w:hAnsiTheme="minorEastAsia" w:hint="eastAsia"/>
                <w:kern w:val="0"/>
                <w:sz w:val="18"/>
                <w:szCs w:val="18"/>
              </w:rPr>
              <w:t>每万份理财产品已实现收益是</w:t>
            </w:r>
            <w:r>
              <w:rPr>
                <w:rFonts w:asciiTheme="minorEastAsia" w:hAnsiTheme="minorEastAsia" w:hint="eastAsia"/>
                <w:sz w:val="18"/>
                <w:szCs w:val="18"/>
              </w:rPr>
              <w:t>每万份理财份额的日</w:t>
            </w:r>
            <w:r>
              <w:rPr>
                <w:rFonts w:asciiTheme="minorEastAsia" w:hAnsiTheme="minorEastAsia"/>
                <w:sz w:val="18"/>
                <w:szCs w:val="18"/>
              </w:rPr>
              <w:t>已实现收益</w:t>
            </w:r>
            <w:r>
              <w:rPr>
                <w:rFonts w:asciiTheme="minorEastAsia" w:hAnsiTheme="minorEastAsia" w:hint="eastAsia"/>
                <w:sz w:val="18"/>
                <w:szCs w:val="18"/>
              </w:rPr>
              <w:t>，精确至小数点后第</w:t>
            </w:r>
            <w:r>
              <w:rPr>
                <w:rFonts w:asciiTheme="minorEastAsia" w:hAnsiTheme="minorEastAsia"/>
                <w:sz w:val="18"/>
                <w:szCs w:val="18"/>
              </w:rPr>
              <w:t>4位，小数点后第5</w:t>
            </w:r>
            <w:r>
              <w:rPr>
                <w:rFonts w:asciiTheme="minorEastAsia" w:hAnsiTheme="minorEastAsia" w:hint="eastAsia"/>
                <w:sz w:val="18"/>
                <w:szCs w:val="18"/>
              </w:rPr>
              <w:t>位按去尾原则处理。</w:t>
            </w:r>
          </w:p>
        </w:tc>
      </w:tr>
      <w:tr w:rsidR="00360CB9">
        <w:trPr>
          <w:trHeight w:val="275"/>
          <w:jc w:val="center"/>
        </w:trPr>
        <w:tc>
          <w:tcPr>
            <w:tcW w:w="1828" w:type="dxa"/>
            <w:shd w:val="solid" w:color="FFFFFF" w:fill="FFFFFF"/>
          </w:tcPr>
          <w:p w:rsidR="00360CB9" w:rsidRDefault="00712C96">
            <w:pPr>
              <w:spacing w:line="360" w:lineRule="auto"/>
              <w:jc w:val="left"/>
              <w:rPr>
                <w:rFonts w:ascii="宋体" w:hAnsi="宋体"/>
                <w:b/>
                <w:bCs/>
                <w:kern w:val="0"/>
                <w:sz w:val="18"/>
                <w:szCs w:val="18"/>
              </w:rPr>
            </w:pPr>
            <w:r>
              <w:rPr>
                <w:rFonts w:hAnsi="宋体" w:hint="eastAsia"/>
                <w:sz w:val="18"/>
                <w:szCs w:val="18"/>
              </w:rPr>
              <w:t>★</w:t>
            </w:r>
            <w:r>
              <w:rPr>
                <w:rFonts w:asciiTheme="minorEastAsia" w:hAnsiTheme="minorEastAsia"/>
                <w:b/>
                <w:bCs/>
                <w:sz w:val="18"/>
                <w:szCs w:val="18"/>
              </w:rPr>
              <w:t>7日</w:t>
            </w:r>
            <w:r>
              <w:rPr>
                <w:rFonts w:asciiTheme="minorEastAsia" w:hAnsiTheme="minorEastAsia" w:hint="eastAsia"/>
                <w:b/>
                <w:bCs/>
                <w:sz w:val="18"/>
                <w:szCs w:val="18"/>
              </w:rPr>
              <w:t>年化收益率</w:t>
            </w:r>
          </w:p>
        </w:tc>
        <w:tc>
          <w:tcPr>
            <w:tcW w:w="7816" w:type="dxa"/>
            <w:shd w:val="solid" w:color="FFFFFF" w:fill="FFFFFF"/>
          </w:tcPr>
          <w:p w:rsidR="00360CB9" w:rsidRDefault="00712C96">
            <w:pPr>
              <w:autoSpaceDE w:val="0"/>
              <w:autoSpaceDN w:val="0"/>
              <w:adjustRightInd w:val="0"/>
              <w:spacing w:line="360" w:lineRule="auto"/>
              <w:jc w:val="left"/>
              <w:rPr>
                <w:rFonts w:asciiTheme="minorEastAsia" w:hAnsiTheme="minorEastAsia"/>
                <w:sz w:val="18"/>
                <w:szCs w:val="18"/>
              </w:rPr>
            </w:pPr>
            <w:r>
              <w:rPr>
                <w:rFonts w:asciiTheme="minorEastAsia" w:hAnsiTheme="minorEastAsia" w:hint="eastAsia"/>
                <w:sz w:val="18"/>
                <w:szCs w:val="18"/>
              </w:rPr>
              <w:t>指以本产品最近七日（含节假日）收益率所折算的产品年化收益率。产品成立不满七日时以实际日收益率折算年收益率。</w:t>
            </w:r>
          </w:p>
          <w:p w:rsidR="00360CB9" w:rsidRDefault="00712C96">
            <w:pPr>
              <w:adjustRightInd w:val="0"/>
              <w:snapToGrid w:val="0"/>
              <w:spacing w:line="360" w:lineRule="auto"/>
              <w:rPr>
                <w:rFonts w:asciiTheme="minorEastAsia" w:hAnsiTheme="minorEastAsia"/>
                <w:sz w:val="18"/>
                <w:szCs w:val="18"/>
              </w:rPr>
            </w:pPr>
            <w:r>
              <w:rPr>
                <w:rFonts w:asciiTheme="minorEastAsia" w:hAnsiTheme="minorEastAsia"/>
                <w:sz w:val="18"/>
                <w:szCs w:val="18"/>
              </w:rPr>
              <w:t>7日年化收益率</w:t>
            </w:r>
            <w:r>
              <w:rPr>
                <w:rFonts w:asciiTheme="minorEastAsia" w:hAnsiTheme="minorEastAsia" w:hint="eastAsia"/>
                <w:sz w:val="18"/>
                <w:szCs w:val="18"/>
              </w:rPr>
              <w:t>（</w:t>
            </w:r>
            <w:r>
              <w:rPr>
                <w:rFonts w:asciiTheme="minorEastAsia" w:hAnsiTheme="minorEastAsia"/>
                <w:sz w:val="18"/>
                <w:szCs w:val="18"/>
              </w:rPr>
              <w:t>%）</w:t>
            </w:r>
            <w:r>
              <w:rPr>
                <w:rFonts w:asciiTheme="minorEastAsia" w:hAnsiTheme="minorEastAsia" w:hint="eastAsia"/>
                <w:bCs/>
                <w:sz w:val="18"/>
                <w:szCs w:val="18"/>
              </w:rPr>
              <w:t>＝</w:t>
            </w:r>
            <w:r>
              <w:rPr>
                <w:rFonts w:asciiTheme="minorEastAsia" w:hAnsiTheme="minorEastAsia"/>
                <w:sz w:val="18"/>
                <w:szCs w:val="18"/>
              </w:rPr>
              <w:object w:dxaOrig="2445"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8.5pt" o:ole="">
                  <v:imagedata r:id="rId29" o:title=""/>
                </v:shape>
                <o:OLEObject Type="Embed" ProgID="Equation.DSMT4" ShapeID="_x0000_i1025" DrawAspect="Content" ObjectID="_1739710092" r:id="rId30"/>
              </w:object>
            </w:r>
          </w:p>
          <w:p w:rsidR="00360CB9" w:rsidRDefault="00712C96">
            <w:pPr>
              <w:adjustRightInd w:val="0"/>
              <w:snapToGrid w:val="0"/>
              <w:spacing w:line="360" w:lineRule="auto"/>
              <w:rPr>
                <w:rFonts w:asciiTheme="minorEastAsia" w:hAnsiTheme="minorEastAsia"/>
                <w:sz w:val="18"/>
                <w:szCs w:val="18"/>
              </w:rPr>
            </w:pPr>
            <w:r>
              <w:rPr>
                <w:rFonts w:asciiTheme="minorEastAsia" w:hAnsiTheme="minorEastAsia" w:hint="eastAsia"/>
                <w:sz w:val="18"/>
                <w:szCs w:val="18"/>
              </w:rPr>
              <w:t>其中，</w:t>
            </w:r>
            <w:r>
              <w:rPr>
                <w:rFonts w:asciiTheme="minorEastAsia" w:hAnsiTheme="minorEastAsia"/>
                <w:sz w:val="18"/>
                <w:szCs w:val="18"/>
              </w:rPr>
              <w:t>Ri</w:t>
            </w:r>
            <w:r>
              <w:rPr>
                <w:rFonts w:asciiTheme="minorEastAsia" w:hAnsiTheme="minorEastAsia" w:hint="eastAsia"/>
                <w:sz w:val="18"/>
                <w:szCs w:val="18"/>
              </w:rPr>
              <w:t>为最近第</w:t>
            </w:r>
            <w:r>
              <w:rPr>
                <w:rFonts w:asciiTheme="minorEastAsia" w:hAnsiTheme="minorEastAsia"/>
                <w:sz w:val="18"/>
                <w:szCs w:val="18"/>
              </w:rPr>
              <w:t>i</w:t>
            </w:r>
            <w:r>
              <w:rPr>
                <w:rFonts w:asciiTheme="minorEastAsia" w:hAnsiTheme="minorEastAsia" w:hint="eastAsia"/>
                <w:sz w:val="18"/>
                <w:szCs w:val="18"/>
              </w:rPr>
              <w:t>个自然日</w:t>
            </w:r>
            <w:r>
              <w:rPr>
                <w:rFonts w:asciiTheme="minorEastAsia" w:hAnsiTheme="minorEastAsia"/>
                <w:sz w:val="18"/>
                <w:szCs w:val="18"/>
              </w:rPr>
              <w:t>(</w:t>
            </w:r>
            <w:r>
              <w:rPr>
                <w:rFonts w:asciiTheme="minorEastAsia" w:hAnsiTheme="minorEastAsia" w:hint="eastAsia"/>
                <w:sz w:val="18"/>
                <w:szCs w:val="18"/>
              </w:rPr>
              <w:t>包括计算当日</w:t>
            </w:r>
            <w:r>
              <w:rPr>
                <w:rFonts w:asciiTheme="minorEastAsia" w:hAnsiTheme="minorEastAsia"/>
                <w:sz w:val="18"/>
                <w:szCs w:val="18"/>
              </w:rPr>
              <w:t>)</w:t>
            </w:r>
            <w:r>
              <w:rPr>
                <w:rFonts w:asciiTheme="minorEastAsia" w:hAnsiTheme="minorEastAsia" w:hint="eastAsia"/>
                <w:sz w:val="18"/>
                <w:szCs w:val="18"/>
              </w:rPr>
              <w:t>的每万份理财产品已实现收益。</w:t>
            </w:r>
          </w:p>
          <w:p w:rsidR="00360CB9" w:rsidRDefault="00712C96">
            <w:pPr>
              <w:spacing w:line="360" w:lineRule="auto"/>
              <w:jc w:val="left"/>
              <w:rPr>
                <w:rFonts w:asciiTheme="majorEastAsia" w:eastAsiaTheme="majorEastAsia" w:hAnsiTheme="majorEastAsia"/>
                <w:bCs/>
                <w:sz w:val="18"/>
                <w:szCs w:val="18"/>
              </w:rPr>
            </w:pPr>
            <w:r>
              <w:rPr>
                <w:rFonts w:asciiTheme="minorEastAsia" w:hAnsiTheme="minorEastAsia"/>
                <w:sz w:val="18"/>
                <w:szCs w:val="18"/>
              </w:rPr>
              <w:t>7日年化收益率</w:t>
            </w:r>
            <w:r>
              <w:rPr>
                <w:rFonts w:asciiTheme="minorEastAsia" w:hAnsiTheme="minorEastAsia" w:hint="eastAsia"/>
                <w:sz w:val="18"/>
                <w:szCs w:val="18"/>
              </w:rPr>
              <w:t>采用四舍五入保留至百分号内小数点后第</w:t>
            </w:r>
            <w:r>
              <w:rPr>
                <w:rFonts w:asciiTheme="minorEastAsia" w:hAnsiTheme="minorEastAsia"/>
                <w:sz w:val="18"/>
                <w:szCs w:val="18"/>
              </w:rPr>
              <w:t>2位。</w:t>
            </w:r>
          </w:p>
        </w:tc>
      </w:tr>
      <w:tr w:rsidR="00360CB9">
        <w:trPr>
          <w:trHeight w:val="1078"/>
          <w:jc w:val="center"/>
        </w:trPr>
        <w:tc>
          <w:tcPr>
            <w:tcW w:w="1828" w:type="dxa"/>
            <w:shd w:val="solid" w:color="FFFFFF" w:fill="FFFFFF"/>
            <w:vAlign w:val="center"/>
          </w:tcPr>
          <w:p w:rsidR="00360CB9" w:rsidRDefault="00712C96">
            <w:pPr>
              <w:spacing w:line="360" w:lineRule="auto"/>
              <w:jc w:val="left"/>
              <w:rPr>
                <w:rFonts w:asciiTheme="majorEastAsia" w:eastAsiaTheme="majorEastAsia" w:hAnsiTheme="majorEastAsia"/>
                <w:b/>
                <w:sz w:val="18"/>
                <w:szCs w:val="18"/>
              </w:rPr>
            </w:pPr>
            <w:r>
              <w:rPr>
                <w:rFonts w:hint="eastAsia"/>
                <w:sz w:val="18"/>
                <w:szCs w:val="18"/>
              </w:rPr>
              <w:lastRenderedPageBreak/>
              <w:t>★</w:t>
            </w:r>
            <w:r>
              <w:rPr>
                <w:rFonts w:asciiTheme="majorEastAsia" w:eastAsiaTheme="majorEastAsia" w:hAnsiTheme="majorEastAsia" w:hint="eastAsia"/>
                <w:b/>
                <w:bCs/>
                <w:sz w:val="18"/>
                <w:szCs w:val="18"/>
              </w:rPr>
              <w:t>业绩比较基准</w:t>
            </w:r>
          </w:p>
        </w:tc>
        <w:tc>
          <w:tcPr>
            <w:tcW w:w="7816" w:type="dxa"/>
            <w:shd w:val="solid" w:color="FFFFFF" w:fill="FFFFFF"/>
            <w:vAlign w:val="center"/>
          </w:tcPr>
          <w:p w:rsidR="00360CB9" w:rsidRDefault="00712C96">
            <w:pPr>
              <w:spacing w:line="360" w:lineRule="auto"/>
              <w:jc w:val="left"/>
              <w:rPr>
                <w:rFonts w:asciiTheme="majorEastAsia" w:eastAsiaTheme="majorEastAsia" w:hAnsiTheme="majorEastAsia"/>
                <w:bCs/>
                <w:sz w:val="18"/>
                <w:szCs w:val="18"/>
              </w:rPr>
            </w:pPr>
            <w:r>
              <w:rPr>
                <w:rFonts w:ascii="宋体" w:hAnsi="宋体" w:hint="eastAsia"/>
                <w:b/>
                <w:bCs/>
                <w:sz w:val="18"/>
                <w:szCs w:val="18"/>
              </w:rPr>
              <w:t>1.业绩</w:t>
            </w:r>
            <w:r>
              <w:rPr>
                <w:rFonts w:ascii="宋体" w:hAnsi="宋体"/>
                <w:b/>
                <w:bCs/>
                <w:sz w:val="18"/>
                <w:szCs w:val="18"/>
              </w:rPr>
              <w:t>比较基准的说明：</w:t>
            </w:r>
            <w:r>
              <w:rPr>
                <w:rFonts w:ascii="宋体" w:hAnsi="宋体" w:hint="eastAsia"/>
                <w:bCs/>
                <w:sz w:val="18"/>
                <w:szCs w:val="18"/>
              </w:rPr>
              <w:t>本产品主要投资于货币市场工具，根据货币市场工具当前以及未来一段时期的收益率水平预测，设定业绩比较基准</w:t>
            </w:r>
            <w:r>
              <w:rPr>
                <w:rFonts w:asciiTheme="majorEastAsia" w:eastAsiaTheme="majorEastAsia" w:hAnsiTheme="majorEastAsia" w:hint="eastAsia"/>
                <w:bCs/>
                <w:sz w:val="18"/>
                <w:szCs w:val="18"/>
              </w:rPr>
              <w:t>。</w:t>
            </w:r>
          </w:p>
          <w:p w:rsidR="00360CB9" w:rsidRDefault="00712C96">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w:t>
            </w:r>
            <w:r>
              <w:rPr>
                <w:rFonts w:asciiTheme="majorEastAsia" w:eastAsiaTheme="majorEastAsia" w:hAnsiTheme="majorEastAsia" w:hint="eastAsia"/>
                <w:b/>
                <w:bCs/>
                <w:sz w:val="18"/>
                <w:szCs w:val="18"/>
              </w:rPr>
              <w:t>业绩比较</w:t>
            </w:r>
            <w:r>
              <w:rPr>
                <w:rFonts w:asciiTheme="majorEastAsia" w:eastAsiaTheme="majorEastAsia" w:hAnsiTheme="majorEastAsia"/>
                <w:b/>
                <w:bCs/>
                <w:sz w:val="18"/>
                <w:szCs w:val="18"/>
              </w:rPr>
              <w:t>基准的设定：</w:t>
            </w:r>
            <w:r>
              <w:rPr>
                <w:rFonts w:asciiTheme="majorEastAsia" w:eastAsiaTheme="majorEastAsia" w:hAnsiTheme="majorEastAsia" w:hint="eastAsia"/>
                <w:bCs/>
                <w:sz w:val="18"/>
                <w:szCs w:val="18"/>
              </w:rPr>
              <w:t>管理人对</w:t>
            </w:r>
            <w:r>
              <w:rPr>
                <w:rFonts w:asciiTheme="majorEastAsia" w:eastAsiaTheme="majorEastAsia" w:hAnsiTheme="majorEastAsia"/>
                <w:bCs/>
                <w:sz w:val="18"/>
                <w:szCs w:val="18"/>
              </w:rPr>
              <w:t>本产品设定</w:t>
            </w:r>
            <w:r>
              <w:rPr>
                <w:rFonts w:asciiTheme="majorEastAsia" w:eastAsiaTheme="majorEastAsia" w:hAnsiTheme="majorEastAsia" w:hint="eastAsia"/>
                <w:bCs/>
                <w:sz w:val="18"/>
                <w:szCs w:val="18"/>
              </w:rPr>
              <w:t>业绩比较基准：</w:t>
            </w:r>
            <w:r>
              <w:rPr>
                <w:rFonts w:ascii="宋体" w:hAnsi="宋体" w:hint="eastAsia"/>
                <w:b/>
                <w:bCs/>
                <w:sz w:val="18"/>
                <w:szCs w:val="18"/>
              </w:rPr>
              <w:t>【</w:t>
            </w:r>
            <w:r>
              <w:rPr>
                <w:rFonts w:asciiTheme="minorEastAsia" w:hAnsiTheme="minorEastAsia" w:hint="eastAsia"/>
                <w:sz w:val="18"/>
                <w:szCs w:val="18"/>
              </w:rPr>
              <w:t>人民银行</w:t>
            </w:r>
            <w:r>
              <w:rPr>
                <w:rFonts w:asciiTheme="minorEastAsia" w:hAnsiTheme="minorEastAsia"/>
                <w:sz w:val="18"/>
                <w:szCs w:val="18"/>
              </w:rPr>
              <w:t>7天通知存款利率</w:t>
            </w:r>
            <w:r>
              <w:rPr>
                <w:rFonts w:ascii="宋体" w:hAnsi="宋体"/>
                <w:b/>
                <w:bCs/>
                <w:sz w:val="18"/>
                <w:szCs w:val="18"/>
              </w:rPr>
              <w:t>】</w:t>
            </w:r>
            <w:r>
              <w:rPr>
                <w:rFonts w:ascii="宋体" w:hAnsi="宋体" w:hint="eastAsia"/>
                <w:b/>
                <w:bCs/>
                <w:sz w:val="18"/>
                <w:szCs w:val="18"/>
              </w:rPr>
              <w:t>。</w:t>
            </w:r>
            <w:r>
              <w:rPr>
                <w:rFonts w:hAnsi="宋体" w:hint="eastAsia"/>
                <w:sz w:val="18"/>
                <w:szCs w:val="18"/>
              </w:rPr>
              <w:t>（适用【</w:t>
            </w:r>
            <w:r>
              <w:rPr>
                <w:rFonts w:hAnsi="宋体" w:hint="eastAsia"/>
                <w:sz w:val="18"/>
                <w:szCs w:val="18"/>
              </w:rPr>
              <w:t>C</w:t>
            </w:r>
            <w:r>
              <w:rPr>
                <w:rFonts w:hAnsi="宋体" w:hint="eastAsia"/>
                <w:sz w:val="18"/>
                <w:szCs w:val="18"/>
              </w:rPr>
              <w:t>】类份额）</w:t>
            </w:r>
          </w:p>
          <w:p w:rsidR="00360CB9" w:rsidRDefault="00712C96">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3.业绩</w:t>
            </w:r>
            <w:r>
              <w:rPr>
                <w:rFonts w:asciiTheme="majorEastAsia" w:eastAsiaTheme="majorEastAsia" w:hAnsiTheme="majorEastAsia"/>
                <w:b/>
                <w:bCs/>
                <w:sz w:val="18"/>
                <w:szCs w:val="18"/>
              </w:rPr>
              <w:t>比较基准的提示：</w:t>
            </w:r>
          </w:p>
          <w:p w:rsidR="00360CB9" w:rsidRDefault="00712C96">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（1）业绩比较基准不代表理财产品未来表现，不等于理财产品实际收益，不作为产品收益的业绩保证，投资须谨慎。</w:t>
            </w:r>
          </w:p>
          <w:p w:rsidR="00360CB9" w:rsidRDefault="00712C96">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360CB9">
        <w:trPr>
          <w:trHeight w:val="1078"/>
          <w:jc w:val="center"/>
        </w:trPr>
        <w:tc>
          <w:tcPr>
            <w:tcW w:w="1828" w:type="dxa"/>
            <w:shd w:val="solid" w:color="FFFFFF" w:fill="FFFFFF"/>
            <w:vAlign w:val="center"/>
          </w:tcPr>
          <w:p w:rsidR="00360CB9" w:rsidRDefault="00712C96">
            <w:pPr>
              <w:spacing w:line="360" w:lineRule="auto"/>
              <w:jc w:val="left"/>
              <w:rPr>
                <w:sz w:val="18"/>
                <w:szCs w:val="18"/>
              </w:rPr>
            </w:pPr>
            <w:r>
              <w:rPr>
                <w:rFonts w:hint="eastAsia"/>
                <w:sz w:val="18"/>
                <w:szCs w:val="18"/>
              </w:rPr>
              <w:t>★</w:t>
            </w:r>
            <w:r>
              <w:rPr>
                <w:rFonts w:hint="eastAsia"/>
                <w:b/>
                <w:sz w:val="18"/>
                <w:szCs w:val="18"/>
              </w:rPr>
              <w:t>业绩报酬计提基准</w:t>
            </w:r>
          </w:p>
        </w:tc>
        <w:tc>
          <w:tcPr>
            <w:tcW w:w="7816" w:type="dxa"/>
            <w:shd w:val="solid" w:color="FFFFFF" w:fill="FFFFFF"/>
            <w:vAlign w:val="center"/>
          </w:tcPr>
          <w:p w:rsidR="00360CB9" w:rsidRDefault="00712C96">
            <w:pPr>
              <w:spacing w:line="360" w:lineRule="auto"/>
              <w:jc w:val="left"/>
              <w:rPr>
                <w:rFonts w:ascii="宋体" w:hAnsi="宋体"/>
                <w:b/>
                <w:bCs/>
                <w:sz w:val="18"/>
                <w:szCs w:val="18"/>
              </w:rPr>
            </w:pPr>
            <w:r>
              <w:rPr>
                <w:rFonts w:ascii="宋体" w:hAnsi="宋体" w:hint="eastAsia"/>
                <w:bCs/>
                <w:sz w:val="18"/>
                <w:szCs w:val="18"/>
              </w:rPr>
              <w:t>本产品不设置业绩报酬计提基准。</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816" w:type="dxa"/>
            <w:shd w:val="solid" w:color="FFFFFF" w:fill="FFFFFF"/>
            <w:vAlign w:val="center"/>
          </w:tcPr>
          <w:p w:rsidR="00360CB9" w:rsidRDefault="00712C96">
            <w:pPr>
              <w:spacing w:line="360" w:lineRule="auto"/>
              <w:rPr>
                <w:rFonts w:hAnsi="宋体"/>
                <w:sz w:val="18"/>
                <w:szCs w:val="18"/>
              </w:rPr>
            </w:pPr>
            <w:r>
              <w:rPr>
                <w:rFonts w:hAnsi="宋体" w:hint="eastAsia"/>
                <w:sz w:val="18"/>
                <w:szCs w:val="18"/>
              </w:rPr>
              <w:t>（适用【</w:t>
            </w:r>
            <w:r>
              <w:rPr>
                <w:rFonts w:hAnsi="宋体" w:hint="eastAsia"/>
                <w:sz w:val="18"/>
                <w:szCs w:val="18"/>
              </w:rPr>
              <w:t>C</w:t>
            </w:r>
            <w:r>
              <w:rPr>
                <w:rFonts w:hAnsi="宋体" w:hint="eastAsia"/>
                <w:sz w:val="18"/>
                <w:szCs w:val="18"/>
              </w:rPr>
              <w:t>】类份额）</w:t>
            </w:r>
          </w:p>
          <w:p w:rsidR="00360CB9" w:rsidRDefault="00712C96">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【0】。</w:t>
            </w:r>
          </w:p>
          <w:p w:rsidR="00360CB9" w:rsidRDefault="00712C96">
            <w:pPr>
              <w:spacing w:line="360" w:lineRule="auto"/>
              <w:rPr>
                <w:rFonts w:ascii="宋体" w:hAnsi="宋体"/>
                <w:bCs/>
                <w:color w:val="000000" w:themeColor="text1"/>
                <w:sz w:val="18"/>
                <w:szCs w:val="18"/>
              </w:rPr>
            </w:pPr>
            <w:r>
              <w:rPr>
                <w:rFonts w:ascii="宋体" w:hAnsi="宋体"/>
                <w:b/>
                <w:bCs/>
                <w:color w:val="000000" w:themeColor="text1"/>
                <w:sz w:val="18"/>
                <w:szCs w:val="18"/>
              </w:rPr>
              <w:t>2.申购费：</w:t>
            </w:r>
            <w:r>
              <w:rPr>
                <w:rFonts w:ascii="宋体" w:hAnsi="宋体" w:hint="eastAsia"/>
                <w:bCs/>
                <w:color w:val="000000" w:themeColor="text1"/>
                <w:sz w:val="18"/>
                <w:szCs w:val="18"/>
              </w:rPr>
              <w:t>【0】</w:t>
            </w:r>
            <w:r>
              <w:rPr>
                <w:rFonts w:ascii="宋体" w:hAnsi="宋体"/>
                <w:bCs/>
                <w:color w:val="000000" w:themeColor="text1"/>
                <w:sz w:val="18"/>
                <w:szCs w:val="18"/>
              </w:rPr>
              <w:t>。</w:t>
            </w:r>
          </w:p>
          <w:p w:rsidR="00360CB9" w:rsidRDefault="00712C96">
            <w:pPr>
              <w:spacing w:line="360" w:lineRule="auto"/>
              <w:rPr>
                <w:rFonts w:ascii="宋体" w:hAnsi="宋体"/>
                <w:b/>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赎回费：</w:t>
            </w:r>
            <w:r>
              <w:rPr>
                <w:rFonts w:ascii="宋体" w:hAnsi="宋体" w:hint="eastAsia"/>
                <w:bCs/>
                <w:color w:val="000000" w:themeColor="text1"/>
                <w:sz w:val="18"/>
                <w:szCs w:val="18"/>
              </w:rPr>
              <w:t>【0】。</w:t>
            </w:r>
          </w:p>
          <w:p w:rsidR="00360CB9" w:rsidRDefault="00712C96">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4</w:t>
            </w:r>
            <w:r>
              <w:rPr>
                <w:rFonts w:ascii="宋体" w:hAnsi="宋体"/>
                <w:b/>
                <w:bCs/>
                <w:color w:val="000000" w:themeColor="text1"/>
                <w:sz w:val="18"/>
                <w:szCs w:val="18"/>
              </w:rPr>
              <w:t>.强制赎回费</w:t>
            </w:r>
            <w:r>
              <w:rPr>
                <w:rFonts w:ascii="宋体" w:hAnsi="宋体" w:hint="eastAsia"/>
                <w:b/>
                <w:bCs/>
                <w:color w:val="000000" w:themeColor="text1"/>
                <w:sz w:val="18"/>
                <w:szCs w:val="18"/>
              </w:rPr>
              <w:t>：</w:t>
            </w:r>
          </w:p>
          <w:p w:rsidR="00360CB9" w:rsidRDefault="00712C96">
            <w:pPr>
              <w:widowControl/>
              <w:spacing w:line="360" w:lineRule="auto"/>
              <w:jc w:val="left"/>
              <w:rPr>
                <w:rFonts w:ascii="宋体" w:hAnsi="宋体"/>
                <w:b/>
                <w:kern w:val="0"/>
                <w:sz w:val="18"/>
                <w:szCs w:val="18"/>
              </w:rPr>
            </w:pPr>
            <w:r>
              <w:rPr>
                <w:rFonts w:ascii="宋体" w:hAnsi="宋体" w:hint="eastAsia"/>
                <w:b/>
                <w:kern w:val="0"/>
                <w:sz w:val="18"/>
                <w:szCs w:val="18"/>
              </w:rPr>
              <w:t>（1）当产品持有的现金、国债、中央银行票据、政策性金融债券以及5个交易日内到期的其他金融工具占产品资产净值的比例合计低于5%且偏离度为负时，产品管理人有权对当日单个投资者申请赎回份额超过产品总份额1%以上的赎回申请征收1%的强制赎回费用，并将上述赎回费用全额计入产品财产。</w:t>
            </w:r>
          </w:p>
          <w:p w:rsidR="00360CB9" w:rsidRDefault="00712C96">
            <w:pPr>
              <w:widowControl/>
              <w:spacing w:line="360" w:lineRule="auto"/>
              <w:jc w:val="left"/>
              <w:rPr>
                <w:rFonts w:ascii="宋体" w:hAnsi="宋体"/>
                <w:b/>
                <w:kern w:val="0"/>
                <w:sz w:val="18"/>
                <w:szCs w:val="18"/>
              </w:rPr>
            </w:pPr>
            <w:r>
              <w:rPr>
                <w:rFonts w:ascii="宋体" w:hAnsi="宋体" w:hint="eastAsia"/>
                <w:b/>
                <w:kern w:val="0"/>
                <w:sz w:val="18"/>
                <w:szCs w:val="18"/>
              </w:rPr>
              <w:t>（</w:t>
            </w:r>
            <w:r>
              <w:rPr>
                <w:rFonts w:ascii="宋体" w:hAnsi="宋体"/>
                <w:b/>
                <w:kern w:val="0"/>
                <w:sz w:val="18"/>
                <w:szCs w:val="18"/>
              </w:rPr>
              <w:t>2</w:t>
            </w:r>
            <w:r>
              <w:rPr>
                <w:rFonts w:ascii="宋体" w:hAnsi="宋体" w:hint="eastAsia"/>
                <w:b/>
                <w:kern w:val="0"/>
                <w:sz w:val="18"/>
                <w:szCs w:val="18"/>
              </w:rPr>
              <w:t>）产品前</w:t>
            </w:r>
            <w:r>
              <w:rPr>
                <w:rFonts w:ascii="宋体" w:hAnsi="宋体"/>
                <w:b/>
                <w:kern w:val="0"/>
                <w:sz w:val="18"/>
                <w:szCs w:val="18"/>
              </w:rPr>
              <w:t>10</w:t>
            </w:r>
            <w:r>
              <w:rPr>
                <w:rFonts w:ascii="宋体" w:hAnsi="宋体" w:hint="eastAsia"/>
                <w:b/>
                <w:kern w:val="0"/>
                <w:sz w:val="18"/>
                <w:szCs w:val="18"/>
              </w:rPr>
              <w:t>名投资者的持有份额合计超过产品总份额</w:t>
            </w:r>
            <w:r>
              <w:rPr>
                <w:rFonts w:ascii="宋体" w:hAnsi="宋体"/>
                <w:b/>
                <w:kern w:val="0"/>
                <w:sz w:val="18"/>
                <w:szCs w:val="18"/>
              </w:rPr>
              <w:t>50%</w:t>
            </w:r>
            <w:r>
              <w:rPr>
                <w:rFonts w:ascii="宋体" w:hAnsi="宋体" w:hint="eastAsia"/>
                <w:b/>
                <w:kern w:val="0"/>
                <w:sz w:val="18"/>
                <w:szCs w:val="18"/>
              </w:rPr>
              <w:t>的，当投资组合中现金、国债、中央银行票据、政策性金融债券以及</w:t>
            </w:r>
            <w:r>
              <w:rPr>
                <w:rFonts w:ascii="宋体" w:hAnsi="宋体"/>
                <w:b/>
                <w:kern w:val="0"/>
                <w:sz w:val="18"/>
                <w:szCs w:val="18"/>
              </w:rPr>
              <w:t>5</w:t>
            </w:r>
            <w:r>
              <w:rPr>
                <w:rFonts w:ascii="宋体" w:hAnsi="宋体" w:hint="eastAsia"/>
                <w:b/>
                <w:kern w:val="0"/>
                <w:sz w:val="18"/>
                <w:szCs w:val="18"/>
              </w:rPr>
              <w:t>个交易日内到期的其他金融工具占该产品资产净值的比例合计低于</w:t>
            </w:r>
            <w:r>
              <w:rPr>
                <w:rFonts w:ascii="宋体" w:hAnsi="宋体"/>
                <w:b/>
                <w:kern w:val="0"/>
                <w:sz w:val="18"/>
                <w:szCs w:val="18"/>
              </w:rPr>
              <w:t>10%</w:t>
            </w:r>
            <w:r>
              <w:rPr>
                <w:rFonts w:ascii="宋体" w:hAnsi="宋体" w:hint="eastAsia"/>
                <w:b/>
                <w:kern w:val="0"/>
                <w:sz w:val="18"/>
                <w:szCs w:val="18"/>
              </w:rPr>
              <w:t>且偏离度为负时，产品管理人有权对投资者超过产品总份额</w:t>
            </w:r>
            <w:r>
              <w:rPr>
                <w:rFonts w:ascii="宋体" w:hAnsi="宋体"/>
                <w:b/>
                <w:kern w:val="0"/>
                <w:sz w:val="18"/>
                <w:szCs w:val="18"/>
              </w:rPr>
              <w:t>1%</w:t>
            </w:r>
            <w:r>
              <w:rPr>
                <w:rFonts w:ascii="宋体" w:hAnsi="宋体" w:hint="eastAsia"/>
                <w:b/>
                <w:kern w:val="0"/>
                <w:sz w:val="18"/>
                <w:szCs w:val="18"/>
              </w:rPr>
              <w:t>以上的赎回申请征收</w:t>
            </w:r>
            <w:r>
              <w:rPr>
                <w:rFonts w:ascii="宋体" w:hAnsi="宋体"/>
                <w:b/>
                <w:kern w:val="0"/>
                <w:sz w:val="18"/>
                <w:szCs w:val="18"/>
              </w:rPr>
              <w:t>1%</w:t>
            </w:r>
            <w:r>
              <w:rPr>
                <w:rFonts w:ascii="宋体" w:hAnsi="宋体" w:hint="eastAsia"/>
                <w:b/>
                <w:kern w:val="0"/>
                <w:sz w:val="18"/>
                <w:szCs w:val="18"/>
              </w:rPr>
              <w:t>的强制赎回费用。</w:t>
            </w:r>
          </w:p>
          <w:p w:rsidR="00360CB9" w:rsidRDefault="00712C96">
            <w:pPr>
              <w:spacing w:line="360" w:lineRule="auto"/>
              <w:rPr>
                <w:rFonts w:ascii="宋体" w:hAnsi="宋体"/>
                <w:bCs/>
                <w:color w:val="000000" w:themeColor="text1"/>
                <w:sz w:val="18"/>
                <w:szCs w:val="18"/>
              </w:rPr>
            </w:pPr>
            <w:r>
              <w:rPr>
                <w:rFonts w:asciiTheme="majorEastAsia" w:eastAsiaTheme="majorEastAsia" w:hAnsiTheme="majorEastAsia"/>
                <w:b/>
                <w:bCs/>
                <w:color w:val="000000" w:themeColor="text1"/>
                <w:sz w:val="18"/>
                <w:szCs w:val="18"/>
              </w:rPr>
              <w:t>5.销售服</w:t>
            </w:r>
            <w:r>
              <w:rPr>
                <w:rFonts w:ascii="宋体" w:hAnsi="宋体" w:hint="eastAsia"/>
                <w:b/>
                <w:bCs/>
                <w:color w:val="000000" w:themeColor="text1"/>
                <w:sz w:val="18"/>
                <w:szCs w:val="18"/>
              </w:rPr>
              <w:t>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【0.30%】</w:t>
            </w:r>
            <w:r>
              <w:rPr>
                <w:rFonts w:ascii="宋体" w:hAnsi="宋体" w:hint="eastAsia"/>
                <w:bCs/>
                <w:color w:val="000000" w:themeColor="text1"/>
                <w:sz w:val="18"/>
                <w:szCs w:val="18"/>
              </w:rPr>
              <w:t>。</w:t>
            </w:r>
          </w:p>
          <w:p w:rsidR="00360CB9" w:rsidRDefault="00712C96">
            <w:pPr>
              <w:spacing w:line="360" w:lineRule="auto"/>
              <w:rPr>
                <w:rFonts w:ascii="宋体" w:hAnsi="宋体"/>
                <w:bCs/>
                <w:color w:val="000000" w:themeColor="text1"/>
                <w:sz w:val="18"/>
                <w:szCs w:val="18"/>
              </w:rPr>
            </w:pPr>
            <w:r>
              <w:rPr>
                <w:rFonts w:ascii="宋体" w:hAnsi="宋体"/>
                <w:b/>
                <w:bCs/>
                <w:color w:val="000000" w:themeColor="text1"/>
                <w:sz w:val="18"/>
                <w:szCs w:val="18"/>
              </w:rPr>
              <w:t>6.</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sidR="00D83542">
              <w:rPr>
                <w:rFonts w:asciiTheme="majorEastAsia" w:eastAsiaTheme="majorEastAsia" w:hAnsiTheme="majorEastAsia"/>
                <w:sz w:val="18"/>
                <w:szCs w:val="18"/>
              </w:rPr>
              <w:t>30</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360CB9" w:rsidRDefault="00712C96">
            <w:pPr>
              <w:spacing w:line="360" w:lineRule="auto"/>
              <w:rPr>
                <w:rFonts w:ascii="宋体" w:hAnsi="宋体"/>
                <w:bCs/>
                <w:color w:val="000000" w:themeColor="text1"/>
                <w:sz w:val="18"/>
                <w:szCs w:val="18"/>
              </w:rPr>
            </w:pPr>
            <w:r>
              <w:rPr>
                <w:rFonts w:ascii="宋体" w:hAnsi="宋体"/>
                <w:b/>
                <w:bCs/>
                <w:color w:val="000000" w:themeColor="text1"/>
                <w:sz w:val="18"/>
                <w:szCs w:val="18"/>
              </w:rPr>
              <w:t>7.</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【0.03%</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360CB9" w:rsidRDefault="00712C96">
            <w:pPr>
              <w:widowControl/>
              <w:spacing w:line="360" w:lineRule="auto"/>
              <w:jc w:val="left"/>
              <w:rPr>
                <w:rFonts w:ascii="宋体" w:hAnsi="宋体"/>
                <w:kern w:val="0"/>
                <w:sz w:val="18"/>
                <w:szCs w:val="18"/>
              </w:rPr>
            </w:pPr>
            <w:r>
              <w:rPr>
                <w:rFonts w:ascii="宋体" w:hAnsi="宋体"/>
                <w:b/>
                <w:bCs/>
                <w:color w:val="000000" w:themeColor="text1"/>
                <w:sz w:val="18"/>
                <w:szCs w:val="18"/>
              </w:rPr>
              <w:t>8.</w:t>
            </w:r>
            <w:r>
              <w:rPr>
                <w:rFonts w:ascii="宋体" w:hAnsi="宋体" w:hint="eastAsia"/>
                <w:b/>
                <w:bCs/>
                <w:color w:val="000000" w:themeColor="text1"/>
                <w:sz w:val="18"/>
                <w:szCs w:val="18"/>
              </w:rPr>
              <w:t>超额业绩报酬：</w:t>
            </w:r>
            <w:r>
              <w:rPr>
                <w:rFonts w:ascii="宋体" w:hAnsi="宋体"/>
                <w:sz w:val="18"/>
                <w:szCs w:val="18"/>
              </w:rPr>
              <w:t>本产品不收取超额业绩报酬</w:t>
            </w:r>
            <w:r>
              <w:rPr>
                <w:rFonts w:ascii="宋体" w:hAnsi="宋体" w:hint="eastAsia"/>
                <w:sz w:val="18"/>
                <w:szCs w:val="18"/>
              </w:rPr>
              <w:t>。</w:t>
            </w:r>
          </w:p>
          <w:p w:rsidR="00360CB9" w:rsidRDefault="00712C96">
            <w:pPr>
              <w:spacing w:line="360" w:lineRule="auto"/>
              <w:rPr>
                <w:rFonts w:ascii="黑体" w:eastAsia="黑体" w:hAnsi="黑体"/>
                <w:bCs/>
                <w:sz w:val="18"/>
                <w:szCs w:val="18"/>
              </w:rPr>
            </w:pPr>
            <w:r>
              <w:rPr>
                <w:rFonts w:ascii="宋体" w:hAnsi="宋体"/>
                <w:bCs/>
                <w:sz w:val="18"/>
                <w:szCs w:val="18"/>
              </w:rPr>
              <w:t>9</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hAnsi="宋体"/>
                <w:sz w:val="18"/>
                <w:szCs w:val="18"/>
              </w:rPr>
            </w:pPr>
            <w:r>
              <w:rPr>
                <w:rFonts w:ascii="宋体" w:hAnsi="宋体" w:hint="eastAsia"/>
                <w:b/>
                <w:bCs/>
                <w:kern w:val="0"/>
                <w:sz w:val="18"/>
                <w:szCs w:val="18"/>
              </w:rPr>
              <w:lastRenderedPageBreak/>
              <w:t>税收</w:t>
            </w:r>
          </w:p>
        </w:tc>
        <w:tc>
          <w:tcPr>
            <w:tcW w:w="7816" w:type="dxa"/>
            <w:shd w:val="solid" w:color="FFFFFF" w:fill="FFFFFF"/>
            <w:vAlign w:val="center"/>
          </w:tcPr>
          <w:p w:rsidR="00360CB9" w:rsidRDefault="00712C96">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816" w:type="dxa"/>
            <w:shd w:val="solid" w:color="FFFFFF" w:fill="FFFFFF"/>
            <w:vAlign w:val="center"/>
          </w:tcPr>
          <w:p w:rsidR="00360CB9" w:rsidRDefault="00712C96">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360CB9">
        <w:trPr>
          <w:trHeight w:val="275"/>
          <w:jc w:val="center"/>
        </w:trPr>
        <w:tc>
          <w:tcPr>
            <w:tcW w:w="1828" w:type="dxa"/>
            <w:shd w:val="solid" w:color="FFFFFF" w:fill="FFFFFF"/>
            <w:vAlign w:val="center"/>
          </w:tcPr>
          <w:p w:rsidR="00360CB9" w:rsidRDefault="00712C96">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816" w:type="dxa"/>
            <w:shd w:val="solid" w:color="FFFFFF" w:fill="FFFFFF"/>
            <w:vAlign w:val="center"/>
          </w:tcPr>
          <w:p w:rsidR="00360CB9" w:rsidRDefault="00712C96">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360CB9" w:rsidRDefault="00360CB9">
      <w:pPr>
        <w:pStyle w:val="Default"/>
        <w:spacing w:line="360" w:lineRule="auto"/>
        <w:rPr>
          <w:rFonts w:hAnsi="宋体"/>
          <w:sz w:val="18"/>
          <w:szCs w:val="18"/>
        </w:rPr>
      </w:pPr>
    </w:p>
    <w:p w:rsidR="00360CB9" w:rsidRDefault="00712C96">
      <w:pPr>
        <w:widowControl/>
        <w:spacing w:line="360" w:lineRule="auto"/>
        <w:jc w:val="left"/>
        <w:rPr>
          <w:rFonts w:ascii="宋体" w:hAnsi="宋体"/>
          <w:color w:val="000000"/>
          <w:kern w:val="0"/>
          <w:sz w:val="18"/>
          <w:szCs w:val="18"/>
        </w:rPr>
      </w:pPr>
      <w:r>
        <w:rPr>
          <w:rFonts w:hAnsi="宋体"/>
          <w:sz w:val="18"/>
          <w:szCs w:val="18"/>
        </w:rPr>
        <w:br w:type="page"/>
      </w:r>
    </w:p>
    <w:p w:rsidR="00360CB9" w:rsidRDefault="00712C96">
      <w:pPr>
        <w:pStyle w:val="1"/>
        <w:spacing w:before="0" w:after="0" w:line="360" w:lineRule="auto"/>
        <w:jc w:val="center"/>
        <w:rPr>
          <w:rFonts w:ascii="Times New Roman"/>
          <w:sz w:val="30"/>
        </w:rPr>
      </w:pPr>
      <w:bookmarkStart w:id="5" w:name="_Toc79154666"/>
      <w:bookmarkStart w:id="6" w:name="_Toc3800"/>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360CB9" w:rsidRDefault="00712C96">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360CB9" w:rsidRDefault="00712C96">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360CB9" w:rsidRDefault="00712C96">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360CB9" w:rsidRDefault="00712C96">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360CB9" w:rsidRDefault="00712C96">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360CB9" w:rsidRDefault="00712C96">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360CB9" w:rsidRDefault="00712C96">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360CB9" w:rsidRDefault="00712C96">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4"/>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360CB9">
        <w:trPr>
          <w:jc w:val="center"/>
        </w:trPr>
        <w:tc>
          <w:tcPr>
            <w:tcW w:w="1984" w:type="dxa"/>
            <w:vAlign w:val="center"/>
          </w:tcPr>
          <w:p w:rsidR="00360CB9" w:rsidRDefault="00712C96">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360CB9" w:rsidRDefault="00712C96">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360CB9" w:rsidRDefault="00712C96">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360CB9">
        <w:trPr>
          <w:jc w:val="center"/>
        </w:trPr>
        <w:tc>
          <w:tcPr>
            <w:tcW w:w="1984" w:type="dxa"/>
            <w:vAlign w:val="center"/>
          </w:tcPr>
          <w:p w:rsidR="00360CB9" w:rsidRDefault="00712C96">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360CB9" w:rsidRDefault="00712C96">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360CB9" w:rsidRDefault="00712C96">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360CB9" w:rsidRDefault="00712C96">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360CB9" w:rsidRDefault="00712C96">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360CB9" w:rsidRDefault="00712C96">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360CB9" w:rsidRDefault="00712C96">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360CB9" w:rsidRDefault="00712C96">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360CB9" w:rsidRDefault="00712C96">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360CB9" w:rsidRDefault="00712C96">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360CB9" w:rsidRDefault="00712C96">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360CB9" w:rsidRDefault="00712C96">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360CB9" w:rsidRDefault="00712C96">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w:t>
      </w:r>
      <w:r>
        <w:rPr>
          <w:rFonts w:asciiTheme="minorEastAsia" w:eastAsiaTheme="minorEastAsia" w:hAnsiTheme="minorEastAsia"/>
          <w:color w:val="auto"/>
          <w:sz w:val="18"/>
          <w:szCs w:val="18"/>
        </w:rPr>
        <w:t>1.00</w:t>
      </w:r>
    </w:p>
    <w:p w:rsidR="00360CB9" w:rsidRDefault="00712C96">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360CB9" w:rsidRDefault="00712C96">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.认购的起点和追加金额</w:t>
      </w:r>
    </w:p>
    <w:p w:rsidR="00360CB9" w:rsidRDefault="00712C96">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360CB9" w:rsidRDefault="00712C96">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360CB9" w:rsidRDefault="00712C96">
      <w:pPr>
        <w:spacing w:line="360" w:lineRule="auto"/>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详见《产品说明书》“第二条 理财产品基本情况”。</w:t>
      </w:r>
    </w:p>
    <w:p w:rsidR="00360CB9" w:rsidRDefault="00712C96">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360CB9" w:rsidRDefault="00712C96">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w:t>
      </w:r>
      <w:r>
        <w:rPr>
          <w:rFonts w:asciiTheme="minorEastAsia" w:hAnsiTheme="minorEastAsia"/>
          <w:bCs/>
          <w:sz w:val="18"/>
          <w:szCs w:val="18"/>
        </w:rPr>
        <w:t>资金</w:t>
      </w:r>
      <w:r>
        <w:rPr>
          <w:rFonts w:asciiTheme="minorEastAsia" w:hAnsiTheme="minorEastAsia" w:hint="eastAsia"/>
          <w:bCs/>
          <w:sz w:val="18"/>
          <w:szCs w:val="18"/>
        </w:rPr>
        <w:t>进入理财运作，不计算理财</w:t>
      </w:r>
      <w:r>
        <w:rPr>
          <w:rFonts w:asciiTheme="minorEastAsia" w:hAnsiTheme="minorEastAsia"/>
          <w:bCs/>
          <w:sz w:val="18"/>
          <w:szCs w:val="18"/>
        </w:rPr>
        <w:t>利益</w:t>
      </w:r>
      <w:r>
        <w:rPr>
          <w:rFonts w:asciiTheme="minorEastAsia" w:hAnsiTheme="minorEastAsia" w:hint="eastAsia"/>
          <w:bCs/>
          <w:sz w:val="18"/>
          <w:szCs w:val="18"/>
        </w:rPr>
        <w:t>。</w:t>
      </w:r>
    </w:p>
    <w:p w:rsidR="00360CB9" w:rsidRDefault="00712C96">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360CB9" w:rsidRDefault="00712C96">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360CB9" w:rsidRDefault="00712C96">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360CB9" w:rsidRDefault="00712C96">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360CB9" w:rsidRDefault="00712C96">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360CB9" w:rsidRDefault="00360CB9">
      <w:pPr>
        <w:spacing w:line="360" w:lineRule="auto"/>
        <w:ind w:firstLineChars="200" w:firstLine="360"/>
        <w:rPr>
          <w:rFonts w:asciiTheme="minorEastAsia" w:hAnsiTheme="minorEastAsia"/>
          <w:bCs/>
          <w:sz w:val="18"/>
          <w:szCs w:val="18"/>
        </w:rPr>
      </w:pPr>
    </w:p>
    <w:p w:rsidR="00360CB9" w:rsidRDefault="00712C96">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360CB9" w:rsidRDefault="00712C96">
      <w:pPr>
        <w:pStyle w:val="1"/>
        <w:spacing w:before="0" w:after="0" w:line="360" w:lineRule="auto"/>
        <w:jc w:val="center"/>
        <w:rPr>
          <w:rFonts w:ascii="Times New Roman"/>
          <w:sz w:val="30"/>
        </w:rPr>
      </w:pPr>
      <w:bookmarkStart w:id="10" w:name="_Toc28773"/>
      <w:bookmarkStart w:id="11" w:name="_Toc79154667"/>
      <w:r>
        <w:rPr>
          <w:rFonts w:ascii="Times New Roman" w:hint="eastAsia"/>
          <w:sz w:val="30"/>
        </w:rPr>
        <w:lastRenderedPageBreak/>
        <w:t>第四条</w:t>
      </w:r>
      <w:r>
        <w:rPr>
          <w:rFonts w:ascii="Times New Roman" w:hint="eastAsia"/>
          <w:sz w:val="30"/>
        </w:rPr>
        <w:t xml:space="preserve"> </w:t>
      </w:r>
      <w:r>
        <w:rPr>
          <w:rFonts w:ascii="Times New Roman"/>
          <w:sz w:val="30"/>
        </w:rPr>
        <w:t xml:space="preserve"> </w:t>
      </w:r>
      <w:r>
        <w:rPr>
          <w:rFonts w:ascii="Times New Roman" w:hint="eastAsia"/>
          <w:sz w:val="30"/>
        </w:rPr>
        <w:t>理财产品的申购与赎回</w:t>
      </w:r>
      <w:bookmarkEnd w:id="10"/>
      <w:bookmarkEnd w:id="11"/>
    </w:p>
    <w:bookmarkEnd w:id="9"/>
    <w:p w:rsidR="00360CB9" w:rsidRDefault="00360CB9">
      <w:pPr>
        <w:spacing w:line="360" w:lineRule="auto"/>
        <w:ind w:firstLineChars="200" w:firstLine="420"/>
      </w:pPr>
    </w:p>
    <w:p w:rsidR="00360CB9" w:rsidRDefault="00712C96">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（一）理财产品的申购</w:t>
      </w:r>
    </w:p>
    <w:p w:rsidR="00360CB9" w:rsidRDefault="00712C96">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1.</w:t>
      </w:r>
      <w:r>
        <w:rPr>
          <w:rFonts w:asciiTheme="minorEastAsia" w:hAnsiTheme="minorEastAsia" w:hint="eastAsia"/>
          <w:b/>
          <w:bCs/>
          <w:color w:val="auto"/>
          <w:sz w:val="18"/>
          <w:szCs w:val="18"/>
        </w:rPr>
        <w:t>申购的时间</w:t>
      </w:r>
    </w:p>
    <w:p w:rsidR="00360CB9" w:rsidRDefault="00712C96">
      <w:pPr>
        <w:pStyle w:val="Default"/>
        <w:spacing w:line="360" w:lineRule="auto"/>
        <w:ind w:firstLineChars="200" w:firstLine="360"/>
        <w:rPr>
          <w:rFonts w:asciiTheme="majorEastAsia" w:hAnsiTheme="majorEastAsia"/>
          <w:sz w:val="18"/>
        </w:rPr>
      </w:pPr>
      <w:r>
        <w:rPr>
          <w:rFonts w:asciiTheme="majorEastAsia" w:hAnsiTheme="majorEastAsia" w:hint="eastAsia"/>
          <w:color w:val="auto"/>
          <w:sz w:val="18"/>
        </w:rPr>
        <w:t>本产品设置开放期，</w:t>
      </w:r>
      <w:r>
        <w:rPr>
          <w:rFonts w:asciiTheme="majorEastAsia" w:eastAsiaTheme="majorEastAsia" w:hAnsiTheme="majorEastAsia" w:hint="eastAsia"/>
          <w:bCs/>
          <w:color w:val="auto"/>
          <w:sz w:val="18"/>
          <w:szCs w:val="18"/>
        </w:rPr>
        <w:t>具体的申购时间以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bCs/>
          <w:color w:val="auto"/>
          <w:sz w:val="18"/>
          <w:szCs w:val="18"/>
        </w:rPr>
        <w:t>为准。</w:t>
      </w:r>
      <w:r>
        <w:rPr>
          <w:rFonts w:asciiTheme="minorEastAsia" w:hAnsiTheme="minorEastAsia" w:hint="eastAsia"/>
          <w:sz w:val="18"/>
          <w:szCs w:val="18"/>
        </w:rPr>
        <w:t>投资者可于开放日内申购，产品管理人公告暂停开放的日期除外</w:t>
      </w:r>
      <w:r>
        <w:rPr>
          <w:rFonts w:asciiTheme="majorEastAsia" w:eastAsiaTheme="majorEastAsia" w:hAnsiTheme="majorEastAsia" w:hint="eastAsia"/>
          <w:bCs/>
          <w:sz w:val="18"/>
          <w:szCs w:val="18"/>
        </w:rPr>
        <w:t>。</w:t>
      </w:r>
    </w:p>
    <w:p w:rsidR="00360CB9" w:rsidRDefault="00712C96">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2.申购的方式</w:t>
      </w:r>
    </w:p>
    <w:p w:rsidR="00360CB9" w:rsidRDefault="00712C96">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bCs/>
          <w:color w:val="auto"/>
          <w:sz w:val="18"/>
          <w:szCs w:val="18"/>
        </w:rPr>
        <w:t>投资者可通过</w:t>
      </w:r>
      <w:r>
        <w:rPr>
          <w:rFonts w:asciiTheme="minorEastAsia" w:hAnsiTheme="minorEastAsia" w:hint="eastAsia"/>
          <w:bCs/>
          <w:color w:val="auto"/>
          <w:sz w:val="18"/>
          <w:szCs w:val="18"/>
        </w:rPr>
        <w:t>销售机构的销售</w:t>
      </w:r>
      <w:r>
        <w:rPr>
          <w:rFonts w:asciiTheme="minorEastAsia" w:hAnsiTheme="minorEastAsia"/>
          <w:bCs/>
          <w:color w:val="auto"/>
          <w:sz w:val="18"/>
          <w:szCs w:val="18"/>
        </w:rPr>
        <w:t>渠道</w:t>
      </w:r>
      <w:r>
        <w:rPr>
          <w:rFonts w:asciiTheme="minorEastAsia" w:hAnsiTheme="minorEastAsia" w:hint="eastAsia"/>
          <w:bCs/>
          <w:color w:val="auto"/>
          <w:sz w:val="18"/>
          <w:szCs w:val="18"/>
        </w:rPr>
        <w:t>申购。不同销售机构</w:t>
      </w:r>
      <w:r>
        <w:rPr>
          <w:rFonts w:asciiTheme="minorEastAsia" w:hAnsiTheme="minorEastAsia"/>
          <w:bCs/>
          <w:color w:val="auto"/>
          <w:sz w:val="18"/>
          <w:szCs w:val="18"/>
        </w:rPr>
        <w:t>的销售</w:t>
      </w:r>
      <w:r>
        <w:rPr>
          <w:rFonts w:asciiTheme="minorEastAsia" w:hAnsiTheme="minorEastAsia" w:hint="eastAsia"/>
          <w:bCs/>
          <w:color w:val="auto"/>
          <w:sz w:val="18"/>
          <w:szCs w:val="18"/>
        </w:rPr>
        <w:t>渠道，申购确认时效可能存在</w:t>
      </w:r>
      <w:r>
        <w:rPr>
          <w:rFonts w:asciiTheme="minorEastAsia" w:hAnsiTheme="minorEastAsia"/>
          <w:bCs/>
          <w:color w:val="auto"/>
          <w:sz w:val="18"/>
          <w:szCs w:val="18"/>
        </w:rPr>
        <w:t>差异</w:t>
      </w:r>
      <w:r>
        <w:rPr>
          <w:rFonts w:asciiTheme="minorEastAsia" w:hAnsiTheme="minorEastAsia" w:hint="eastAsia"/>
          <w:bCs/>
          <w:color w:val="auto"/>
          <w:sz w:val="18"/>
          <w:szCs w:val="18"/>
        </w:rPr>
        <w:t>。</w:t>
      </w:r>
    </w:p>
    <w:p w:rsidR="00360CB9" w:rsidRDefault="00712C96">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bCs/>
          <w:color w:val="auto"/>
          <w:sz w:val="18"/>
          <w:szCs w:val="18"/>
        </w:rPr>
        <w:t>投资者通过</w:t>
      </w:r>
      <w:r>
        <w:rPr>
          <w:rFonts w:asciiTheme="minorEastAsia" w:hAnsiTheme="minorEastAsia" w:hint="eastAsia"/>
          <w:bCs/>
          <w:color w:val="auto"/>
          <w:sz w:val="18"/>
          <w:szCs w:val="18"/>
        </w:rPr>
        <w:t>销售机构线下</w:t>
      </w:r>
      <w:r>
        <w:rPr>
          <w:rFonts w:asciiTheme="minorEastAsia" w:hAnsiTheme="minorEastAsia"/>
          <w:bCs/>
          <w:color w:val="auto"/>
          <w:sz w:val="18"/>
          <w:szCs w:val="18"/>
        </w:rPr>
        <w:t>渠道申购</w:t>
      </w:r>
      <w:r>
        <w:rPr>
          <w:rFonts w:asciiTheme="minorEastAsia" w:hAnsiTheme="minorEastAsia" w:hint="eastAsia"/>
          <w:bCs/>
          <w:color w:val="auto"/>
          <w:sz w:val="18"/>
          <w:szCs w:val="18"/>
        </w:rPr>
        <w:t>的，应签署有关理财产品销售文件。</w:t>
      </w:r>
    </w:p>
    <w:p w:rsidR="00360CB9" w:rsidRDefault="00712C96">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投资者通过销售机构线上渠道申购的，应根据销售机构线上渠道的具体要求执行。</w:t>
      </w:r>
    </w:p>
    <w:p w:rsidR="00360CB9" w:rsidRDefault="00712C96">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申购的确认</w:t>
      </w:r>
    </w:p>
    <w:p w:rsidR="00360CB9" w:rsidRDefault="00712C96">
      <w:pPr>
        <w:spacing w:line="360" w:lineRule="auto"/>
        <w:ind w:firstLineChars="200" w:firstLine="360"/>
        <w:rPr>
          <w:rFonts w:asciiTheme="minorEastAsia" w:hAnsiTheme="minorEastAsia"/>
          <w:bCs/>
          <w:sz w:val="18"/>
          <w:szCs w:val="18"/>
        </w:rPr>
      </w:pPr>
      <w:r>
        <w:rPr>
          <w:rFonts w:asciiTheme="minorEastAsia" w:hAnsiTheme="minorEastAsia" w:hint="eastAsia"/>
          <w:sz w:val="18"/>
          <w:szCs w:val="18"/>
        </w:rPr>
        <w:t>详见《产品说明书》“第二条 理财产品基本情况”</w:t>
      </w:r>
      <w:r>
        <w:rPr>
          <w:rFonts w:hint="eastAsia"/>
          <w:bCs/>
          <w:sz w:val="18"/>
          <w:szCs w:val="18"/>
        </w:rPr>
        <w:t>。</w:t>
      </w:r>
    </w:p>
    <w:p w:rsidR="00360CB9" w:rsidRDefault="00712C96">
      <w:pPr>
        <w:pStyle w:val="Default"/>
        <w:spacing w:line="360" w:lineRule="auto"/>
        <w:ind w:firstLineChars="200" w:firstLine="360"/>
        <w:rPr>
          <w:rFonts w:asciiTheme="minorEastAsia" w:hAnsiTheme="minorEastAsia"/>
          <w:color w:val="auto"/>
          <w:sz w:val="18"/>
        </w:rPr>
      </w:pPr>
      <w:r>
        <w:rPr>
          <w:rFonts w:asciiTheme="minorEastAsia" w:hAnsiTheme="minorEastAsia" w:hint="eastAsia"/>
          <w:bCs/>
          <w:color w:val="auto"/>
          <w:sz w:val="18"/>
          <w:szCs w:val="18"/>
        </w:rPr>
        <w:t>开放日内产品管理人可受理投资者提交的申购申请。</w:t>
      </w:r>
      <w:r>
        <w:rPr>
          <w:rFonts w:asciiTheme="majorEastAsia" w:eastAsiaTheme="majorEastAsia" w:hAnsiTheme="majorEastAsia" w:hint="eastAsia"/>
          <w:bCs/>
          <w:color w:val="auto"/>
          <w:sz w:val="18"/>
          <w:szCs w:val="18"/>
        </w:rPr>
        <w:t>投资者在开放日交易时间内提交申购申请的，产品管理人在当天受理该申购申请。客户在非交易时间内提交申购申请的，产品</w:t>
      </w:r>
      <w:r>
        <w:rPr>
          <w:rFonts w:asciiTheme="majorEastAsia" w:eastAsiaTheme="majorEastAsia" w:hAnsiTheme="majorEastAsia"/>
          <w:bCs/>
          <w:color w:val="auto"/>
          <w:sz w:val="18"/>
          <w:szCs w:val="18"/>
        </w:rPr>
        <w:t>管理人</w:t>
      </w:r>
      <w:r>
        <w:rPr>
          <w:rFonts w:asciiTheme="majorEastAsia" w:eastAsiaTheme="majorEastAsia" w:hAnsiTheme="majorEastAsia" w:hint="eastAsia"/>
          <w:bCs/>
          <w:color w:val="auto"/>
          <w:sz w:val="18"/>
          <w:szCs w:val="18"/>
        </w:rPr>
        <w:t>视同下一个开放日的交易时间内受理该申购申请。</w:t>
      </w:r>
      <w:r>
        <w:rPr>
          <w:rFonts w:asciiTheme="majorEastAsia" w:eastAsiaTheme="majorEastAsia" w:hAnsiTheme="majorEastAsia" w:hint="eastAsia"/>
          <w:color w:val="auto"/>
          <w:sz w:val="18"/>
          <w:szCs w:val="18"/>
        </w:rPr>
        <w:t>提交申购申请并不代表申购成功，产品管理人将在申购确认日确认投资者是否申购成功。申购是否成功以管理人的确认结果为准</w:t>
      </w:r>
      <w:r>
        <w:rPr>
          <w:rFonts w:asciiTheme="minorEastAsia" w:eastAsiaTheme="minorEastAsia" w:hAnsiTheme="minorEastAsia" w:hint="eastAsia"/>
          <w:color w:val="auto"/>
          <w:sz w:val="18"/>
          <w:szCs w:val="18"/>
        </w:rPr>
        <w:t>。</w:t>
      </w:r>
      <w:r>
        <w:rPr>
          <w:rFonts w:asciiTheme="minorEastAsia" w:eastAsiaTheme="minorEastAsia" w:hAnsiTheme="minorEastAsia" w:hint="eastAsia"/>
          <w:bCs/>
          <w:color w:val="auto"/>
          <w:sz w:val="18"/>
          <w:szCs w:val="18"/>
        </w:rPr>
        <w:t>投资者可以在申购确认日系统完成处理后，查询产品份额。</w:t>
      </w:r>
    </w:p>
    <w:p w:rsidR="00360CB9" w:rsidRDefault="00712C96">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.申购</w:t>
      </w:r>
      <w:r>
        <w:rPr>
          <w:rFonts w:asciiTheme="minorEastAsia" w:hAnsiTheme="minorEastAsia"/>
          <w:b/>
          <w:bCs/>
          <w:sz w:val="18"/>
          <w:szCs w:val="18"/>
        </w:rPr>
        <w:t>的价格</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inorEastAsia" w:eastAsiaTheme="minorEastAsia" w:hAnsiTheme="minorEastAsia" w:hint="eastAsia"/>
          <w:color w:val="auto"/>
          <w:sz w:val="18"/>
          <w:szCs w:val="18"/>
        </w:rPr>
        <w:t>本产品的申购价格为每份理财份额人民币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360CB9" w:rsidRDefault="00712C96">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5.</w:t>
      </w:r>
      <w:r>
        <w:rPr>
          <w:rFonts w:asciiTheme="minorEastAsia" w:hAnsiTheme="minorEastAsia" w:hint="eastAsia"/>
          <w:b/>
          <w:bCs/>
          <w:sz w:val="18"/>
          <w:szCs w:val="18"/>
        </w:rPr>
        <w:t>申购的</w:t>
      </w:r>
      <w:r>
        <w:rPr>
          <w:rFonts w:asciiTheme="minorEastAsia" w:hAnsiTheme="minorEastAsia"/>
          <w:b/>
          <w:bCs/>
          <w:sz w:val="18"/>
          <w:szCs w:val="18"/>
        </w:rPr>
        <w:t>费用</w:t>
      </w:r>
    </w:p>
    <w:p w:rsidR="00360CB9" w:rsidRDefault="00712C96">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360CB9" w:rsidRDefault="00712C96">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hAnsiTheme="minorEastAsia"/>
          <w:b/>
          <w:bCs/>
          <w:color w:val="auto"/>
          <w:sz w:val="18"/>
          <w:szCs w:val="18"/>
        </w:rPr>
        <w:t>6.</w:t>
      </w:r>
      <w:r>
        <w:rPr>
          <w:rFonts w:asciiTheme="minorEastAsia" w:hAnsiTheme="minorEastAsia" w:hint="eastAsia"/>
          <w:b/>
          <w:bCs/>
          <w:sz w:val="18"/>
          <w:szCs w:val="18"/>
        </w:rPr>
        <w:t>申购份额计算</w:t>
      </w:r>
    </w:p>
    <w:p w:rsidR="00360CB9" w:rsidRDefault="00712C96">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本产品的申购金额包括申购费用和净申购金额。申购份额的计算公式为：</w:t>
      </w:r>
    </w:p>
    <w:p w:rsidR="00360CB9" w:rsidRDefault="00712C96">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净申购金额=申购金额/（1+申购费率）</w:t>
      </w:r>
    </w:p>
    <w:p w:rsidR="00360CB9" w:rsidRDefault="00712C96">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申购费用=申购金额－净申购金额</w:t>
      </w:r>
    </w:p>
    <w:p w:rsidR="00360CB9" w:rsidRDefault="00712C96">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申购份额=净申购金额/</w:t>
      </w:r>
      <w:r>
        <w:rPr>
          <w:rFonts w:asciiTheme="minorEastAsia" w:eastAsiaTheme="minorEastAsia" w:hAnsiTheme="minorEastAsia"/>
          <w:color w:val="auto"/>
          <w:sz w:val="18"/>
          <w:szCs w:val="18"/>
        </w:rPr>
        <w:t>1.00</w:t>
      </w:r>
    </w:p>
    <w:p w:rsidR="00360CB9" w:rsidRDefault="00712C96">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上述计算结果均按四舍五入方法，保留到小数点后2位，由此产生的收益或损失由理财产品承担。</w:t>
      </w:r>
    </w:p>
    <w:p w:rsidR="00360CB9" w:rsidRDefault="00712C96">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申购的起点和追加金额</w:t>
      </w:r>
    </w:p>
    <w:p w:rsidR="00360CB9" w:rsidRDefault="00712C96">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360CB9" w:rsidRDefault="00712C96">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lastRenderedPageBreak/>
        <w:t>8.</w:t>
      </w:r>
      <w:r>
        <w:rPr>
          <w:rFonts w:asciiTheme="minorEastAsia" w:eastAsiaTheme="minorEastAsia" w:hAnsiTheme="minorEastAsia" w:hint="eastAsia"/>
          <w:b/>
          <w:color w:val="auto"/>
          <w:sz w:val="18"/>
          <w:szCs w:val="18"/>
        </w:rPr>
        <w:t>申购</w:t>
      </w:r>
      <w:r>
        <w:rPr>
          <w:rFonts w:asciiTheme="minorEastAsia" w:eastAsiaTheme="minorEastAsia" w:hAnsiTheme="minorEastAsia"/>
          <w:b/>
          <w:color w:val="auto"/>
          <w:sz w:val="18"/>
          <w:szCs w:val="18"/>
        </w:rPr>
        <w:t>的数量限制</w:t>
      </w:r>
    </w:p>
    <w:p w:rsidR="00360CB9" w:rsidRDefault="00712C96">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360CB9" w:rsidRDefault="00712C96">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（二）理财产品的赎回</w:t>
      </w:r>
    </w:p>
    <w:p w:rsidR="00360CB9" w:rsidRDefault="00712C96">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1.</w:t>
      </w:r>
      <w:r>
        <w:rPr>
          <w:rFonts w:asciiTheme="minorEastAsia" w:hAnsiTheme="minorEastAsia" w:hint="eastAsia"/>
          <w:b/>
          <w:bCs/>
          <w:color w:val="auto"/>
          <w:sz w:val="18"/>
          <w:szCs w:val="18"/>
        </w:rPr>
        <w:t>赎回的时间</w:t>
      </w:r>
    </w:p>
    <w:p w:rsidR="00360CB9" w:rsidRDefault="00712C96">
      <w:pPr>
        <w:pStyle w:val="Default"/>
        <w:spacing w:line="360" w:lineRule="auto"/>
        <w:ind w:firstLineChars="200" w:firstLine="360"/>
        <w:rPr>
          <w:rFonts w:asciiTheme="majorEastAsia" w:hAnsiTheme="majorEastAsia"/>
          <w:color w:val="auto"/>
          <w:sz w:val="18"/>
        </w:rPr>
      </w:pPr>
      <w:r>
        <w:rPr>
          <w:rFonts w:asciiTheme="majorEastAsia" w:hAnsiTheme="majorEastAsia" w:hint="eastAsia"/>
          <w:color w:val="auto"/>
          <w:sz w:val="18"/>
        </w:rPr>
        <w:t>本产品设置开放期，</w:t>
      </w:r>
      <w:r>
        <w:rPr>
          <w:rFonts w:asciiTheme="majorEastAsia" w:eastAsiaTheme="majorEastAsia" w:hAnsiTheme="majorEastAsia" w:hint="eastAsia"/>
          <w:bCs/>
          <w:color w:val="auto"/>
          <w:sz w:val="18"/>
          <w:szCs w:val="18"/>
        </w:rPr>
        <w:t>具体的赎回时间以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bCs/>
          <w:color w:val="auto"/>
          <w:sz w:val="18"/>
          <w:szCs w:val="18"/>
        </w:rPr>
        <w:t>为准。</w:t>
      </w:r>
      <w:r>
        <w:rPr>
          <w:rFonts w:asciiTheme="minorEastAsia" w:hAnsiTheme="minorEastAsia" w:hint="eastAsia"/>
          <w:sz w:val="18"/>
          <w:szCs w:val="18"/>
        </w:rPr>
        <w:t>投资者可于开放日内赎回，产品管理人公告暂停开放的日期除外</w:t>
      </w:r>
      <w:r>
        <w:rPr>
          <w:rFonts w:asciiTheme="majorEastAsia" w:eastAsiaTheme="majorEastAsia" w:hAnsiTheme="majorEastAsia" w:hint="eastAsia"/>
          <w:bCs/>
          <w:sz w:val="18"/>
          <w:szCs w:val="18"/>
        </w:rPr>
        <w:t>。</w:t>
      </w:r>
    </w:p>
    <w:p w:rsidR="00360CB9" w:rsidRDefault="00712C96">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2.赎回的方式</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投资者可通过</w:t>
      </w:r>
      <w:r>
        <w:rPr>
          <w:rFonts w:asciiTheme="majorEastAsia" w:eastAsiaTheme="majorEastAsia" w:hAnsiTheme="majorEastAsia" w:hint="eastAsia"/>
          <w:color w:val="auto"/>
          <w:sz w:val="18"/>
          <w:szCs w:val="18"/>
        </w:rPr>
        <w:t>销售机构的销售</w:t>
      </w:r>
      <w:r>
        <w:rPr>
          <w:rFonts w:asciiTheme="majorEastAsia" w:eastAsiaTheme="majorEastAsia" w:hAnsiTheme="majorEastAsia"/>
          <w:color w:val="auto"/>
          <w:sz w:val="18"/>
          <w:szCs w:val="18"/>
        </w:rPr>
        <w:t>渠道</w:t>
      </w:r>
      <w:r>
        <w:rPr>
          <w:rFonts w:asciiTheme="majorEastAsia" w:eastAsiaTheme="majorEastAsia" w:hAnsiTheme="majorEastAsia" w:hint="eastAsia"/>
          <w:color w:val="auto"/>
          <w:sz w:val="18"/>
          <w:szCs w:val="18"/>
        </w:rPr>
        <w:t>赎回</w:t>
      </w:r>
      <w:r>
        <w:rPr>
          <w:rFonts w:asciiTheme="majorEastAsia" w:eastAsiaTheme="majorEastAsia" w:hAnsiTheme="majorEastAsia"/>
          <w:color w:val="auto"/>
          <w:sz w:val="18"/>
          <w:szCs w:val="18"/>
        </w:rPr>
        <w:t>。</w:t>
      </w:r>
      <w:r>
        <w:rPr>
          <w:rFonts w:asciiTheme="minorEastAsia" w:hAnsiTheme="minorEastAsia" w:hint="eastAsia"/>
          <w:bCs/>
          <w:color w:val="auto"/>
          <w:sz w:val="18"/>
          <w:szCs w:val="18"/>
        </w:rPr>
        <w:t>不同销售机构</w:t>
      </w:r>
      <w:r>
        <w:rPr>
          <w:rFonts w:asciiTheme="minorEastAsia" w:hAnsiTheme="minorEastAsia"/>
          <w:bCs/>
          <w:color w:val="auto"/>
          <w:sz w:val="18"/>
          <w:szCs w:val="18"/>
        </w:rPr>
        <w:t>的销售</w:t>
      </w:r>
      <w:r>
        <w:rPr>
          <w:rFonts w:asciiTheme="minorEastAsia" w:hAnsiTheme="minorEastAsia" w:hint="eastAsia"/>
          <w:bCs/>
          <w:color w:val="auto"/>
          <w:sz w:val="18"/>
          <w:szCs w:val="18"/>
        </w:rPr>
        <w:t>渠道，赎回确认时效可能存在</w:t>
      </w:r>
      <w:r>
        <w:rPr>
          <w:rFonts w:asciiTheme="minorEastAsia" w:hAnsiTheme="minorEastAsia"/>
          <w:bCs/>
          <w:color w:val="auto"/>
          <w:sz w:val="18"/>
          <w:szCs w:val="18"/>
        </w:rPr>
        <w:t>差异</w:t>
      </w:r>
      <w:r>
        <w:rPr>
          <w:rFonts w:asciiTheme="minorEastAsia" w:hAnsiTheme="minorEastAsia" w:hint="eastAsia"/>
          <w:bCs/>
          <w:color w:val="auto"/>
          <w:sz w:val="18"/>
          <w:szCs w:val="18"/>
        </w:rPr>
        <w:t>。</w:t>
      </w:r>
    </w:p>
    <w:p w:rsidR="00360CB9" w:rsidRDefault="00712C96">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w:t>
      </w:r>
      <w:r>
        <w:rPr>
          <w:rFonts w:asciiTheme="minorEastAsia" w:eastAsiaTheme="minorEastAsia" w:hAnsiTheme="minorEastAsia"/>
          <w:color w:val="auto"/>
          <w:sz w:val="18"/>
          <w:szCs w:val="18"/>
        </w:rPr>
        <w:t>渠道赎回的</w:t>
      </w:r>
      <w:r>
        <w:rPr>
          <w:rFonts w:asciiTheme="majorEastAsia" w:eastAsiaTheme="majorEastAsia" w:hAnsiTheme="majorEastAsia" w:hint="eastAsia"/>
          <w:color w:val="auto"/>
          <w:sz w:val="18"/>
          <w:szCs w:val="18"/>
        </w:rPr>
        <w:t>，应签署</w:t>
      </w:r>
      <w:r>
        <w:rPr>
          <w:rFonts w:asciiTheme="minorEastAsia" w:hAnsiTheme="minorEastAsia" w:hint="eastAsia"/>
          <w:bCs/>
          <w:color w:val="auto"/>
          <w:sz w:val="18"/>
          <w:szCs w:val="18"/>
        </w:rPr>
        <w:t>有关理财产品销售文件</w:t>
      </w:r>
      <w:r>
        <w:rPr>
          <w:rFonts w:asciiTheme="majorEastAsia" w:eastAsiaTheme="majorEastAsia" w:hAnsiTheme="majorEastAsia" w:hint="eastAsia"/>
          <w:color w:val="auto"/>
          <w:sz w:val="18"/>
          <w:szCs w:val="18"/>
        </w:rPr>
        <w:t>。</w:t>
      </w:r>
    </w:p>
    <w:p w:rsidR="00360CB9" w:rsidRDefault="00712C96">
      <w:pPr>
        <w:pStyle w:val="Default"/>
        <w:spacing w:line="360" w:lineRule="auto"/>
        <w:ind w:firstLineChars="200" w:firstLine="360"/>
        <w:rPr>
          <w:rFonts w:asciiTheme="minorEastAsia" w:hAnsiTheme="minorEastAsia"/>
          <w:bCs/>
          <w:color w:val="auto"/>
          <w:sz w:val="18"/>
          <w:szCs w:val="18"/>
        </w:rPr>
      </w:pPr>
      <w:r>
        <w:rPr>
          <w:rFonts w:asciiTheme="majorEastAsia" w:eastAsiaTheme="majorEastAsia" w:hAnsiTheme="majorEastAsia" w:hint="eastAsia"/>
          <w:color w:val="auto"/>
          <w:sz w:val="18"/>
          <w:szCs w:val="18"/>
        </w:rPr>
        <w:t>投资者通过销售机构线上渠道</w:t>
      </w:r>
      <w:r>
        <w:rPr>
          <w:rFonts w:asciiTheme="minorEastAsia" w:eastAsiaTheme="minorEastAsia" w:hAnsiTheme="minorEastAsia" w:hint="eastAsia"/>
          <w:color w:val="auto"/>
          <w:sz w:val="18"/>
          <w:szCs w:val="18"/>
        </w:rPr>
        <w:t>赎回的，</w:t>
      </w:r>
      <w:r>
        <w:rPr>
          <w:rFonts w:asciiTheme="minorEastAsia" w:hAnsiTheme="minorEastAsia" w:hint="eastAsia"/>
          <w:bCs/>
          <w:color w:val="auto"/>
          <w:sz w:val="18"/>
          <w:szCs w:val="18"/>
        </w:rPr>
        <w:t>应根据销售机构线上渠道的具体要求执行。</w:t>
      </w:r>
    </w:p>
    <w:p w:rsidR="00360CB9" w:rsidRDefault="00712C96">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赎回的确认</w:t>
      </w:r>
    </w:p>
    <w:p w:rsidR="00360CB9" w:rsidRDefault="00712C96">
      <w:pPr>
        <w:spacing w:line="360" w:lineRule="auto"/>
        <w:ind w:firstLineChars="200" w:firstLine="360"/>
        <w:rPr>
          <w:rFonts w:asciiTheme="minorEastAsia" w:hAnsiTheme="minorEastAsia"/>
          <w:bCs/>
          <w:sz w:val="18"/>
          <w:szCs w:val="18"/>
        </w:rPr>
      </w:pPr>
      <w:r>
        <w:rPr>
          <w:rFonts w:asciiTheme="minorEastAsia" w:hAnsiTheme="minorEastAsia" w:hint="eastAsia"/>
          <w:sz w:val="18"/>
          <w:szCs w:val="18"/>
        </w:rPr>
        <w:t>详见《产品说明书》“第二条 理财产品基本情况”</w:t>
      </w:r>
      <w:r>
        <w:rPr>
          <w:rFonts w:hint="eastAsia"/>
          <w:bCs/>
          <w:sz w:val="18"/>
          <w:szCs w:val="18"/>
        </w:rPr>
        <w:t>。</w:t>
      </w:r>
    </w:p>
    <w:p w:rsidR="00360CB9" w:rsidRDefault="00712C96">
      <w:pPr>
        <w:pStyle w:val="Default"/>
        <w:spacing w:line="360" w:lineRule="auto"/>
        <w:ind w:firstLineChars="200" w:firstLine="360"/>
        <w:rPr>
          <w:rFonts w:asciiTheme="minorEastAsia" w:eastAsiaTheme="minorEastAsia" w:hAnsiTheme="minorEastAsia"/>
          <w:color w:val="auto"/>
          <w:sz w:val="18"/>
          <w:szCs w:val="18"/>
        </w:rPr>
      </w:pPr>
      <w:r>
        <w:rPr>
          <w:rFonts w:asciiTheme="minorEastAsia" w:hAnsiTheme="minorEastAsia" w:hint="eastAsia"/>
          <w:bCs/>
          <w:color w:val="auto"/>
          <w:sz w:val="18"/>
          <w:szCs w:val="18"/>
        </w:rPr>
        <w:t>开放日内产品管理人可受理投资者提交的赎回申请。</w:t>
      </w:r>
      <w:r>
        <w:rPr>
          <w:rFonts w:asciiTheme="minorEastAsia" w:eastAsiaTheme="minorEastAsia" w:hAnsiTheme="minorEastAsia" w:hint="eastAsia"/>
          <w:color w:val="auto"/>
          <w:sz w:val="18"/>
          <w:szCs w:val="18"/>
        </w:rPr>
        <w:t>投资者在开放日交易时间内提交赎回申请的，在当天受理该赎回申请。投资者在非交易时间内提交赎回申请的，视同下一个开放日的交易时间内受理该赎回申请。</w:t>
      </w:r>
      <w:r>
        <w:rPr>
          <w:rFonts w:asciiTheme="majorEastAsia" w:eastAsiaTheme="majorEastAsia" w:hAnsiTheme="majorEastAsia" w:hint="eastAsia"/>
          <w:color w:val="auto"/>
          <w:sz w:val="18"/>
          <w:szCs w:val="18"/>
        </w:rPr>
        <w:t>提交赎回申请并不代表赎回成功，产品管理人将在赎回确认日确认投资者是否赎回成功。赎回是否成功以管理人的确认结果为准</w:t>
      </w:r>
      <w:r>
        <w:rPr>
          <w:rFonts w:asciiTheme="minorEastAsia" w:eastAsiaTheme="minorEastAsia" w:hAnsiTheme="minorEastAsia" w:hint="eastAsia"/>
          <w:color w:val="auto"/>
          <w:sz w:val="18"/>
          <w:szCs w:val="18"/>
        </w:rPr>
        <w:t>。</w:t>
      </w:r>
    </w:p>
    <w:p w:rsidR="00360CB9" w:rsidRDefault="00712C96">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.赎回</w:t>
      </w:r>
      <w:r>
        <w:rPr>
          <w:rFonts w:asciiTheme="minorEastAsia" w:hAnsiTheme="minorEastAsia"/>
          <w:b/>
          <w:bCs/>
          <w:sz w:val="18"/>
          <w:szCs w:val="18"/>
        </w:rPr>
        <w:t>的价格</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inorEastAsia" w:eastAsiaTheme="minorEastAsia" w:hAnsiTheme="minorEastAsia" w:hint="eastAsia"/>
          <w:color w:val="auto"/>
          <w:sz w:val="18"/>
          <w:szCs w:val="18"/>
        </w:rPr>
        <w:t>本产品的赎回价格为每份理财份额人民币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360CB9" w:rsidRDefault="00712C96">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5.</w:t>
      </w:r>
      <w:r>
        <w:rPr>
          <w:rFonts w:asciiTheme="minorEastAsia" w:hAnsiTheme="minorEastAsia" w:hint="eastAsia"/>
          <w:b/>
          <w:bCs/>
          <w:sz w:val="18"/>
          <w:szCs w:val="18"/>
        </w:rPr>
        <w:t>赎回的</w:t>
      </w:r>
      <w:r>
        <w:rPr>
          <w:rFonts w:asciiTheme="minorEastAsia" w:hAnsiTheme="minorEastAsia"/>
          <w:b/>
          <w:bCs/>
          <w:sz w:val="18"/>
          <w:szCs w:val="18"/>
        </w:rPr>
        <w:t>费用</w:t>
      </w:r>
    </w:p>
    <w:p w:rsidR="00360CB9" w:rsidRDefault="00712C96">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360CB9" w:rsidRDefault="00712C96">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hAnsiTheme="minorEastAsia"/>
          <w:b/>
          <w:bCs/>
          <w:color w:val="auto"/>
          <w:sz w:val="18"/>
          <w:szCs w:val="18"/>
        </w:rPr>
        <w:t>6.</w:t>
      </w:r>
      <w:r>
        <w:rPr>
          <w:rFonts w:asciiTheme="minorEastAsia" w:hAnsiTheme="minorEastAsia" w:hint="eastAsia"/>
          <w:b/>
          <w:bCs/>
          <w:color w:val="auto"/>
          <w:sz w:val="18"/>
          <w:szCs w:val="18"/>
        </w:rPr>
        <w:t>赎回</w:t>
      </w:r>
      <w:r>
        <w:rPr>
          <w:rFonts w:asciiTheme="minorEastAsia" w:hAnsiTheme="minorEastAsia" w:hint="eastAsia"/>
          <w:b/>
          <w:bCs/>
          <w:sz w:val="18"/>
          <w:szCs w:val="18"/>
        </w:rPr>
        <w:t>金额计算</w:t>
      </w:r>
    </w:p>
    <w:p w:rsidR="00360CB9" w:rsidRDefault="00712C96">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本产品赎回</w:t>
      </w:r>
      <w:r>
        <w:rPr>
          <w:rFonts w:asciiTheme="minorEastAsia" w:hAnsiTheme="minorEastAsia"/>
          <w:bCs/>
          <w:color w:val="auto"/>
          <w:sz w:val="18"/>
          <w:szCs w:val="18"/>
        </w:rPr>
        <w:t>金额</w:t>
      </w:r>
      <w:r>
        <w:rPr>
          <w:rFonts w:asciiTheme="minorEastAsia" w:hAnsiTheme="minorEastAsia" w:hint="eastAsia"/>
          <w:bCs/>
          <w:color w:val="auto"/>
          <w:sz w:val="18"/>
          <w:szCs w:val="18"/>
        </w:rPr>
        <w:t>的计算公式如下：</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赎回总金额=赎回份额×1</w:t>
      </w:r>
      <w:r>
        <w:rPr>
          <w:rFonts w:asciiTheme="majorEastAsia" w:eastAsiaTheme="majorEastAsia" w:hAnsiTheme="majorEastAsia"/>
          <w:color w:val="auto"/>
          <w:sz w:val="18"/>
          <w:szCs w:val="18"/>
        </w:rPr>
        <w:t>.00</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赎回费用=赎回总金额×赎回费率</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净赎回金额=赎回总金额-赎回费用</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上述计算结果均按四舍五入方法，保留到小数点后</w:t>
      </w: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位，由此产生的收益或损失由理财产品承担。</w:t>
      </w:r>
    </w:p>
    <w:p w:rsidR="00360CB9" w:rsidRDefault="00712C96">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7.</w:t>
      </w:r>
      <w:r>
        <w:rPr>
          <w:rFonts w:asciiTheme="minorEastAsia" w:hAnsiTheme="minorEastAsia" w:hint="eastAsia"/>
          <w:b/>
          <w:bCs/>
          <w:color w:val="auto"/>
          <w:sz w:val="18"/>
          <w:szCs w:val="18"/>
        </w:rPr>
        <w:t>赎回</w:t>
      </w:r>
      <w:r>
        <w:rPr>
          <w:rFonts w:asciiTheme="minorEastAsia" w:eastAsiaTheme="minorEastAsia" w:hAnsiTheme="minorEastAsia"/>
          <w:b/>
          <w:color w:val="auto"/>
          <w:sz w:val="18"/>
          <w:szCs w:val="18"/>
        </w:rPr>
        <w:t>的数量限制</w:t>
      </w:r>
    </w:p>
    <w:p w:rsidR="00360CB9" w:rsidRDefault="00712C96">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360CB9" w:rsidRDefault="00712C96">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（四）</w:t>
      </w:r>
      <w:r>
        <w:rPr>
          <w:rFonts w:asciiTheme="majorEastAsia" w:eastAsiaTheme="majorEastAsia" w:hAnsiTheme="majorEastAsia" w:hint="eastAsia"/>
          <w:b/>
          <w:color w:val="auto"/>
          <w:sz w:val="18"/>
          <w:szCs w:val="18"/>
        </w:rPr>
        <w:t>申购与赎回的原则</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金额申购、份额赎回</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原则，即申购以金额申请，赎回以份额申请。</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color w:val="auto"/>
          <w:sz w:val="18"/>
          <w:szCs w:val="18"/>
        </w:rPr>
        <w:lastRenderedPageBreak/>
        <w:t>2.</w:t>
      </w:r>
      <w:r>
        <w:rPr>
          <w:rFonts w:asciiTheme="majorEastAsia" w:eastAsiaTheme="majorEastAsia" w:hAnsiTheme="majorEastAsia"/>
          <w:bCs/>
          <w:color w:val="auto"/>
          <w:sz w:val="18"/>
          <w:szCs w:val="18"/>
        </w:rPr>
        <w:t>申购和赎回采用</w:t>
      </w:r>
      <w:r>
        <w:rPr>
          <w:rFonts w:asciiTheme="majorEastAsia" w:eastAsiaTheme="majorEastAsia" w:hAnsiTheme="majorEastAsia" w:hint="eastAsia"/>
          <w:bCs/>
          <w:color w:val="auto"/>
          <w:sz w:val="18"/>
          <w:szCs w:val="18"/>
        </w:rPr>
        <w:t>“确定价</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原则，即本产品申购申请和赎回申请提交时，适用的产品份额净值都是</w:t>
      </w:r>
      <w:r>
        <w:rPr>
          <w:rFonts w:asciiTheme="minorEastAsia" w:eastAsiaTheme="minorEastAsia" w:hAnsiTheme="minorEastAsia" w:hint="eastAsia"/>
          <w:color w:val="auto"/>
          <w:sz w:val="18"/>
          <w:szCs w:val="18"/>
        </w:rPr>
        <w:t>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r>
        <w:rPr>
          <w:rFonts w:asciiTheme="majorEastAsia" w:eastAsiaTheme="majorEastAsia" w:hAnsiTheme="majorEastAsia" w:hint="eastAsia"/>
          <w:bCs/>
          <w:color w:val="auto"/>
          <w:sz w:val="18"/>
          <w:szCs w:val="18"/>
        </w:rPr>
        <w:t>。</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3.</w:t>
      </w:r>
      <w:r>
        <w:rPr>
          <w:rFonts w:asciiTheme="majorEastAsia" w:eastAsiaTheme="majorEastAsia" w:hAnsiTheme="majorEastAsia"/>
          <w:color w:val="auto"/>
          <w:sz w:val="18"/>
          <w:szCs w:val="18"/>
        </w:rPr>
        <w:t>申购</w:t>
      </w:r>
      <w:r>
        <w:rPr>
          <w:rFonts w:asciiTheme="majorEastAsia" w:eastAsiaTheme="majorEastAsia" w:hAnsiTheme="majorEastAsia" w:hint="eastAsia"/>
          <w:color w:val="auto"/>
          <w:sz w:val="18"/>
          <w:szCs w:val="18"/>
        </w:rPr>
        <w:t>、赎回</w:t>
      </w:r>
      <w:r>
        <w:rPr>
          <w:rFonts w:asciiTheme="majorEastAsia" w:eastAsiaTheme="majorEastAsia" w:hAnsiTheme="majorEastAsia"/>
          <w:color w:val="auto"/>
          <w:sz w:val="18"/>
          <w:szCs w:val="18"/>
        </w:rPr>
        <w:t>申请可以在对应</w:t>
      </w:r>
      <w:r>
        <w:rPr>
          <w:rFonts w:asciiTheme="majorEastAsia" w:eastAsiaTheme="majorEastAsia" w:hAnsiTheme="majorEastAsia" w:hint="eastAsia"/>
          <w:color w:val="auto"/>
          <w:sz w:val="18"/>
          <w:szCs w:val="18"/>
        </w:rPr>
        <w:t>开放日【17：00】</w:t>
      </w:r>
      <w:r>
        <w:rPr>
          <w:rFonts w:asciiTheme="majorEastAsia" w:eastAsiaTheme="majorEastAsia" w:hAnsiTheme="majorEastAsia"/>
          <w:color w:val="auto"/>
          <w:sz w:val="18"/>
          <w:szCs w:val="18"/>
        </w:rPr>
        <w:t>截止前撤销</w:t>
      </w:r>
      <w:r>
        <w:rPr>
          <w:rFonts w:asciiTheme="majorEastAsia" w:eastAsiaTheme="majorEastAsia" w:hAnsiTheme="majorEastAsia" w:hint="eastAsia"/>
          <w:color w:val="auto"/>
          <w:sz w:val="18"/>
          <w:szCs w:val="18"/>
        </w:rPr>
        <w:t>，</w:t>
      </w:r>
      <w:r>
        <w:rPr>
          <w:rFonts w:asciiTheme="majorEastAsia" w:eastAsiaTheme="majorEastAsia" w:hAnsiTheme="majorEastAsia"/>
          <w:color w:val="auto"/>
          <w:sz w:val="18"/>
          <w:szCs w:val="18"/>
        </w:rPr>
        <w:t>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360CB9" w:rsidRDefault="00712C96">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（五）拒绝或暂停申购的情形</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w:t>
      </w:r>
      <w:r>
        <w:rPr>
          <w:rFonts w:asciiTheme="majorEastAsia" w:eastAsiaTheme="majorEastAsia" w:hAnsiTheme="majorEastAsia"/>
          <w:color w:val="auto"/>
          <w:sz w:val="18"/>
          <w:szCs w:val="18"/>
        </w:rPr>
        <w:t>申购申请：</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.发生暂停理财资产估值情况时，产品管理人可暂停接受投资者的申购申请。</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.证券交易所或银行间市场在交易时间非正常停市，导致产品管理人无法计算当日理财资产净值。</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4</w:t>
      </w:r>
      <w:r>
        <w:rPr>
          <w:rFonts w:asciiTheme="majorEastAsia" w:eastAsiaTheme="majorEastAsia" w:hAnsiTheme="majorEastAsia" w:hint="eastAsia"/>
          <w:color w:val="auto"/>
          <w:sz w:val="18"/>
          <w:szCs w:val="18"/>
        </w:rPr>
        <w:t>.本产品出现当日净收益小于零的情形，为保护持有人的权益，产品管理人可暂停本产品的申购。</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5</w:t>
      </w:r>
      <w:r>
        <w:rPr>
          <w:rFonts w:asciiTheme="majorEastAsia" w:eastAsiaTheme="majorEastAsia" w:hAnsiTheme="majorEastAsia" w:hint="eastAsia"/>
          <w:color w:val="auto"/>
          <w:sz w:val="18"/>
          <w:szCs w:val="18"/>
        </w:rPr>
        <w:t>.产品管理人认为接受某笔或某些申购申请可能会影响或损害现有理财份额持有人权益时。</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6</w:t>
      </w:r>
      <w:r>
        <w:rPr>
          <w:rFonts w:asciiTheme="majorEastAsia" w:eastAsiaTheme="majorEastAsia" w:hAnsiTheme="majorEastAsia" w:hint="eastAsia"/>
          <w:color w:val="auto"/>
          <w:sz w:val="18"/>
          <w:szCs w:val="18"/>
        </w:rPr>
        <w:t>.理财产品规模过大，产品管理人无法找到合适的投资品种，或其他可能对理财业绩产生负面影响，从而损害现有理财份额持有人权益的情形。</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7</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8</w:t>
      </w:r>
      <w:r>
        <w:rPr>
          <w:rFonts w:asciiTheme="majorEastAsia" w:eastAsiaTheme="majorEastAsia" w:hAnsiTheme="majorEastAsia" w:hint="eastAsia"/>
          <w:color w:val="auto"/>
          <w:sz w:val="18"/>
          <w:szCs w:val="18"/>
        </w:rPr>
        <w:t>.法律法规规定或监管机构认定的其他情形。</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如果投资者的申购申请被拒绝，被拒绝的申购款项将退还给投资者。在暂停申购的情况消除时，产品管理人应及时恢复申购业务的办理。</w:t>
      </w:r>
    </w:p>
    <w:p w:rsidR="00360CB9" w:rsidRDefault="00712C96">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（六）暂停赎回或延缓支付赎回款项的情形</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发生下列情形时，产品管理人可暂停接受投资者的赎回申请或延缓支付赎回款项：</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.因不可抗力导致产品管理人不能支付赎回款项。</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.发生暂停理财资产估值情况时，产品管理人可暂停接受投资者的赎回申请或延缓支付赎回款项。</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.证券交易所或银行间市场在交易时间非正常停市，导致产品管理人无法计算当日理财资产净值。</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4</w:t>
      </w:r>
      <w:r>
        <w:rPr>
          <w:rFonts w:asciiTheme="majorEastAsia" w:eastAsiaTheme="majorEastAsia" w:hAnsiTheme="majorEastAsia" w:hint="eastAsia"/>
          <w:color w:val="auto"/>
          <w:sz w:val="18"/>
          <w:szCs w:val="18"/>
        </w:rPr>
        <w:t>.</w:t>
      </w:r>
      <w:r>
        <w:rPr>
          <w:rFonts w:asciiTheme="majorEastAsia" w:eastAsiaTheme="majorEastAsia" w:hAnsiTheme="majorEastAsia"/>
          <w:color w:val="auto"/>
          <w:sz w:val="18"/>
          <w:szCs w:val="18"/>
        </w:rPr>
        <w:t>证券交易所或银行间市场出现异常市场情况，管理人无法</w:t>
      </w:r>
      <w:r>
        <w:rPr>
          <w:rFonts w:asciiTheme="majorEastAsia" w:eastAsiaTheme="majorEastAsia" w:hAnsiTheme="majorEastAsia" w:hint="eastAsia"/>
          <w:color w:val="auto"/>
          <w:sz w:val="18"/>
          <w:szCs w:val="18"/>
        </w:rPr>
        <w:t>开展产品的</w:t>
      </w:r>
      <w:r>
        <w:rPr>
          <w:rFonts w:asciiTheme="majorEastAsia" w:eastAsiaTheme="majorEastAsia" w:hAnsiTheme="majorEastAsia"/>
          <w:color w:val="auto"/>
          <w:sz w:val="18"/>
          <w:szCs w:val="18"/>
        </w:rPr>
        <w:t>流动性</w:t>
      </w:r>
      <w:r>
        <w:rPr>
          <w:rFonts w:asciiTheme="majorEastAsia" w:eastAsiaTheme="majorEastAsia" w:hAnsiTheme="majorEastAsia" w:hint="eastAsia"/>
          <w:color w:val="auto"/>
          <w:sz w:val="18"/>
          <w:szCs w:val="18"/>
        </w:rPr>
        <w:t>管理</w:t>
      </w:r>
      <w:r>
        <w:rPr>
          <w:rFonts w:asciiTheme="majorEastAsia" w:eastAsiaTheme="majorEastAsia" w:hAnsiTheme="majorEastAsia"/>
          <w:color w:val="auto"/>
          <w:sz w:val="18"/>
          <w:szCs w:val="18"/>
        </w:rPr>
        <w:t>。</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5</w:t>
      </w:r>
      <w:r>
        <w:rPr>
          <w:rFonts w:asciiTheme="majorEastAsia" w:eastAsiaTheme="majorEastAsia" w:hAnsiTheme="majorEastAsia" w:hint="eastAsia"/>
          <w:color w:val="auto"/>
          <w:sz w:val="18"/>
          <w:szCs w:val="18"/>
        </w:rPr>
        <w:t>.本产品出现当日净收益小于零的情形，为保护持有人的权益，产品管理人可暂停本产品的赎回。</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6</w:t>
      </w:r>
      <w:r>
        <w:rPr>
          <w:rFonts w:asciiTheme="majorEastAsia" w:eastAsiaTheme="majorEastAsia" w:hAnsiTheme="majorEastAsia" w:hint="eastAsia"/>
          <w:color w:val="auto"/>
          <w:sz w:val="18"/>
          <w:szCs w:val="18"/>
        </w:rPr>
        <w:t>.发生单个投资者在赎回日申请赎回的理财产品份额超过限额的。</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7.发生巨额赎回。</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8.产品管理人和产品托管人的技术保障等异常情况导致理财销售系统或会计系统无法正常运行。</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9.证券交易所或银行间市场数据传输延迟、通讯系统故障、银行系统故障或其他非产品管理人及产品托管人所能控制的因素影响了产品运作流程。</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10.法律法规规定或监管机构认定的其他情形。</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bCs/>
          <w:sz w:val="18"/>
          <w:szCs w:val="18"/>
        </w:rPr>
        <w:lastRenderedPageBreak/>
        <w:t>延缓支付赎回款项</w:t>
      </w:r>
      <w:r>
        <w:rPr>
          <w:rFonts w:asciiTheme="majorEastAsia" w:eastAsiaTheme="majorEastAsia" w:hAnsiTheme="majorEastAsia" w:hint="eastAsia"/>
          <w:bCs/>
          <w:sz w:val="18"/>
          <w:szCs w:val="18"/>
        </w:rPr>
        <w:t>的</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已经确认</w:t>
      </w:r>
      <w:r>
        <w:rPr>
          <w:rFonts w:asciiTheme="majorEastAsia" w:eastAsiaTheme="majorEastAsia" w:hAnsiTheme="majorEastAsia"/>
          <w:bCs/>
          <w:sz w:val="18"/>
          <w:szCs w:val="18"/>
        </w:rPr>
        <w:t>的赎回申请的</w:t>
      </w:r>
      <w:r>
        <w:rPr>
          <w:rFonts w:asciiTheme="majorEastAsia" w:eastAsiaTheme="majorEastAsia" w:hAnsiTheme="majorEastAsia" w:hint="eastAsia"/>
          <w:bCs/>
          <w:sz w:val="18"/>
          <w:szCs w:val="18"/>
        </w:rPr>
        <w:t>相应赎回</w:t>
      </w:r>
      <w:r>
        <w:rPr>
          <w:rFonts w:asciiTheme="majorEastAsia" w:eastAsiaTheme="majorEastAsia" w:hAnsiTheme="majorEastAsia"/>
          <w:bCs/>
          <w:sz w:val="18"/>
          <w:szCs w:val="18"/>
        </w:rPr>
        <w:t>款项将会在不超过20个工作日内支付</w:t>
      </w:r>
      <w:r>
        <w:rPr>
          <w:rFonts w:asciiTheme="majorEastAsia" w:eastAsiaTheme="majorEastAsia" w:hAnsiTheme="majorEastAsia" w:hint="eastAsia"/>
          <w:bCs/>
          <w:sz w:val="18"/>
          <w:szCs w:val="18"/>
        </w:rPr>
        <w:t>至</w:t>
      </w:r>
      <w:r>
        <w:rPr>
          <w:rFonts w:asciiTheme="majorEastAsia" w:eastAsiaTheme="majorEastAsia" w:hAnsiTheme="majorEastAsia"/>
          <w:bCs/>
          <w:sz w:val="18"/>
          <w:szCs w:val="18"/>
        </w:rPr>
        <w:t>投资者</w:t>
      </w:r>
      <w:r>
        <w:rPr>
          <w:rFonts w:asciiTheme="majorEastAsia" w:eastAsiaTheme="majorEastAsia" w:hAnsiTheme="majorEastAsia" w:hint="eastAsia"/>
          <w:bCs/>
          <w:sz w:val="18"/>
          <w:szCs w:val="18"/>
        </w:rPr>
        <w:t>。</w:t>
      </w:r>
      <w:r>
        <w:rPr>
          <w:rFonts w:asciiTheme="majorEastAsia" w:eastAsiaTheme="majorEastAsia" w:hAnsiTheme="majorEastAsia" w:hint="eastAsia"/>
          <w:color w:val="auto"/>
          <w:sz w:val="18"/>
          <w:szCs w:val="18"/>
        </w:rPr>
        <w:t>在暂停赎回或延缓支付赎回款项的情况消除时，产品管理人应及时恢复赎回或支付业务赎回款项的办理。</w:t>
      </w:r>
    </w:p>
    <w:p w:rsidR="00360CB9" w:rsidRDefault="00712C96">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（七）巨额赎回的情形及</w:t>
      </w:r>
      <w:r>
        <w:rPr>
          <w:rFonts w:asciiTheme="majorEastAsia" w:eastAsiaTheme="majorEastAsia" w:hAnsiTheme="majorEastAsia"/>
          <w:b/>
          <w:color w:val="auto"/>
          <w:sz w:val="18"/>
          <w:szCs w:val="18"/>
        </w:rPr>
        <w:t>处理方式</w:t>
      </w:r>
    </w:p>
    <w:p w:rsidR="00360CB9" w:rsidRDefault="00712C96">
      <w:pPr>
        <w:widowControl/>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巨额赎回的认定</w:t>
      </w:r>
    </w:p>
    <w:p w:rsidR="00360CB9" w:rsidRDefault="00712C96">
      <w:pPr>
        <w:widowControl/>
        <w:spacing w:line="360" w:lineRule="auto"/>
        <w:ind w:firstLineChars="200" w:firstLine="36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详见《产品说明书》“第二条 理财产品基本情况”。</w:t>
      </w:r>
    </w:p>
    <w:p w:rsidR="00360CB9" w:rsidRDefault="00712C96">
      <w:pPr>
        <w:widowControl/>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巨额赎回的处理方式</w:t>
      </w:r>
    </w:p>
    <w:p w:rsidR="00360CB9" w:rsidRDefault="00712C96">
      <w:pPr>
        <w:widowControl/>
        <w:spacing w:line="360" w:lineRule="auto"/>
        <w:ind w:firstLineChars="200" w:firstLine="360"/>
        <w:jc w:val="left"/>
        <w:rPr>
          <w:rFonts w:asciiTheme="minorEastAsia" w:hAnsiTheme="minorEastAsia"/>
          <w:bCs/>
          <w:sz w:val="18"/>
          <w:szCs w:val="18"/>
        </w:rPr>
      </w:pPr>
      <w:r>
        <w:rPr>
          <w:rFonts w:asciiTheme="majorEastAsia" w:eastAsiaTheme="majorEastAsia" w:hAnsiTheme="majorEastAsia" w:hint="eastAsia"/>
          <w:bCs/>
          <w:sz w:val="18"/>
          <w:szCs w:val="18"/>
        </w:rPr>
        <w:t>出现巨额赎回时，产品管理人有权决定：（1）申购申请不得撤销；（2）</w:t>
      </w:r>
      <w:r>
        <w:rPr>
          <w:rFonts w:asciiTheme="majorEastAsia" w:eastAsiaTheme="majorEastAsia" w:hAnsiTheme="majorEastAsia"/>
          <w:bCs/>
          <w:sz w:val="18"/>
          <w:szCs w:val="18"/>
        </w:rPr>
        <w:t>不接受</w:t>
      </w:r>
      <w:r>
        <w:rPr>
          <w:rFonts w:asciiTheme="majorEastAsia" w:eastAsiaTheme="majorEastAsia" w:hAnsiTheme="majorEastAsia" w:hint="eastAsia"/>
          <w:bCs/>
          <w:sz w:val="18"/>
          <w:szCs w:val="18"/>
        </w:rPr>
        <w:t>超出部分的净赎回申请，但投资者可于下一开放日重新进行赎回申请；（</w:t>
      </w:r>
      <w:r>
        <w:rPr>
          <w:rFonts w:asciiTheme="majorEastAsia" w:eastAsiaTheme="majorEastAsia" w:hAnsiTheme="majorEastAsia"/>
          <w:bCs/>
          <w:sz w:val="18"/>
          <w:szCs w:val="18"/>
        </w:rPr>
        <w:t>3）延缓支付赎回款项</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如产品管理人认为有必要，</w:t>
      </w:r>
      <w:r>
        <w:rPr>
          <w:rFonts w:asciiTheme="majorEastAsia" w:eastAsiaTheme="majorEastAsia" w:hAnsiTheme="majorEastAsia" w:hint="eastAsia"/>
          <w:bCs/>
          <w:sz w:val="18"/>
          <w:szCs w:val="18"/>
        </w:rPr>
        <w:t>针对</w:t>
      </w:r>
      <w:r>
        <w:rPr>
          <w:rFonts w:asciiTheme="majorEastAsia" w:eastAsiaTheme="majorEastAsia" w:hAnsiTheme="majorEastAsia"/>
          <w:bCs/>
          <w:sz w:val="18"/>
          <w:szCs w:val="18"/>
        </w:rPr>
        <w:t>已经</w:t>
      </w:r>
      <w:r>
        <w:rPr>
          <w:rFonts w:asciiTheme="majorEastAsia" w:eastAsiaTheme="majorEastAsia" w:hAnsiTheme="majorEastAsia" w:hint="eastAsia"/>
          <w:bCs/>
          <w:sz w:val="18"/>
          <w:szCs w:val="18"/>
        </w:rPr>
        <w:t>确认</w:t>
      </w:r>
      <w:r>
        <w:rPr>
          <w:rFonts w:asciiTheme="majorEastAsia" w:eastAsiaTheme="majorEastAsia" w:hAnsiTheme="majorEastAsia"/>
          <w:bCs/>
          <w:sz w:val="18"/>
          <w:szCs w:val="18"/>
        </w:rPr>
        <w:t>的赎回申请</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可以延缓支付赎回款项。延缓支付赎回款项</w:t>
      </w:r>
      <w:r>
        <w:rPr>
          <w:rFonts w:asciiTheme="majorEastAsia" w:eastAsiaTheme="majorEastAsia" w:hAnsiTheme="majorEastAsia" w:hint="eastAsia"/>
          <w:bCs/>
          <w:sz w:val="18"/>
          <w:szCs w:val="18"/>
        </w:rPr>
        <w:t>的</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已经确认</w:t>
      </w:r>
      <w:r>
        <w:rPr>
          <w:rFonts w:asciiTheme="majorEastAsia" w:eastAsiaTheme="majorEastAsia" w:hAnsiTheme="majorEastAsia"/>
          <w:bCs/>
          <w:sz w:val="18"/>
          <w:szCs w:val="18"/>
        </w:rPr>
        <w:t>的赎回申请的</w:t>
      </w:r>
      <w:r>
        <w:rPr>
          <w:rFonts w:asciiTheme="majorEastAsia" w:eastAsiaTheme="majorEastAsia" w:hAnsiTheme="majorEastAsia" w:hint="eastAsia"/>
          <w:bCs/>
          <w:sz w:val="18"/>
          <w:szCs w:val="18"/>
        </w:rPr>
        <w:t>相应赎回</w:t>
      </w:r>
      <w:r>
        <w:rPr>
          <w:rFonts w:asciiTheme="majorEastAsia" w:eastAsiaTheme="majorEastAsia" w:hAnsiTheme="majorEastAsia"/>
          <w:bCs/>
          <w:sz w:val="18"/>
          <w:szCs w:val="18"/>
        </w:rPr>
        <w:t>款项将会在不超过20个工作日内支付</w:t>
      </w:r>
      <w:r>
        <w:rPr>
          <w:rFonts w:asciiTheme="majorEastAsia" w:eastAsiaTheme="majorEastAsia" w:hAnsiTheme="majorEastAsia" w:hint="eastAsia"/>
          <w:bCs/>
          <w:sz w:val="18"/>
          <w:szCs w:val="18"/>
        </w:rPr>
        <w:t>至</w:t>
      </w:r>
      <w:r>
        <w:rPr>
          <w:rFonts w:asciiTheme="majorEastAsia" w:eastAsiaTheme="majorEastAsia" w:hAnsiTheme="majorEastAsia"/>
          <w:bCs/>
          <w:sz w:val="18"/>
          <w:szCs w:val="18"/>
        </w:rPr>
        <w:t>投资者</w:t>
      </w:r>
      <w:r>
        <w:rPr>
          <w:rFonts w:asciiTheme="majorEastAsia" w:eastAsiaTheme="majorEastAsia" w:hAnsiTheme="majorEastAsia" w:hint="eastAsia"/>
          <w:bCs/>
          <w:sz w:val="18"/>
          <w:szCs w:val="18"/>
        </w:rPr>
        <w:t>；</w:t>
      </w:r>
      <w:r>
        <w:rPr>
          <w:rFonts w:asciiTheme="minorEastAsia" w:hAnsiTheme="minorEastAsia" w:hint="eastAsia"/>
          <w:bCs/>
          <w:sz w:val="18"/>
          <w:szCs w:val="18"/>
        </w:rPr>
        <w:t>（4）理财产品连续两个开放日（含）发生因巨额赎回导致拒绝赎回情况的，产品管理人可暂停接受投资者的赎回申请。投资者根据产品管理人披露的开放日可重新进行申购和赎回；</w:t>
      </w:r>
      <w:r>
        <w:rPr>
          <w:rFonts w:asciiTheme="majorEastAsia" w:eastAsiaTheme="majorEastAsia" w:hAnsiTheme="majorEastAsia" w:hint="eastAsia"/>
          <w:bCs/>
          <w:sz w:val="18"/>
          <w:szCs w:val="18"/>
        </w:rPr>
        <w:t>（5）法律法规规定或监管机构规定的其他措施。</w:t>
      </w:r>
    </w:p>
    <w:p w:rsidR="00360CB9" w:rsidRDefault="00712C96">
      <w:pPr>
        <w:widowControl/>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巨额赎回的公告</w:t>
      </w:r>
    </w:p>
    <w:p w:rsidR="00360CB9" w:rsidRDefault="00712C9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在发生巨额赎回产品管理人暂停接受投资者赎回申请时，产品管理人将依约定发布相关公告信息。</w:t>
      </w:r>
    </w:p>
    <w:p w:rsidR="00360CB9" w:rsidRDefault="00712C96">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（八）日期遇非工作日的调整</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rsidR="00360CB9" w:rsidRDefault="00712C96">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（九）投资者持有理财份额的限额和理财产品总规模限额</w:t>
      </w:r>
    </w:p>
    <w:p w:rsidR="00360CB9" w:rsidRDefault="00712C96">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360CB9" w:rsidRDefault="00712C96">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p w:rsidR="00360CB9" w:rsidRDefault="00712C96">
      <w:pPr>
        <w:pStyle w:val="1"/>
        <w:spacing w:before="0" w:after="0" w:line="360" w:lineRule="auto"/>
        <w:jc w:val="center"/>
        <w:rPr>
          <w:rFonts w:ascii="Times New Roman"/>
          <w:sz w:val="30"/>
        </w:rPr>
      </w:pPr>
      <w:bookmarkStart w:id="12" w:name="_Toc3266"/>
      <w:bookmarkStart w:id="13" w:name="_Toc90742321"/>
      <w:bookmarkStart w:id="14" w:name="_Toc7151"/>
      <w:bookmarkStart w:id="15" w:name="_Toc90742688"/>
      <w:bookmarkStart w:id="16" w:name="_Toc2561"/>
      <w:bookmarkStart w:id="17" w:name="_Toc27189"/>
      <w:bookmarkStart w:id="18" w:name="_Toc79154668"/>
      <w:bookmarkStart w:id="19" w:name="_Toc29948"/>
      <w:bookmarkStart w:id="20" w:name="_Toc6714"/>
      <w:bookmarkStart w:id="21" w:name="_Toc15203"/>
      <w:bookmarkStart w:id="22" w:name="_Toc16265"/>
      <w:bookmarkStart w:id="23" w:name="_Toc90742390"/>
      <w:bookmarkStart w:id="24" w:name="_Toc29784"/>
      <w:bookmarkStart w:id="25" w:name="_Toc74065741"/>
      <w:bookmarkStart w:id="26" w:name="_Toc22074"/>
      <w:bookmarkStart w:id="27" w:name="_Toc27226"/>
      <w:bookmarkEnd w:id="7"/>
      <w:r>
        <w:rPr>
          <w:rFonts w:ascii="Times New Roman"/>
          <w:sz w:val="30"/>
        </w:rPr>
        <w:lastRenderedPageBreak/>
        <w:t>第</w:t>
      </w:r>
      <w:r>
        <w:rPr>
          <w:rFonts w:ascii="Times New Roman" w:hint="eastAsia"/>
          <w:sz w:val="30"/>
        </w:rPr>
        <w:t>五条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360CB9" w:rsidRDefault="00712C96">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w:t>
      </w:r>
      <w:r>
        <w:rPr>
          <w:rFonts w:asciiTheme="majorEastAsia" w:eastAsiaTheme="majorEastAsia" w:hAnsiTheme="majorEastAsia"/>
          <w:color w:val="auto"/>
          <w:sz w:val="18"/>
          <w:szCs w:val="18"/>
        </w:rPr>
        <w:t>固定收益类产品</w:t>
      </w:r>
      <w:r>
        <w:rPr>
          <w:rFonts w:asciiTheme="majorEastAsia" w:eastAsiaTheme="majorEastAsia" w:hAnsiTheme="majorEastAsia" w:hint="eastAsia"/>
          <w:color w:val="auto"/>
          <w:sz w:val="18"/>
          <w:szCs w:val="18"/>
        </w:rPr>
        <w:t>，在</w:t>
      </w:r>
      <w:r>
        <w:rPr>
          <w:rFonts w:asciiTheme="minorEastAsia" w:eastAsiaTheme="minorEastAsia" w:hAnsiTheme="minorEastAsia" w:hint="eastAsia"/>
          <w:color w:val="auto"/>
          <w:sz w:val="18"/>
          <w:szCs w:val="18"/>
        </w:rPr>
        <w:t>保持理财资产的低风险和高流动性的前提下，力争实现超越业绩比较基准的投资回报。</w:t>
      </w:r>
    </w:p>
    <w:p w:rsidR="00360CB9" w:rsidRDefault="00712C96">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（实际可投资范围根据法律法规及监管规定进行调整）</w:t>
      </w:r>
      <w:r>
        <w:rPr>
          <w:rFonts w:asciiTheme="majorEastAsia" w:eastAsiaTheme="majorEastAsia" w:hAnsiTheme="majorEastAsia"/>
          <w:bCs/>
          <w:sz w:val="18"/>
          <w:szCs w:val="18"/>
        </w:rPr>
        <w:t>：</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（1）现金；</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（2）期限在1年以内（含1年）的银行存款、债券回购、中央银行票据、同业存单；</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（3）剩余期限在397天以内（含397天）的债券、在银行间市场和证券交易所市场发行的资产支持证券；</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（4）银保监会、中国人民银行认可的其他具有良好流动性的货币市场工具。</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.投资组合比例：本产品投资于固定收益类资产的比例不低于产品总资产的</w:t>
      </w:r>
      <w:r>
        <w:rPr>
          <w:rFonts w:asciiTheme="majorEastAsia" w:eastAsiaTheme="majorEastAsia" w:hAnsiTheme="majorEastAsia"/>
          <w:bCs/>
          <w:sz w:val="18"/>
          <w:szCs w:val="18"/>
        </w:rPr>
        <w:t>80%</w:t>
      </w:r>
      <w:r>
        <w:rPr>
          <w:rFonts w:asciiTheme="majorEastAsia" w:eastAsiaTheme="majorEastAsia" w:hAnsiTheme="majorEastAsia" w:hint="eastAsia"/>
          <w:bCs/>
          <w:sz w:val="18"/>
          <w:szCs w:val="18"/>
        </w:rPr>
        <w:t>。</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4.如果法律法规对本</w:t>
      </w:r>
      <w:r>
        <w:rPr>
          <w:rFonts w:asciiTheme="majorEastAsia" w:eastAsiaTheme="majorEastAsia" w:hAnsiTheme="majorEastAsia"/>
          <w:bCs/>
          <w:sz w:val="18"/>
          <w:szCs w:val="18"/>
        </w:rPr>
        <w:t>说明书</w:t>
      </w:r>
      <w:r>
        <w:rPr>
          <w:rFonts w:asciiTheme="majorEastAsia" w:eastAsiaTheme="majorEastAsia" w:hAnsiTheme="majorEastAsia" w:hint="eastAsia"/>
          <w:bCs/>
          <w:sz w:val="18"/>
          <w:szCs w:val="18"/>
        </w:rPr>
        <w:t>约定投资组合比例限制进行变更的，以变更后的规定为准。</w:t>
      </w:r>
    </w:p>
    <w:p w:rsidR="00360CB9" w:rsidRDefault="00712C96">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r>
        <w:rPr>
          <w:rFonts w:ascii="黑体" w:eastAsia="黑体" w:hAnsi="黑体" w:hint="eastAsia"/>
          <w:bCs/>
          <w:sz w:val="18"/>
          <w:szCs w:val="18"/>
        </w:rPr>
        <w:t>个月内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金融市场发生重大变化导致理财产品投资比例暂时超出浮动区间且可能对理财产品收益产生重大影响的，产品管理人依约定及时向投资者进行信息披露。</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eastAsia="黑体" w:hAnsi="黑体"/>
          <w:bCs/>
          <w:sz w:val="18"/>
          <w:szCs w:val="18"/>
        </w:rPr>
        <w:t>投资者有权不接受变更</w:t>
      </w:r>
      <w:r>
        <w:rPr>
          <w:rFonts w:ascii="黑体" w:eastAsia="黑体" w:hAnsi="黑体" w:hint="eastAsia"/>
          <w:bCs/>
          <w:sz w:val="18"/>
          <w:szCs w:val="18"/>
        </w:rPr>
        <w:t>，并通过赎回退出本产品。</w:t>
      </w:r>
    </w:p>
    <w:p w:rsidR="00360CB9" w:rsidRDefault="00712C96">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w:t>
      </w:r>
      <w:r>
        <w:rPr>
          <w:rFonts w:ascii="黑体" w:eastAsia="黑体" w:hAnsi="黑体"/>
          <w:bCs/>
          <w:sz w:val="18"/>
          <w:szCs w:val="18"/>
        </w:rPr>
        <w:lastRenderedPageBreak/>
        <w:t>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360CB9" w:rsidRDefault="00712C96">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360CB9" w:rsidRDefault="00712C96">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360CB9" w:rsidRDefault="00712C96">
      <w:pPr>
        <w:widowControl/>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（1）本产品不得投资于以下金融工具：</w:t>
      </w:r>
    </w:p>
    <w:p w:rsidR="00360CB9" w:rsidRDefault="00712C96">
      <w:pPr>
        <w:widowControl/>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1）股票；</w:t>
      </w:r>
    </w:p>
    <w:p w:rsidR="00360CB9" w:rsidRDefault="00712C96">
      <w:pPr>
        <w:widowControl/>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2）可转换债券、可交换债券；</w:t>
      </w:r>
    </w:p>
    <w:p w:rsidR="00360CB9" w:rsidRDefault="00712C96">
      <w:pPr>
        <w:widowControl/>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3）以定期存款利率为基准利率的浮动利率债券，已进入最后一个利率调整期的除外；</w:t>
      </w:r>
    </w:p>
    <w:p w:rsidR="00360CB9" w:rsidRDefault="00712C96">
      <w:pPr>
        <w:widowControl/>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4）信用等级在AA+以下的债券、资产支持证券；</w:t>
      </w:r>
    </w:p>
    <w:p w:rsidR="00360CB9" w:rsidRDefault="00712C96">
      <w:pPr>
        <w:widowControl/>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5）银保监会、中国人民银行禁止投资的其他金融工具。</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（2）本产品投资于同一机构发行的债券及其作为原始权益人的资产支持证券的比例合计不得超过产品资产净值的10%，投资于国债、中央银行票据、政策性金融债券的除外。</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本产品投资于所有主体信用评级低于AAA的机构发行的金融工具的比例合计不得超过产品资产净值的10%，其中单一机构发行的金融工具的比例合计不得超过产品资产净值的2%。金融工具包括债券、银行存款、同业存单、相关机构作为原始权益人的资产支持证券及银保监会认可的其他金融工具。</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本产品投资于有固定期限银行存款的比例合计不得超过产品资产净值的30%，投资于有存款期限，根据协议可提前支取的银行存款除外；投资于主体信用评级为AAA的同一商业银行的银行存款、同业存单占产品资产净值的比例合计不得超过20%。</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（5）本产品管理人全部现金管理类理财产品投资于同一商业银行的存款、同业存单和债券，不得超过该商业银行最近一个季度末净资产的10%。</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（6）本产品投资于主体信用评级低于AA+的商业银行的银行存款与同业存单的，应当经产品管理人董事会审议批准，事先告知托管人，并作为重大事项履行信息披露程序。</w:t>
      </w:r>
    </w:p>
    <w:p w:rsidR="00360CB9" w:rsidRDefault="00712C96">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（7）本产品直接投资于流动性受限资产的市值在开放日不得超过该产品资产净值的15%。</w:t>
      </w:r>
    </w:p>
    <w:p w:rsidR="00360CB9" w:rsidRDefault="00712C96">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因证券市场波动、上市公司股票停牌、理财产品规模变动等因素导致理财产品不符合本款规定比例限制的，该理财产品不得主动新增投资流动性受限资产。</w:t>
      </w:r>
    </w:p>
    <w:p w:rsidR="00360CB9" w:rsidRDefault="00712C96">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8）开放式公募理财产品定期开放周期不低于90天的，在开放日及开放日前7个工作日内持有不低于该产品资产净值5%的现金或者到期日在一年以内的国债、中央银行票据和政策性金融债券。其他开放式公募理财产品均应当持续符合前款比例要求。</w:t>
      </w:r>
    </w:p>
    <w:p w:rsidR="00360CB9" w:rsidRDefault="00360CB9">
      <w:pPr>
        <w:spacing w:line="360" w:lineRule="auto"/>
        <w:ind w:firstLineChars="200" w:firstLine="360"/>
        <w:rPr>
          <w:rFonts w:asciiTheme="majorEastAsia" w:eastAsiaTheme="majorEastAsia" w:hAnsiTheme="majorEastAsia"/>
          <w:bCs/>
          <w:kern w:val="0"/>
          <w:sz w:val="18"/>
          <w:szCs w:val="18"/>
        </w:rPr>
      </w:pPr>
    </w:p>
    <w:p w:rsidR="00360CB9" w:rsidRDefault="00712C96">
      <w:pPr>
        <w:widowControl/>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kern w:val="0"/>
          <w:sz w:val="18"/>
          <w:szCs w:val="18"/>
        </w:rPr>
        <w:lastRenderedPageBreak/>
        <w:t>（9）本产品每日确认且需当日支付的净赎回申请不超过前一工作日产品7个工作日可变现资产的可变现价值，银保监会另有规定的除外。在开放日前一工作日内，本 产品7个工作日可变现资产的可变现价值应当不低于该产品资产净值的10%。</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非主观因素导致突破前款各项比例限制的，产品管理人应当在10个交易日内调整至符合要求，银保监会规定的特殊情形除外。</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bCs/>
          <w:sz w:val="18"/>
          <w:szCs w:val="18"/>
        </w:rPr>
        <w:t>本</w:t>
      </w:r>
      <w:r>
        <w:rPr>
          <w:rFonts w:asciiTheme="majorEastAsia" w:eastAsiaTheme="majorEastAsia" w:hAnsiTheme="majorEastAsia" w:hint="eastAsia"/>
          <w:bCs/>
          <w:sz w:val="18"/>
          <w:szCs w:val="18"/>
        </w:rPr>
        <w:t>产品持有足够的具有良好流动性的资产，投资组合符合以下要求：</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（1）本产品持有不低于产品资产净值5%的现金、国债、中央银行票据、政策性金融债券；</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（2）本产品持有不低于产品资产净值10%的现金、国债、中央银行票据、政策性金融债券以及五个交易日内到期的其他金融工具；</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本产品投资到期日在10个交易日以上的债券买入返售、银行定期存款（含协议约定有条件提前支取的银行存款），以及资产支持证券、因发行人债务违约无法进行转让或者交易的债券等由于法律法规、合同或者操作障碍等原因无法以合理价格予以变现的流动性受限资产，合计不得超过产品资产净值的10%；</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（4）本产品的杠杆水平不得超过120%，发生巨额赎回、连续3个交易日累计赎回20%以上或者连续5个交易日累计赎回30%以上的情形除外。</w:t>
      </w:r>
    </w:p>
    <w:p w:rsidR="00360CB9" w:rsidRDefault="00712C96">
      <w:pPr>
        <w:widowControl/>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非主观因素导致突破前款第（2）（4）项比例限制的，</w:t>
      </w:r>
      <w:r>
        <w:rPr>
          <w:rFonts w:asciiTheme="majorEastAsia" w:eastAsiaTheme="majorEastAsia" w:hAnsiTheme="majorEastAsia"/>
          <w:bCs/>
          <w:sz w:val="18"/>
          <w:szCs w:val="18"/>
        </w:rPr>
        <w:t>产品管理人</w:t>
      </w:r>
      <w:r>
        <w:rPr>
          <w:rFonts w:asciiTheme="majorEastAsia" w:eastAsiaTheme="majorEastAsia" w:hAnsiTheme="majorEastAsia" w:hint="eastAsia"/>
          <w:bCs/>
          <w:sz w:val="18"/>
          <w:szCs w:val="18"/>
        </w:rPr>
        <w:t>应当在10个交易日内调整至符合要求；非主观因素导致突破前款第（3）项比例限制的，</w:t>
      </w:r>
      <w:r>
        <w:rPr>
          <w:rFonts w:asciiTheme="majorEastAsia" w:eastAsiaTheme="majorEastAsia" w:hAnsiTheme="majorEastAsia"/>
          <w:bCs/>
          <w:sz w:val="18"/>
          <w:szCs w:val="18"/>
        </w:rPr>
        <w:t>产品管理人</w:t>
      </w:r>
      <w:r>
        <w:rPr>
          <w:rFonts w:asciiTheme="majorEastAsia" w:eastAsiaTheme="majorEastAsia" w:hAnsiTheme="majorEastAsia" w:hint="eastAsia"/>
          <w:bCs/>
          <w:sz w:val="18"/>
          <w:szCs w:val="18"/>
        </w:rPr>
        <w:t>不得主动新增流动性受限资产的投资。</w:t>
      </w:r>
    </w:p>
    <w:p w:rsidR="00360CB9" w:rsidRDefault="00712C96">
      <w:pPr>
        <w:widowControl/>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w:t>
      </w:r>
      <w:r>
        <w:rPr>
          <w:rFonts w:asciiTheme="majorEastAsia" w:eastAsiaTheme="majorEastAsia" w:hAnsiTheme="majorEastAsia"/>
          <w:bCs/>
          <w:kern w:val="0"/>
          <w:sz w:val="18"/>
          <w:szCs w:val="18"/>
        </w:rPr>
        <w:t>.</w:t>
      </w:r>
      <w:r>
        <w:rPr>
          <w:rFonts w:asciiTheme="majorEastAsia" w:eastAsiaTheme="majorEastAsia" w:hAnsiTheme="majorEastAsia" w:hint="eastAsia"/>
          <w:bCs/>
          <w:kern w:val="0"/>
          <w:sz w:val="18"/>
          <w:szCs w:val="18"/>
        </w:rPr>
        <w:t>产品投资组合的平均剩余期限不得超过</w:t>
      </w:r>
      <w:r>
        <w:rPr>
          <w:rFonts w:asciiTheme="majorEastAsia" w:eastAsiaTheme="majorEastAsia" w:hAnsiTheme="majorEastAsia"/>
          <w:bCs/>
          <w:kern w:val="0"/>
          <w:sz w:val="18"/>
          <w:szCs w:val="18"/>
        </w:rPr>
        <w:t>120天，平均剩余存续期限不得超过240天。</w:t>
      </w:r>
    </w:p>
    <w:p w:rsidR="00360CB9" w:rsidRDefault="00712C96">
      <w:pPr>
        <w:widowControl/>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4</w:t>
      </w:r>
      <w:r>
        <w:rPr>
          <w:rFonts w:asciiTheme="majorEastAsia" w:eastAsiaTheme="majorEastAsia" w:hAnsiTheme="majorEastAsia"/>
          <w:bCs/>
          <w:kern w:val="0"/>
          <w:sz w:val="18"/>
          <w:szCs w:val="18"/>
        </w:rPr>
        <w:t>.产品管理人对产品的投资者</w:t>
      </w:r>
      <w:r>
        <w:rPr>
          <w:rFonts w:asciiTheme="majorEastAsia" w:eastAsiaTheme="majorEastAsia" w:hAnsiTheme="majorEastAsia" w:hint="eastAsia"/>
          <w:bCs/>
          <w:kern w:val="0"/>
          <w:sz w:val="18"/>
          <w:szCs w:val="18"/>
        </w:rPr>
        <w:t>集中度实施严格的监控与管理，并根据投资者集中度情况对投资组合实施调整：</w:t>
      </w:r>
    </w:p>
    <w:p w:rsidR="00360CB9" w:rsidRDefault="00712C96">
      <w:pPr>
        <w:widowControl/>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当前10名投资者的持有份额合计超过产品总份额的50%时,投资组合的平均剩余期限不得超过60天,平均剩余存续期限不得超过120天，投资组合中现金、国债、中央银行票据、政策性金融债券以及5个交易日内到期的其他金融工具占产品资产净值的比例合计不得低于30%;</w:t>
      </w:r>
    </w:p>
    <w:p w:rsidR="00360CB9" w:rsidRDefault="00712C96">
      <w:pPr>
        <w:widowControl/>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当前10名投资者的持有份额合计超过产品总份额的20%时,投资组合的平均剩余期限不得超过90天,平均剩余存续期限不得超过180天,投资组合中现金、国债、中央银行票据、政策性金融债券以及5个交易日内到期的其他金融工具占该产品资产净值的比例合计不得低于20%。</w:t>
      </w:r>
    </w:p>
    <w:p w:rsidR="00360CB9" w:rsidRDefault="00712C96">
      <w:pPr>
        <w:widowControl/>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非因管理人主观因素导致突破前款第(1)(2)项比例限制的，管理人应当在10个交易日内调整至符合要求,银保监会规定的特殊情形除外。</w:t>
      </w:r>
    </w:p>
    <w:p w:rsidR="00360CB9" w:rsidRDefault="00712C96">
      <w:pPr>
        <w:spacing w:line="360" w:lineRule="auto"/>
        <w:ind w:firstLineChars="200" w:firstLine="360"/>
        <w:rPr>
          <w:rFonts w:ascii="宋体" w:hAnsi="宋体"/>
          <w:bCs/>
          <w:sz w:val="18"/>
          <w:szCs w:val="18"/>
        </w:rPr>
      </w:pPr>
      <w:r>
        <w:rPr>
          <w:rFonts w:ascii="宋体" w:hAnsi="宋体" w:hint="eastAsia"/>
          <w:bCs/>
          <w:sz w:val="18"/>
          <w:szCs w:val="18"/>
        </w:rPr>
        <w:t>5</w:t>
      </w:r>
      <w:r>
        <w:rPr>
          <w:rFonts w:ascii="宋体" w:hAnsi="宋体"/>
          <w:bCs/>
          <w:sz w:val="18"/>
          <w:szCs w:val="18"/>
        </w:rPr>
        <w:t>.</w:t>
      </w:r>
      <w:r>
        <w:rPr>
          <w:rFonts w:ascii="宋体" w:hAnsi="宋体" w:hint="eastAsia"/>
          <w:bCs/>
          <w:sz w:val="18"/>
          <w:szCs w:val="18"/>
        </w:rPr>
        <w:t>其他投资限制：</w:t>
      </w:r>
    </w:p>
    <w:p w:rsidR="00360CB9" w:rsidRDefault="00712C96">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360CB9" w:rsidRDefault="00712C96">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360CB9" w:rsidRDefault="00712C96">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360CB9" w:rsidRDefault="00712C96">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360CB9" w:rsidRDefault="00712C96">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360CB9" w:rsidRDefault="00712C96">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6.</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360CB9" w:rsidRDefault="00712C96">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360CB9" w:rsidRDefault="00712C96">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本产品根据对短期利率变动的预测，采用投资组合平均剩余期限控制下的主动性投资策略，利用定性分析和定量分析方法，通过对短期金融工具的积极投资，在控制风险和保证流动性的基础上，力争获得稳定的当期收益。</w:t>
      </w:r>
    </w:p>
    <w:p w:rsidR="00360CB9" w:rsidRDefault="00712C96">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 xml:space="preserve">（五）业绩比较基准 </w:t>
      </w:r>
    </w:p>
    <w:p w:rsidR="00360CB9" w:rsidRDefault="00712C96">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 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360CB9" w:rsidRDefault="00712C96">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“第二条 理财产品基本情况”</w:t>
      </w:r>
      <w:r>
        <w:rPr>
          <w:rFonts w:asciiTheme="majorEastAsia" w:eastAsiaTheme="majorEastAsia" w:hAnsiTheme="majorEastAsia" w:hint="eastAsia"/>
          <w:sz w:val="18"/>
          <w:szCs w:val="18"/>
        </w:rPr>
        <w:t>为准。</w:t>
      </w:r>
    </w:p>
    <w:p w:rsidR="00360CB9" w:rsidRDefault="00712C96">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产品管理人不设置</w:t>
      </w:r>
      <w:r>
        <w:rPr>
          <w:rFonts w:asciiTheme="majorEastAsia" w:eastAsiaTheme="majorEastAsia" w:hAnsiTheme="majorEastAsia"/>
          <w:sz w:val="18"/>
          <w:szCs w:val="18"/>
        </w:rPr>
        <w:t>业绩比较基准</w:t>
      </w:r>
      <w:r>
        <w:rPr>
          <w:rFonts w:asciiTheme="majorEastAsia" w:eastAsiaTheme="majorEastAsia" w:hAnsiTheme="majorEastAsia" w:hint="eastAsia"/>
          <w:kern w:val="0"/>
          <w:sz w:val="18"/>
          <w:szCs w:val="18"/>
        </w:rPr>
        <w:t>。</w:t>
      </w:r>
    </w:p>
    <w:p w:rsidR="00360CB9" w:rsidRDefault="00712C96">
      <w:pPr>
        <w:autoSpaceDE w:val="0"/>
        <w:autoSpaceDN w:val="0"/>
        <w:adjustRightInd w:val="0"/>
        <w:spacing w:line="360" w:lineRule="auto"/>
        <w:ind w:firstLineChars="200" w:firstLine="361"/>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（六）业绩报酬计提基准</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产品管理人设置业绩报酬计提基准。</w:t>
      </w:r>
    </w:p>
    <w:p w:rsidR="00360CB9" w:rsidRDefault="00712C96">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1.产品管理人设置业绩报酬计提基准并进行公告，具体以当期《产品说明书》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360CB9" w:rsidRDefault="00712C96">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2.★业绩报酬计提基准仅作为管理人收取超额业绩报酬的参照，不代表理财产品未来表现，不等于理财产品实际收益，不作为产品收益的业绩保证，投资须谨慎。</w:t>
      </w:r>
    </w:p>
    <w:p w:rsidR="00360CB9" w:rsidRDefault="00712C96">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3.如果今后法律法规发生变化，或者有其他代表性更强、更科学客观的业绩报酬计提基准适用于本产</w:t>
      </w:r>
      <w:r>
        <w:rPr>
          <w:rFonts w:asciiTheme="majorEastAsia" w:eastAsiaTheme="majorEastAsia" w:hAnsiTheme="majorEastAsia" w:hint="eastAsia"/>
          <w:kern w:val="0"/>
          <w:sz w:val="18"/>
          <w:szCs w:val="18"/>
        </w:rPr>
        <w:lastRenderedPageBreak/>
        <w:t>品时，经产品管理人和产品托管人协商一致后，本产品可以变更业绩报酬计提基准并及时公告。</w:t>
      </w:r>
    </w:p>
    <w:p w:rsidR="00360CB9" w:rsidRDefault="00712C96">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 产品管理人不</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w:t>
      </w:r>
      <w:r>
        <w:rPr>
          <w:rFonts w:asciiTheme="majorEastAsia" w:eastAsiaTheme="majorEastAsia" w:hAnsiTheme="majorEastAsia" w:hint="eastAsia"/>
          <w:sz w:val="18"/>
          <w:szCs w:val="18"/>
        </w:rPr>
        <w:t>报酬</w:t>
      </w:r>
      <w:r>
        <w:rPr>
          <w:rFonts w:asciiTheme="majorEastAsia" w:eastAsiaTheme="majorEastAsia" w:hAnsiTheme="majorEastAsia"/>
          <w:sz w:val="18"/>
          <w:szCs w:val="18"/>
        </w:rPr>
        <w:t>计提基准</w:t>
      </w:r>
      <w:r>
        <w:rPr>
          <w:rFonts w:asciiTheme="majorEastAsia" w:eastAsiaTheme="majorEastAsia" w:hAnsiTheme="majorEastAsia" w:hint="eastAsia"/>
          <w:sz w:val="18"/>
          <w:szCs w:val="18"/>
        </w:rPr>
        <w:t>。</w:t>
      </w:r>
    </w:p>
    <w:p w:rsidR="00360CB9" w:rsidRDefault="00360CB9">
      <w:pPr>
        <w:pStyle w:val="HTML"/>
        <w:shd w:val="clear" w:color="auto" w:fill="FFFFFF"/>
        <w:spacing w:line="360" w:lineRule="auto"/>
        <w:rPr>
          <w:rFonts w:asciiTheme="majorEastAsia" w:eastAsiaTheme="majorEastAsia" w:hAnsiTheme="majorEastAsia"/>
          <w:sz w:val="18"/>
          <w:szCs w:val="18"/>
        </w:rPr>
      </w:pPr>
    </w:p>
    <w:p w:rsidR="00360CB9" w:rsidRDefault="00712C96">
      <w:pPr>
        <w:pStyle w:val="HTML"/>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sz w:val="18"/>
          <w:szCs w:val="18"/>
        </w:rPr>
        <w:br w:type="page"/>
      </w:r>
    </w:p>
    <w:p w:rsidR="00360CB9" w:rsidRDefault="00712C96">
      <w:pPr>
        <w:pStyle w:val="1"/>
        <w:spacing w:before="0" w:after="0" w:line="360" w:lineRule="auto"/>
        <w:jc w:val="center"/>
        <w:rPr>
          <w:rFonts w:ascii="Times New Roman"/>
          <w:sz w:val="30"/>
        </w:rPr>
      </w:pPr>
      <w:bookmarkStart w:id="28" w:name="_Toc139991735"/>
      <w:bookmarkStart w:id="29" w:name="_Toc74065742"/>
      <w:bookmarkStart w:id="30" w:name="_Toc18329"/>
      <w:bookmarkStart w:id="31" w:name="_Toc79154669"/>
      <w:bookmarkStart w:id="32" w:name="_Toc18797"/>
      <w:bookmarkStart w:id="33" w:name="_Toc24783"/>
      <w:bookmarkStart w:id="34" w:name="_Toc14893"/>
      <w:bookmarkStart w:id="35" w:name="_Toc141703885"/>
      <w:bookmarkStart w:id="36" w:name="_Toc1823"/>
      <w:bookmarkStart w:id="37" w:name="_Toc21988"/>
      <w:bookmarkStart w:id="38" w:name="_Toc4741"/>
      <w:bookmarkStart w:id="39" w:name="_Toc26986"/>
      <w:bookmarkStart w:id="40" w:name="_Toc18526"/>
      <w:bookmarkStart w:id="41" w:name="_Toc17912"/>
      <w:bookmarkStart w:id="42" w:name="_Toc7848"/>
      <w:r>
        <w:rPr>
          <w:rFonts w:ascii="Times New Roman"/>
          <w:sz w:val="30"/>
        </w:rPr>
        <w:lastRenderedPageBreak/>
        <w:t>第</w:t>
      </w:r>
      <w:r>
        <w:rPr>
          <w:rFonts w:ascii="Times New Roman" w:hint="eastAsia"/>
          <w:sz w:val="30"/>
        </w:rPr>
        <w:t>六条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360CB9" w:rsidRDefault="00712C96">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360CB9" w:rsidRDefault="00712C96">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360CB9" w:rsidRDefault="00712C96">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360CB9" w:rsidRDefault="00712C96">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360CB9" w:rsidRDefault="00712C96">
      <w:pPr>
        <w:pStyle w:val="1"/>
        <w:spacing w:before="0" w:after="0" w:line="360" w:lineRule="auto"/>
        <w:jc w:val="center"/>
        <w:rPr>
          <w:rFonts w:ascii="Times New Roman"/>
          <w:sz w:val="30"/>
        </w:rPr>
      </w:pPr>
      <w:bookmarkStart w:id="44" w:name="_Toc141703886"/>
      <w:bookmarkStart w:id="45" w:name="_Toc123051452"/>
      <w:bookmarkStart w:id="46" w:name="_Toc74065743"/>
      <w:bookmarkStart w:id="47" w:name="_Toc5681"/>
      <w:bookmarkStart w:id="48" w:name="_Toc48649707"/>
      <w:bookmarkStart w:id="49" w:name="_Toc139991736"/>
      <w:bookmarkStart w:id="50" w:name="_Toc610"/>
      <w:bookmarkStart w:id="51" w:name="_Toc98560352"/>
      <w:bookmarkStart w:id="52" w:name="_Toc7920"/>
      <w:bookmarkStart w:id="53" w:name="_Toc1270"/>
      <w:bookmarkStart w:id="54" w:name="_Toc4003"/>
      <w:bookmarkStart w:id="55" w:name="_Toc10463"/>
      <w:bookmarkStart w:id="56" w:name="_Toc123112234"/>
      <w:bookmarkStart w:id="57" w:name="_Toc17244"/>
      <w:bookmarkStart w:id="58" w:name="_Toc79154670"/>
      <w:bookmarkStart w:id="59" w:name="_Toc20733"/>
      <w:bookmarkStart w:id="60" w:name="_Toc123102453"/>
      <w:bookmarkStart w:id="61" w:name="_Toc1427"/>
      <w:bookmarkStart w:id="62" w:name="_Toc79392606"/>
      <w:bookmarkStart w:id="63" w:name="_Toc23261"/>
      <w:bookmarkStart w:id="64" w:name="_Toc23822"/>
      <w:bookmarkEnd w:id="43"/>
      <w:r>
        <w:rPr>
          <w:rFonts w:ascii="Times New Roman"/>
          <w:sz w:val="30"/>
        </w:rPr>
        <w:lastRenderedPageBreak/>
        <w:t>第</w:t>
      </w:r>
      <w:r>
        <w:rPr>
          <w:rFonts w:ascii="Times New Roman" w:hint="eastAsia"/>
          <w:sz w:val="30"/>
        </w:rPr>
        <w:t>七条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60CB9" w:rsidRDefault="00712C96">
      <w:pPr>
        <w:pStyle w:val="Default"/>
        <w:spacing w:line="360" w:lineRule="auto"/>
        <w:ind w:firstLine="361"/>
        <w:rPr>
          <w:rFonts w:hAnsi="宋体"/>
          <w:b/>
          <w:color w:val="auto"/>
          <w:sz w:val="18"/>
          <w:szCs w:val="18"/>
        </w:rPr>
      </w:pPr>
      <w:r>
        <w:rPr>
          <w:rFonts w:hAnsi="宋体" w:hint="eastAsia"/>
          <w:b/>
          <w:color w:val="auto"/>
          <w:sz w:val="18"/>
          <w:szCs w:val="18"/>
        </w:rPr>
        <w:t>（一）估值目的</w:t>
      </w:r>
    </w:p>
    <w:p w:rsidR="00360CB9" w:rsidRDefault="00712C96">
      <w:pPr>
        <w:pStyle w:val="Default"/>
        <w:spacing w:line="360" w:lineRule="auto"/>
        <w:ind w:firstLine="360"/>
        <w:rPr>
          <w:rFonts w:hAnsi="宋体"/>
          <w:color w:val="auto"/>
          <w:sz w:val="18"/>
          <w:szCs w:val="18"/>
        </w:rPr>
      </w:pPr>
      <w:r>
        <w:rPr>
          <w:rFonts w:hAnsi="宋体" w:hint="eastAsia"/>
          <w:color w:val="auto"/>
          <w:sz w:val="18"/>
          <w:szCs w:val="18"/>
        </w:rPr>
        <w:t>理财资产估值的目的是客观、准确地反映理财资产是否保值、增值。</w:t>
      </w:r>
    </w:p>
    <w:p w:rsidR="00360CB9" w:rsidRDefault="00712C96">
      <w:pPr>
        <w:pStyle w:val="Default"/>
        <w:spacing w:line="360" w:lineRule="auto"/>
        <w:ind w:firstLine="361"/>
        <w:rPr>
          <w:rFonts w:hAnsi="宋体"/>
          <w:b/>
          <w:color w:val="auto"/>
          <w:sz w:val="18"/>
          <w:szCs w:val="18"/>
        </w:rPr>
      </w:pPr>
      <w:r>
        <w:rPr>
          <w:rFonts w:hAnsi="宋体" w:hint="eastAsia"/>
          <w:b/>
          <w:color w:val="auto"/>
          <w:sz w:val="18"/>
          <w:szCs w:val="18"/>
        </w:rPr>
        <w:t>（二）估值日</w:t>
      </w:r>
    </w:p>
    <w:p w:rsidR="00360CB9" w:rsidRDefault="00712C96">
      <w:pPr>
        <w:pStyle w:val="Default"/>
        <w:spacing w:line="360" w:lineRule="auto"/>
        <w:ind w:firstLineChars="250" w:firstLine="450"/>
        <w:rPr>
          <w:rFonts w:hAnsi="宋体"/>
          <w:color w:val="auto"/>
          <w:sz w:val="18"/>
          <w:szCs w:val="18"/>
        </w:rPr>
      </w:pPr>
      <w:r>
        <w:rPr>
          <w:rFonts w:hint="eastAsia"/>
          <w:color w:val="auto"/>
          <w:sz w:val="18"/>
          <w:szCs w:val="18"/>
        </w:rPr>
        <w:t>本产品存续期间，管理人每日进行估值。</w:t>
      </w:r>
    </w:p>
    <w:p w:rsidR="00360CB9" w:rsidRDefault="00712C96">
      <w:pPr>
        <w:pStyle w:val="Default"/>
        <w:spacing w:line="360" w:lineRule="auto"/>
        <w:ind w:firstLine="361"/>
        <w:rPr>
          <w:rFonts w:hAnsi="宋体"/>
          <w:b/>
          <w:color w:val="auto"/>
          <w:sz w:val="18"/>
          <w:szCs w:val="18"/>
        </w:rPr>
      </w:pPr>
      <w:r>
        <w:rPr>
          <w:rFonts w:hAnsi="宋体" w:hint="eastAsia"/>
          <w:b/>
          <w:color w:val="auto"/>
          <w:sz w:val="18"/>
          <w:szCs w:val="18"/>
        </w:rPr>
        <w:t>（三）估值对象</w:t>
      </w:r>
    </w:p>
    <w:p w:rsidR="00360CB9" w:rsidRDefault="00712C96">
      <w:pPr>
        <w:pStyle w:val="Default"/>
        <w:spacing w:line="360" w:lineRule="auto"/>
        <w:ind w:firstLineChars="250" w:firstLine="450"/>
        <w:rPr>
          <w:rFonts w:hAnsi="宋体"/>
          <w:color w:val="auto"/>
          <w:sz w:val="18"/>
          <w:szCs w:val="18"/>
        </w:rPr>
      </w:pPr>
      <w:r>
        <w:rPr>
          <w:rFonts w:hAnsi="宋体" w:hint="eastAsia"/>
          <w:color w:val="auto"/>
          <w:sz w:val="18"/>
          <w:szCs w:val="18"/>
        </w:rPr>
        <w:t>本产品所拥有的各类证券、资产管理产品和银行存款本息、应收款项、其它投资等资产及负债。</w:t>
      </w:r>
    </w:p>
    <w:p w:rsidR="00360CB9" w:rsidRDefault="00712C96">
      <w:pPr>
        <w:pStyle w:val="Default"/>
        <w:spacing w:line="360" w:lineRule="auto"/>
        <w:ind w:firstLine="361"/>
        <w:rPr>
          <w:rFonts w:hAnsi="宋体"/>
          <w:b/>
          <w:color w:val="auto"/>
          <w:sz w:val="18"/>
          <w:szCs w:val="18"/>
        </w:rPr>
      </w:pPr>
      <w:r>
        <w:rPr>
          <w:rFonts w:hAnsi="宋体" w:hint="eastAsia"/>
          <w:b/>
          <w:color w:val="auto"/>
          <w:sz w:val="18"/>
          <w:szCs w:val="18"/>
        </w:rPr>
        <w:t>（四）估值方法</w:t>
      </w:r>
    </w:p>
    <w:p w:rsidR="00360CB9" w:rsidRDefault="00712C96">
      <w:pPr>
        <w:pStyle w:val="Default"/>
        <w:spacing w:line="360" w:lineRule="auto"/>
        <w:ind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1.</w:t>
      </w:r>
      <w:r>
        <w:rPr>
          <w:rFonts w:asciiTheme="minorEastAsia" w:eastAsiaTheme="minorEastAsia" w:hAnsiTheme="minorEastAsia" w:hint="eastAsia"/>
          <w:b/>
          <w:color w:val="auto"/>
          <w:sz w:val="18"/>
          <w:szCs w:val="18"/>
        </w:rPr>
        <w:t>标准化债权类资产估值</w:t>
      </w:r>
    </w:p>
    <w:p w:rsidR="00360CB9" w:rsidRDefault="00712C96">
      <w:pPr>
        <w:pStyle w:val="Default"/>
        <w:spacing w:line="360" w:lineRule="auto"/>
        <w:ind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债券类资产采用摊余成本法估值，即估值对象以买入成本列示，按票面利率或协议利率并考虑其买入时的溢价与折价，在其剩余存续期内按照实际利率法进行摊销，每日计提损益。</w:t>
      </w:r>
    </w:p>
    <w:p w:rsidR="00360CB9" w:rsidRDefault="00712C96">
      <w:pPr>
        <w:pStyle w:val="Default"/>
        <w:spacing w:line="360" w:lineRule="auto"/>
        <w:ind w:firstLine="361"/>
        <w:rPr>
          <w:rFonts w:asciiTheme="minorEastAsia" w:eastAsiaTheme="minorEastAsia" w:hAnsiTheme="minorEastAsia"/>
          <w:b/>
          <w:color w:val="auto"/>
          <w:sz w:val="18"/>
          <w:szCs w:val="18"/>
        </w:rPr>
      </w:pPr>
      <w:r>
        <w:rPr>
          <w:rFonts w:asciiTheme="minorEastAsia" w:eastAsiaTheme="minorEastAsia" w:hAnsiTheme="minorEastAsia" w:hint="eastAsia"/>
          <w:b/>
          <w:color w:val="auto"/>
          <w:sz w:val="18"/>
          <w:szCs w:val="18"/>
        </w:rPr>
        <w:t>2</w:t>
      </w:r>
      <w:r>
        <w:rPr>
          <w:rFonts w:asciiTheme="minorEastAsia" w:eastAsiaTheme="minorEastAsia" w:hAnsiTheme="minorEastAsia"/>
          <w:b/>
          <w:color w:val="auto"/>
          <w:sz w:val="18"/>
          <w:szCs w:val="18"/>
        </w:rPr>
        <w:t>.</w:t>
      </w:r>
      <w:r>
        <w:rPr>
          <w:rFonts w:hAnsi="Times New Roman"/>
          <w:sz w:val="20"/>
          <w:szCs w:val="20"/>
        </w:rPr>
        <w:t xml:space="preserve"> </w:t>
      </w:r>
      <w:r>
        <w:rPr>
          <w:rFonts w:asciiTheme="minorEastAsia" w:eastAsiaTheme="minorEastAsia" w:hAnsiTheme="minorEastAsia" w:hint="eastAsia"/>
          <w:b/>
          <w:color w:val="auto"/>
          <w:sz w:val="18"/>
          <w:szCs w:val="18"/>
        </w:rPr>
        <w:t>货币市场基金估值</w:t>
      </w:r>
    </w:p>
    <w:p w:rsidR="00360CB9" w:rsidRDefault="00712C96">
      <w:pPr>
        <w:pStyle w:val="Default"/>
        <w:spacing w:line="360" w:lineRule="auto"/>
        <w:ind w:firstLine="361"/>
        <w:rPr>
          <w:rFonts w:asciiTheme="minorEastAsia" w:eastAsiaTheme="minorEastAsia" w:hAnsiTheme="minorEastAsia"/>
          <w:color w:val="auto"/>
          <w:sz w:val="18"/>
          <w:szCs w:val="18"/>
        </w:rPr>
      </w:pPr>
      <w:r>
        <w:rPr>
          <w:rFonts w:asciiTheme="minorEastAsia" w:eastAsiaTheme="minorEastAsia" w:hAnsiTheme="minorEastAsia" w:hint="eastAsia"/>
          <w:sz w:val="18"/>
          <w:szCs w:val="18"/>
        </w:rPr>
        <w:t>本产品投资的货币市场基金，按基金公司公布的估值日前一交易日的万份收益计提估值日基金收益。</w:t>
      </w:r>
    </w:p>
    <w:p w:rsidR="00360CB9" w:rsidRDefault="00712C96">
      <w:pPr>
        <w:pStyle w:val="Default"/>
        <w:spacing w:line="360" w:lineRule="auto"/>
        <w:ind w:firstLine="361"/>
        <w:rPr>
          <w:rFonts w:asciiTheme="minorEastAsia" w:eastAsiaTheme="minorEastAsia" w:hAnsiTheme="minorEastAsia"/>
          <w:b/>
          <w:color w:val="auto"/>
          <w:sz w:val="18"/>
          <w:szCs w:val="18"/>
        </w:rPr>
      </w:pPr>
      <w:r>
        <w:rPr>
          <w:rFonts w:asciiTheme="minorEastAsia" w:eastAsiaTheme="minorEastAsia" w:hAnsiTheme="minorEastAsia" w:hint="eastAsia"/>
          <w:b/>
          <w:color w:val="auto"/>
          <w:sz w:val="18"/>
          <w:szCs w:val="18"/>
        </w:rPr>
        <w:t>3</w:t>
      </w:r>
      <w:r>
        <w:rPr>
          <w:rFonts w:asciiTheme="minorEastAsia" w:eastAsiaTheme="minorEastAsia" w:hAnsiTheme="minorEastAsia"/>
          <w:b/>
          <w:color w:val="auto"/>
          <w:sz w:val="18"/>
          <w:szCs w:val="18"/>
        </w:rPr>
        <w:t xml:space="preserve">. </w:t>
      </w:r>
      <w:r>
        <w:rPr>
          <w:rFonts w:asciiTheme="minorEastAsia" w:eastAsiaTheme="minorEastAsia" w:hAnsiTheme="minorEastAsia" w:hint="eastAsia"/>
          <w:b/>
          <w:color w:val="auto"/>
          <w:sz w:val="18"/>
          <w:szCs w:val="18"/>
        </w:rPr>
        <w:t>其他资产管理产品的估值</w:t>
      </w:r>
    </w:p>
    <w:p w:rsidR="00360CB9" w:rsidRDefault="00712C96">
      <w:pPr>
        <w:spacing w:line="360" w:lineRule="auto"/>
        <w:ind w:firstLineChars="200" w:firstLine="360"/>
        <w:rPr>
          <w:rFonts w:hAnsi="宋体"/>
          <w:sz w:val="18"/>
        </w:rPr>
      </w:pPr>
      <w:r>
        <w:rPr>
          <w:rFonts w:hAnsi="宋体" w:hint="eastAsia"/>
          <w:sz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rsidR="00360CB9" w:rsidRDefault="00712C96">
      <w:pPr>
        <w:spacing w:line="360" w:lineRule="auto"/>
        <w:ind w:firstLineChars="200" w:firstLine="361"/>
        <w:rPr>
          <w:rFonts w:hAnsi="宋体"/>
          <w:sz w:val="18"/>
        </w:rPr>
      </w:pPr>
      <w:r>
        <w:rPr>
          <w:rFonts w:asciiTheme="minorEastAsia" w:eastAsiaTheme="minorEastAsia" w:hAnsiTheme="minorEastAsia" w:hint="eastAsia"/>
          <w:b/>
          <w:sz w:val="18"/>
          <w:szCs w:val="18"/>
        </w:rPr>
        <w:t>4</w:t>
      </w:r>
      <w:r>
        <w:rPr>
          <w:rFonts w:asciiTheme="minorEastAsia" w:eastAsiaTheme="minorEastAsia" w:hAnsiTheme="minorEastAsia"/>
          <w:b/>
          <w:sz w:val="18"/>
          <w:szCs w:val="18"/>
        </w:rPr>
        <w:t>.</w:t>
      </w:r>
      <w:r>
        <w:rPr>
          <w:rFonts w:asciiTheme="minorEastAsia" w:eastAsiaTheme="minorEastAsia" w:hAnsiTheme="minorEastAsia" w:hint="eastAsia"/>
          <w:b/>
          <w:sz w:val="18"/>
          <w:szCs w:val="18"/>
        </w:rPr>
        <w:t>存款、拆借、回购等货币市场工具的估值</w:t>
      </w:r>
    </w:p>
    <w:p w:rsidR="00360CB9" w:rsidRDefault="00712C96">
      <w:pPr>
        <w:spacing w:line="360" w:lineRule="auto"/>
        <w:ind w:firstLineChars="200" w:firstLine="360"/>
        <w:rPr>
          <w:rFonts w:hAnsi="宋体"/>
          <w:sz w:val="18"/>
          <w:szCs w:val="18"/>
        </w:rPr>
      </w:pPr>
      <w:r>
        <w:rPr>
          <w:rFonts w:hAnsi="宋体" w:hint="eastAsia"/>
          <w:sz w:val="18"/>
          <w:szCs w:val="18"/>
        </w:rPr>
        <w:t>以本金列示，按商定利率在实际持有期间内逐日计提利息。</w:t>
      </w:r>
    </w:p>
    <w:p w:rsidR="00360CB9" w:rsidRDefault="00712C96">
      <w:pPr>
        <w:spacing w:line="360" w:lineRule="auto"/>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5.为了避免采用</w:t>
      </w:r>
      <w:r>
        <w:rPr>
          <w:rFonts w:asciiTheme="minorEastAsia" w:eastAsiaTheme="minorEastAsia" w:hAnsiTheme="minorEastAsia"/>
          <w:sz w:val="18"/>
          <w:szCs w:val="18"/>
        </w:rPr>
        <w:t>“</w:t>
      </w:r>
      <w:r>
        <w:rPr>
          <w:rFonts w:asciiTheme="minorEastAsia" w:eastAsiaTheme="minorEastAsia" w:hAnsiTheme="minorEastAsia" w:hint="eastAsia"/>
          <w:sz w:val="18"/>
          <w:szCs w:val="18"/>
        </w:rPr>
        <w:t>摊余成本法</w:t>
      </w:r>
      <w:r>
        <w:rPr>
          <w:rFonts w:asciiTheme="minorEastAsia" w:eastAsiaTheme="minorEastAsia" w:hAnsiTheme="minorEastAsia"/>
          <w:sz w:val="18"/>
          <w:szCs w:val="18"/>
        </w:rPr>
        <w:t>”</w:t>
      </w:r>
      <w:r>
        <w:rPr>
          <w:rFonts w:asciiTheme="minorEastAsia" w:eastAsiaTheme="minorEastAsia" w:hAnsiTheme="minorEastAsia" w:hint="eastAsia"/>
          <w:sz w:val="18"/>
          <w:szCs w:val="18"/>
        </w:rPr>
        <w:t>计算的理财资产净值与按市场利率和交易市价计算的理财资产净值发生重大偏离，从而对理财份额持有人的利益产生稀释和不公平的结果，产品管理人于每一估值日，采用估值技术，对理财持有的估值对象进行重新评估，即</w:t>
      </w:r>
      <w:r>
        <w:rPr>
          <w:rFonts w:asciiTheme="minorEastAsia" w:eastAsiaTheme="minorEastAsia" w:hAnsiTheme="minorEastAsia"/>
          <w:sz w:val="18"/>
          <w:szCs w:val="18"/>
        </w:rPr>
        <w:t>“</w:t>
      </w:r>
      <w:r>
        <w:rPr>
          <w:rFonts w:asciiTheme="minorEastAsia" w:eastAsiaTheme="minorEastAsia" w:hAnsiTheme="minorEastAsia" w:hint="eastAsia"/>
          <w:sz w:val="18"/>
          <w:szCs w:val="18"/>
        </w:rPr>
        <w:t>影子定价</w:t>
      </w:r>
      <w:r>
        <w:rPr>
          <w:rFonts w:asciiTheme="minorEastAsia" w:eastAsiaTheme="minorEastAsia" w:hAnsiTheme="minorEastAsia"/>
          <w:sz w:val="18"/>
          <w:szCs w:val="18"/>
        </w:rPr>
        <w:t>”</w:t>
      </w:r>
      <w:r>
        <w:rPr>
          <w:rFonts w:asciiTheme="minorEastAsia" w:eastAsiaTheme="minorEastAsia" w:hAnsiTheme="minorEastAsia" w:hint="eastAsia"/>
          <w:sz w:val="18"/>
          <w:szCs w:val="18"/>
        </w:rPr>
        <w:t>。</w:t>
      </w:r>
    </w:p>
    <w:p w:rsidR="00360CB9" w:rsidRDefault="00712C96">
      <w:pPr>
        <w:spacing w:line="360" w:lineRule="auto"/>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当影子定价确定的资产净值与摊余成本法计算的资产净值正偏离度绝对值达到0.5%时，管理人将暂停接受认</w:t>
      </w:r>
      <w:r>
        <w:rPr>
          <w:rFonts w:asciiTheme="minorEastAsia" w:eastAsiaTheme="minorEastAsia" w:hAnsiTheme="minorEastAsia"/>
          <w:sz w:val="18"/>
          <w:szCs w:val="18"/>
        </w:rPr>
        <w:t>/申</w:t>
      </w:r>
      <w:r>
        <w:rPr>
          <w:rFonts w:asciiTheme="minorEastAsia" w:eastAsiaTheme="minorEastAsia" w:hAnsiTheme="minorEastAsia" w:hint="eastAsia"/>
          <w:sz w:val="18"/>
          <w:szCs w:val="18"/>
        </w:rPr>
        <w:t>购并在5个交易日内将正偏离度绝对值调整到0.5%以内。当负偏离度绝对值达到0.25%时，管理人应当在5个交易日内将负偏离度绝对值调整到0.25%以内。当负偏离度绝对值达到0.5%时，管理人应当采取相应措施，将负偏离度绝对值控制在0.5%以内。当负偏离度绝对值连续两个交易日超过0.5%时，管理人应当采用公允价值估值方法对持有投资组合的账面价值进行调整，或者采取暂停接受所有赎回申请并终止产品合同进行财产清算等措施。</w:t>
      </w:r>
      <w:r>
        <w:rPr>
          <w:rFonts w:asciiTheme="minorEastAsia" w:eastAsiaTheme="minorEastAsia" w:hAnsiTheme="minorEastAsia"/>
          <w:sz w:val="18"/>
          <w:szCs w:val="18"/>
        </w:rPr>
        <w:t xml:space="preserve"> </w:t>
      </w:r>
    </w:p>
    <w:p w:rsidR="00360CB9" w:rsidRDefault="00712C96">
      <w:pPr>
        <w:spacing w:line="360" w:lineRule="auto"/>
        <w:ind w:firstLineChars="200" w:firstLine="360"/>
        <w:rPr>
          <w:rFonts w:ascii="宋体" w:hAnsi="宋体"/>
          <w:bCs/>
          <w:sz w:val="18"/>
          <w:szCs w:val="18"/>
        </w:rPr>
      </w:pPr>
      <w:r>
        <w:rPr>
          <w:rFonts w:ascii="宋体" w:hAnsi="宋体" w:hint="eastAsia"/>
          <w:bCs/>
          <w:sz w:val="18"/>
          <w:szCs w:val="18"/>
        </w:rPr>
        <w:lastRenderedPageBreak/>
        <w:t>6.</w:t>
      </w:r>
      <w:r>
        <w:rPr>
          <w:rFonts w:ascii="宋体" w:hAnsi="宋体"/>
          <w:bCs/>
          <w:sz w:val="18"/>
          <w:szCs w:val="18"/>
        </w:rPr>
        <w:t>如有确凿证据表明按上述方法进行估</w:t>
      </w:r>
      <w:r>
        <w:rPr>
          <w:rFonts w:asciiTheme="minorEastAsia" w:hAnsiTheme="minorEastAsia" w:hint="eastAsia"/>
          <w:sz w:val="18"/>
          <w:szCs w:val="18"/>
        </w:rPr>
        <w:t>值不能客观反映其公允价值的，产品管理人可根据具体情况与产品托管人商定后，</w:t>
      </w:r>
      <w:r>
        <w:rPr>
          <w:rFonts w:hAnsi="宋体" w:hint="eastAsia"/>
          <w:sz w:val="18"/>
          <w:szCs w:val="18"/>
        </w:rPr>
        <w:t>在综合考虑市场成交、市场报价、流动性、收益率曲线等因素基础上，</w:t>
      </w:r>
      <w:r>
        <w:rPr>
          <w:rFonts w:asciiTheme="minorEastAsia" w:hAnsiTheme="minorEastAsia" w:hint="eastAsia"/>
          <w:sz w:val="18"/>
          <w:szCs w:val="18"/>
        </w:rPr>
        <w:t>按最能反映公</w:t>
      </w:r>
      <w:r>
        <w:rPr>
          <w:rFonts w:asciiTheme="minorEastAsia" w:eastAsiaTheme="minorEastAsia" w:hAnsiTheme="minorEastAsia" w:hint="eastAsia"/>
          <w:sz w:val="18"/>
          <w:szCs w:val="18"/>
        </w:rPr>
        <w:t>允价值的价格估值。</w:t>
      </w:r>
    </w:p>
    <w:p w:rsidR="00360CB9" w:rsidRDefault="00712C96">
      <w:pPr>
        <w:spacing w:line="360" w:lineRule="auto"/>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7.估值方法的调整</w:t>
      </w:r>
    </w:p>
    <w:p w:rsidR="00360CB9" w:rsidRDefault="00712C96">
      <w:pPr>
        <w:pStyle w:val="Default"/>
        <w:spacing w:line="360" w:lineRule="auto"/>
        <w:ind w:firstLine="360"/>
        <w:rPr>
          <w:rFonts w:ascii="黑体" w:eastAsia="黑体" w:hAnsi="黑体"/>
          <w:color w:val="auto"/>
          <w:sz w:val="18"/>
          <w:szCs w:val="18"/>
        </w:rPr>
      </w:pPr>
      <w:r>
        <w:rPr>
          <w:rFonts w:hAnsi="宋体" w:hint="eastAsia"/>
          <w:color w:val="auto"/>
          <w:sz w:val="18"/>
          <w:szCs w:val="18"/>
        </w:rPr>
        <w:t>★</w:t>
      </w:r>
      <w:r>
        <w:rPr>
          <w:rFonts w:ascii="黑体" w:eastAsia="黑体" w:hAnsi="黑体" w:hint="eastAsia"/>
          <w:color w:val="auto"/>
          <w:sz w:val="18"/>
          <w:szCs w:val="18"/>
        </w:rPr>
        <w:t>相关法律法规以及监管部门有强制规定的，从其规定。如有新增事项，按国家最新规定估值。</w:t>
      </w:r>
    </w:p>
    <w:p w:rsidR="00360CB9" w:rsidRDefault="00712C96">
      <w:pPr>
        <w:pStyle w:val="Default"/>
        <w:spacing w:line="360" w:lineRule="auto"/>
        <w:ind w:firstLine="361"/>
        <w:rPr>
          <w:rFonts w:hAnsi="宋体"/>
          <w:b/>
          <w:color w:val="auto"/>
          <w:sz w:val="18"/>
          <w:szCs w:val="18"/>
        </w:rPr>
      </w:pPr>
      <w:r>
        <w:rPr>
          <w:rFonts w:hAnsi="宋体" w:hint="eastAsia"/>
          <w:b/>
          <w:color w:val="auto"/>
          <w:sz w:val="18"/>
          <w:szCs w:val="18"/>
        </w:rPr>
        <w:t>（五）估值程序</w:t>
      </w:r>
    </w:p>
    <w:p w:rsidR="00360CB9" w:rsidRDefault="00712C96">
      <w:pPr>
        <w:pStyle w:val="Default"/>
        <w:spacing w:line="360" w:lineRule="auto"/>
        <w:ind w:firstLine="360"/>
        <w:rPr>
          <w:rFonts w:hAnsi="宋体"/>
          <w:color w:val="auto"/>
          <w:sz w:val="18"/>
          <w:szCs w:val="18"/>
        </w:rPr>
      </w:pPr>
      <w:r>
        <w:rPr>
          <w:rFonts w:hAnsi="宋体" w:hint="eastAsia"/>
          <w:color w:val="auto"/>
          <w:sz w:val="18"/>
          <w:szCs w:val="18"/>
        </w:rPr>
        <w:t>1.每万份理财产品已实现收益是每万份理财份额的日已实现收益，精确至小数点后第</w:t>
      </w:r>
      <w:r>
        <w:rPr>
          <w:rFonts w:hAnsi="宋体"/>
          <w:color w:val="auto"/>
          <w:sz w:val="18"/>
          <w:szCs w:val="18"/>
        </w:rPr>
        <w:t>4位，小数点后第5</w:t>
      </w:r>
      <w:r>
        <w:rPr>
          <w:rFonts w:hAnsi="宋体" w:hint="eastAsia"/>
          <w:color w:val="auto"/>
          <w:sz w:val="18"/>
          <w:szCs w:val="18"/>
        </w:rPr>
        <w:t>位按去尾原则处理。本产品的收益分配按日结转份额，</w:t>
      </w:r>
      <w:r>
        <w:rPr>
          <w:rFonts w:hAnsi="宋体"/>
          <w:color w:val="auto"/>
          <w:sz w:val="18"/>
          <w:szCs w:val="18"/>
        </w:rPr>
        <w:t>7</w:t>
      </w:r>
      <w:r>
        <w:rPr>
          <w:rFonts w:hAnsi="宋体" w:hint="eastAsia"/>
          <w:color w:val="auto"/>
          <w:sz w:val="18"/>
          <w:szCs w:val="18"/>
        </w:rPr>
        <w:t>日年化收益率是以最近</w:t>
      </w:r>
      <w:r>
        <w:rPr>
          <w:rFonts w:hAnsi="宋体"/>
          <w:color w:val="auto"/>
          <w:sz w:val="18"/>
          <w:szCs w:val="18"/>
        </w:rPr>
        <w:t>7</w:t>
      </w:r>
      <w:r>
        <w:rPr>
          <w:rFonts w:hAnsi="宋体" w:hint="eastAsia"/>
          <w:color w:val="auto"/>
          <w:sz w:val="18"/>
          <w:szCs w:val="18"/>
        </w:rPr>
        <w:t>日</w:t>
      </w:r>
      <w:r>
        <w:rPr>
          <w:rFonts w:hAnsi="宋体"/>
          <w:color w:val="auto"/>
          <w:sz w:val="18"/>
          <w:szCs w:val="18"/>
        </w:rPr>
        <w:t>(</w:t>
      </w:r>
      <w:r>
        <w:rPr>
          <w:rFonts w:hAnsi="宋体" w:hint="eastAsia"/>
          <w:color w:val="auto"/>
          <w:sz w:val="18"/>
          <w:szCs w:val="18"/>
        </w:rPr>
        <w:t>含节假日</w:t>
      </w:r>
      <w:r>
        <w:rPr>
          <w:rFonts w:hAnsi="宋体"/>
          <w:color w:val="auto"/>
          <w:sz w:val="18"/>
          <w:szCs w:val="18"/>
        </w:rPr>
        <w:t>)</w:t>
      </w:r>
      <w:r>
        <w:rPr>
          <w:rFonts w:hAnsi="宋体" w:hint="eastAsia"/>
          <w:color w:val="auto"/>
          <w:sz w:val="18"/>
          <w:szCs w:val="18"/>
        </w:rPr>
        <w:t>收益所折算的年资产收益率，精确到百分号内小数点后</w:t>
      </w:r>
      <w:r>
        <w:rPr>
          <w:rFonts w:hAnsi="宋体"/>
          <w:color w:val="auto"/>
          <w:sz w:val="18"/>
          <w:szCs w:val="18"/>
        </w:rPr>
        <w:t>3</w:t>
      </w:r>
      <w:r>
        <w:rPr>
          <w:rFonts w:hAnsi="宋体" w:hint="eastAsia"/>
          <w:color w:val="auto"/>
          <w:sz w:val="18"/>
          <w:szCs w:val="18"/>
        </w:rPr>
        <w:t>位，小数点后第</w:t>
      </w:r>
      <w:r>
        <w:rPr>
          <w:rFonts w:hAnsi="宋体"/>
          <w:color w:val="auto"/>
          <w:sz w:val="18"/>
          <w:szCs w:val="18"/>
        </w:rPr>
        <w:t>4</w:t>
      </w:r>
      <w:r>
        <w:rPr>
          <w:rFonts w:hAnsi="宋体" w:hint="eastAsia"/>
          <w:color w:val="auto"/>
          <w:sz w:val="18"/>
          <w:szCs w:val="18"/>
        </w:rPr>
        <w:t>位四舍五入。国家另有规定的，从其规定。</w:t>
      </w:r>
    </w:p>
    <w:p w:rsidR="00360CB9" w:rsidRDefault="00712C96">
      <w:pPr>
        <w:pStyle w:val="Default"/>
        <w:spacing w:line="360" w:lineRule="auto"/>
        <w:ind w:firstLine="360"/>
        <w:rPr>
          <w:rFonts w:hAnsi="宋体"/>
          <w:color w:val="auto"/>
          <w:sz w:val="18"/>
          <w:szCs w:val="18"/>
        </w:rPr>
      </w:pPr>
      <w:r>
        <w:rPr>
          <w:rFonts w:hAnsi="宋体" w:hint="eastAsia"/>
          <w:color w:val="auto"/>
          <w:sz w:val="18"/>
          <w:szCs w:val="18"/>
        </w:rPr>
        <w:t>2.产品管理人对理财资产估值后，将理财产品份额净值、</w:t>
      </w:r>
      <w:r>
        <w:rPr>
          <w:rFonts w:asciiTheme="minorEastAsia" w:eastAsiaTheme="minorEastAsia" w:hAnsiTheme="minorEastAsia" w:hint="eastAsia"/>
          <w:color w:val="auto"/>
          <w:sz w:val="18"/>
          <w:szCs w:val="18"/>
        </w:rPr>
        <w:t>每万份理财已实现收益和</w:t>
      </w:r>
      <w:r>
        <w:rPr>
          <w:rFonts w:asciiTheme="minorEastAsia" w:eastAsiaTheme="minorEastAsia" w:hAnsiTheme="minorEastAsia"/>
          <w:color w:val="auto"/>
          <w:sz w:val="18"/>
          <w:szCs w:val="18"/>
        </w:rPr>
        <w:t>7</w:t>
      </w:r>
      <w:r>
        <w:rPr>
          <w:rFonts w:asciiTheme="minorEastAsia" w:eastAsiaTheme="minorEastAsia" w:hAnsiTheme="minorEastAsia" w:hint="eastAsia"/>
          <w:color w:val="auto"/>
          <w:sz w:val="18"/>
          <w:szCs w:val="18"/>
        </w:rPr>
        <w:t>日年化收益率</w:t>
      </w:r>
      <w:r>
        <w:rPr>
          <w:rFonts w:hAnsi="宋体" w:hint="eastAsia"/>
          <w:color w:val="auto"/>
          <w:sz w:val="18"/>
          <w:szCs w:val="18"/>
        </w:rPr>
        <w:t>结果发送产品托管人，经产品托管人复核无误后，由产品管理人按规定对外公布。</w:t>
      </w:r>
    </w:p>
    <w:p w:rsidR="00360CB9" w:rsidRDefault="00712C96">
      <w:pPr>
        <w:pStyle w:val="Default"/>
        <w:spacing w:line="360" w:lineRule="auto"/>
        <w:ind w:firstLine="360"/>
        <w:rPr>
          <w:rFonts w:hAnsi="宋体"/>
          <w:color w:val="auto"/>
          <w:sz w:val="18"/>
          <w:szCs w:val="18"/>
        </w:rPr>
      </w:pPr>
      <w:r>
        <w:rPr>
          <w:rFonts w:hAnsi="宋体"/>
          <w:color w:val="auto"/>
          <w:sz w:val="18"/>
          <w:szCs w:val="18"/>
        </w:rPr>
        <w:t xml:space="preserve">3. </w:t>
      </w:r>
      <w:r>
        <w:rPr>
          <w:rFonts w:hAnsi="宋体" w:hint="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rsidR="00360CB9" w:rsidRDefault="00712C96">
      <w:pPr>
        <w:pStyle w:val="Default"/>
        <w:spacing w:line="360" w:lineRule="auto"/>
        <w:ind w:firstLineChars="200" w:firstLine="361"/>
        <w:rPr>
          <w:rFonts w:asciiTheme="minorEastAsia" w:eastAsiaTheme="minorEastAsia" w:hAnsiTheme="minorEastAsia" w:cs="Times New Roman"/>
          <w:b/>
          <w:color w:val="auto"/>
          <w:sz w:val="18"/>
          <w:szCs w:val="18"/>
        </w:rPr>
      </w:pPr>
      <w:r>
        <w:rPr>
          <w:rFonts w:asciiTheme="minorEastAsia" w:eastAsiaTheme="minorEastAsia" w:hAnsiTheme="minorEastAsia" w:cs="Times New Roman" w:hint="eastAsia"/>
          <w:b/>
          <w:color w:val="auto"/>
          <w:sz w:val="18"/>
          <w:szCs w:val="18"/>
        </w:rPr>
        <w:t>（六）估值主体</w:t>
      </w:r>
    </w:p>
    <w:p w:rsidR="00360CB9" w:rsidRDefault="00712C96">
      <w:pPr>
        <w:pStyle w:val="Default"/>
        <w:spacing w:line="360" w:lineRule="auto"/>
        <w:ind w:firstLine="360"/>
        <w:rPr>
          <w:rFonts w:hAnsi="宋体"/>
          <w:color w:val="auto"/>
          <w:sz w:val="18"/>
          <w:szCs w:val="18"/>
        </w:rPr>
      </w:pPr>
      <w:r>
        <w:rPr>
          <w:rFonts w:hAnsi="宋体" w:hint="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360CB9" w:rsidRDefault="00712C96">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360CB9" w:rsidRDefault="00712C96">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360CB9" w:rsidRDefault="00712C96">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360CB9" w:rsidRDefault="00712C96">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360CB9" w:rsidRDefault="00712C96">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360CB9" w:rsidRDefault="00712C96">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360CB9" w:rsidRDefault="00360CB9">
      <w:pPr>
        <w:pStyle w:val="Default"/>
        <w:spacing w:line="360" w:lineRule="auto"/>
        <w:ind w:firstLineChars="200" w:firstLine="360"/>
        <w:rPr>
          <w:rFonts w:hAnsi="宋体"/>
          <w:color w:val="auto"/>
          <w:sz w:val="18"/>
          <w:szCs w:val="18"/>
        </w:rPr>
      </w:pPr>
    </w:p>
    <w:p w:rsidR="00360CB9" w:rsidRDefault="00712C96">
      <w:pPr>
        <w:widowControl/>
        <w:spacing w:line="360" w:lineRule="auto"/>
        <w:jc w:val="left"/>
        <w:rPr>
          <w:rFonts w:ascii="宋体" w:hAnsi="宋体"/>
          <w:kern w:val="0"/>
          <w:sz w:val="18"/>
          <w:szCs w:val="18"/>
        </w:rPr>
      </w:pPr>
      <w:r>
        <w:rPr>
          <w:rFonts w:hAnsi="宋体"/>
          <w:sz w:val="18"/>
          <w:szCs w:val="18"/>
        </w:rPr>
        <w:br w:type="page"/>
      </w:r>
    </w:p>
    <w:p w:rsidR="00360CB9" w:rsidRDefault="00712C96">
      <w:pPr>
        <w:pStyle w:val="1"/>
        <w:spacing w:before="0" w:after="0" w:line="360" w:lineRule="auto"/>
        <w:ind w:left="60" w:firstLine="10"/>
        <w:jc w:val="center"/>
        <w:rPr>
          <w:rFonts w:ascii="Times New Roman"/>
          <w:sz w:val="30"/>
        </w:rPr>
      </w:pPr>
      <w:bookmarkStart w:id="65" w:name="_Hlt70481650"/>
      <w:bookmarkStart w:id="66" w:name="_Toc123051453"/>
      <w:bookmarkStart w:id="67" w:name="_Toc12245"/>
      <w:bookmarkStart w:id="68" w:name="_Toc29251"/>
      <w:bookmarkStart w:id="69" w:name="_Toc31644"/>
      <w:bookmarkStart w:id="70" w:name="_Toc31653"/>
      <w:bookmarkStart w:id="71" w:name="_Toc123112235"/>
      <w:bookmarkStart w:id="72" w:name="_Toc139991737"/>
      <w:bookmarkStart w:id="73" w:name="_Toc14835"/>
      <w:bookmarkStart w:id="74" w:name="_Toc74065744"/>
      <w:bookmarkStart w:id="75" w:name="_Toc6810"/>
      <w:bookmarkStart w:id="76" w:name="_Toc79154671"/>
      <w:bookmarkStart w:id="77" w:name="_Toc26207"/>
      <w:bookmarkStart w:id="78" w:name="_Toc141703887"/>
      <w:bookmarkStart w:id="79" w:name="_Toc6405"/>
      <w:bookmarkStart w:id="80" w:name="_Toc123102454"/>
      <w:bookmarkStart w:id="81" w:name="_Toc31235"/>
      <w:bookmarkStart w:id="82" w:name="_Toc3601"/>
      <w:bookmarkStart w:id="83" w:name="_Toc15143"/>
      <w:bookmarkStart w:id="84" w:name="_Toc98560353"/>
      <w:bookmarkEnd w:id="65"/>
      <w:r>
        <w:rPr>
          <w:rFonts w:ascii="Times New Roman"/>
          <w:sz w:val="30"/>
        </w:rPr>
        <w:lastRenderedPageBreak/>
        <w:t>第</w:t>
      </w:r>
      <w:r>
        <w:rPr>
          <w:rFonts w:ascii="Times New Roman" w:hint="eastAsia"/>
          <w:sz w:val="30"/>
        </w:rPr>
        <w:t>八条</w:t>
      </w:r>
      <w:r>
        <w:rPr>
          <w:rFonts w:ascii="Times New Roman"/>
          <w:sz w:val="30"/>
        </w:rPr>
        <w:t xml:space="preserve">  </w:t>
      </w:r>
      <w:r>
        <w:rPr>
          <w:rFonts w:ascii="Times New Roman" w:hint="eastAsia"/>
          <w:sz w:val="30"/>
        </w:rPr>
        <w:t>理财产品的利益分配</w:t>
      </w:r>
      <w:bookmarkStart w:id="85" w:name="_Hlt55355235"/>
      <w:bookmarkStart w:id="86" w:name="_Toc57530239"/>
      <w:bookmarkStart w:id="87" w:name="_Toc523711668"/>
      <w:bookmarkStart w:id="88" w:name="_Toc79392580"/>
      <w:bookmarkStart w:id="89" w:name="_Toc1511823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360CB9" w:rsidRDefault="00712C96">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360CB9" w:rsidRDefault="00712C96">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360CB9" w:rsidRDefault="00712C96">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360CB9" w:rsidRDefault="00712C96">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360CB9" w:rsidRDefault="00712C96">
      <w:pPr>
        <w:pStyle w:val="Default"/>
        <w:spacing w:line="360" w:lineRule="auto"/>
        <w:ind w:firstLineChars="200" w:firstLine="360"/>
        <w:rPr>
          <w:rFonts w:hAnsi="宋体"/>
          <w:color w:val="auto"/>
          <w:sz w:val="18"/>
          <w:szCs w:val="18"/>
        </w:rPr>
      </w:pPr>
      <w:r>
        <w:rPr>
          <w:rFonts w:hAnsi="宋体" w:hint="eastAsia"/>
          <w:color w:val="auto"/>
          <w:sz w:val="18"/>
          <w:szCs w:val="18"/>
        </w:rPr>
        <w:t>1</w:t>
      </w:r>
      <w:r>
        <w:rPr>
          <w:rFonts w:hAnsi="宋体"/>
          <w:color w:val="auto"/>
          <w:sz w:val="18"/>
          <w:szCs w:val="18"/>
        </w:rPr>
        <w:t>.</w:t>
      </w:r>
      <w:r>
        <w:rPr>
          <w:rFonts w:hAnsi="宋体" w:hint="eastAsia"/>
          <w:color w:val="auto"/>
          <w:sz w:val="18"/>
          <w:szCs w:val="18"/>
        </w:rPr>
        <w:t>本产品利益分配应遵循下列原则：</w:t>
      </w:r>
    </w:p>
    <w:p w:rsidR="00360CB9" w:rsidRDefault="00712C96">
      <w:pPr>
        <w:pStyle w:val="Default"/>
        <w:spacing w:line="360" w:lineRule="auto"/>
        <w:ind w:firstLineChars="200" w:firstLine="360"/>
        <w:rPr>
          <w:rFonts w:hAnsi="宋体"/>
          <w:color w:val="auto"/>
          <w:sz w:val="18"/>
          <w:szCs w:val="18"/>
        </w:rPr>
      </w:pPr>
      <w:r>
        <w:rPr>
          <w:rFonts w:hAnsi="宋体" w:hint="eastAsia"/>
          <w:color w:val="auto"/>
          <w:sz w:val="18"/>
          <w:szCs w:val="18"/>
        </w:rPr>
        <w:t>（1）每一产品份额</w:t>
      </w:r>
      <w:r>
        <w:rPr>
          <w:rFonts w:hAnsi="宋体"/>
          <w:color w:val="auto"/>
          <w:sz w:val="18"/>
          <w:szCs w:val="18"/>
        </w:rPr>
        <w:t>享有同等分配权</w:t>
      </w:r>
      <w:r>
        <w:rPr>
          <w:rFonts w:hAnsi="宋体" w:hint="eastAsia"/>
          <w:color w:val="auto"/>
          <w:sz w:val="18"/>
          <w:szCs w:val="18"/>
        </w:rPr>
        <w:t>。</w:t>
      </w:r>
    </w:p>
    <w:p w:rsidR="00360CB9" w:rsidRDefault="00712C96">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本</w:t>
      </w:r>
      <w:r>
        <w:rPr>
          <w:rFonts w:hAnsi="宋体" w:hint="eastAsia"/>
          <w:color w:val="auto"/>
          <w:sz w:val="18"/>
          <w:szCs w:val="18"/>
        </w:rPr>
        <w:t>产品</w:t>
      </w:r>
      <w:r>
        <w:rPr>
          <w:rFonts w:hAnsi="宋体"/>
          <w:color w:val="auto"/>
          <w:sz w:val="18"/>
          <w:szCs w:val="18"/>
        </w:rPr>
        <w:t>收益分配方式为红利再投资，免收再投资的费用</w:t>
      </w:r>
      <w:r>
        <w:rPr>
          <w:rFonts w:hAnsi="宋体" w:hint="eastAsia"/>
          <w:color w:val="auto"/>
          <w:sz w:val="18"/>
          <w:szCs w:val="18"/>
        </w:rPr>
        <w:t>。</w:t>
      </w:r>
    </w:p>
    <w:p w:rsidR="00360CB9" w:rsidRDefault="00712C96">
      <w:pPr>
        <w:pStyle w:val="Default"/>
        <w:spacing w:line="360" w:lineRule="auto"/>
        <w:ind w:firstLineChars="200" w:firstLine="360"/>
        <w:rPr>
          <w:rFonts w:hAnsi="宋体"/>
          <w:color w:val="auto"/>
          <w:sz w:val="18"/>
          <w:szCs w:val="18"/>
        </w:rPr>
      </w:pPr>
      <w:r>
        <w:rPr>
          <w:rFonts w:hAnsi="宋体" w:hint="eastAsia"/>
          <w:color w:val="auto"/>
          <w:sz w:val="18"/>
          <w:szCs w:val="18"/>
        </w:rPr>
        <w:t>（3）</w:t>
      </w:r>
      <w:r>
        <w:rPr>
          <w:rFonts w:hAnsi="宋体"/>
          <w:color w:val="auto"/>
          <w:sz w:val="18"/>
          <w:szCs w:val="18"/>
        </w:rPr>
        <w:t>“</w:t>
      </w:r>
      <w:r>
        <w:rPr>
          <w:rFonts w:hAnsi="宋体" w:hint="eastAsia"/>
          <w:color w:val="auto"/>
          <w:sz w:val="18"/>
          <w:szCs w:val="18"/>
        </w:rPr>
        <w:t>每日分配、按日支付</w:t>
      </w:r>
      <w:r>
        <w:rPr>
          <w:rFonts w:hAnsi="宋体"/>
          <w:color w:val="auto"/>
          <w:sz w:val="18"/>
          <w:szCs w:val="18"/>
        </w:rPr>
        <w:t>”</w:t>
      </w:r>
      <w:r>
        <w:rPr>
          <w:rFonts w:hAnsi="宋体" w:hint="eastAsia"/>
          <w:color w:val="auto"/>
          <w:sz w:val="18"/>
          <w:szCs w:val="18"/>
        </w:rPr>
        <w:t>。本产品根据每日理财收益情况，以每万份理财已实现收益为基准，为投资人每日计算当日收益并分配，且每日进行支付。投资者当日收益分配的计算保留到小数点后</w:t>
      </w:r>
      <w:r>
        <w:rPr>
          <w:rFonts w:hAnsi="宋体"/>
          <w:color w:val="auto"/>
          <w:sz w:val="18"/>
          <w:szCs w:val="18"/>
        </w:rPr>
        <w:t>2</w:t>
      </w:r>
      <w:r>
        <w:rPr>
          <w:rFonts w:hAnsi="宋体" w:hint="eastAsia"/>
          <w:color w:val="auto"/>
          <w:sz w:val="18"/>
          <w:szCs w:val="18"/>
        </w:rPr>
        <w:t>位，小数点后第</w:t>
      </w:r>
      <w:r>
        <w:rPr>
          <w:rFonts w:hAnsi="宋体"/>
          <w:color w:val="auto"/>
          <w:sz w:val="18"/>
          <w:szCs w:val="18"/>
        </w:rPr>
        <w:t>3</w:t>
      </w:r>
      <w:r>
        <w:rPr>
          <w:rFonts w:hAnsi="宋体" w:hint="eastAsia"/>
          <w:color w:val="auto"/>
          <w:sz w:val="18"/>
          <w:szCs w:val="18"/>
        </w:rPr>
        <w:t>位按去尾原则处理。</w:t>
      </w:r>
    </w:p>
    <w:p w:rsidR="00360CB9" w:rsidRDefault="00712C96">
      <w:pPr>
        <w:pStyle w:val="Default"/>
        <w:spacing w:line="360" w:lineRule="auto"/>
        <w:ind w:firstLineChars="200" w:firstLine="360"/>
        <w:rPr>
          <w:rFonts w:hAnsi="宋体"/>
          <w:color w:val="auto"/>
          <w:sz w:val="18"/>
          <w:szCs w:val="18"/>
        </w:rPr>
      </w:pPr>
      <w:r>
        <w:rPr>
          <w:rFonts w:hAnsi="宋体" w:hint="eastAsia"/>
          <w:color w:val="auto"/>
          <w:sz w:val="18"/>
          <w:szCs w:val="18"/>
        </w:rPr>
        <w:t>（4）</w:t>
      </w:r>
      <w:r>
        <w:rPr>
          <w:rFonts w:hAnsi="宋体"/>
          <w:color w:val="auto"/>
          <w:sz w:val="18"/>
          <w:szCs w:val="18"/>
        </w:rPr>
        <w:t>本</w:t>
      </w:r>
      <w:r>
        <w:rPr>
          <w:rFonts w:hAnsi="宋体" w:hint="eastAsia"/>
          <w:color w:val="auto"/>
          <w:sz w:val="18"/>
          <w:szCs w:val="18"/>
        </w:rPr>
        <w:t>产品</w:t>
      </w:r>
      <w:r>
        <w:rPr>
          <w:rFonts w:hAnsi="宋体"/>
          <w:color w:val="auto"/>
          <w:sz w:val="18"/>
          <w:szCs w:val="18"/>
        </w:rPr>
        <w:t>根据每日收益情况，将当日收益全部分配，若当日</w:t>
      </w:r>
      <w:r>
        <w:rPr>
          <w:rFonts w:hAnsi="宋体" w:hint="eastAsia"/>
          <w:color w:val="auto"/>
          <w:sz w:val="18"/>
          <w:szCs w:val="18"/>
        </w:rPr>
        <w:t>已实现收益</w:t>
      </w:r>
      <w:r>
        <w:rPr>
          <w:rFonts w:hAnsi="宋体"/>
          <w:color w:val="auto"/>
          <w:sz w:val="18"/>
          <w:szCs w:val="18"/>
        </w:rPr>
        <w:t>大于零时，为投资</w:t>
      </w:r>
      <w:r>
        <w:rPr>
          <w:rFonts w:hAnsi="宋体" w:hint="eastAsia"/>
          <w:color w:val="auto"/>
          <w:sz w:val="18"/>
          <w:szCs w:val="18"/>
        </w:rPr>
        <w:t>者</w:t>
      </w:r>
      <w:r>
        <w:rPr>
          <w:rFonts w:hAnsi="宋体"/>
          <w:color w:val="auto"/>
          <w:sz w:val="18"/>
          <w:szCs w:val="18"/>
        </w:rPr>
        <w:t>记正收益；若当日</w:t>
      </w:r>
      <w:r>
        <w:rPr>
          <w:rFonts w:hAnsi="宋体" w:hint="eastAsia"/>
          <w:color w:val="auto"/>
          <w:sz w:val="18"/>
          <w:szCs w:val="18"/>
        </w:rPr>
        <w:t>已实现收益</w:t>
      </w:r>
      <w:r>
        <w:rPr>
          <w:rFonts w:hAnsi="宋体"/>
          <w:color w:val="auto"/>
          <w:sz w:val="18"/>
          <w:szCs w:val="18"/>
        </w:rPr>
        <w:t>小于零时，为投资人记负收益；若当日</w:t>
      </w:r>
      <w:r>
        <w:rPr>
          <w:rFonts w:hAnsi="宋体" w:hint="eastAsia"/>
          <w:color w:val="auto"/>
          <w:sz w:val="18"/>
          <w:szCs w:val="18"/>
        </w:rPr>
        <w:t>已实现收益</w:t>
      </w:r>
      <w:r>
        <w:rPr>
          <w:rFonts w:hAnsi="宋体"/>
          <w:color w:val="auto"/>
          <w:sz w:val="18"/>
          <w:szCs w:val="18"/>
        </w:rPr>
        <w:t>等于零时，当日投资</w:t>
      </w:r>
      <w:r>
        <w:rPr>
          <w:rFonts w:hAnsi="宋体" w:hint="eastAsia"/>
          <w:color w:val="auto"/>
          <w:sz w:val="18"/>
          <w:szCs w:val="18"/>
        </w:rPr>
        <w:t>者</w:t>
      </w:r>
      <w:r>
        <w:rPr>
          <w:rFonts w:hAnsi="宋体"/>
          <w:color w:val="auto"/>
          <w:sz w:val="18"/>
          <w:szCs w:val="18"/>
        </w:rPr>
        <w:t>不记收益</w:t>
      </w:r>
      <w:r>
        <w:rPr>
          <w:rFonts w:hAnsi="宋体" w:hint="eastAsia"/>
          <w:color w:val="auto"/>
          <w:sz w:val="18"/>
          <w:szCs w:val="18"/>
        </w:rPr>
        <w:t>。</w:t>
      </w:r>
    </w:p>
    <w:p w:rsidR="00360CB9" w:rsidRDefault="00712C96">
      <w:pPr>
        <w:pStyle w:val="Default"/>
        <w:spacing w:line="360" w:lineRule="auto"/>
        <w:ind w:firstLineChars="200" w:firstLine="360"/>
        <w:rPr>
          <w:rFonts w:hAnsi="宋体"/>
          <w:color w:val="auto"/>
          <w:sz w:val="18"/>
          <w:szCs w:val="18"/>
        </w:rPr>
      </w:pPr>
      <w:r>
        <w:rPr>
          <w:rFonts w:hAnsi="宋体" w:hint="eastAsia"/>
          <w:color w:val="auto"/>
          <w:sz w:val="18"/>
          <w:szCs w:val="18"/>
        </w:rPr>
        <w:t>（5）</w:t>
      </w:r>
      <w:r>
        <w:rPr>
          <w:rFonts w:hAnsi="宋体"/>
          <w:color w:val="auto"/>
          <w:sz w:val="18"/>
          <w:szCs w:val="18"/>
        </w:rPr>
        <w:t>本产品每日进行收益计算并分配时，</w:t>
      </w:r>
      <w:r>
        <w:rPr>
          <w:rFonts w:asciiTheme="majorEastAsia" w:eastAsiaTheme="majorEastAsia" w:hAnsiTheme="majorEastAsia" w:hint="eastAsia"/>
          <w:bCs/>
          <w:color w:val="auto"/>
          <w:sz w:val="18"/>
          <w:szCs w:val="18"/>
        </w:rPr>
        <w:t>产品管理人</w:t>
      </w:r>
      <w:r>
        <w:rPr>
          <w:rFonts w:hAnsi="宋体" w:hint="eastAsia"/>
          <w:color w:val="auto"/>
          <w:sz w:val="18"/>
          <w:szCs w:val="18"/>
        </w:rPr>
        <w:t>根据每日理财收益情况，以每万份理财已实现收益为基准，为投资人每日计算当日收益并分配，且每日进行支付，</w:t>
      </w:r>
      <w:r>
        <w:rPr>
          <w:rFonts w:hAnsi="宋体"/>
          <w:color w:val="auto"/>
          <w:sz w:val="18"/>
          <w:szCs w:val="18"/>
        </w:rPr>
        <w:t>支付方式只采用红利再投资</w:t>
      </w:r>
      <w:r>
        <w:rPr>
          <w:rFonts w:hAnsi="宋体" w:hint="eastAsia"/>
          <w:color w:val="auto"/>
          <w:sz w:val="18"/>
          <w:szCs w:val="18"/>
        </w:rPr>
        <w:t>（</w:t>
      </w:r>
      <w:r>
        <w:rPr>
          <w:rFonts w:hAnsi="宋体"/>
          <w:color w:val="auto"/>
          <w:sz w:val="18"/>
          <w:szCs w:val="18"/>
        </w:rPr>
        <w:t>即红利转产品份额</w:t>
      </w:r>
      <w:r>
        <w:rPr>
          <w:rFonts w:hAnsi="宋体" w:hint="eastAsia"/>
          <w:color w:val="auto"/>
          <w:sz w:val="18"/>
          <w:szCs w:val="18"/>
        </w:rPr>
        <w:t>）</w:t>
      </w:r>
      <w:r>
        <w:rPr>
          <w:rFonts w:hAnsi="宋体"/>
          <w:color w:val="auto"/>
          <w:sz w:val="18"/>
          <w:szCs w:val="18"/>
        </w:rPr>
        <w:t>方式，</w:t>
      </w:r>
      <w:r>
        <w:rPr>
          <w:rFonts w:hAnsi="宋体" w:hint="eastAsia"/>
          <w:color w:val="auto"/>
          <w:sz w:val="18"/>
          <w:szCs w:val="18"/>
        </w:rPr>
        <w:t>收益按日结转份额，</w:t>
      </w:r>
      <w:r>
        <w:rPr>
          <w:rFonts w:hAnsi="宋体"/>
          <w:color w:val="auto"/>
          <w:sz w:val="18"/>
          <w:szCs w:val="18"/>
        </w:rPr>
        <w:t>投资</w:t>
      </w:r>
      <w:r>
        <w:rPr>
          <w:rFonts w:hAnsi="宋体" w:hint="eastAsia"/>
          <w:color w:val="auto"/>
          <w:sz w:val="18"/>
          <w:szCs w:val="18"/>
        </w:rPr>
        <w:t>者</w:t>
      </w:r>
      <w:r>
        <w:rPr>
          <w:rFonts w:hAnsi="宋体"/>
          <w:color w:val="auto"/>
          <w:sz w:val="18"/>
          <w:szCs w:val="18"/>
        </w:rPr>
        <w:t>可通过赎回理财产品份额获得现金收益；在当日收益支付时，若</w:t>
      </w:r>
      <w:r>
        <w:rPr>
          <w:rFonts w:hAnsi="宋体" w:hint="eastAsia"/>
          <w:color w:val="auto"/>
          <w:sz w:val="18"/>
          <w:szCs w:val="18"/>
        </w:rPr>
        <w:t>当日净收益</w:t>
      </w:r>
      <w:r>
        <w:rPr>
          <w:rFonts w:hAnsi="宋体"/>
          <w:color w:val="auto"/>
          <w:sz w:val="18"/>
          <w:szCs w:val="18"/>
        </w:rPr>
        <w:t>大于零时，则增加投资</w:t>
      </w:r>
      <w:r>
        <w:rPr>
          <w:rFonts w:hAnsi="宋体" w:hint="eastAsia"/>
          <w:color w:val="auto"/>
          <w:sz w:val="18"/>
          <w:szCs w:val="18"/>
        </w:rPr>
        <w:t>者产品</w:t>
      </w:r>
      <w:r>
        <w:rPr>
          <w:rFonts w:hAnsi="宋体"/>
          <w:color w:val="auto"/>
          <w:sz w:val="18"/>
          <w:szCs w:val="18"/>
        </w:rPr>
        <w:t>份额；若当日净收益等于零时，则保持投资</w:t>
      </w:r>
      <w:r>
        <w:rPr>
          <w:rFonts w:hAnsi="宋体" w:hint="eastAsia"/>
          <w:color w:val="auto"/>
          <w:sz w:val="18"/>
          <w:szCs w:val="18"/>
        </w:rPr>
        <w:t>者产品</w:t>
      </w:r>
      <w:r>
        <w:rPr>
          <w:rFonts w:hAnsi="宋体"/>
          <w:color w:val="auto"/>
          <w:sz w:val="18"/>
          <w:szCs w:val="18"/>
        </w:rPr>
        <w:t>份额不变；</w:t>
      </w:r>
      <w:r>
        <w:rPr>
          <w:rFonts w:hAnsi="宋体" w:hint="eastAsia"/>
          <w:color w:val="auto"/>
          <w:sz w:val="18"/>
          <w:szCs w:val="18"/>
        </w:rPr>
        <w:t>产品管理人</w:t>
      </w:r>
      <w:r>
        <w:rPr>
          <w:rFonts w:hAnsi="宋体"/>
          <w:color w:val="auto"/>
          <w:sz w:val="18"/>
          <w:szCs w:val="18"/>
        </w:rPr>
        <w:t>将采取必要措施尽量避免产品净收益小于零，若当日净收益小于零时，</w:t>
      </w:r>
      <w:r>
        <w:rPr>
          <w:rFonts w:hAnsi="宋体" w:hint="eastAsia"/>
          <w:color w:val="auto"/>
          <w:sz w:val="18"/>
          <w:szCs w:val="18"/>
        </w:rPr>
        <w:t>则</w:t>
      </w:r>
      <w:r>
        <w:rPr>
          <w:rFonts w:hAnsi="宋体"/>
          <w:color w:val="auto"/>
          <w:sz w:val="18"/>
          <w:szCs w:val="18"/>
        </w:rPr>
        <w:t>缩减投资</w:t>
      </w:r>
      <w:r>
        <w:rPr>
          <w:rFonts w:hAnsi="宋体" w:hint="eastAsia"/>
          <w:color w:val="auto"/>
          <w:sz w:val="18"/>
          <w:szCs w:val="18"/>
        </w:rPr>
        <w:t>者</w:t>
      </w:r>
      <w:r>
        <w:rPr>
          <w:rFonts w:hAnsi="宋体"/>
          <w:color w:val="auto"/>
          <w:sz w:val="18"/>
          <w:szCs w:val="18"/>
        </w:rPr>
        <w:t>产品份额</w:t>
      </w:r>
      <w:r>
        <w:rPr>
          <w:rFonts w:hAnsi="宋体" w:hint="eastAsia"/>
          <w:color w:val="auto"/>
          <w:sz w:val="18"/>
          <w:szCs w:val="18"/>
        </w:rPr>
        <w:t>。</w:t>
      </w:r>
    </w:p>
    <w:p w:rsidR="00360CB9" w:rsidRDefault="00712C96">
      <w:pPr>
        <w:autoSpaceDE w:val="0"/>
        <w:autoSpaceDN w:val="0"/>
        <w:adjustRightInd w:val="0"/>
        <w:spacing w:line="360" w:lineRule="auto"/>
        <w:ind w:firstLineChars="200" w:firstLine="360"/>
        <w:jc w:val="left"/>
        <w:rPr>
          <w:rFonts w:ascii="宋体" w:hAnsi="宋体"/>
          <w:sz w:val="18"/>
          <w:szCs w:val="18"/>
        </w:rPr>
      </w:pPr>
      <w:r>
        <w:rPr>
          <w:rFonts w:ascii="宋体" w:hAnsi="宋体" w:hint="eastAsia"/>
          <w:bCs/>
          <w:sz w:val="18"/>
          <w:szCs w:val="18"/>
        </w:rPr>
        <w:t>（6）</w:t>
      </w:r>
      <w:r>
        <w:rPr>
          <w:rFonts w:ascii="宋体" w:hAnsi="宋体"/>
          <w:bCs/>
          <w:sz w:val="18"/>
          <w:szCs w:val="18"/>
        </w:rPr>
        <w:t>申购的</w:t>
      </w:r>
      <w:r>
        <w:rPr>
          <w:rFonts w:ascii="宋体" w:hAnsi="宋体" w:hint="eastAsia"/>
          <w:bCs/>
          <w:sz w:val="18"/>
          <w:szCs w:val="18"/>
        </w:rPr>
        <w:t>理财产品</w:t>
      </w:r>
      <w:r>
        <w:rPr>
          <w:rFonts w:ascii="宋体" w:hAnsi="宋体"/>
          <w:bCs/>
          <w:sz w:val="18"/>
          <w:szCs w:val="18"/>
        </w:rPr>
        <w:t>份额自申购确认之日起，享有</w:t>
      </w:r>
      <w:r>
        <w:rPr>
          <w:rFonts w:ascii="宋体" w:hAnsi="宋体" w:hint="eastAsia"/>
          <w:bCs/>
          <w:sz w:val="18"/>
          <w:szCs w:val="18"/>
        </w:rPr>
        <w:t>产品</w:t>
      </w:r>
      <w:r>
        <w:rPr>
          <w:rFonts w:ascii="宋体" w:hAnsi="宋体"/>
          <w:bCs/>
          <w:sz w:val="18"/>
          <w:szCs w:val="18"/>
        </w:rPr>
        <w:t>的收益分配权益；赎回的</w:t>
      </w:r>
      <w:r>
        <w:rPr>
          <w:rFonts w:ascii="宋体" w:hAnsi="宋体" w:hint="eastAsia"/>
          <w:bCs/>
          <w:sz w:val="18"/>
          <w:szCs w:val="18"/>
        </w:rPr>
        <w:t>理财产品</w:t>
      </w:r>
      <w:r>
        <w:rPr>
          <w:rFonts w:ascii="宋体" w:hAnsi="宋体"/>
          <w:bCs/>
          <w:sz w:val="18"/>
          <w:szCs w:val="18"/>
        </w:rPr>
        <w:t>份额自赎回确认之日起，不享有</w:t>
      </w:r>
      <w:r>
        <w:rPr>
          <w:rFonts w:ascii="宋体" w:hAnsi="宋体" w:hint="eastAsia"/>
          <w:bCs/>
          <w:sz w:val="18"/>
          <w:szCs w:val="18"/>
        </w:rPr>
        <w:t>产品</w:t>
      </w:r>
      <w:r>
        <w:rPr>
          <w:rFonts w:ascii="宋体" w:hAnsi="宋体"/>
          <w:bCs/>
          <w:sz w:val="18"/>
          <w:szCs w:val="18"/>
        </w:rPr>
        <w:t>的收益分配权益</w:t>
      </w:r>
      <w:r>
        <w:rPr>
          <w:rFonts w:ascii="宋体" w:hAnsi="宋体" w:hint="eastAsia"/>
          <w:bCs/>
          <w:sz w:val="18"/>
          <w:szCs w:val="18"/>
        </w:rPr>
        <w:t>。</w:t>
      </w:r>
    </w:p>
    <w:p w:rsidR="00360CB9" w:rsidRDefault="00712C96">
      <w:pPr>
        <w:pStyle w:val="Default"/>
        <w:spacing w:line="360" w:lineRule="auto"/>
        <w:ind w:firstLineChars="150" w:firstLine="270"/>
        <w:rPr>
          <w:rFonts w:hAnsi="宋体"/>
          <w:color w:val="auto"/>
          <w:sz w:val="18"/>
          <w:szCs w:val="18"/>
        </w:rPr>
      </w:pPr>
      <w:r>
        <w:rPr>
          <w:rFonts w:hAnsi="宋体"/>
          <w:color w:val="auto"/>
          <w:sz w:val="18"/>
          <w:szCs w:val="18"/>
        </w:rPr>
        <w:t>2</w:t>
      </w:r>
      <w:r>
        <w:rPr>
          <w:rFonts w:hAnsi="宋体" w:hint="eastAsia"/>
          <w:color w:val="auto"/>
          <w:sz w:val="18"/>
          <w:szCs w:val="18"/>
        </w:rPr>
        <w:t>.</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本产品利益</w:t>
      </w:r>
      <w:r>
        <w:rPr>
          <w:rFonts w:hAnsi="宋体"/>
          <w:color w:val="auto"/>
          <w:sz w:val="18"/>
          <w:szCs w:val="18"/>
        </w:rPr>
        <w:t>的分配原则和支付方式</w:t>
      </w:r>
      <w:r>
        <w:rPr>
          <w:rFonts w:hAnsi="宋体" w:hint="eastAsia"/>
          <w:color w:val="auto"/>
          <w:sz w:val="18"/>
          <w:szCs w:val="18"/>
        </w:rPr>
        <w:t>。法律法规或监管机构另有规定的从其规定。</w:t>
      </w:r>
    </w:p>
    <w:p w:rsidR="00360CB9" w:rsidRDefault="00712C96">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360CB9" w:rsidRDefault="00712C96">
      <w:pPr>
        <w:pStyle w:val="Default"/>
        <w:spacing w:line="360" w:lineRule="auto"/>
        <w:ind w:firstLineChars="200" w:firstLine="361"/>
        <w:rPr>
          <w:rFonts w:hAnsi="宋体"/>
          <w:b/>
          <w:bCs/>
          <w:color w:val="auto"/>
          <w:sz w:val="18"/>
          <w:szCs w:val="18"/>
        </w:rPr>
      </w:pPr>
      <w:r>
        <w:rPr>
          <w:rFonts w:hAnsi="宋体" w:hint="eastAsia"/>
          <w:b/>
          <w:bCs/>
          <w:color w:val="auto"/>
          <w:sz w:val="18"/>
          <w:szCs w:val="18"/>
        </w:rPr>
        <w:t>1.分配方案要点：</w:t>
      </w:r>
    </w:p>
    <w:p w:rsidR="00360CB9" w:rsidRDefault="00712C96">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（1）本产品的分配时点仅采取“期间分配”。</w:t>
      </w:r>
    </w:p>
    <w:p w:rsidR="00360CB9" w:rsidRDefault="00712C96">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（2）本产品的分配方式采取“现金分配”和“非现金分配”。</w:t>
      </w:r>
    </w:p>
    <w:p w:rsidR="00360CB9" w:rsidRDefault="00712C96">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360CB9" w:rsidRDefault="00712C96">
      <w:pPr>
        <w:pStyle w:val="Default"/>
        <w:spacing w:line="360" w:lineRule="auto"/>
        <w:ind w:firstLineChars="200" w:firstLine="360"/>
        <w:rPr>
          <w:rFonts w:hAnsi="宋体"/>
          <w:color w:val="auto"/>
          <w:sz w:val="18"/>
          <w:szCs w:val="18"/>
        </w:rPr>
      </w:pPr>
      <w:r>
        <w:rPr>
          <w:rFonts w:hAnsi="宋体" w:hint="eastAsia"/>
          <w:color w:val="auto"/>
          <w:sz w:val="18"/>
          <w:szCs w:val="18"/>
        </w:rPr>
        <w:t>3.产品管理人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 w:rsidR="00360CB9" w:rsidRDefault="00712C96">
      <w:pPr>
        <w:spacing w:line="360" w:lineRule="auto"/>
        <w:ind w:firstLine="360"/>
        <w:rPr>
          <w:rFonts w:ascii="宋体" w:hAnsi="宋体"/>
          <w:b/>
          <w:sz w:val="18"/>
          <w:szCs w:val="18"/>
        </w:rPr>
      </w:pPr>
      <w:r>
        <w:rPr>
          <w:rFonts w:ascii="宋体" w:hAnsi="宋体" w:hint="eastAsia"/>
          <w:b/>
          <w:kern w:val="0"/>
          <w:sz w:val="18"/>
          <w:szCs w:val="18"/>
        </w:rPr>
        <w:t>（四）理财利益的分配</w:t>
      </w:r>
    </w:p>
    <w:p w:rsidR="00360CB9" w:rsidRDefault="00712C96">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1</w:t>
      </w:r>
      <w:r>
        <w:rPr>
          <w:rFonts w:asciiTheme="minorEastAsia" w:eastAsiaTheme="minorEastAsia" w:hAnsiTheme="minorEastAsia"/>
          <w:color w:val="auto"/>
          <w:sz w:val="18"/>
          <w:szCs w:val="18"/>
        </w:rPr>
        <w:t>.</w:t>
      </w:r>
      <w:r>
        <w:rPr>
          <w:rFonts w:asciiTheme="minorEastAsia" w:eastAsiaTheme="minorEastAsia" w:hAnsiTheme="minorEastAsia" w:hint="eastAsia"/>
          <w:color w:val="auto"/>
          <w:sz w:val="18"/>
          <w:szCs w:val="18"/>
        </w:rPr>
        <w:t>本产品每日进行收益分配。每个开放日公告前一个开放日每万份理财已实现收益和</w:t>
      </w:r>
      <w:r>
        <w:rPr>
          <w:rFonts w:asciiTheme="minorEastAsia" w:eastAsiaTheme="minorEastAsia" w:hAnsiTheme="minorEastAsia"/>
          <w:color w:val="auto"/>
          <w:sz w:val="18"/>
          <w:szCs w:val="18"/>
        </w:rPr>
        <w:t>7</w:t>
      </w:r>
      <w:r>
        <w:rPr>
          <w:rFonts w:asciiTheme="minorEastAsia" w:eastAsiaTheme="minorEastAsia" w:hAnsiTheme="minorEastAsia" w:hint="eastAsia"/>
          <w:color w:val="auto"/>
          <w:sz w:val="18"/>
          <w:szCs w:val="18"/>
        </w:rPr>
        <w:t>日年化收益率。若遇法定节假日，应于节假日结束后第一个工作日，披露节假日期间的每万份理财已实现收益和</w:t>
      </w:r>
      <w:r>
        <w:rPr>
          <w:rFonts w:asciiTheme="minorEastAsia" w:eastAsiaTheme="minorEastAsia" w:hAnsiTheme="minorEastAsia"/>
          <w:color w:val="auto"/>
          <w:sz w:val="18"/>
          <w:szCs w:val="18"/>
        </w:rPr>
        <w:t>7</w:t>
      </w:r>
      <w:r>
        <w:rPr>
          <w:rFonts w:asciiTheme="minorEastAsia" w:eastAsiaTheme="minorEastAsia" w:hAnsiTheme="minorEastAsia" w:hint="eastAsia"/>
          <w:color w:val="auto"/>
          <w:sz w:val="18"/>
          <w:szCs w:val="18"/>
        </w:rPr>
        <w:t>日年化收益率。法律法规另有规定的，从其规定。</w:t>
      </w:r>
    </w:p>
    <w:p w:rsidR="00360CB9" w:rsidRDefault="00712C96">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hint="eastAsia"/>
          <w:b/>
          <w:color w:val="auto"/>
          <w:sz w:val="18"/>
          <w:szCs w:val="18"/>
        </w:rPr>
        <w:t>该收益仅供客户购买时决策参考，并不代表该理财产品未来的表现，也不构成产品管理人对本产品收益的任何承诺或保证。</w:t>
      </w:r>
    </w:p>
    <w:p w:rsidR="00360CB9" w:rsidRDefault="00712C96">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本产品每日例行对当天实现的收益进行收益结转</w:t>
      </w:r>
      <w:r>
        <w:rPr>
          <w:rFonts w:asciiTheme="minorEastAsia" w:eastAsiaTheme="minorEastAsia" w:hAnsiTheme="minorEastAsia"/>
          <w:color w:val="auto"/>
          <w:sz w:val="18"/>
          <w:szCs w:val="18"/>
        </w:rPr>
        <w:t>(</w:t>
      </w:r>
      <w:r>
        <w:rPr>
          <w:rFonts w:asciiTheme="minorEastAsia" w:eastAsiaTheme="minorEastAsia" w:hAnsiTheme="minorEastAsia" w:hint="eastAsia"/>
          <w:color w:val="auto"/>
          <w:sz w:val="18"/>
          <w:szCs w:val="18"/>
        </w:rPr>
        <w:t>如遇节假日顺延</w:t>
      </w:r>
      <w:r>
        <w:rPr>
          <w:rFonts w:asciiTheme="minorEastAsia" w:eastAsiaTheme="minorEastAsia" w:hAnsiTheme="minorEastAsia"/>
          <w:color w:val="auto"/>
          <w:sz w:val="18"/>
          <w:szCs w:val="18"/>
        </w:rPr>
        <w:t>)</w:t>
      </w:r>
      <w:r>
        <w:rPr>
          <w:rFonts w:asciiTheme="minorEastAsia" w:eastAsiaTheme="minorEastAsia" w:hAnsiTheme="minorEastAsia" w:hint="eastAsia"/>
          <w:color w:val="auto"/>
          <w:sz w:val="18"/>
          <w:szCs w:val="18"/>
        </w:rPr>
        <w:t>，每日例行的收益结转不再另行公告。</w:t>
      </w:r>
    </w:p>
    <w:p w:rsidR="00360CB9" w:rsidRDefault="00712C96">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如发生需要</w:t>
      </w:r>
      <w:r>
        <w:rPr>
          <w:rFonts w:hAnsi="宋体" w:hint="eastAsia"/>
          <w:color w:val="auto"/>
          <w:sz w:val="18"/>
          <w:szCs w:val="18"/>
        </w:rPr>
        <w:t>延期</w:t>
      </w:r>
      <w:r>
        <w:rPr>
          <w:rFonts w:hAnsi="宋体"/>
          <w:color w:val="auto"/>
          <w:sz w:val="18"/>
          <w:szCs w:val="18"/>
        </w:rPr>
        <w:t>分配的特殊情况，产品管理人将对</w:t>
      </w:r>
      <w:r>
        <w:rPr>
          <w:rFonts w:hAnsi="宋体" w:hint="eastAsia"/>
          <w:color w:val="auto"/>
          <w:sz w:val="18"/>
          <w:szCs w:val="18"/>
        </w:rPr>
        <w:t>延期</w:t>
      </w:r>
      <w:r>
        <w:rPr>
          <w:rFonts w:hAnsi="宋体"/>
          <w:color w:val="auto"/>
          <w:sz w:val="18"/>
          <w:szCs w:val="18"/>
        </w:rPr>
        <w:t xml:space="preserve">分配的情况进行公告。 </w:t>
      </w:r>
    </w:p>
    <w:p w:rsidR="00360CB9" w:rsidRDefault="00712C96">
      <w:pPr>
        <w:widowControl/>
        <w:spacing w:line="360" w:lineRule="auto"/>
        <w:jc w:val="left"/>
        <w:rPr>
          <w:rFonts w:ascii="宋体" w:hAnsi="宋体"/>
          <w:kern w:val="0"/>
          <w:sz w:val="18"/>
          <w:szCs w:val="18"/>
        </w:rPr>
      </w:pPr>
      <w:r>
        <w:rPr>
          <w:rFonts w:hAnsi="宋体"/>
          <w:sz w:val="18"/>
          <w:szCs w:val="18"/>
        </w:rPr>
        <w:br w:type="page"/>
      </w:r>
    </w:p>
    <w:p w:rsidR="00360CB9" w:rsidRDefault="00712C96">
      <w:pPr>
        <w:pStyle w:val="1"/>
        <w:spacing w:before="0" w:after="0" w:line="360" w:lineRule="auto"/>
        <w:jc w:val="center"/>
        <w:rPr>
          <w:rFonts w:ascii="Times New Roman"/>
          <w:sz w:val="30"/>
        </w:rPr>
      </w:pPr>
      <w:bookmarkStart w:id="90" w:name="_Hlt88825574"/>
      <w:bookmarkStart w:id="91" w:name="_Hlt88897298"/>
      <w:bookmarkStart w:id="92" w:name="_Toc6447"/>
      <w:bookmarkStart w:id="93" w:name="_Toc98560354"/>
      <w:bookmarkStart w:id="94" w:name="_Toc3321"/>
      <w:bookmarkStart w:id="95" w:name="_Toc123051454"/>
      <w:bookmarkStart w:id="96" w:name="_Toc3771"/>
      <w:bookmarkStart w:id="97" w:name="_Toc79392583"/>
      <w:bookmarkStart w:id="98" w:name="_Toc123102455"/>
      <w:bookmarkStart w:id="99" w:name="_Toc74065745"/>
      <w:bookmarkStart w:id="100" w:name="_Toc7058"/>
      <w:bookmarkStart w:id="101" w:name="_Toc27112"/>
      <w:bookmarkStart w:id="102" w:name="_Toc139991738"/>
      <w:bookmarkStart w:id="103" w:name="_Toc123112236"/>
      <w:bookmarkStart w:id="104" w:name="_Toc4559"/>
      <w:bookmarkStart w:id="105" w:name="_Toc25783"/>
      <w:bookmarkStart w:id="106" w:name="_Toc10650"/>
      <w:bookmarkStart w:id="107" w:name="_Toc9706"/>
      <w:bookmarkStart w:id="108" w:name="_Toc79154672"/>
      <w:bookmarkStart w:id="109" w:name="_Toc11030"/>
      <w:bookmarkStart w:id="110" w:name="_Toc18567"/>
      <w:bookmarkStart w:id="111" w:name="_Toc141703888"/>
      <w:bookmarkEnd w:id="86"/>
      <w:bookmarkEnd w:id="87"/>
      <w:bookmarkEnd w:id="88"/>
      <w:bookmarkEnd w:id="89"/>
      <w:bookmarkEnd w:id="90"/>
      <w:bookmarkEnd w:id="91"/>
      <w:r>
        <w:rPr>
          <w:rFonts w:ascii="Times New Roman"/>
          <w:sz w:val="30"/>
        </w:rPr>
        <w:lastRenderedPageBreak/>
        <w:t>第</w:t>
      </w:r>
      <w:r>
        <w:rPr>
          <w:rFonts w:ascii="Times New Roman" w:hint="eastAsia"/>
          <w:sz w:val="30"/>
        </w:rPr>
        <w:t>九条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360CB9" w:rsidRDefault="00712C96">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360CB9" w:rsidRDefault="00712C96">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360CB9" w:rsidRDefault="00712C96">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1）理财产品的认购费、申购费、赎回费</w:t>
      </w:r>
      <w:r>
        <w:rPr>
          <w:rFonts w:ascii="宋体" w:hAnsi="宋体" w:hint="eastAsia"/>
          <w:kern w:val="0"/>
          <w:sz w:val="18"/>
          <w:szCs w:val="18"/>
        </w:rPr>
        <w:t>；</w:t>
      </w:r>
    </w:p>
    <w:p w:rsidR="00360CB9" w:rsidRDefault="00712C96">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360CB9" w:rsidRDefault="00712C96">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360CB9" w:rsidRDefault="00712C96">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360CB9" w:rsidRDefault="00712C96">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）理财产品的证券交易费用；</w:t>
      </w:r>
    </w:p>
    <w:p w:rsidR="00360CB9" w:rsidRDefault="00712C96">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360CB9" w:rsidRDefault="00712C96">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360CB9" w:rsidRDefault="00712C96">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360CB9" w:rsidRDefault="00712C96">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）理财产品的认购费、申购费、赎回费</w:t>
      </w:r>
    </w:p>
    <w:p w:rsidR="00360CB9" w:rsidRDefault="00712C96">
      <w:pPr>
        <w:widowControl/>
        <w:spacing w:line="360" w:lineRule="auto"/>
        <w:ind w:firstLineChars="200" w:firstLine="360"/>
        <w:jc w:val="left"/>
        <w:rPr>
          <w:rFonts w:ascii="宋体" w:hAnsi="宋体"/>
          <w:sz w:val="18"/>
          <w:szCs w:val="18"/>
        </w:rPr>
      </w:pPr>
      <w:r>
        <w:rPr>
          <w:rFonts w:ascii="宋体" w:hAnsi="宋体"/>
          <w:kern w:val="0"/>
          <w:sz w:val="18"/>
          <w:szCs w:val="18"/>
        </w:rPr>
        <w:t>1）认购费：</w:t>
      </w: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360CB9" w:rsidRDefault="00712C96">
      <w:pPr>
        <w:widowControl/>
        <w:spacing w:line="360" w:lineRule="auto"/>
        <w:ind w:firstLineChars="200" w:firstLine="360"/>
        <w:jc w:val="left"/>
        <w:rPr>
          <w:rFonts w:ascii="宋体" w:hAnsi="宋体"/>
          <w:sz w:val="18"/>
          <w:szCs w:val="18"/>
        </w:rPr>
      </w:pPr>
      <w:r>
        <w:rPr>
          <w:rFonts w:ascii="宋体" w:hAnsi="宋体"/>
          <w:kern w:val="0"/>
          <w:sz w:val="18"/>
          <w:szCs w:val="18"/>
        </w:rPr>
        <w:t>2）申购费：</w:t>
      </w: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hint="eastAsia"/>
          <w:kern w:val="0"/>
          <w:sz w:val="18"/>
          <w:szCs w:val="18"/>
        </w:rPr>
        <w:t>。</w:t>
      </w:r>
    </w:p>
    <w:p w:rsidR="00360CB9" w:rsidRDefault="00712C96">
      <w:pPr>
        <w:widowControl/>
        <w:spacing w:line="360" w:lineRule="auto"/>
        <w:ind w:firstLineChars="200" w:firstLine="360"/>
        <w:jc w:val="left"/>
        <w:rPr>
          <w:bCs/>
          <w:sz w:val="18"/>
          <w:szCs w:val="18"/>
        </w:rPr>
      </w:pPr>
      <w:r>
        <w:rPr>
          <w:rFonts w:ascii="宋体" w:hAnsi="宋体"/>
          <w:kern w:val="0"/>
          <w:sz w:val="18"/>
          <w:szCs w:val="18"/>
        </w:rPr>
        <w:t>3</w:t>
      </w:r>
      <w:r>
        <w:rPr>
          <w:rFonts w:ascii="宋体" w:hAnsi="宋体" w:hint="eastAsia"/>
          <w:kern w:val="0"/>
          <w:sz w:val="18"/>
          <w:szCs w:val="18"/>
        </w:rPr>
        <w:t>）赎回费：</w:t>
      </w: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hint="eastAsia"/>
          <w:kern w:val="0"/>
          <w:sz w:val="18"/>
          <w:szCs w:val="18"/>
        </w:rPr>
        <w:t>。</w:t>
      </w:r>
    </w:p>
    <w:p w:rsidR="00360CB9" w:rsidRDefault="00712C96">
      <w:pPr>
        <w:widowControl/>
        <w:spacing w:line="360" w:lineRule="auto"/>
        <w:ind w:firstLineChars="200" w:firstLine="361"/>
        <w:jc w:val="left"/>
        <w:rPr>
          <w:bCs/>
          <w:sz w:val="18"/>
          <w:szCs w:val="18"/>
        </w:rPr>
      </w:pPr>
      <w:r>
        <w:rPr>
          <w:rFonts w:ascii="宋体" w:hAnsi="宋体"/>
          <w:b/>
          <w:kern w:val="0"/>
          <w:sz w:val="18"/>
          <w:szCs w:val="18"/>
        </w:rPr>
        <w:t>4）强制赎回费用</w:t>
      </w:r>
      <w:r>
        <w:rPr>
          <w:rFonts w:ascii="宋体" w:hAnsi="宋体" w:hint="eastAsia"/>
          <w:b/>
          <w:kern w:val="0"/>
          <w:sz w:val="18"/>
          <w:szCs w:val="18"/>
        </w:rPr>
        <w:t>：</w:t>
      </w:r>
      <w:r>
        <w:rPr>
          <w:rFonts w:asciiTheme="majorEastAsia" w:eastAsiaTheme="majorEastAsia" w:hAnsiTheme="majorEastAsia"/>
          <w:b/>
          <w:bCs/>
          <w:sz w:val="18"/>
          <w:szCs w:val="18"/>
        </w:rPr>
        <w:t>费率</w:t>
      </w:r>
      <w:r>
        <w:rPr>
          <w:rFonts w:asciiTheme="majorEastAsia" w:eastAsiaTheme="majorEastAsia" w:hAnsiTheme="majorEastAsia" w:hint="eastAsia"/>
          <w:b/>
          <w:bCs/>
          <w:sz w:val="18"/>
          <w:szCs w:val="18"/>
        </w:rPr>
        <w:t>具体数值以</w:t>
      </w:r>
      <w:r>
        <w:rPr>
          <w:rFonts w:asciiTheme="minorEastAsia" w:eastAsiaTheme="minorEastAsia" w:hAnsiTheme="minorEastAsia" w:hint="eastAsia"/>
          <w:b/>
          <w:sz w:val="18"/>
          <w:szCs w:val="18"/>
        </w:rPr>
        <w:t>《产品说明书》“第二条</w:t>
      </w:r>
      <w:r>
        <w:rPr>
          <w:rFonts w:asciiTheme="minorEastAsia" w:eastAsiaTheme="minorEastAsia" w:hAnsiTheme="minorEastAsia"/>
          <w:b/>
          <w:sz w:val="18"/>
          <w:szCs w:val="18"/>
        </w:rPr>
        <w:t xml:space="preserve"> </w:t>
      </w:r>
      <w:r>
        <w:rPr>
          <w:rFonts w:asciiTheme="minorEastAsia" w:eastAsiaTheme="minorEastAsia" w:hAnsiTheme="minorEastAsia" w:hint="eastAsia"/>
          <w:b/>
          <w:sz w:val="18"/>
          <w:szCs w:val="18"/>
        </w:rPr>
        <w:t>理财产品基本情况”</w:t>
      </w:r>
      <w:r>
        <w:rPr>
          <w:rFonts w:asciiTheme="majorEastAsia" w:eastAsiaTheme="majorEastAsia" w:hAnsiTheme="majorEastAsia" w:hint="eastAsia"/>
          <w:b/>
          <w:bCs/>
          <w:sz w:val="18"/>
          <w:szCs w:val="18"/>
        </w:rPr>
        <w:t>为准</w:t>
      </w:r>
      <w:r>
        <w:rPr>
          <w:rFonts w:hint="eastAsia"/>
          <w:b/>
          <w:bCs/>
          <w:sz w:val="18"/>
          <w:szCs w:val="18"/>
        </w:rPr>
        <w:t>。</w:t>
      </w:r>
    </w:p>
    <w:p w:rsidR="00360CB9" w:rsidRDefault="00712C96">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360CB9" w:rsidRDefault="00712C96">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360CB9" w:rsidRDefault="00712C96">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360CB9" w:rsidRDefault="00712C96">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360CB9" w:rsidRDefault="00712C96">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360CB9" w:rsidRDefault="00712C96">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360CB9" w:rsidRDefault="00712C96">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360CB9" w:rsidRDefault="00712C96">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360CB9" w:rsidRDefault="00712C96">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360CB9" w:rsidRDefault="00712C96">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360CB9" w:rsidRDefault="00712C96">
      <w:pPr>
        <w:widowControl/>
        <w:spacing w:line="360" w:lineRule="auto"/>
        <w:ind w:firstLineChars="200" w:firstLine="360"/>
        <w:jc w:val="left"/>
        <w:rPr>
          <w:rFonts w:ascii="宋体" w:hAnsi="宋体"/>
          <w:kern w:val="0"/>
          <w:sz w:val="18"/>
          <w:szCs w:val="18"/>
        </w:rPr>
      </w:pPr>
      <w:r>
        <w:rPr>
          <w:rFonts w:ascii="宋体" w:hAnsi="宋体"/>
          <w:kern w:val="0"/>
          <w:sz w:val="18"/>
          <w:szCs w:val="18"/>
        </w:rPr>
        <w:lastRenderedPageBreak/>
        <w:t>E为前一日的理财资产净值</w:t>
      </w:r>
    </w:p>
    <w:p w:rsidR="00360CB9" w:rsidRDefault="00712C96">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360CB9" w:rsidRDefault="00712C96">
      <w:pPr>
        <w:widowControl/>
        <w:spacing w:line="360" w:lineRule="auto"/>
        <w:ind w:firstLineChars="200" w:firstLine="360"/>
        <w:jc w:val="left"/>
        <w:rPr>
          <w:rFonts w:ascii="宋体" w:hAnsi="宋体"/>
          <w:kern w:val="0"/>
          <w:sz w:val="18"/>
          <w:szCs w:val="18"/>
        </w:rPr>
      </w:pPr>
      <w:r>
        <w:rPr>
          <w:rFonts w:ascii="宋体" w:hAnsi="宋体"/>
          <w:kern w:val="0"/>
          <w:sz w:val="18"/>
          <w:szCs w:val="18"/>
        </w:rPr>
        <w:t>（4）超额业绩报酬</w:t>
      </w:r>
    </w:p>
    <w:p w:rsidR="00360CB9" w:rsidRDefault="00712C96">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w:t>
      </w:r>
      <w:r>
        <w:rPr>
          <w:rFonts w:ascii="宋体" w:hAnsi="宋体"/>
          <w:kern w:val="0"/>
          <w:sz w:val="18"/>
          <w:szCs w:val="18"/>
        </w:rPr>
        <w:t>不收取超额业绩报酬。</w:t>
      </w:r>
    </w:p>
    <w:p w:rsidR="00360CB9" w:rsidRDefault="00712C96">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360CB9" w:rsidRDefault="00712C96">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360CB9" w:rsidRDefault="00712C96">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产品托管费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360CB9" w:rsidRDefault="00712C96">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360CB9" w:rsidRDefault="00712C96">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360CB9" w:rsidRDefault="00712C96">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360CB9" w:rsidRDefault="00712C96">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360CB9" w:rsidRDefault="00712C96">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360CB9" w:rsidRDefault="00712C96">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360CB9" w:rsidRDefault="00712C96">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360CB9" w:rsidRDefault="00712C96">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360CB9" w:rsidRDefault="00712C96">
      <w:pPr>
        <w:pStyle w:val="Default"/>
        <w:spacing w:line="360" w:lineRule="auto"/>
        <w:ind w:firstLineChars="200" w:firstLine="360"/>
        <w:rPr>
          <w:rFonts w:ascii="黑体" w:eastAsia="黑体" w:hAnsi="黑体"/>
          <w:color w:val="auto"/>
          <w:sz w:val="18"/>
        </w:rPr>
      </w:pPr>
      <w:r>
        <w:rPr>
          <w:rFonts w:ascii="黑体" w:eastAsia="黑体" w:hAnsi="黑体" w:hint="eastAsia"/>
          <w:color w:val="auto"/>
          <w:sz w:val="18"/>
        </w:rPr>
        <w:t>（1）发生巨额赎回时，为保护投资者利益，产品管理人有权对赎回日至赎回确认日之间的各项费用进行减免。</w:t>
      </w:r>
    </w:p>
    <w:p w:rsidR="00360CB9" w:rsidRDefault="00712C96">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（2）产品管理人有权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360CB9" w:rsidRDefault="00712C96">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360CB9" w:rsidRDefault="00712C96">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360CB9" w:rsidRDefault="00712C96">
      <w:pPr>
        <w:pStyle w:val="1"/>
        <w:spacing w:line="360" w:lineRule="auto"/>
        <w:jc w:val="center"/>
      </w:pPr>
      <w:bookmarkStart w:id="112" w:name="_Toc3963"/>
      <w:bookmarkStart w:id="113" w:name="_Toc1745"/>
      <w:r>
        <w:br w:type="page"/>
      </w:r>
      <w:bookmarkStart w:id="114" w:name="_Toc18206"/>
      <w:bookmarkStart w:id="115" w:name="_Toc10398"/>
      <w:bookmarkStart w:id="116" w:name="_Toc79154673"/>
      <w:bookmarkStart w:id="117" w:name="_Toc139991739"/>
      <w:bookmarkStart w:id="118" w:name="_Toc21735"/>
      <w:bookmarkStart w:id="119" w:name="_Toc31821"/>
      <w:bookmarkStart w:id="120" w:name="_Toc725"/>
      <w:bookmarkStart w:id="121" w:name="_Toc18383"/>
      <w:bookmarkStart w:id="122" w:name="_Toc123112237"/>
      <w:bookmarkStart w:id="123" w:name="_Toc3080"/>
      <w:bookmarkStart w:id="124" w:name="_Toc141703889"/>
      <w:bookmarkStart w:id="125" w:name="_Toc3572"/>
      <w:bookmarkStart w:id="126" w:name="_Toc16164"/>
      <w:bookmarkStart w:id="127" w:name="_Toc98560355"/>
      <w:bookmarkStart w:id="128" w:name="_Toc123102456"/>
      <w:bookmarkStart w:id="129" w:name="_Toc74065746"/>
      <w:bookmarkStart w:id="130" w:name="_Toc123051455"/>
      <w:r>
        <w:rPr>
          <w:rFonts w:hint="eastAsia"/>
          <w:sz w:val="30"/>
        </w:rPr>
        <w:lastRenderedPageBreak/>
        <w:t>第十条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360CB9" w:rsidRDefault="00712C96">
      <w:pPr>
        <w:spacing w:line="360" w:lineRule="auto"/>
        <w:ind w:firstLineChars="200" w:firstLine="361"/>
        <w:rPr>
          <w:rFonts w:asciiTheme="majorEastAsia" w:eastAsiaTheme="majorEastAsia" w:hAnsiTheme="majorEastAsia"/>
          <w:b/>
          <w:bCs/>
          <w:sz w:val="18"/>
          <w:szCs w:val="18"/>
        </w:rPr>
      </w:pPr>
      <w:bookmarkStart w:id="131" w:name="_Toc79392593"/>
      <w:bookmarkStart w:id="132" w:name="_Toc15118245"/>
      <w:bookmarkStart w:id="133" w:name="_Toc57530252"/>
      <w:r>
        <w:rPr>
          <w:rFonts w:asciiTheme="majorEastAsia" w:eastAsiaTheme="majorEastAsia" w:hAnsiTheme="majorEastAsia" w:hint="eastAsia"/>
          <w:b/>
          <w:bCs/>
          <w:sz w:val="18"/>
          <w:szCs w:val="18"/>
        </w:rPr>
        <w:t>（一）理财产品的终止</w:t>
      </w:r>
    </w:p>
    <w:p w:rsidR="00360CB9" w:rsidRDefault="00712C96">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360CB9" w:rsidRDefault="00712C96">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360CB9" w:rsidRDefault="00712C96">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360CB9" w:rsidRDefault="00712C96">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360CB9" w:rsidRDefault="00712C96">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360CB9" w:rsidRDefault="00712C96">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360CB9" w:rsidRDefault="00712C96">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360CB9" w:rsidRDefault="00712C96">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因法律法规变化或国家金融政策调整、紧急措施出台影响产品继续正常运作。</w:t>
      </w:r>
    </w:p>
    <w:p w:rsidR="00360CB9" w:rsidRDefault="00712C96">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360CB9" w:rsidRDefault="00712C96">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360CB9" w:rsidRDefault="00712C96">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法律法规规定或监管部门认定的其他情形。</w:t>
      </w:r>
    </w:p>
    <w:p w:rsidR="00360CB9" w:rsidRDefault="00712C96">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360CB9" w:rsidRDefault="00712C96">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360CB9" w:rsidRDefault="00712C96">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因市场成交量不足、资产限制赎回、暂停交易、缺乏意愿交易对手等原因，导致产品项下对应的投资标的无法及时变现；</w:t>
      </w:r>
      <w:r>
        <w:rPr>
          <w:rFonts w:ascii="黑体" w:eastAsia="黑体" w:hAnsi="黑体"/>
          <w:bCs/>
          <w:sz w:val="18"/>
          <w:szCs w:val="18"/>
        </w:rPr>
        <w:t xml:space="preserve"> </w:t>
      </w:r>
    </w:p>
    <w:p w:rsidR="00360CB9" w:rsidRDefault="00712C96">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360CB9" w:rsidRDefault="00712C96">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360CB9" w:rsidRDefault="00712C96">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360CB9" w:rsidRDefault="00712C96">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360CB9" w:rsidRDefault="00712C96">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360CB9" w:rsidRDefault="00712C96">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w:t>
      </w:r>
      <w:r>
        <w:rPr>
          <w:rFonts w:asciiTheme="majorEastAsia" w:eastAsiaTheme="majorEastAsia" w:hAnsiTheme="majorEastAsia" w:hint="eastAsia"/>
          <w:bCs/>
          <w:sz w:val="18"/>
          <w:szCs w:val="18"/>
        </w:rPr>
        <w:lastRenderedPageBreak/>
        <w:t>清算期不计算投资收益。理财资产清算后扣除理财相关费用、缴纳所欠税款并清偿理财产品负债后，理财利益按投资者持有的理财产品份额比例进行分配。清算期原则上不得超过【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hAnsiTheme="majorEastAsia"/>
          <w:sz w:val="18"/>
        </w:rPr>
        <w:t>将依约</w:t>
      </w:r>
      <w:r>
        <w:rPr>
          <w:rFonts w:asciiTheme="majorEastAsia" w:hAnsiTheme="majorEastAsia" w:hint="eastAsia"/>
          <w:sz w:val="18"/>
        </w:rPr>
        <w:t>定进行公告</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p>
    <w:p w:rsidR="00360CB9" w:rsidRDefault="00712C96">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hAnsiTheme="majorEastAsia"/>
          <w:sz w:val="18"/>
        </w:rPr>
        <w:t>.</w:t>
      </w:r>
      <w:r>
        <w:rPr>
          <w:rFonts w:asciiTheme="majorEastAsia" w:eastAsiaTheme="majorEastAsia" w:hAnsiTheme="majorEastAsia" w:hint="eastAsia"/>
          <w:bCs/>
          <w:sz w:val="18"/>
          <w:szCs w:val="18"/>
        </w:rPr>
        <w:t>产品管理人决定部分提前终止理财产品的，按以下约定处理：</w:t>
      </w:r>
    </w:p>
    <w:p w:rsidR="00360CB9" w:rsidRDefault="00712C96">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w:t>
      </w:r>
      <w:r>
        <w:rPr>
          <w:rFonts w:asciiTheme="majorEastAsia" w:hAnsiTheme="majorEastAsia" w:hint="eastAsia"/>
          <w:sz w:val="18"/>
        </w:rPr>
        <w:t>理财产品将按比例（已变现</w:t>
      </w:r>
      <w:r>
        <w:rPr>
          <w:rFonts w:asciiTheme="majorEastAsia" w:hAnsiTheme="majorEastAsia"/>
          <w:sz w:val="18"/>
        </w:rPr>
        <w:t>资产/理财产品净资产）</w:t>
      </w:r>
      <w:r>
        <w:rPr>
          <w:rFonts w:asciiTheme="majorEastAsia" w:eastAsiaTheme="majorEastAsia" w:hAnsiTheme="majorEastAsia" w:hint="eastAsia"/>
          <w:bCs/>
          <w:sz w:val="18"/>
          <w:szCs w:val="18"/>
        </w:rPr>
        <w:t>部分提前终止</w:t>
      </w:r>
      <w:r>
        <w:rPr>
          <w:rFonts w:asciiTheme="majorEastAsia" w:hAnsiTheme="majorEastAsia" w:hint="eastAsia"/>
          <w:sz w:val="18"/>
        </w:rPr>
        <w:t>，同时根据产品最新的理财产品份额净值和份额计算并支付投资者相应的理财利益，投资者所持有的理财份额则按比例注销。</w:t>
      </w:r>
    </w:p>
    <w:p w:rsidR="00360CB9" w:rsidRDefault="00712C96">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360CB9" w:rsidRDefault="00712C96">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360CB9" w:rsidRDefault="00712C96">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rsidR="00360CB9" w:rsidRDefault="00712C96">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此外，在投资者与管理人另行协商一致延期终止本产品的情况下，相应延期期间理财产品的投资运作，费用等事宜由双方另行约定。</w:t>
      </w:r>
    </w:p>
    <w:bookmarkEnd w:id="131"/>
    <w:bookmarkEnd w:id="132"/>
    <w:bookmarkEnd w:id="133"/>
    <w:p w:rsidR="00360CB9" w:rsidRDefault="00712C96">
      <w:pPr>
        <w:pStyle w:val="1"/>
        <w:spacing w:before="0" w:after="0" w:line="360" w:lineRule="auto"/>
        <w:jc w:val="center"/>
        <w:rPr>
          <w:rFonts w:ascii="Times New Roman"/>
          <w:sz w:val="30"/>
        </w:rPr>
      </w:pPr>
      <w:r>
        <w:rPr>
          <w:rFonts w:ascii="Times New Roman"/>
          <w:b w:val="0"/>
          <w:bCs w:val="0"/>
          <w:kern w:val="2"/>
        </w:rPr>
        <w:br w:type="page"/>
      </w:r>
      <w:bookmarkStart w:id="134" w:name="_Toc79154674"/>
      <w:bookmarkStart w:id="135" w:name="_Toc17920"/>
      <w:bookmarkStart w:id="136" w:name="_Toc98560356"/>
      <w:bookmarkStart w:id="137" w:name="_Toc141703890"/>
      <w:bookmarkStart w:id="138" w:name="_Toc26192"/>
      <w:bookmarkStart w:id="139" w:name="_Toc74065747"/>
      <w:bookmarkStart w:id="140" w:name="_Toc17198"/>
      <w:bookmarkStart w:id="141" w:name="_Toc139991740"/>
      <w:bookmarkStart w:id="142" w:name="_Toc32584"/>
      <w:bookmarkStart w:id="143" w:name="_Toc123102457"/>
      <w:bookmarkStart w:id="144" w:name="_Toc5170"/>
      <w:bookmarkStart w:id="145" w:name="_Toc3329"/>
      <w:bookmarkStart w:id="146" w:name="_Toc739"/>
      <w:bookmarkStart w:id="147" w:name="_Toc48649708"/>
      <w:bookmarkStart w:id="148" w:name="_Toc32092"/>
      <w:bookmarkStart w:id="149" w:name="_Toc79392622"/>
      <w:bookmarkStart w:id="150" w:name="_Toc123051456"/>
      <w:bookmarkStart w:id="151" w:name="_Toc123112238"/>
      <w:bookmarkStart w:id="152" w:name="_Toc21237"/>
      <w:bookmarkStart w:id="153" w:name="_Toc8791"/>
      <w:bookmarkStart w:id="154" w:name="_Toc29408"/>
      <w:r>
        <w:rPr>
          <w:rFonts w:ascii="Times New Roman"/>
          <w:sz w:val="30"/>
        </w:rPr>
        <w:lastRenderedPageBreak/>
        <w:t>第十</w:t>
      </w:r>
      <w:r>
        <w:rPr>
          <w:rFonts w:ascii="Times New Roman" w:hint="eastAsia"/>
          <w:sz w:val="30"/>
        </w:rPr>
        <w:t>一条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360CB9" w:rsidRDefault="00712C96">
      <w:pPr>
        <w:spacing w:line="360" w:lineRule="auto"/>
        <w:ind w:firstLineChars="200" w:firstLine="361"/>
        <w:rPr>
          <w:rFonts w:ascii="宋体" w:hAnsi="宋体"/>
          <w:b/>
          <w:bCs/>
          <w:sz w:val="18"/>
          <w:szCs w:val="18"/>
        </w:rPr>
      </w:pPr>
      <w:bookmarkStart w:id="155" w:name="_Toc85201647"/>
      <w:r>
        <w:rPr>
          <w:rFonts w:ascii="宋体" w:hAnsi="宋体" w:hint="eastAsia"/>
          <w:b/>
          <w:bCs/>
          <w:sz w:val="18"/>
          <w:szCs w:val="18"/>
        </w:rPr>
        <w:t>（一）信息</w:t>
      </w:r>
      <w:r>
        <w:rPr>
          <w:rFonts w:ascii="宋体" w:hAnsi="宋体"/>
          <w:b/>
          <w:bCs/>
          <w:sz w:val="18"/>
          <w:szCs w:val="18"/>
        </w:rPr>
        <w:t>披露的原则</w:t>
      </w:r>
    </w:p>
    <w:p w:rsidR="00360CB9" w:rsidRDefault="00712C96">
      <w:pPr>
        <w:spacing w:line="360" w:lineRule="auto"/>
        <w:ind w:firstLineChars="200"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360CB9" w:rsidRDefault="00712C96">
      <w:pPr>
        <w:spacing w:line="360" w:lineRule="auto"/>
        <w:ind w:firstLineChars="200" w:firstLine="361"/>
        <w:rPr>
          <w:rFonts w:ascii="宋体" w:hAnsi="宋体"/>
          <w:b/>
          <w:bCs/>
          <w:sz w:val="18"/>
          <w:szCs w:val="18"/>
        </w:rPr>
      </w:pPr>
      <w:r>
        <w:rPr>
          <w:rFonts w:ascii="宋体" w:hAnsi="宋体" w:hint="eastAsia"/>
          <w:b/>
          <w:bCs/>
          <w:sz w:val="18"/>
          <w:szCs w:val="18"/>
        </w:rPr>
        <w:t>（二）信息披露的渠道</w:t>
      </w:r>
    </w:p>
    <w:p w:rsidR="00360CB9" w:rsidRDefault="00712C96">
      <w:pPr>
        <w:spacing w:line="360" w:lineRule="auto"/>
        <w:ind w:firstLineChars="200" w:firstLine="360"/>
        <w:rPr>
          <w:rFonts w:ascii="宋体" w:hAnsi="宋体"/>
          <w:bCs/>
          <w:sz w:val="18"/>
          <w:szCs w:val="18"/>
        </w:rPr>
      </w:pPr>
      <w:r>
        <w:rPr>
          <w:rFonts w:ascii="宋体" w:hAnsi="宋体"/>
          <w:bCs/>
          <w:sz w:val="18"/>
          <w:szCs w:val="18"/>
        </w:rPr>
        <w:t>1</w:t>
      </w:r>
      <w:r>
        <w:rPr>
          <w:rFonts w:ascii="宋体" w:hAnsi="宋体" w:hint="eastAsia"/>
          <w:bCs/>
          <w:sz w:val="18"/>
          <w:szCs w:val="18"/>
        </w:rPr>
        <w:t>.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w:t>
      </w:r>
      <w:r>
        <w:rPr>
          <w:rFonts w:ascii="宋体" w:hAnsi="宋体"/>
          <w:bCs/>
          <w:sz w:val="18"/>
          <w:szCs w:val="18"/>
        </w:rPr>
        <w:t>投资者及时关注。</w:t>
      </w:r>
    </w:p>
    <w:p w:rsidR="00360CB9" w:rsidRDefault="00712C96">
      <w:pPr>
        <w:spacing w:line="360" w:lineRule="auto"/>
        <w:ind w:firstLineChars="200"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通过兴业银行或销售机构的信息披露渠道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360CB9" w:rsidRDefault="00712C96">
      <w:pPr>
        <w:spacing w:line="360" w:lineRule="auto"/>
        <w:ind w:firstLineChars="200" w:firstLine="360"/>
        <w:rPr>
          <w:rFonts w:ascii="宋体" w:hAnsi="宋体"/>
          <w:bCs/>
          <w:sz w:val="18"/>
          <w:szCs w:val="18"/>
        </w:rPr>
      </w:pPr>
      <w:r>
        <w:rPr>
          <w:rFonts w:ascii="宋体" w:hAnsi="宋体"/>
          <w:bCs/>
          <w:sz w:val="18"/>
          <w:szCs w:val="18"/>
        </w:rPr>
        <w:t>3</w:t>
      </w:r>
      <w:r>
        <w:rPr>
          <w:rFonts w:ascii="宋体" w:hAnsi="宋体" w:hint="eastAsia"/>
          <w:bCs/>
          <w:sz w:val="18"/>
          <w:szCs w:val="18"/>
        </w:rPr>
        <w:t>.投资者应定期通过约定的信息披露渠道获知有关理财产品相关信息。以上相关信息自披露之日即视为已送达投资者，也视为产品管理人已适当披露理财产品相关信息。投资者承诺将及时接收、浏览和阅读该等信息。如投资者对本产品的运作状况有任何疑问，可向产品管理人或销售机构进行咨询。</w:t>
      </w:r>
    </w:p>
    <w:p w:rsidR="00360CB9" w:rsidRDefault="00712C96">
      <w:pPr>
        <w:spacing w:line="360" w:lineRule="auto"/>
        <w:ind w:firstLineChars="200" w:firstLine="360"/>
        <w:rPr>
          <w:rFonts w:ascii="宋体" w:hAnsi="宋体"/>
          <w:bCs/>
          <w:sz w:val="18"/>
          <w:szCs w:val="18"/>
        </w:rPr>
      </w:pPr>
      <w:r>
        <w:rPr>
          <w:rFonts w:ascii="宋体" w:hAnsi="宋体"/>
          <w:bCs/>
          <w:sz w:val="18"/>
          <w:szCs w:val="18"/>
        </w:rPr>
        <w:t>4</w:t>
      </w:r>
      <w:r>
        <w:rPr>
          <w:rFonts w:ascii="宋体" w:hAnsi="宋体" w:hint="eastAsia"/>
          <w:bCs/>
          <w:sz w:val="18"/>
          <w:szCs w:val="18"/>
        </w:rPr>
        <w:t>.在保障投资者知情权的前提下，产品管理人保留变更信息披露渠道的权利。</w:t>
      </w:r>
    </w:p>
    <w:p w:rsidR="00360CB9" w:rsidRDefault="00712C96">
      <w:pPr>
        <w:spacing w:line="360" w:lineRule="auto"/>
        <w:ind w:firstLineChars="200" w:firstLine="361"/>
        <w:rPr>
          <w:rFonts w:ascii="宋体" w:hAnsi="宋体"/>
          <w:b/>
          <w:bCs/>
          <w:sz w:val="18"/>
          <w:szCs w:val="18"/>
        </w:rPr>
      </w:pPr>
      <w:r>
        <w:rPr>
          <w:rFonts w:ascii="宋体" w:hAnsi="宋体" w:hint="eastAsia"/>
          <w:b/>
          <w:bCs/>
          <w:sz w:val="18"/>
          <w:szCs w:val="18"/>
        </w:rPr>
        <w:t>（三）信息披露的内容</w:t>
      </w:r>
    </w:p>
    <w:p w:rsidR="00360CB9" w:rsidRDefault="00712C96">
      <w:pPr>
        <w:spacing w:line="360" w:lineRule="auto"/>
        <w:ind w:firstLineChars="200"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募集信息、产品份额净值、暂停申购或赎回、投资对象和比例、产品组合资产情况及其流动性风险分析、杠杆水平、利益分配、托管安排、投资账户信息、主要投资风险、估值方法变更、收费标准变更、</w:t>
      </w:r>
      <w:r>
        <w:rPr>
          <w:rFonts w:asciiTheme="minorEastAsia" w:hAnsiTheme="minorEastAsia" w:hint="eastAsia"/>
          <w:bCs/>
          <w:sz w:val="18"/>
          <w:szCs w:val="18"/>
        </w:rPr>
        <w:t>每万份理财产品份额已实现收益及</w:t>
      </w:r>
      <w:r>
        <w:rPr>
          <w:rFonts w:asciiTheme="minorEastAsia" w:hAnsiTheme="minorEastAsia"/>
          <w:bCs/>
          <w:sz w:val="18"/>
          <w:szCs w:val="18"/>
        </w:rPr>
        <w:t>7日年化收益率</w:t>
      </w:r>
      <w:r>
        <w:rPr>
          <w:rFonts w:asciiTheme="minorEastAsia" w:hAnsiTheme="minorEastAsia" w:hint="eastAsia"/>
          <w:bCs/>
          <w:sz w:val="18"/>
          <w:szCs w:val="18"/>
        </w:rPr>
        <w:t>、</w:t>
      </w:r>
      <w:r>
        <w:rPr>
          <w:rFonts w:asciiTheme="minorEastAsia" w:hAnsiTheme="minorEastAsia"/>
          <w:bCs/>
          <w:sz w:val="18"/>
          <w:szCs w:val="18"/>
        </w:rPr>
        <w:t>前</w:t>
      </w:r>
      <w:r>
        <w:rPr>
          <w:rFonts w:asciiTheme="minorEastAsia" w:hAnsiTheme="minorEastAsia" w:hint="eastAsia"/>
          <w:bCs/>
          <w:sz w:val="18"/>
          <w:szCs w:val="18"/>
        </w:rPr>
        <w:t>1</w:t>
      </w:r>
      <w:r>
        <w:rPr>
          <w:rFonts w:asciiTheme="minorEastAsia" w:hAnsiTheme="minorEastAsia"/>
          <w:bCs/>
          <w:sz w:val="18"/>
          <w:szCs w:val="18"/>
        </w:rPr>
        <w:t>0名投资者类别</w:t>
      </w:r>
      <w:r>
        <w:rPr>
          <w:rFonts w:asciiTheme="minorEastAsia" w:hAnsiTheme="minorEastAsia" w:hint="eastAsia"/>
          <w:bCs/>
          <w:sz w:val="18"/>
          <w:szCs w:val="18"/>
        </w:rPr>
        <w:t>和</w:t>
      </w:r>
      <w:r>
        <w:rPr>
          <w:rFonts w:asciiTheme="minorEastAsia" w:hAnsiTheme="minorEastAsia"/>
          <w:bCs/>
          <w:sz w:val="18"/>
          <w:szCs w:val="18"/>
        </w:rPr>
        <w:t>持有份额及</w:t>
      </w:r>
      <w:r>
        <w:rPr>
          <w:rFonts w:asciiTheme="minorEastAsia" w:hAnsiTheme="minorEastAsia" w:hint="eastAsia"/>
          <w:bCs/>
          <w:sz w:val="18"/>
          <w:szCs w:val="18"/>
        </w:rPr>
        <w:t>占总份额比例</w:t>
      </w:r>
      <w:r>
        <w:rPr>
          <w:rFonts w:ascii="宋体" w:hAnsi="宋体" w:hint="eastAsia"/>
          <w:bCs/>
          <w:sz w:val="18"/>
          <w:szCs w:val="18"/>
        </w:rPr>
        <w:t>等信息。</w:t>
      </w:r>
    </w:p>
    <w:p w:rsidR="00360CB9" w:rsidRDefault="00712C96">
      <w:pPr>
        <w:spacing w:line="360" w:lineRule="auto"/>
        <w:ind w:firstLineChars="200" w:firstLine="361"/>
        <w:rPr>
          <w:rFonts w:ascii="宋体" w:hAnsi="宋体"/>
          <w:b/>
          <w:bCs/>
          <w:sz w:val="18"/>
          <w:szCs w:val="18"/>
        </w:rPr>
      </w:pPr>
      <w:r>
        <w:rPr>
          <w:rFonts w:ascii="宋体" w:hAnsi="宋体" w:hint="eastAsia"/>
          <w:b/>
          <w:bCs/>
          <w:sz w:val="18"/>
          <w:szCs w:val="18"/>
        </w:rPr>
        <w:t>（四）信息披露的频率和时间</w:t>
      </w:r>
    </w:p>
    <w:p w:rsidR="00360CB9" w:rsidRDefault="00712C96">
      <w:pPr>
        <w:spacing w:line="360" w:lineRule="auto"/>
        <w:ind w:firstLineChars="200" w:firstLine="360"/>
        <w:rPr>
          <w:rFonts w:ascii="宋体" w:hAnsi="宋体"/>
          <w:bCs/>
          <w:sz w:val="18"/>
          <w:szCs w:val="18"/>
        </w:rPr>
      </w:pPr>
      <w:r>
        <w:rPr>
          <w:rFonts w:ascii="宋体" w:hAnsi="宋体"/>
          <w:bCs/>
          <w:sz w:val="18"/>
          <w:szCs w:val="18"/>
        </w:rPr>
        <w:t>1</w:t>
      </w:r>
      <w:r>
        <w:rPr>
          <w:rFonts w:ascii="宋体" w:hAnsi="宋体" w:hint="eastAsia"/>
          <w:bCs/>
          <w:sz w:val="18"/>
          <w:szCs w:val="18"/>
        </w:rPr>
        <w:t>.</w:t>
      </w:r>
      <w:r>
        <w:rPr>
          <w:rFonts w:ascii="宋体" w:hAnsi="宋体"/>
          <w:bCs/>
          <w:sz w:val="18"/>
          <w:szCs w:val="18"/>
        </w:rPr>
        <w:t>产品成立公告</w:t>
      </w:r>
    </w:p>
    <w:p w:rsidR="00360CB9" w:rsidRDefault="00712C96">
      <w:pPr>
        <w:spacing w:line="360" w:lineRule="auto"/>
        <w:ind w:firstLineChars="200" w:firstLine="360"/>
        <w:rPr>
          <w:rFonts w:ascii="宋体" w:hAnsi="宋体"/>
          <w:bCs/>
          <w:sz w:val="18"/>
          <w:szCs w:val="18"/>
        </w:rPr>
      </w:pPr>
      <w:r>
        <w:rPr>
          <w:rFonts w:ascii="宋体" w:hAnsi="宋体" w:hint="eastAsia"/>
          <w:bCs/>
          <w:sz w:val="18"/>
          <w:szCs w:val="18"/>
        </w:rPr>
        <w:t>本产品成立后5个工作日内，产品管理人将发布产品成立公告。</w:t>
      </w:r>
    </w:p>
    <w:p w:rsidR="00360CB9" w:rsidRDefault="00712C96">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w:t>
      </w:r>
      <w:r>
        <w:rPr>
          <w:rFonts w:ascii="宋体" w:hAnsi="宋体"/>
          <w:bCs/>
          <w:sz w:val="18"/>
          <w:szCs w:val="18"/>
        </w:rPr>
        <w:t>重大事项公告</w:t>
      </w:r>
    </w:p>
    <w:p w:rsidR="00360CB9" w:rsidRDefault="00712C96">
      <w:pPr>
        <w:spacing w:line="360" w:lineRule="auto"/>
        <w:ind w:firstLineChars="200"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360CB9" w:rsidRDefault="00712C96">
      <w:pPr>
        <w:spacing w:line="360" w:lineRule="auto"/>
        <w:ind w:firstLineChars="200" w:firstLine="360"/>
        <w:rPr>
          <w:rFonts w:ascii="宋体" w:hAnsi="宋体"/>
          <w:bCs/>
          <w:sz w:val="18"/>
          <w:szCs w:val="18"/>
        </w:rPr>
      </w:pPr>
      <w:r>
        <w:rPr>
          <w:rFonts w:ascii="宋体" w:hAnsi="宋体"/>
          <w:bCs/>
          <w:sz w:val="18"/>
          <w:szCs w:val="18"/>
        </w:rPr>
        <w:t>3</w:t>
      </w:r>
      <w:r>
        <w:rPr>
          <w:rFonts w:ascii="宋体" w:hAnsi="宋体" w:hint="eastAsia"/>
          <w:bCs/>
          <w:sz w:val="18"/>
          <w:szCs w:val="18"/>
        </w:rPr>
        <w:t>.</w:t>
      </w:r>
      <w:r>
        <w:rPr>
          <w:rFonts w:ascii="宋体" w:hAnsi="宋体"/>
          <w:bCs/>
          <w:sz w:val="18"/>
          <w:szCs w:val="18"/>
        </w:rPr>
        <w:t>定期报告</w:t>
      </w:r>
    </w:p>
    <w:p w:rsidR="00360CB9" w:rsidRDefault="00712C96">
      <w:pPr>
        <w:spacing w:line="360" w:lineRule="auto"/>
        <w:ind w:firstLineChars="200" w:firstLine="360"/>
        <w:rPr>
          <w:rFonts w:ascii="宋体" w:hAnsi="宋体"/>
          <w:bCs/>
          <w:sz w:val="18"/>
          <w:szCs w:val="18"/>
        </w:rPr>
      </w:pPr>
      <w:r>
        <w:rPr>
          <w:rFonts w:ascii="宋体" w:hAnsi="宋体" w:hint="eastAsia"/>
          <w:bCs/>
          <w:sz w:val="18"/>
          <w:szCs w:val="18"/>
        </w:rPr>
        <w:t>定期报告分为季度、半年度和年度定期报告。产品成立超过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w:t>
      </w:r>
      <w:r>
        <w:rPr>
          <w:rFonts w:ascii="宋体" w:hAnsi="宋体" w:hint="eastAsia"/>
          <w:bCs/>
          <w:sz w:val="18"/>
          <w:szCs w:val="18"/>
        </w:rPr>
        <w:lastRenderedPageBreak/>
        <w:t>日的，可以不编制产品的季度、半年度和年度报告等定期报告。</w:t>
      </w:r>
    </w:p>
    <w:p w:rsidR="00360CB9" w:rsidRDefault="00712C96">
      <w:pPr>
        <w:spacing w:line="360" w:lineRule="auto"/>
        <w:ind w:firstLineChars="200" w:firstLine="360"/>
        <w:rPr>
          <w:rFonts w:ascii="宋体" w:hAnsi="宋体"/>
          <w:bCs/>
          <w:sz w:val="18"/>
          <w:szCs w:val="18"/>
        </w:rPr>
      </w:pPr>
      <w:r>
        <w:rPr>
          <w:rFonts w:ascii="宋体" w:hAnsi="宋体" w:hint="eastAsia"/>
          <w:bCs/>
          <w:sz w:val="18"/>
          <w:szCs w:val="18"/>
        </w:rPr>
        <w:t>产品存续期间如出现单一投资者持有产品份额达到或者超过产品总份额20%的情形,为保障其他投资者的权益，管理人将在定期报告中披露该投资者的类别、持有份额及占比、持有份额变化情况及产品风险等信息，银保监会认定的特殊情形除外。</w:t>
      </w:r>
    </w:p>
    <w:p w:rsidR="00360CB9" w:rsidRDefault="00712C96">
      <w:pPr>
        <w:spacing w:line="360" w:lineRule="auto"/>
        <w:ind w:firstLineChars="200" w:firstLine="360"/>
        <w:rPr>
          <w:rFonts w:ascii="宋体" w:hAnsi="宋体"/>
          <w:bCs/>
          <w:sz w:val="18"/>
          <w:szCs w:val="18"/>
        </w:rPr>
      </w:pPr>
      <w:r>
        <w:rPr>
          <w:rFonts w:ascii="宋体" w:hAnsi="宋体"/>
          <w:bCs/>
          <w:sz w:val="18"/>
          <w:szCs w:val="18"/>
        </w:rPr>
        <w:t>4</w:t>
      </w:r>
      <w:r>
        <w:rPr>
          <w:rFonts w:ascii="宋体" w:hAnsi="宋体" w:hint="eastAsia"/>
          <w:bCs/>
          <w:sz w:val="18"/>
          <w:szCs w:val="18"/>
        </w:rPr>
        <w:t>.</w:t>
      </w:r>
      <w:r>
        <w:rPr>
          <w:rFonts w:ascii="宋体" w:hAnsi="宋体"/>
          <w:bCs/>
          <w:sz w:val="18"/>
          <w:szCs w:val="18"/>
        </w:rPr>
        <w:t>到期公告</w:t>
      </w:r>
    </w:p>
    <w:p w:rsidR="00360CB9" w:rsidRDefault="00712C96">
      <w:pPr>
        <w:spacing w:line="360" w:lineRule="auto"/>
        <w:ind w:firstLineChars="200" w:firstLine="360"/>
        <w:rPr>
          <w:rFonts w:ascii="宋体" w:hAnsi="宋体"/>
          <w:bCs/>
          <w:sz w:val="18"/>
          <w:szCs w:val="18"/>
        </w:rPr>
      </w:pPr>
      <w:r>
        <w:rPr>
          <w:rFonts w:ascii="宋体" w:hAnsi="宋体" w:hint="eastAsia"/>
          <w:bCs/>
          <w:sz w:val="18"/>
          <w:szCs w:val="18"/>
        </w:rPr>
        <w:t>如果产品管理人主动提前终止本产品，产品管理人将提前2个工作日进行公告。本产品终止后5个工作日内，产品管理人发布产品到期公告。</w:t>
      </w:r>
    </w:p>
    <w:p w:rsidR="00360CB9" w:rsidRDefault="00712C96">
      <w:pPr>
        <w:spacing w:line="360" w:lineRule="auto"/>
        <w:ind w:firstLineChars="200" w:firstLine="360"/>
        <w:rPr>
          <w:rFonts w:ascii="宋体" w:hAnsi="宋体"/>
          <w:bCs/>
          <w:sz w:val="18"/>
          <w:szCs w:val="18"/>
        </w:rPr>
      </w:pPr>
      <w:r>
        <w:rPr>
          <w:rFonts w:ascii="宋体" w:hAnsi="宋体"/>
          <w:bCs/>
          <w:sz w:val="18"/>
          <w:szCs w:val="18"/>
        </w:rPr>
        <w:t>5</w:t>
      </w:r>
      <w:r>
        <w:rPr>
          <w:rFonts w:ascii="宋体" w:hAnsi="宋体" w:hint="eastAsia"/>
          <w:bCs/>
          <w:sz w:val="18"/>
          <w:szCs w:val="18"/>
        </w:rPr>
        <w:t>.</w:t>
      </w:r>
      <w:r>
        <w:rPr>
          <w:rFonts w:ascii="宋体" w:hAnsi="宋体"/>
          <w:bCs/>
          <w:sz w:val="18"/>
          <w:szCs w:val="18"/>
        </w:rPr>
        <w:t>开放日</w:t>
      </w:r>
      <w:r>
        <w:rPr>
          <w:rFonts w:ascii="宋体" w:hAnsi="宋体" w:hint="eastAsia"/>
          <w:bCs/>
          <w:sz w:val="18"/>
          <w:szCs w:val="18"/>
        </w:rPr>
        <w:t>/</w:t>
      </w:r>
      <w:r>
        <w:rPr>
          <w:rFonts w:ascii="宋体" w:hAnsi="宋体"/>
          <w:bCs/>
          <w:sz w:val="18"/>
          <w:szCs w:val="18"/>
        </w:rPr>
        <w:t>估值日公告</w:t>
      </w:r>
    </w:p>
    <w:p w:rsidR="00360CB9" w:rsidRDefault="00712C96">
      <w:pPr>
        <w:spacing w:line="360" w:lineRule="auto"/>
        <w:ind w:firstLineChars="200" w:firstLine="360"/>
        <w:rPr>
          <w:rFonts w:ascii="宋体" w:hAnsi="宋体"/>
          <w:bCs/>
          <w:sz w:val="18"/>
          <w:szCs w:val="18"/>
        </w:rPr>
      </w:pPr>
      <w:r>
        <w:rPr>
          <w:rFonts w:ascii="宋体" w:hAnsi="宋体" w:hint="eastAsia"/>
          <w:bCs/>
          <w:sz w:val="18"/>
          <w:szCs w:val="18"/>
        </w:rPr>
        <w:t>产品管理人在每个开放日公告前一个开放日每万份理财已实现收益和</w:t>
      </w:r>
      <w:r>
        <w:rPr>
          <w:rFonts w:ascii="宋体" w:hAnsi="宋体"/>
          <w:bCs/>
          <w:sz w:val="18"/>
          <w:szCs w:val="18"/>
        </w:rPr>
        <w:t>7</w:t>
      </w:r>
      <w:r>
        <w:rPr>
          <w:rFonts w:ascii="宋体" w:hAnsi="宋体" w:hint="eastAsia"/>
          <w:bCs/>
          <w:sz w:val="18"/>
          <w:szCs w:val="18"/>
        </w:rPr>
        <w:t>日年化收益率。如遇法定节假日顺延。</w:t>
      </w:r>
    </w:p>
    <w:p w:rsidR="00360CB9" w:rsidRDefault="00712C96">
      <w:pPr>
        <w:spacing w:line="360" w:lineRule="auto"/>
        <w:ind w:firstLineChars="200" w:firstLine="360"/>
        <w:rPr>
          <w:rFonts w:ascii="宋体" w:hAnsi="宋体"/>
          <w:bCs/>
          <w:sz w:val="18"/>
          <w:szCs w:val="18"/>
        </w:rPr>
      </w:pPr>
      <w:r>
        <w:rPr>
          <w:rFonts w:ascii="宋体" w:hAnsi="宋体"/>
          <w:bCs/>
          <w:sz w:val="18"/>
          <w:szCs w:val="18"/>
        </w:rPr>
        <w:t>6.临时公告</w:t>
      </w:r>
    </w:p>
    <w:p w:rsidR="00360CB9" w:rsidRDefault="00712C96">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360CB9" w:rsidRDefault="00712C96">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w:t>
      </w:r>
      <w:r>
        <w:rPr>
          <w:rFonts w:ascii="宋体" w:hAnsi="宋体"/>
          <w:bCs/>
          <w:sz w:val="18"/>
          <w:szCs w:val="18"/>
        </w:rPr>
        <w:t>/申购</w:t>
      </w:r>
      <w:r>
        <w:rPr>
          <w:rFonts w:ascii="宋体" w:hAnsi="宋体" w:hint="eastAsia"/>
          <w:bCs/>
          <w:sz w:val="18"/>
          <w:szCs w:val="18"/>
        </w:rPr>
        <w:t>申请、暂停接受</w:t>
      </w:r>
      <w:r>
        <w:rPr>
          <w:rFonts w:ascii="宋体" w:hAnsi="宋体"/>
          <w:bCs/>
          <w:sz w:val="18"/>
          <w:szCs w:val="18"/>
        </w:rPr>
        <w:t>投资者</w:t>
      </w:r>
      <w:r>
        <w:rPr>
          <w:rFonts w:ascii="宋体" w:hAnsi="宋体" w:hint="eastAsia"/>
          <w:bCs/>
          <w:sz w:val="18"/>
          <w:szCs w:val="18"/>
        </w:rPr>
        <w:t>赎回申请、延缓支付赎回款项、</w:t>
      </w:r>
      <w:r>
        <w:rPr>
          <w:rFonts w:ascii="宋体" w:hAnsi="宋体"/>
          <w:bCs/>
          <w:sz w:val="18"/>
          <w:szCs w:val="18"/>
        </w:rPr>
        <w:t>巨额赎回</w:t>
      </w:r>
      <w:r>
        <w:rPr>
          <w:rFonts w:ascii="宋体" w:hAnsi="宋体" w:hint="eastAsia"/>
          <w:bCs/>
          <w:sz w:val="18"/>
          <w:szCs w:val="18"/>
        </w:rPr>
        <w:t>、暂停理财产品估值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在发生涉及产品认购、申购或赎回事项调整或潜在影响投资者赎回等事项时，管理人将发布临时公告。</w:t>
      </w:r>
    </w:p>
    <w:p w:rsidR="00360CB9" w:rsidRDefault="00712C96">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360CB9" w:rsidRDefault="00712C96">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360CB9" w:rsidRDefault="00712C96">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360CB9" w:rsidRDefault="00712C96">
      <w:pPr>
        <w:spacing w:line="360" w:lineRule="auto"/>
        <w:ind w:firstLineChars="200" w:firstLine="360"/>
        <w:rPr>
          <w:rFonts w:ascii="宋体" w:hAnsi="宋体"/>
          <w:bCs/>
          <w:sz w:val="18"/>
          <w:szCs w:val="18"/>
        </w:rPr>
      </w:pPr>
      <w:r>
        <w:rPr>
          <w:rFonts w:ascii="宋体" w:hAnsi="宋体" w:hint="eastAsia"/>
          <w:bCs/>
          <w:sz w:val="18"/>
          <w:szCs w:val="18"/>
        </w:rPr>
        <w:t>除前述事项外，如出现其他突发事件，需在事件发生后及时进行披露。</w:t>
      </w:r>
    </w:p>
    <w:bookmarkEnd w:id="155"/>
    <w:p w:rsidR="00360CB9" w:rsidRDefault="00712C96">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p w:rsidR="00360CB9" w:rsidRDefault="00360CB9">
      <w:pPr>
        <w:spacing w:line="360" w:lineRule="auto"/>
        <w:ind w:firstLineChars="200" w:firstLine="361"/>
        <w:rPr>
          <w:rFonts w:ascii="黑体" w:eastAsia="黑体" w:hAnsi="黑体"/>
          <w:b/>
          <w:bCs/>
          <w:sz w:val="18"/>
          <w:szCs w:val="18"/>
        </w:rPr>
      </w:pPr>
    </w:p>
    <w:p w:rsidR="00360CB9" w:rsidRDefault="00712C96">
      <w:pPr>
        <w:widowControl/>
        <w:spacing w:line="360" w:lineRule="auto"/>
        <w:jc w:val="left"/>
        <w:rPr>
          <w:bCs/>
          <w:sz w:val="24"/>
        </w:rPr>
      </w:pPr>
      <w:r>
        <w:rPr>
          <w:bCs/>
          <w:sz w:val="24"/>
        </w:rPr>
        <w:br w:type="page"/>
      </w:r>
    </w:p>
    <w:p w:rsidR="00360CB9" w:rsidRDefault="00712C96">
      <w:pPr>
        <w:pStyle w:val="1"/>
        <w:spacing w:before="0" w:after="0" w:line="360" w:lineRule="auto"/>
        <w:jc w:val="center"/>
        <w:rPr>
          <w:rFonts w:ascii="Times New Roman"/>
          <w:b w:val="0"/>
          <w:sz w:val="30"/>
        </w:rPr>
      </w:pPr>
      <w:bookmarkStart w:id="156" w:name="_Toc20251"/>
      <w:bookmarkStart w:id="157" w:name="_Toc79154675"/>
      <w:r>
        <w:rPr>
          <w:rFonts w:ascii="Times New Roman" w:hint="eastAsia"/>
          <w:sz w:val="30"/>
        </w:rPr>
        <w:lastRenderedPageBreak/>
        <w:t>第十二条</w:t>
      </w:r>
      <w:r>
        <w:rPr>
          <w:rFonts w:ascii="Times New Roman"/>
          <w:sz w:val="30"/>
        </w:rPr>
        <w:t xml:space="preserve">  </w:t>
      </w:r>
      <w:r>
        <w:rPr>
          <w:rFonts w:ascii="Times New Roman" w:hint="eastAsia"/>
          <w:sz w:val="30"/>
        </w:rPr>
        <w:t>理财产品</w:t>
      </w:r>
      <w:r>
        <w:rPr>
          <w:rFonts w:ascii="Times New Roman"/>
          <w:sz w:val="30"/>
        </w:rPr>
        <w:t>的风险揭示</w:t>
      </w:r>
      <w:bookmarkEnd w:id="156"/>
      <w:bookmarkEnd w:id="157"/>
    </w:p>
    <w:p w:rsidR="00360CB9" w:rsidRDefault="00712C96">
      <w:pPr>
        <w:spacing w:line="360" w:lineRule="auto"/>
        <w:ind w:firstLineChars="249" w:firstLine="450"/>
        <w:rPr>
          <w:rFonts w:asciiTheme="minorEastAsia" w:hAnsiTheme="minorEastAsia" w:cs="仿宋_GB2312"/>
          <w:b/>
          <w:bCs/>
          <w:kern w:val="0"/>
          <w:sz w:val="18"/>
          <w:szCs w:val="18"/>
        </w:rPr>
      </w:pPr>
      <w:r>
        <w:rPr>
          <w:rFonts w:asciiTheme="minorEastAsia" w:hAnsiTheme="minorEastAsia" w:cs="仿宋_GB2312" w:hint="eastAsia"/>
          <w:b/>
          <w:bCs/>
          <w:kern w:val="0"/>
          <w:sz w:val="18"/>
          <w:szCs w:val="18"/>
        </w:rPr>
        <w:t>（一）投资者投资本产品可能面临的特定风险主要包括（但不限于）：</w:t>
      </w:r>
    </w:p>
    <w:p w:rsidR="00360CB9" w:rsidRDefault="00712C96">
      <w:pPr>
        <w:spacing w:line="360" w:lineRule="auto"/>
        <w:ind w:firstLineChars="249" w:firstLine="448"/>
        <w:rPr>
          <w:rFonts w:asciiTheme="minorEastAsia" w:hAnsiTheme="minorEastAsia" w:cs="仿宋_GB2312"/>
          <w:kern w:val="0"/>
          <w:sz w:val="18"/>
          <w:szCs w:val="18"/>
        </w:rPr>
      </w:pPr>
      <w:r>
        <w:rPr>
          <w:rFonts w:asciiTheme="minorEastAsia" w:hAnsiTheme="minorEastAsia" w:cs="仿宋_GB2312" w:hint="eastAsia"/>
          <w:kern w:val="0"/>
          <w:sz w:val="18"/>
          <w:szCs w:val="18"/>
        </w:rPr>
        <w:t>1.拟投资市场和资产的风险：</w:t>
      </w:r>
    </w:p>
    <w:p w:rsidR="00360CB9" w:rsidRDefault="00712C96">
      <w:pPr>
        <w:spacing w:line="360" w:lineRule="auto"/>
        <w:ind w:firstLineChars="249" w:firstLine="448"/>
        <w:rPr>
          <w:rFonts w:asciiTheme="minorEastAsia" w:hAnsiTheme="minorEastAsia" w:cs="仿宋_GB2312"/>
          <w:kern w:val="0"/>
          <w:sz w:val="18"/>
          <w:szCs w:val="18"/>
        </w:rPr>
      </w:pPr>
      <w:r>
        <w:rPr>
          <w:rFonts w:asciiTheme="minorEastAsia" w:hAnsiTheme="minorEastAsia" w:cs="仿宋_GB2312" w:hint="eastAsia"/>
          <w:kern w:val="0"/>
          <w:sz w:val="18"/>
          <w:szCs w:val="18"/>
        </w:rPr>
        <w:t>（1）投资固定收益类资产的风险</w:t>
      </w:r>
    </w:p>
    <w:p w:rsidR="00360CB9" w:rsidRDefault="00712C96">
      <w:pPr>
        <w:spacing w:line="360" w:lineRule="auto"/>
        <w:ind w:firstLineChars="249" w:firstLine="448"/>
        <w:rPr>
          <w:rFonts w:asciiTheme="minorEastAsia" w:hAnsiTheme="minorEastAsia" w:cs="仿宋_GB2312"/>
          <w:kern w:val="0"/>
          <w:sz w:val="18"/>
          <w:szCs w:val="18"/>
        </w:rPr>
      </w:pPr>
      <w:r>
        <w:rPr>
          <w:rFonts w:asciiTheme="minorEastAsia" w:hAnsiTheme="minorEastAsia" w:cs="仿宋_GB2312" w:hint="eastAsia"/>
          <w:kern w:val="0"/>
          <w:sz w:val="18"/>
          <w:szCs w:val="18"/>
        </w:rPr>
        <w:t>1）投资标准化债权类资产的风险</w:t>
      </w:r>
    </w:p>
    <w:p w:rsidR="00360CB9" w:rsidRDefault="00712C96">
      <w:pPr>
        <w:spacing w:line="360" w:lineRule="auto"/>
        <w:ind w:firstLineChars="249" w:firstLine="448"/>
        <w:rPr>
          <w:rFonts w:asciiTheme="minorEastAsia" w:eastAsiaTheme="minorEastAsia" w:hAnsiTheme="minorEastAsia" w:cs="仿宋_GB2312"/>
          <w:kern w:val="0"/>
          <w:sz w:val="18"/>
          <w:szCs w:val="18"/>
        </w:rPr>
      </w:pPr>
      <w:r>
        <w:rPr>
          <w:rFonts w:asciiTheme="minorEastAsia" w:hAnsiTheme="minorEastAsia" w:cs="仿宋_GB2312" w:hint="eastAsia"/>
          <w:kern w:val="0"/>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360CB9" w:rsidRDefault="00712C96">
      <w:pPr>
        <w:pStyle w:val="af6"/>
        <w:spacing w:line="360" w:lineRule="auto"/>
        <w:ind w:firstLine="361"/>
        <w:rPr>
          <w:rFonts w:ascii="黑体" w:eastAsia="黑体" w:hAnsi="黑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 xml:space="preserve">注：以上特定风险仅为列举性质，未能详尽列明投资本产品可能面临的全部风险和可能导致投资者投资本金及收益损失的所有因素。 </w:t>
      </w:r>
    </w:p>
    <w:p w:rsidR="00360CB9" w:rsidRDefault="00712C96">
      <w:pPr>
        <w:pStyle w:val="af6"/>
        <w:spacing w:line="360" w:lineRule="auto"/>
        <w:ind w:firstLineChars="0" w:firstLine="426"/>
        <w:rPr>
          <w:rFonts w:asciiTheme="minorEastAsia" w:hAnsiTheme="minorEastAsia" w:cs="仿宋_GB2312"/>
          <w:kern w:val="0"/>
          <w:sz w:val="18"/>
          <w:szCs w:val="18"/>
        </w:rPr>
      </w:pPr>
      <w:r>
        <w:rPr>
          <w:rFonts w:ascii="宋体" w:hAnsi="宋体" w:hint="eastAsia"/>
          <w:b/>
          <w:bCs/>
          <w:sz w:val="18"/>
          <w:szCs w:val="18"/>
        </w:rPr>
        <w:t xml:space="preserve">（二）投资者投资本产品可能面临的一般风险主要包括（但不限于）： </w:t>
      </w:r>
    </w:p>
    <w:p w:rsidR="00360CB9" w:rsidRDefault="00712C96">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360CB9" w:rsidRDefault="00712C96">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360CB9" w:rsidRDefault="00712C96">
      <w:pPr>
        <w:spacing w:line="360" w:lineRule="auto"/>
        <w:ind w:firstLineChars="200" w:firstLine="360"/>
        <w:rPr>
          <w:rFonts w:ascii="宋体" w:hAnsi="宋体"/>
          <w:sz w:val="18"/>
          <w:szCs w:val="18"/>
        </w:rPr>
      </w:pPr>
      <w:r>
        <w:rPr>
          <w:rFonts w:ascii="宋体" w:hAnsi="宋体" w:hint="eastAsia"/>
          <w:sz w:val="18"/>
          <w:szCs w:val="18"/>
        </w:rPr>
        <w:t>3.市场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360CB9" w:rsidRDefault="00712C96">
      <w:pPr>
        <w:spacing w:line="360" w:lineRule="auto"/>
        <w:ind w:firstLineChars="200" w:firstLine="360"/>
        <w:rPr>
          <w:rFonts w:ascii="宋体" w:hAnsi="宋体"/>
          <w:sz w:val="18"/>
          <w:szCs w:val="18"/>
        </w:rPr>
      </w:pPr>
      <w:r>
        <w:rPr>
          <w:rFonts w:ascii="宋体" w:hAnsi="宋体" w:hint="eastAsia"/>
          <w:sz w:val="18"/>
          <w:szCs w:val="18"/>
        </w:rPr>
        <w:t>4.流动性风险：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360CB9" w:rsidRDefault="00712C96">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360CB9" w:rsidRDefault="00712C96">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360CB9" w:rsidRDefault="00712C96">
      <w:pPr>
        <w:spacing w:line="360" w:lineRule="auto"/>
        <w:ind w:firstLineChars="200" w:firstLine="360"/>
        <w:rPr>
          <w:rFonts w:ascii="宋体" w:hAnsi="宋体"/>
          <w:sz w:val="18"/>
          <w:szCs w:val="18"/>
        </w:rPr>
      </w:pPr>
      <w:r>
        <w:rPr>
          <w:rFonts w:ascii="宋体" w:hAnsi="宋体" w:hint="eastAsia"/>
          <w:sz w:val="18"/>
          <w:szCs w:val="18"/>
        </w:rPr>
        <w:lastRenderedPageBreak/>
        <w:t>7.</w:t>
      </w:r>
      <w:r>
        <w:rPr>
          <w:rFonts w:ascii="宋体" w:hAnsi="宋体"/>
          <w:sz w:val="18"/>
          <w:szCs w:val="18"/>
        </w:rPr>
        <w:t>早偿风险：</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360CB9" w:rsidRDefault="00712C96">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 ★信息传递风险：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360CB9" w:rsidRDefault="00712C96">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360CB9" w:rsidRDefault="00712C96">
      <w:pPr>
        <w:spacing w:line="360" w:lineRule="auto"/>
        <w:ind w:firstLineChars="249" w:firstLine="448"/>
        <w:rPr>
          <w:rFonts w:ascii="宋体" w:hAnsi="宋体"/>
          <w:bCs/>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r>
        <w:rPr>
          <w:rFonts w:ascii="宋体" w:hAnsi="宋体" w:hint="eastAsia"/>
          <w:sz w:val="18"/>
          <w:szCs w:val="18"/>
        </w:rPr>
        <w:t>理财产品管理人或理财投资资产相关服务机构受经验、技能等因素的限制，或者上述主体处理事务不当等，可能导致投资者遭受损失。</w:t>
      </w:r>
      <w:r>
        <w:rPr>
          <w:rFonts w:ascii="宋体" w:hAnsi="宋体"/>
          <w:bCs/>
          <w:sz w:val="18"/>
          <w:szCs w:val="18"/>
        </w:rPr>
        <w:t xml:space="preserve"> </w:t>
      </w:r>
    </w:p>
    <w:p w:rsidR="00360CB9" w:rsidRDefault="00712C96">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360CB9" w:rsidRDefault="00712C96">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360CB9" w:rsidRDefault="00712C96">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w:t>
      </w:r>
      <w:r>
        <w:rPr>
          <w:rFonts w:asciiTheme="minorEastAsia" w:eastAsiaTheme="minorEastAsia" w:hAnsiTheme="minorEastAsia" w:hint="eastAsia"/>
          <w:sz w:val="18"/>
          <w:szCs w:val="18"/>
        </w:rPr>
        <w:t>每万份理财已实现收益和</w:t>
      </w:r>
      <w:r>
        <w:rPr>
          <w:rFonts w:asciiTheme="minorEastAsia" w:eastAsiaTheme="minorEastAsia" w:hAnsiTheme="minorEastAsia"/>
          <w:sz w:val="18"/>
          <w:szCs w:val="18"/>
        </w:rPr>
        <w:t>7</w:t>
      </w:r>
      <w:r>
        <w:rPr>
          <w:rFonts w:asciiTheme="minorEastAsia" w:eastAsiaTheme="minorEastAsia" w:hAnsiTheme="minorEastAsia" w:hint="eastAsia"/>
          <w:sz w:val="18"/>
          <w:szCs w:val="18"/>
        </w:rPr>
        <w:t>日年化收益率</w:t>
      </w:r>
      <w:r>
        <w:rPr>
          <w:rFonts w:ascii="宋体" w:hAnsi="宋体" w:hint="eastAsia"/>
          <w:sz w:val="18"/>
          <w:szCs w:val="18"/>
        </w:rPr>
        <w:t>存在下跌的风险。</w:t>
      </w:r>
    </w:p>
    <w:p w:rsidR="00360CB9" w:rsidRDefault="00712C96">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w:t>
      </w:r>
      <w:r>
        <w:rPr>
          <w:rFonts w:asciiTheme="minorEastAsia" w:eastAsiaTheme="minorEastAsia" w:hAnsiTheme="minorEastAsia" w:hint="eastAsia"/>
          <w:sz w:val="18"/>
          <w:szCs w:val="18"/>
        </w:rPr>
        <w:t>每万份理财已实现收益和</w:t>
      </w:r>
      <w:r>
        <w:rPr>
          <w:rFonts w:asciiTheme="minorEastAsia" w:eastAsiaTheme="minorEastAsia" w:hAnsiTheme="minorEastAsia"/>
          <w:sz w:val="18"/>
          <w:szCs w:val="18"/>
        </w:rPr>
        <w:t>7</w:t>
      </w:r>
      <w:r>
        <w:rPr>
          <w:rFonts w:asciiTheme="minorEastAsia" w:eastAsiaTheme="minorEastAsia" w:hAnsiTheme="minorEastAsia" w:hint="eastAsia"/>
          <w:sz w:val="18"/>
          <w:szCs w:val="18"/>
        </w:rPr>
        <w:t>日年化收益率</w:t>
      </w:r>
      <w:r>
        <w:rPr>
          <w:rFonts w:ascii="宋体" w:hAnsi="宋体" w:hint="eastAsia"/>
          <w:sz w:val="18"/>
          <w:szCs w:val="18"/>
        </w:rPr>
        <w:t>。</w:t>
      </w:r>
    </w:p>
    <w:p w:rsidR="00360CB9" w:rsidRDefault="00712C96">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5.★</w:t>
      </w:r>
      <w:r>
        <w:rPr>
          <w:rFonts w:ascii="黑体" w:eastAsia="黑体" w:hAnsi="黑体" w:hint="eastAsia"/>
          <w:sz w:val="18"/>
          <w:szCs w:val="18"/>
        </w:rPr>
        <w:t>代销风险：本理财产品若通过非产品管理人自有渠道进行销售的属于代理销售，认购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w:t>
      </w:r>
      <w:r>
        <w:rPr>
          <w:rFonts w:ascii="黑体" w:eastAsia="黑体" w:hAnsi="黑体"/>
          <w:sz w:val="18"/>
          <w:szCs w:val="18"/>
        </w:rPr>
        <w:t>利益</w:t>
      </w:r>
      <w:r>
        <w:rPr>
          <w:rFonts w:ascii="黑体" w:eastAsia="黑体" w:hAnsi="黑体" w:hint="eastAsia"/>
          <w:sz w:val="18"/>
          <w:szCs w:val="18"/>
        </w:rPr>
        <w:t>。不同代理销售机构的销售渠道，其</w:t>
      </w:r>
      <w:r>
        <w:rPr>
          <w:rFonts w:ascii="黑体" w:eastAsia="黑体" w:hAnsi="黑体"/>
          <w:sz w:val="18"/>
          <w:szCs w:val="18"/>
        </w:rPr>
        <w:t>申购/赎回确认时效可能存在差异。如因投资者清算账户余额不足，或代理销售</w:t>
      </w:r>
      <w:r>
        <w:rPr>
          <w:rFonts w:ascii="黑体" w:eastAsia="黑体" w:hAnsi="黑体"/>
          <w:sz w:val="18"/>
          <w:szCs w:val="18"/>
        </w:rPr>
        <w:lastRenderedPageBreak/>
        <w:t>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ascii="黑体" w:eastAsia="黑体" w:hAnsi="黑体" w:hint="eastAsia"/>
          <w:sz w:val="18"/>
          <w:szCs w:val="18"/>
        </w:rPr>
        <w:t>不免除因代理销售机构过错依法应由代理销售机构承担的责任。</w:t>
      </w:r>
    </w:p>
    <w:p w:rsidR="00360CB9" w:rsidRDefault="00712C96">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w:t>
      </w:r>
      <w:r>
        <w:rPr>
          <w:rFonts w:ascii="黑体" w:eastAsia="黑体" w:hAnsi="黑体"/>
          <w:sz w:val="18"/>
          <w:szCs w:val="18"/>
        </w:rPr>
        <w:t>、</w:t>
      </w:r>
      <w:r>
        <w:rPr>
          <w:rFonts w:ascii="黑体" w:eastAsia="黑体" w:hAnsi="黑体" w:hint="eastAsia"/>
          <w:sz w:val="18"/>
          <w:szCs w:val="18"/>
        </w:rPr>
        <w:t>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w:t>
      </w:r>
      <w:r>
        <w:rPr>
          <w:rFonts w:ascii="黑体" w:eastAsia="黑体" w:hAnsi="黑体"/>
          <w:sz w:val="18"/>
          <w:szCs w:val="18"/>
        </w:rPr>
        <w:t>认购</w:t>
      </w:r>
      <w:r>
        <w:rPr>
          <w:rFonts w:ascii="黑体" w:eastAsia="黑体" w:hAnsi="黑体" w:hint="eastAsia"/>
          <w:sz w:val="18"/>
          <w:szCs w:val="18"/>
        </w:rPr>
        <w:t>申购</w:t>
      </w:r>
      <w:r>
        <w:rPr>
          <w:rFonts w:ascii="黑体" w:eastAsia="黑体" w:hAnsi="黑体"/>
          <w:sz w:val="18"/>
          <w:szCs w:val="18"/>
        </w:rPr>
        <w:t>和</w:t>
      </w:r>
      <w:r>
        <w:rPr>
          <w:rFonts w:ascii="黑体" w:eastAsia="黑体" w:hAnsi="黑体" w:hint="eastAsia"/>
          <w:sz w:val="18"/>
          <w:szCs w:val="18"/>
        </w:rPr>
        <w:t>赎回的数量限制、投资者</w:t>
      </w:r>
      <w:r>
        <w:rPr>
          <w:rFonts w:ascii="黑体" w:eastAsia="黑体" w:hAnsi="黑体"/>
          <w:sz w:val="18"/>
          <w:szCs w:val="18"/>
        </w:rPr>
        <w:t>持有本</w:t>
      </w:r>
      <w:r>
        <w:rPr>
          <w:rFonts w:ascii="黑体" w:eastAsia="黑体" w:hAnsi="黑体" w:hint="eastAsia"/>
          <w:sz w:val="18"/>
          <w:szCs w:val="18"/>
        </w:rPr>
        <w:t>产品</w:t>
      </w:r>
      <w:r>
        <w:rPr>
          <w:rFonts w:ascii="黑体" w:eastAsia="黑体" w:hAnsi="黑体"/>
          <w:sz w:val="18"/>
          <w:szCs w:val="18"/>
        </w:rPr>
        <w:t>的最高限额</w:t>
      </w:r>
      <w:r>
        <w:rPr>
          <w:rFonts w:ascii="黑体" w:eastAsia="黑体" w:hAnsi="黑体" w:hint="eastAsia"/>
          <w:sz w:val="18"/>
          <w:szCs w:val="18"/>
        </w:rPr>
        <w:t>最低</w:t>
      </w:r>
      <w:r>
        <w:rPr>
          <w:rFonts w:ascii="黑体" w:eastAsia="黑体" w:hAnsi="黑体"/>
          <w:sz w:val="18"/>
          <w:szCs w:val="18"/>
        </w:rPr>
        <w:t>限额、</w:t>
      </w:r>
      <w:r>
        <w:rPr>
          <w:rFonts w:ascii="黑体" w:eastAsia="黑体" w:hAnsi="黑体" w:hint="eastAsia"/>
          <w:sz w:val="18"/>
          <w:szCs w:val="18"/>
        </w:rPr>
        <w:t>计算和公告产品份额净值方面存在差异。</w:t>
      </w:r>
    </w:p>
    <w:p w:rsidR="00360CB9" w:rsidRDefault="00712C96">
      <w:pPr>
        <w:spacing w:line="360" w:lineRule="auto"/>
        <w:ind w:leftChars="50" w:left="105" w:firstLineChars="150" w:firstLine="27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360CB9" w:rsidRDefault="00712C96">
      <w:pPr>
        <w:spacing w:line="360" w:lineRule="auto"/>
        <w:ind w:firstLineChars="200" w:firstLine="360"/>
        <w:rPr>
          <w:rFonts w:ascii="黑体" w:eastAsia="黑体" w:hAnsi="黑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360CB9" w:rsidRDefault="00360CB9">
      <w:pPr>
        <w:spacing w:line="360" w:lineRule="auto"/>
        <w:ind w:firstLineChars="200" w:firstLine="360"/>
        <w:rPr>
          <w:rFonts w:ascii="宋体" w:hAnsi="宋体"/>
          <w:sz w:val="18"/>
          <w:szCs w:val="18"/>
        </w:rPr>
      </w:pPr>
    </w:p>
    <w:p w:rsidR="00360CB9" w:rsidRDefault="00360CB9">
      <w:pPr>
        <w:pStyle w:val="Default"/>
        <w:spacing w:line="360" w:lineRule="auto"/>
        <w:rPr>
          <w:rFonts w:hAnsi="宋体"/>
          <w:sz w:val="18"/>
          <w:szCs w:val="18"/>
        </w:rPr>
      </w:pPr>
    </w:p>
    <w:sectPr w:rsidR="00360CB9">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255" w:rsidRDefault="00FC1255">
      <w:r>
        <w:separator/>
      </w:r>
    </w:p>
  </w:endnote>
  <w:endnote w:type="continuationSeparator" w:id="0">
    <w:p w:rsidR="00FC1255" w:rsidRDefault="00FC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CB9" w:rsidRDefault="00712C96">
    <w:pPr>
      <w:pStyle w:val="aa"/>
      <w:jc w:val="center"/>
    </w:pPr>
    <w:r>
      <w:rPr>
        <w:kern w:val="0"/>
        <w:szCs w:val="21"/>
      </w:rPr>
      <w:fldChar w:fldCharType="begin"/>
    </w:r>
    <w:r>
      <w:rPr>
        <w:kern w:val="0"/>
        <w:szCs w:val="21"/>
      </w:rPr>
      <w:instrText xml:space="preserve"> PAGE </w:instrText>
    </w:r>
    <w:r>
      <w:rPr>
        <w:kern w:val="0"/>
        <w:szCs w:val="21"/>
      </w:rPr>
      <w:fldChar w:fldCharType="separate"/>
    </w:r>
    <w:r w:rsidR="00EA15C8">
      <w:rPr>
        <w:noProof/>
        <w:kern w:val="0"/>
        <w:szCs w:val="21"/>
      </w:rPr>
      <w:t>9</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255" w:rsidRDefault="00FC1255">
      <w:r>
        <w:separator/>
      </w:r>
    </w:p>
  </w:footnote>
  <w:footnote w:type="continuationSeparator" w:id="0">
    <w:p w:rsidR="00FC1255" w:rsidRDefault="00FC1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CB9" w:rsidRDefault="00712C96">
    <w:pPr>
      <w:pStyle w:val="ab"/>
      <w:pBdr>
        <w:bottom w:val="thickThinLargeGap" w:sz="24" w:space="12" w:color="auto"/>
      </w:pBdr>
      <w:tabs>
        <w:tab w:val="right" w:pos="8280"/>
      </w:tabs>
      <w:wordWrap w:val="0"/>
      <w:adjustRightInd w:val="0"/>
      <w:jc w:val="right"/>
      <w:rPr>
        <w:b/>
      </w:rPr>
    </w:pPr>
    <w:r>
      <w:rPr>
        <w:rFonts w:hint="eastAsia"/>
      </w:rPr>
      <w:t xml:space="preserve"> </w:t>
    </w:r>
    <w:r>
      <w:rPr>
        <w:rFonts w:hint="eastAsia"/>
        <w:b/>
      </w:rPr>
      <w:t>产品说明书</w:t>
    </w:r>
  </w:p>
  <w:p w:rsidR="00360CB9" w:rsidRDefault="00712C96">
    <w:pPr>
      <w:pStyle w:val="ab"/>
      <w:pBdr>
        <w:bottom w:val="thickThinLargeGap" w:sz="24" w:space="12"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wNTljODZlNmMxN2IxODkyNGQ0MzYwYjkyOGU4YWIifQ=="/>
  </w:docVars>
  <w:rsids>
    <w:rsidRoot w:val="006E7124"/>
    <w:rsid w:val="0000150F"/>
    <w:rsid w:val="0000208C"/>
    <w:rsid w:val="00002480"/>
    <w:rsid w:val="00002A1A"/>
    <w:rsid w:val="0001202B"/>
    <w:rsid w:val="000124BB"/>
    <w:rsid w:val="00014A51"/>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6A3D"/>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810"/>
    <w:rsid w:val="00061C70"/>
    <w:rsid w:val="00062695"/>
    <w:rsid w:val="000629DD"/>
    <w:rsid w:val="00063B03"/>
    <w:rsid w:val="000705EE"/>
    <w:rsid w:val="00073A90"/>
    <w:rsid w:val="000747D8"/>
    <w:rsid w:val="0007760F"/>
    <w:rsid w:val="00077A54"/>
    <w:rsid w:val="00077C13"/>
    <w:rsid w:val="00080277"/>
    <w:rsid w:val="0008037A"/>
    <w:rsid w:val="00081DC7"/>
    <w:rsid w:val="000826C9"/>
    <w:rsid w:val="00085DD5"/>
    <w:rsid w:val="0009086F"/>
    <w:rsid w:val="00091121"/>
    <w:rsid w:val="00092A5F"/>
    <w:rsid w:val="00094CA6"/>
    <w:rsid w:val="00095235"/>
    <w:rsid w:val="00097047"/>
    <w:rsid w:val="000A0882"/>
    <w:rsid w:val="000A0CC9"/>
    <w:rsid w:val="000A0DC8"/>
    <w:rsid w:val="000A1E0C"/>
    <w:rsid w:val="000A3063"/>
    <w:rsid w:val="000A45C6"/>
    <w:rsid w:val="000A5A4A"/>
    <w:rsid w:val="000A5AAB"/>
    <w:rsid w:val="000B378B"/>
    <w:rsid w:val="000B6819"/>
    <w:rsid w:val="000B7F67"/>
    <w:rsid w:val="000C31AC"/>
    <w:rsid w:val="000C3B81"/>
    <w:rsid w:val="000C44C2"/>
    <w:rsid w:val="000C69CB"/>
    <w:rsid w:val="000C6BF4"/>
    <w:rsid w:val="000C7C96"/>
    <w:rsid w:val="000D0C3A"/>
    <w:rsid w:val="000D10B1"/>
    <w:rsid w:val="000D1473"/>
    <w:rsid w:val="000D19CF"/>
    <w:rsid w:val="000D2623"/>
    <w:rsid w:val="000D3E2A"/>
    <w:rsid w:val="000D4DAE"/>
    <w:rsid w:val="000D548F"/>
    <w:rsid w:val="000D591B"/>
    <w:rsid w:val="000E008C"/>
    <w:rsid w:val="000E181B"/>
    <w:rsid w:val="000E18C8"/>
    <w:rsid w:val="000E5A74"/>
    <w:rsid w:val="000E798C"/>
    <w:rsid w:val="000E7BB9"/>
    <w:rsid w:val="000F09FA"/>
    <w:rsid w:val="000F4322"/>
    <w:rsid w:val="000F556F"/>
    <w:rsid w:val="000F70EA"/>
    <w:rsid w:val="000F7FB5"/>
    <w:rsid w:val="00100295"/>
    <w:rsid w:val="00100789"/>
    <w:rsid w:val="00100A04"/>
    <w:rsid w:val="00100D6E"/>
    <w:rsid w:val="00103221"/>
    <w:rsid w:val="001048D9"/>
    <w:rsid w:val="00104FAF"/>
    <w:rsid w:val="0011092D"/>
    <w:rsid w:val="00111430"/>
    <w:rsid w:val="00112922"/>
    <w:rsid w:val="001139C8"/>
    <w:rsid w:val="001157E6"/>
    <w:rsid w:val="00115A4C"/>
    <w:rsid w:val="0012005A"/>
    <w:rsid w:val="00121A98"/>
    <w:rsid w:val="00122AA4"/>
    <w:rsid w:val="00122E28"/>
    <w:rsid w:val="001232D0"/>
    <w:rsid w:val="0012639A"/>
    <w:rsid w:val="00127FAE"/>
    <w:rsid w:val="00134EC8"/>
    <w:rsid w:val="00140FD0"/>
    <w:rsid w:val="00142E86"/>
    <w:rsid w:val="00143397"/>
    <w:rsid w:val="00144336"/>
    <w:rsid w:val="00144A06"/>
    <w:rsid w:val="00144E84"/>
    <w:rsid w:val="00146F91"/>
    <w:rsid w:val="001507DF"/>
    <w:rsid w:val="00153415"/>
    <w:rsid w:val="001547CA"/>
    <w:rsid w:val="00154F9C"/>
    <w:rsid w:val="001562FA"/>
    <w:rsid w:val="0016331D"/>
    <w:rsid w:val="00163655"/>
    <w:rsid w:val="00163854"/>
    <w:rsid w:val="00164C79"/>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6E62"/>
    <w:rsid w:val="001A0033"/>
    <w:rsid w:val="001A0B9C"/>
    <w:rsid w:val="001A141C"/>
    <w:rsid w:val="001A352E"/>
    <w:rsid w:val="001A434D"/>
    <w:rsid w:val="001B218F"/>
    <w:rsid w:val="001B21AE"/>
    <w:rsid w:val="001B5BBB"/>
    <w:rsid w:val="001C238A"/>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D7914"/>
    <w:rsid w:val="001E14FD"/>
    <w:rsid w:val="001E291D"/>
    <w:rsid w:val="001E461E"/>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3D8"/>
    <w:rsid w:val="002265AA"/>
    <w:rsid w:val="00226925"/>
    <w:rsid w:val="00226E60"/>
    <w:rsid w:val="00227359"/>
    <w:rsid w:val="00231FC0"/>
    <w:rsid w:val="002366D2"/>
    <w:rsid w:val="00237908"/>
    <w:rsid w:val="00242CDB"/>
    <w:rsid w:val="0024456C"/>
    <w:rsid w:val="0024625D"/>
    <w:rsid w:val="00247F2A"/>
    <w:rsid w:val="002509C7"/>
    <w:rsid w:val="00251975"/>
    <w:rsid w:val="00252788"/>
    <w:rsid w:val="002533A3"/>
    <w:rsid w:val="00253B8C"/>
    <w:rsid w:val="00254D9A"/>
    <w:rsid w:val="00255373"/>
    <w:rsid w:val="002553DF"/>
    <w:rsid w:val="0025557C"/>
    <w:rsid w:val="002572BE"/>
    <w:rsid w:val="0025790B"/>
    <w:rsid w:val="00264630"/>
    <w:rsid w:val="002653AC"/>
    <w:rsid w:val="00265722"/>
    <w:rsid w:val="00265AAE"/>
    <w:rsid w:val="00266037"/>
    <w:rsid w:val="00266978"/>
    <w:rsid w:val="00266DAB"/>
    <w:rsid w:val="00272C40"/>
    <w:rsid w:val="00273055"/>
    <w:rsid w:val="002732EE"/>
    <w:rsid w:val="00273F65"/>
    <w:rsid w:val="00275526"/>
    <w:rsid w:val="00275757"/>
    <w:rsid w:val="00281B9A"/>
    <w:rsid w:val="002826EB"/>
    <w:rsid w:val="00290893"/>
    <w:rsid w:val="0029197D"/>
    <w:rsid w:val="00293329"/>
    <w:rsid w:val="002A1894"/>
    <w:rsid w:val="002A2964"/>
    <w:rsid w:val="002A3DA0"/>
    <w:rsid w:val="002A59CE"/>
    <w:rsid w:val="002A6688"/>
    <w:rsid w:val="002B0A68"/>
    <w:rsid w:val="002B2349"/>
    <w:rsid w:val="002B389F"/>
    <w:rsid w:val="002B4AAF"/>
    <w:rsid w:val="002B5421"/>
    <w:rsid w:val="002B75A8"/>
    <w:rsid w:val="002C0CF5"/>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0FD3"/>
    <w:rsid w:val="00301106"/>
    <w:rsid w:val="003029FF"/>
    <w:rsid w:val="0030325C"/>
    <w:rsid w:val="00304D9D"/>
    <w:rsid w:val="00306DA6"/>
    <w:rsid w:val="00311144"/>
    <w:rsid w:val="0031156D"/>
    <w:rsid w:val="003122D5"/>
    <w:rsid w:val="00313E17"/>
    <w:rsid w:val="00314405"/>
    <w:rsid w:val="00320153"/>
    <w:rsid w:val="003224C7"/>
    <w:rsid w:val="00331380"/>
    <w:rsid w:val="00331423"/>
    <w:rsid w:val="00331AA1"/>
    <w:rsid w:val="00332367"/>
    <w:rsid w:val="0033357B"/>
    <w:rsid w:val="003363E0"/>
    <w:rsid w:val="0033710A"/>
    <w:rsid w:val="00337172"/>
    <w:rsid w:val="00337AF2"/>
    <w:rsid w:val="00337EC3"/>
    <w:rsid w:val="003405D3"/>
    <w:rsid w:val="00341DFC"/>
    <w:rsid w:val="003444E9"/>
    <w:rsid w:val="00350B80"/>
    <w:rsid w:val="0035109F"/>
    <w:rsid w:val="0035299D"/>
    <w:rsid w:val="00356734"/>
    <w:rsid w:val="00356F2E"/>
    <w:rsid w:val="003601A7"/>
    <w:rsid w:val="00360CB9"/>
    <w:rsid w:val="00361109"/>
    <w:rsid w:val="00363191"/>
    <w:rsid w:val="00363504"/>
    <w:rsid w:val="0036433E"/>
    <w:rsid w:val="00370696"/>
    <w:rsid w:val="00371546"/>
    <w:rsid w:val="003727DA"/>
    <w:rsid w:val="00373305"/>
    <w:rsid w:val="003745A5"/>
    <w:rsid w:val="00375BC6"/>
    <w:rsid w:val="00380DB4"/>
    <w:rsid w:val="00381A67"/>
    <w:rsid w:val="003823A6"/>
    <w:rsid w:val="003838B9"/>
    <w:rsid w:val="00387806"/>
    <w:rsid w:val="00387E86"/>
    <w:rsid w:val="00391BBC"/>
    <w:rsid w:val="00392F32"/>
    <w:rsid w:val="00396E72"/>
    <w:rsid w:val="003A430B"/>
    <w:rsid w:val="003B00EC"/>
    <w:rsid w:val="003B1841"/>
    <w:rsid w:val="003B32A0"/>
    <w:rsid w:val="003B343A"/>
    <w:rsid w:val="003B600B"/>
    <w:rsid w:val="003B72A3"/>
    <w:rsid w:val="003C0390"/>
    <w:rsid w:val="003C2C6C"/>
    <w:rsid w:val="003C2FD0"/>
    <w:rsid w:val="003C4A62"/>
    <w:rsid w:val="003C4CEB"/>
    <w:rsid w:val="003C51FE"/>
    <w:rsid w:val="003C7EAF"/>
    <w:rsid w:val="003D26D0"/>
    <w:rsid w:val="003D2F9A"/>
    <w:rsid w:val="003D5ED1"/>
    <w:rsid w:val="003D63E6"/>
    <w:rsid w:val="003E29F6"/>
    <w:rsid w:val="003E2F07"/>
    <w:rsid w:val="003E31AA"/>
    <w:rsid w:val="003E31E6"/>
    <w:rsid w:val="003E3B0E"/>
    <w:rsid w:val="003E3D00"/>
    <w:rsid w:val="003F1335"/>
    <w:rsid w:val="003F4B74"/>
    <w:rsid w:val="00400144"/>
    <w:rsid w:val="00400D54"/>
    <w:rsid w:val="0040151D"/>
    <w:rsid w:val="004043E5"/>
    <w:rsid w:val="00404A76"/>
    <w:rsid w:val="00404C4F"/>
    <w:rsid w:val="00406C36"/>
    <w:rsid w:val="00407912"/>
    <w:rsid w:val="00410860"/>
    <w:rsid w:val="00411594"/>
    <w:rsid w:val="004134C2"/>
    <w:rsid w:val="00416AC9"/>
    <w:rsid w:val="00416CB0"/>
    <w:rsid w:val="00422893"/>
    <w:rsid w:val="0042292D"/>
    <w:rsid w:val="00422B14"/>
    <w:rsid w:val="004236F2"/>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27E1"/>
    <w:rsid w:val="00444B08"/>
    <w:rsid w:val="00444C05"/>
    <w:rsid w:val="00444E95"/>
    <w:rsid w:val="004451F2"/>
    <w:rsid w:val="00446032"/>
    <w:rsid w:val="004465B1"/>
    <w:rsid w:val="00447A83"/>
    <w:rsid w:val="00450AE7"/>
    <w:rsid w:val="00452527"/>
    <w:rsid w:val="00453F94"/>
    <w:rsid w:val="0045405E"/>
    <w:rsid w:val="0045524D"/>
    <w:rsid w:val="00455720"/>
    <w:rsid w:val="00461E0D"/>
    <w:rsid w:val="00462328"/>
    <w:rsid w:val="00462D9E"/>
    <w:rsid w:val="00466864"/>
    <w:rsid w:val="00466F57"/>
    <w:rsid w:val="00467C9D"/>
    <w:rsid w:val="00470261"/>
    <w:rsid w:val="004711A9"/>
    <w:rsid w:val="00471ABA"/>
    <w:rsid w:val="00477510"/>
    <w:rsid w:val="00480985"/>
    <w:rsid w:val="00480CC1"/>
    <w:rsid w:val="00480FF7"/>
    <w:rsid w:val="004811BA"/>
    <w:rsid w:val="0048253E"/>
    <w:rsid w:val="00482F37"/>
    <w:rsid w:val="00483507"/>
    <w:rsid w:val="004855FF"/>
    <w:rsid w:val="00485D45"/>
    <w:rsid w:val="00486A6C"/>
    <w:rsid w:val="00487444"/>
    <w:rsid w:val="00490E3D"/>
    <w:rsid w:val="004917FC"/>
    <w:rsid w:val="004922CC"/>
    <w:rsid w:val="004940D3"/>
    <w:rsid w:val="004960D3"/>
    <w:rsid w:val="004970DF"/>
    <w:rsid w:val="00497387"/>
    <w:rsid w:val="00497FEC"/>
    <w:rsid w:val="004A0C4A"/>
    <w:rsid w:val="004A0D93"/>
    <w:rsid w:val="004A12AC"/>
    <w:rsid w:val="004A2354"/>
    <w:rsid w:val="004B1194"/>
    <w:rsid w:val="004B1599"/>
    <w:rsid w:val="004B3136"/>
    <w:rsid w:val="004B35AD"/>
    <w:rsid w:val="004B5526"/>
    <w:rsid w:val="004C1BF8"/>
    <w:rsid w:val="004C2000"/>
    <w:rsid w:val="004C4C0A"/>
    <w:rsid w:val="004C4C12"/>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355"/>
    <w:rsid w:val="004F45E5"/>
    <w:rsid w:val="004F483B"/>
    <w:rsid w:val="004F58A4"/>
    <w:rsid w:val="004F649E"/>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43F6"/>
    <w:rsid w:val="00517C1B"/>
    <w:rsid w:val="00521905"/>
    <w:rsid w:val="00521A8A"/>
    <w:rsid w:val="00523FD8"/>
    <w:rsid w:val="0052537A"/>
    <w:rsid w:val="005261C6"/>
    <w:rsid w:val="00526A8B"/>
    <w:rsid w:val="005306F5"/>
    <w:rsid w:val="0053145D"/>
    <w:rsid w:val="005314BB"/>
    <w:rsid w:val="0053265E"/>
    <w:rsid w:val="00534837"/>
    <w:rsid w:val="00534ED6"/>
    <w:rsid w:val="005356DD"/>
    <w:rsid w:val="0054383E"/>
    <w:rsid w:val="00544067"/>
    <w:rsid w:val="00544689"/>
    <w:rsid w:val="005448AE"/>
    <w:rsid w:val="00544EBF"/>
    <w:rsid w:val="00546CB7"/>
    <w:rsid w:val="0054752F"/>
    <w:rsid w:val="005477FF"/>
    <w:rsid w:val="005505D7"/>
    <w:rsid w:val="005514EA"/>
    <w:rsid w:val="00551E13"/>
    <w:rsid w:val="0055265D"/>
    <w:rsid w:val="00557F13"/>
    <w:rsid w:val="0056057A"/>
    <w:rsid w:val="00562837"/>
    <w:rsid w:val="005634A0"/>
    <w:rsid w:val="00564A34"/>
    <w:rsid w:val="00564BAA"/>
    <w:rsid w:val="005669ED"/>
    <w:rsid w:val="00567F70"/>
    <w:rsid w:val="00571676"/>
    <w:rsid w:val="0057386A"/>
    <w:rsid w:val="005745C2"/>
    <w:rsid w:val="00575575"/>
    <w:rsid w:val="005756EF"/>
    <w:rsid w:val="00580472"/>
    <w:rsid w:val="00583DB2"/>
    <w:rsid w:val="005845A7"/>
    <w:rsid w:val="0058644F"/>
    <w:rsid w:val="00586B5E"/>
    <w:rsid w:val="0058793F"/>
    <w:rsid w:val="00587E86"/>
    <w:rsid w:val="005905CC"/>
    <w:rsid w:val="0059345F"/>
    <w:rsid w:val="005942B5"/>
    <w:rsid w:val="005964FC"/>
    <w:rsid w:val="00596640"/>
    <w:rsid w:val="005A1243"/>
    <w:rsid w:val="005A1A2E"/>
    <w:rsid w:val="005A2814"/>
    <w:rsid w:val="005A52CE"/>
    <w:rsid w:val="005A5694"/>
    <w:rsid w:val="005A60A3"/>
    <w:rsid w:val="005B1513"/>
    <w:rsid w:val="005B1F01"/>
    <w:rsid w:val="005B3D95"/>
    <w:rsid w:val="005B45B8"/>
    <w:rsid w:val="005B51DB"/>
    <w:rsid w:val="005B6567"/>
    <w:rsid w:val="005C1011"/>
    <w:rsid w:val="005C1A4B"/>
    <w:rsid w:val="005C2C22"/>
    <w:rsid w:val="005C3351"/>
    <w:rsid w:val="005C46BB"/>
    <w:rsid w:val="005C6C9D"/>
    <w:rsid w:val="005C770C"/>
    <w:rsid w:val="005D0EC6"/>
    <w:rsid w:val="005D3EBA"/>
    <w:rsid w:val="005D3F7B"/>
    <w:rsid w:val="005D3F83"/>
    <w:rsid w:val="005D5021"/>
    <w:rsid w:val="005D6B6D"/>
    <w:rsid w:val="005E0304"/>
    <w:rsid w:val="005E1F5B"/>
    <w:rsid w:val="005E2522"/>
    <w:rsid w:val="005E34A7"/>
    <w:rsid w:val="005E3ECC"/>
    <w:rsid w:val="005E6FB7"/>
    <w:rsid w:val="005F0064"/>
    <w:rsid w:val="005F2F17"/>
    <w:rsid w:val="005F30D3"/>
    <w:rsid w:val="005F379A"/>
    <w:rsid w:val="005F4287"/>
    <w:rsid w:val="005F469C"/>
    <w:rsid w:val="005F7FD5"/>
    <w:rsid w:val="00600FE7"/>
    <w:rsid w:val="006019D1"/>
    <w:rsid w:val="00605524"/>
    <w:rsid w:val="00605B31"/>
    <w:rsid w:val="00605C5D"/>
    <w:rsid w:val="00605F1E"/>
    <w:rsid w:val="006065FB"/>
    <w:rsid w:val="00607DDC"/>
    <w:rsid w:val="00612869"/>
    <w:rsid w:val="006146BA"/>
    <w:rsid w:val="00620063"/>
    <w:rsid w:val="00620D75"/>
    <w:rsid w:val="00621F2C"/>
    <w:rsid w:val="00624760"/>
    <w:rsid w:val="00624F2C"/>
    <w:rsid w:val="00626BC0"/>
    <w:rsid w:val="0063051C"/>
    <w:rsid w:val="00631736"/>
    <w:rsid w:val="006328AE"/>
    <w:rsid w:val="00635614"/>
    <w:rsid w:val="0064020E"/>
    <w:rsid w:val="0064087A"/>
    <w:rsid w:val="00644541"/>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485A"/>
    <w:rsid w:val="00675B54"/>
    <w:rsid w:val="006809FB"/>
    <w:rsid w:val="00682623"/>
    <w:rsid w:val="00684401"/>
    <w:rsid w:val="00684ECC"/>
    <w:rsid w:val="006856C3"/>
    <w:rsid w:val="006863E0"/>
    <w:rsid w:val="006877C1"/>
    <w:rsid w:val="006904D3"/>
    <w:rsid w:val="0069132D"/>
    <w:rsid w:val="006929EA"/>
    <w:rsid w:val="00692BC9"/>
    <w:rsid w:val="0069501F"/>
    <w:rsid w:val="006961A8"/>
    <w:rsid w:val="00697C87"/>
    <w:rsid w:val="00697D22"/>
    <w:rsid w:val="006A1579"/>
    <w:rsid w:val="006A2FDF"/>
    <w:rsid w:val="006A4A8A"/>
    <w:rsid w:val="006A4B96"/>
    <w:rsid w:val="006A5309"/>
    <w:rsid w:val="006A5968"/>
    <w:rsid w:val="006A68DA"/>
    <w:rsid w:val="006A6C9E"/>
    <w:rsid w:val="006B3727"/>
    <w:rsid w:val="006B4BAA"/>
    <w:rsid w:val="006B5EEE"/>
    <w:rsid w:val="006B7BA8"/>
    <w:rsid w:val="006B7E76"/>
    <w:rsid w:val="006C19CF"/>
    <w:rsid w:val="006C3458"/>
    <w:rsid w:val="006C3815"/>
    <w:rsid w:val="006C4170"/>
    <w:rsid w:val="006C4A05"/>
    <w:rsid w:val="006C5ACD"/>
    <w:rsid w:val="006C7218"/>
    <w:rsid w:val="006C75F7"/>
    <w:rsid w:val="006C7E9B"/>
    <w:rsid w:val="006D0BDE"/>
    <w:rsid w:val="006D160E"/>
    <w:rsid w:val="006D3D10"/>
    <w:rsid w:val="006D4093"/>
    <w:rsid w:val="006D4430"/>
    <w:rsid w:val="006D586E"/>
    <w:rsid w:val="006D6C20"/>
    <w:rsid w:val="006D7C06"/>
    <w:rsid w:val="006D7D05"/>
    <w:rsid w:val="006E1A9B"/>
    <w:rsid w:val="006E2E1A"/>
    <w:rsid w:val="006E2E41"/>
    <w:rsid w:val="006E51DB"/>
    <w:rsid w:val="006E5D67"/>
    <w:rsid w:val="006E638F"/>
    <w:rsid w:val="006E6ED0"/>
    <w:rsid w:val="006E7124"/>
    <w:rsid w:val="006E7FC7"/>
    <w:rsid w:val="006F2488"/>
    <w:rsid w:val="006F356A"/>
    <w:rsid w:val="006F4C1D"/>
    <w:rsid w:val="006F5923"/>
    <w:rsid w:val="006F6174"/>
    <w:rsid w:val="006F7D4D"/>
    <w:rsid w:val="0070045F"/>
    <w:rsid w:val="007048B2"/>
    <w:rsid w:val="00706DCA"/>
    <w:rsid w:val="00707A7B"/>
    <w:rsid w:val="007123F2"/>
    <w:rsid w:val="00712C96"/>
    <w:rsid w:val="0071321B"/>
    <w:rsid w:val="007143E3"/>
    <w:rsid w:val="0071446F"/>
    <w:rsid w:val="007166B2"/>
    <w:rsid w:val="00717330"/>
    <w:rsid w:val="00720D3D"/>
    <w:rsid w:val="00720E8F"/>
    <w:rsid w:val="007210F9"/>
    <w:rsid w:val="00724416"/>
    <w:rsid w:val="0072773A"/>
    <w:rsid w:val="00727C00"/>
    <w:rsid w:val="007305B6"/>
    <w:rsid w:val="007319DA"/>
    <w:rsid w:val="00734990"/>
    <w:rsid w:val="00741F90"/>
    <w:rsid w:val="007425D7"/>
    <w:rsid w:val="00742D00"/>
    <w:rsid w:val="00743AB2"/>
    <w:rsid w:val="00746AF7"/>
    <w:rsid w:val="00746FAD"/>
    <w:rsid w:val="00747719"/>
    <w:rsid w:val="00752FA6"/>
    <w:rsid w:val="007530BD"/>
    <w:rsid w:val="00754168"/>
    <w:rsid w:val="00755570"/>
    <w:rsid w:val="00755F45"/>
    <w:rsid w:val="00757357"/>
    <w:rsid w:val="00760BF7"/>
    <w:rsid w:val="00762022"/>
    <w:rsid w:val="007630BD"/>
    <w:rsid w:val="0076459F"/>
    <w:rsid w:val="00764E0B"/>
    <w:rsid w:val="00764FD2"/>
    <w:rsid w:val="00765862"/>
    <w:rsid w:val="0077078F"/>
    <w:rsid w:val="007710A4"/>
    <w:rsid w:val="0077274B"/>
    <w:rsid w:val="00775691"/>
    <w:rsid w:val="00775E75"/>
    <w:rsid w:val="00780770"/>
    <w:rsid w:val="00784BFC"/>
    <w:rsid w:val="0078739B"/>
    <w:rsid w:val="00793D9D"/>
    <w:rsid w:val="00794CF9"/>
    <w:rsid w:val="0079594A"/>
    <w:rsid w:val="00796A3A"/>
    <w:rsid w:val="007A104C"/>
    <w:rsid w:val="007A2250"/>
    <w:rsid w:val="007A2C91"/>
    <w:rsid w:val="007A2E91"/>
    <w:rsid w:val="007A3563"/>
    <w:rsid w:val="007A38EA"/>
    <w:rsid w:val="007A56C3"/>
    <w:rsid w:val="007A610A"/>
    <w:rsid w:val="007B095E"/>
    <w:rsid w:val="007B256F"/>
    <w:rsid w:val="007B2905"/>
    <w:rsid w:val="007B335E"/>
    <w:rsid w:val="007B3CAC"/>
    <w:rsid w:val="007B435B"/>
    <w:rsid w:val="007B6404"/>
    <w:rsid w:val="007B7E70"/>
    <w:rsid w:val="007C0495"/>
    <w:rsid w:val="007C67CB"/>
    <w:rsid w:val="007D115D"/>
    <w:rsid w:val="007D37FB"/>
    <w:rsid w:val="007D3AB0"/>
    <w:rsid w:val="007D3C57"/>
    <w:rsid w:val="007D5615"/>
    <w:rsid w:val="007D6324"/>
    <w:rsid w:val="007D68C9"/>
    <w:rsid w:val="007D6F94"/>
    <w:rsid w:val="007D7B84"/>
    <w:rsid w:val="007E0794"/>
    <w:rsid w:val="007E0FFD"/>
    <w:rsid w:val="007E1F76"/>
    <w:rsid w:val="007E3453"/>
    <w:rsid w:val="007E3563"/>
    <w:rsid w:val="007E3857"/>
    <w:rsid w:val="007E4180"/>
    <w:rsid w:val="007E4A3F"/>
    <w:rsid w:val="007E6E94"/>
    <w:rsid w:val="007E775F"/>
    <w:rsid w:val="007F19E2"/>
    <w:rsid w:val="007F2369"/>
    <w:rsid w:val="007F2A00"/>
    <w:rsid w:val="007F2DEA"/>
    <w:rsid w:val="007F353C"/>
    <w:rsid w:val="007F42B0"/>
    <w:rsid w:val="007F557D"/>
    <w:rsid w:val="007F5D9C"/>
    <w:rsid w:val="008002FC"/>
    <w:rsid w:val="00801142"/>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5841"/>
    <w:rsid w:val="00827169"/>
    <w:rsid w:val="00827DAF"/>
    <w:rsid w:val="00830FAF"/>
    <w:rsid w:val="00831F70"/>
    <w:rsid w:val="008324E9"/>
    <w:rsid w:val="00833134"/>
    <w:rsid w:val="00833713"/>
    <w:rsid w:val="00833D9B"/>
    <w:rsid w:val="008340FE"/>
    <w:rsid w:val="00835A40"/>
    <w:rsid w:val="00835AA0"/>
    <w:rsid w:val="00835FBF"/>
    <w:rsid w:val="00836DA8"/>
    <w:rsid w:val="00836ECE"/>
    <w:rsid w:val="0083791F"/>
    <w:rsid w:val="008414B9"/>
    <w:rsid w:val="0084380A"/>
    <w:rsid w:val="00844E66"/>
    <w:rsid w:val="00847CD5"/>
    <w:rsid w:val="00850B2A"/>
    <w:rsid w:val="00850F7C"/>
    <w:rsid w:val="008516E4"/>
    <w:rsid w:val="0085322F"/>
    <w:rsid w:val="0085408C"/>
    <w:rsid w:val="0085557B"/>
    <w:rsid w:val="00856A09"/>
    <w:rsid w:val="00856B4C"/>
    <w:rsid w:val="00856BBC"/>
    <w:rsid w:val="00857149"/>
    <w:rsid w:val="00857ED7"/>
    <w:rsid w:val="00860A39"/>
    <w:rsid w:val="00861B3E"/>
    <w:rsid w:val="00862A70"/>
    <w:rsid w:val="008655A1"/>
    <w:rsid w:val="00865DD0"/>
    <w:rsid w:val="008666DD"/>
    <w:rsid w:val="00866CCD"/>
    <w:rsid w:val="00870018"/>
    <w:rsid w:val="00871411"/>
    <w:rsid w:val="00871A7B"/>
    <w:rsid w:val="00872192"/>
    <w:rsid w:val="008726D9"/>
    <w:rsid w:val="008740D8"/>
    <w:rsid w:val="0087506B"/>
    <w:rsid w:val="0087693A"/>
    <w:rsid w:val="00876C63"/>
    <w:rsid w:val="00876D94"/>
    <w:rsid w:val="00880767"/>
    <w:rsid w:val="0088222F"/>
    <w:rsid w:val="0088375A"/>
    <w:rsid w:val="00885105"/>
    <w:rsid w:val="00885F76"/>
    <w:rsid w:val="0089069E"/>
    <w:rsid w:val="008912D3"/>
    <w:rsid w:val="008914CB"/>
    <w:rsid w:val="008937B1"/>
    <w:rsid w:val="00894A43"/>
    <w:rsid w:val="00894D08"/>
    <w:rsid w:val="00895477"/>
    <w:rsid w:val="00896E1C"/>
    <w:rsid w:val="008A15AE"/>
    <w:rsid w:val="008A1DBB"/>
    <w:rsid w:val="008A2A18"/>
    <w:rsid w:val="008A460C"/>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3574"/>
    <w:rsid w:val="008D4CB3"/>
    <w:rsid w:val="008D5CDB"/>
    <w:rsid w:val="008D643C"/>
    <w:rsid w:val="008D6554"/>
    <w:rsid w:val="008D7E71"/>
    <w:rsid w:val="008E6072"/>
    <w:rsid w:val="008E6640"/>
    <w:rsid w:val="008F2669"/>
    <w:rsid w:val="008F2710"/>
    <w:rsid w:val="008F432E"/>
    <w:rsid w:val="008F49FF"/>
    <w:rsid w:val="008F7450"/>
    <w:rsid w:val="008F784B"/>
    <w:rsid w:val="008F7A01"/>
    <w:rsid w:val="00900AF7"/>
    <w:rsid w:val="00901909"/>
    <w:rsid w:val="00901ACE"/>
    <w:rsid w:val="00901B37"/>
    <w:rsid w:val="009043D1"/>
    <w:rsid w:val="0090500B"/>
    <w:rsid w:val="0090746E"/>
    <w:rsid w:val="0090771A"/>
    <w:rsid w:val="00907D44"/>
    <w:rsid w:val="009106C1"/>
    <w:rsid w:val="00910BA4"/>
    <w:rsid w:val="00912C9D"/>
    <w:rsid w:val="00915499"/>
    <w:rsid w:val="00916595"/>
    <w:rsid w:val="009169DE"/>
    <w:rsid w:val="00922E94"/>
    <w:rsid w:val="00924CB1"/>
    <w:rsid w:val="00925905"/>
    <w:rsid w:val="00926039"/>
    <w:rsid w:val="009275C5"/>
    <w:rsid w:val="00927772"/>
    <w:rsid w:val="00931E88"/>
    <w:rsid w:val="00933939"/>
    <w:rsid w:val="00934162"/>
    <w:rsid w:val="009342D4"/>
    <w:rsid w:val="00936818"/>
    <w:rsid w:val="009369EF"/>
    <w:rsid w:val="00936A52"/>
    <w:rsid w:val="00940B15"/>
    <w:rsid w:val="0094391C"/>
    <w:rsid w:val="00946996"/>
    <w:rsid w:val="0095322B"/>
    <w:rsid w:val="0095360A"/>
    <w:rsid w:val="009604D5"/>
    <w:rsid w:val="00960EB1"/>
    <w:rsid w:val="009626CA"/>
    <w:rsid w:val="00962D06"/>
    <w:rsid w:val="00963402"/>
    <w:rsid w:val="00964835"/>
    <w:rsid w:val="00966917"/>
    <w:rsid w:val="00967387"/>
    <w:rsid w:val="009709AB"/>
    <w:rsid w:val="00971FD5"/>
    <w:rsid w:val="0097223A"/>
    <w:rsid w:val="009729E3"/>
    <w:rsid w:val="00972B66"/>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37FF"/>
    <w:rsid w:val="00997E03"/>
    <w:rsid w:val="009A0770"/>
    <w:rsid w:val="009A0BA3"/>
    <w:rsid w:val="009A1A8B"/>
    <w:rsid w:val="009A2A56"/>
    <w:rsid w:val="009A418D"/>
    <w:rsid w:val="009A4400"/>
    <w:rsid w:val="009A454E"/>
    <w:rsid w:val="009A520C"/>
    <w:rsid w:val="009A75FE"/>
    <w:rsid w:val="009B137E"/>
    <w:rsid w:val="009B2144"/>
    <w:rsid w:val="009B56EF"/>
    <w:rsid w:val="009B6315"/>
    <w:rsid w:val="009B6C73"/>
    <w:rsid w:val="009C4645"/>
    <w:rsid w:val="009C59F9"/>
    <w:rsid w:val="009C63B1"/>
    <w:rsid w:val="009C6C6F"/>
    <w:rsid w:val="009D0173"/>
    <w:rsid w:val="009D0895"/>
    <w:rsid w:val="009D2C62"/>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2B7A"/>
    <w:rsid w:val="00A350E9"/>
    <w:rsid w:val="00A3538E"/>
    <w:rsid w:val="00A3720D"/>
    <w:rsid w:val="00A37505"/>
    <w:rsid w:val="00A40594"/>
    <w:rsid w:val="00A41A0B"/>
    <w:rsid w:val="00A44C46"/>
    <w:rsid w:val="00A455E5"/>
    <w:rsid w:val="00A455F7"/>
    <w:rsid w:val="00A456F5"/>
    <w:rsid w:val="00A45853"/>
    <w:rsid w:val="00A46E22"/>
    <w:rsid w:val="00A51055"/>
    <w:rsid w:val="00A513D2"/>
    <w:rsid w:val="00A51406"/>
    <w:rsid w:val="00A530A2"/>
    <w:rsid w:val="00A54A51"/>
    <w:rsid w:val="00A54AD0"/>
    <w:rsid w:val="00A565C3"/>
    <w:rsid w:val="00A56887"/>
    <w:rsid w:val="00A60B29"/>
    <w:rsid w:val="00A60B80"/>
    <w:rsid w:val="00A61197"/>
    <w:rsid w:val="00A63267"/>
    <w:rsid w:val="00A64046"/>
    <w:rsid w:val="00A64535"/>
    <w:rsid w:val="00A71411"/>
    <w:rsid w:val="00A71C30"/>
    <w:rsid w:val="00A71EF1"/>
    <w:rsid w:val="00A72235"/>
    <w:rsid w:val="00A72A25"/>
    <w:rsid w:val="00A740D7"/>
    <w:rsid w:val="00A75555"/>
    <w:rsid w:val="00A759CD"/>
    <w:rsid w:val="00A776D2"/>
    <w:rsid w:val="00A836BF"/>
    <w:rsid w:val="00A83C4D"/>
    <w:rsid w:val="00A83D4C"/>
    <w:rsid w:val="00A84317"/>
    <w:rsid w:val="00A85490"/>
    <w:rsid w:val="00A85845"/>
    <w:rsid w:val="00A86794"/>
    <w:rsid w:val="00A86A3E"/>
    <w:rsid w:val="00A914E9"/>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A7224"/>
    <w:rsid w:val="00AB15E6"/>
    <w:rsid w:val="00AB1EE0"/>
    <w:rsid w:val="00AB2014"/>
    <w:rsid w:val="00AB234B"/>
    <w:rsid w:val="00AB23FC"/>
    <w:rsid w:val="00AB2493"/>
    <w:rsid w:val="00AB24B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0999"/>
    <w:rsid w:val="00AE1B71"/>
    <w:rsid w:val="00AE36AF"/>
    <w:rsid w:val="00AE3F46"/>
    <w:rsid w:val="00AE4061"/>
    <w:rsid w:val="00AE68F6"/>
    <w:rsid w:val="00AF17F6"/>
    <w:rsid w:val="00AF4901"/>
    <w:rsid w:val="00AF670F"/>
    <w:rsid w:val="00AF6FF0"/>
    <w:rsid w:val="00AF75AC"/>
    <w:rsid w:val="00AF766A"/>
    <w:rsid w:val="00B014BB"/>
    <w:rsid w:val="00B045EC"/>
    <w:rsid w:val="00B058FF"/>
    <w:rsid w:val="00B074D0"/>
    <w:rsid w:val="00B10CFD"/>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8D4"/>
    <w:rsid w:val="00B46A08"/>
    <w:rsid w:val="00B46C4E"/>
    <w:rsid w:val="00B47DAA"/>
    <w:rsid w:val="00B504BE"/>
    <w:rsid w:val="00B506B0"/>
    <w:rsid w:val="00B52A04"/>
    <w:rsid w:val="00B53238"/>
    <w:rsid w:val="00B5343C"/>
    <w:rsid w:val="00B53EA7"/>
    <w:rsid w:val="00B561E7"/>
    <w:rsid w:val="00B568BF"/>
    <w:rsid w:val="00B61B12"/>
    <w:rsid w:val="00B621F6"/>
    <w:rsid w:val="00B664E9"/>
    <w:rsid w:val="00B67A2A"/>
    <w:rsid w:val="00B70610"/>
    <w:rsid w:val="00B70A32"/>
    <w:rsid w:val="00B72DDC"/>
    <w:rsid w:val="00B7347F"/>
    <w:rsid w:val="00B74AB7"/>
    <w:rsid w:val="00B75565"/>
    <w:rsid w:val="00B76017"/>
    <w:rsid w:val="00B7689E"/>
    <w:rsid w:val="00B81053"/>
    <w:rsid w:val="00B82164"/>
    <w:rsid w:val="00B84CFF"/>
    <w:rsid w:val="00B870C8"/>
    <w:rsid w:val="00B87B00"/>
    <w:rsid w:val="00B90513"/>
    <w:rsid w:val="00B90A5B"/>
    <w:rsid w:val="00B916FF"/>
    <w:rsid w:val="00B92345"/>
    <w:rsid w:val="00B92C4F"/>
    <w:rsid w:val="00B9530E"/>
    <w:rsid w:val="00B95B12"/>
    <w:rsid w:val="00BA02A3"/>
    <w:rsid w:val="00BA14BA"/>
    <w:rsid w:val="00BA17A9"/>
    <w:rsid w:val="00BA30F2"/>
    <w:rsid w:val="00BA4EAC"/>
    <w:rsid w:val="00BA5360"/>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AA6"/>
    <w:rsid w:val="00BC3D6F"/>
    <w:rsid w:val="00BC4C6A"/>
    <w:rsid w:val="00BC57F5"/>
    <w:rsid w:val="00BC782B"/>
    <w:rsid w:val="00BD498B"/>
    <w:rsid w:val="00BD604B"/>
    <w:rsid w:val="00BD65CD"/>
    <w:rsid w:val="00BD6A7C"/>
    <w:rsid w:val="00BD768A"/>
    <w:rsid w:val="00BD7AFF"/>
    <w:rsid w:val="00BD7CA7"/>
    <w:rsid w:val="00BE13B9"/>
    <w:rsid w:val="00BE2707"/>
    <w:rsid w:val="00BE4FCF"/>
    <w:rsid w:val="00BE5DA9"/>
    <w:rsid w:val="00BE69FF"/>
    <w:rsid w:val="00BF0872"/>
    <w:rsid w:val="00BF1745"/>
    <w:rsid w:val="00BF19FA"/>
    <w:rsid w:val="00BF4C3E"/>
    <w:rsid w:val="00BF757A"/>
    <w:rsid w:val="00C017FF"/>
    <w:rsid w:val="00C01FBD"/>
    <w:rsid w:val="00C02090"/>
    <w:rsid w:val="00C02459"/>
    <w:rsid w:val="00C03970"/>
    <w:rsid w:val="00C04975"/>
    <w:rsid w:val="00C04AA0"/>
    <w:rsid w:val="00C060B9"/>
    <w:rsid w:val="00C06806"/>
    <w:rsid w:val="00C0746C"/>
    <w:rsid w:val="00C07D7D"/>
    <w:rsid w:val="00C07ED9"/>
    <w:rsid w:val="00C11341"/>
    <w:rsid w:val="00C17352"/>
    <w:rsid w:val="00C17507"/>
    <w:rsid w:val="00C17BFA"/>
    <w:rsid w:val="00C22767"/>
    <w:rsid w:val="00C22C2F"/>
    <w:rsid w:val="00C25992"/>
    <w:rsid w:val="00C267E3"/>
    <w:rsid w:val="00C2764F"/>
    <w:rsid w:val="00C27B64"/>
    <w:rsid w:val="00C30167"/>
    <w:rsid w:val="00C308DC"/>
    <w:rsid w:val="00C31AC5"/>
    <w:rsid w:val="00C31CE3"/>
    <w:rsid w:val="00C3206E"/>
    <w:rsid w:val="00C37F27"/>
    <w:rsid w:val="00C40CC6"/>
    <w:rsid w:val="00C41E59"/>
    <w:rsid w:val="00C449B4"/>
    <w:rsid w:val="00C4510D"/>
    <w:rsid w:val="00C471D2"/>
    <w:rsid w:val="00C4754D"/>
    <w:rsid w:val="00C5311E"/>
    <w:rsid w:val="00C5343D"/>
    <w:rsid w:val="00C54A52"/>
    <w:rsid w:val="00C60A5E"/>
    <w:rsid w:val="00C61028"/>
    <w:rsid w:val="00C62B36"/>
    <w:rsid w:val="00C63219"/>
    <w:rsid w:val="00C64182"/>
    <w:rsid w:val="00C70604"/>
    <w:rsid w:val="00C7392F"/>
    <w:rsid w:val="00C74920"/>
    <w:rsid w:val="00C7610F"/>
    <w:rsid w:val="00C773F9"/>
    <w:rsid w:val="00C775A1"/>
    <w:rsid w:val="00C77B0A"/>
    <w:rsid w:val="00C8091E"/>
    <w:rsid w:val="00C80EE0"/>
    <w:rsid w:val="00C8162B"/>
    <w:rsid w:val="00C816BA"/>
    <w:rsid w:val="00C81CA2"/>
    <w:rsid w:val="00C8291D"/>
    <w:rsid w:val="00C82C35"/>
    <w:rsid w:val="00C833B1"/>
    <w:rsid w:val="00C91C9D"/>
    <w:rsid w:val="00C93A2E"/>
    <w:rsid w:val="00C96BF3"/>
    <w:rsid w:val="00C97AFD"/>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6E96"/>
    <w:rsid w:val="00CB7517"/>
    <w:rsid w:val="00CC016D"/>
    <w:rsid w:val="00CC01F2"/>
    <w:rsid w:val="00CC07FA"/>
    <w:rsid w:val="00CC0B97"/>
    <w:rsid w:val="00CC2B30"/>
    <w:rsid w:val="00CC3532"/>
    <w:rsid w:val="00CC5AC0"/>
    <w:rsid w:val="00CC6554"/>
    <w:rsid w:val="00CD00BC"/>
    <w:rsid w:val="00CD040C"/>
    <w:rsid w:val="00CD1954"/>
    <w:rsid w:val="00CD1E5A"/>
    <w:rsid w:val="00CD1F12"/>
    <w:rsid w:val="00CD34FF"/>
    <w:rsid w:val="00CD37B5"/>
    <w:rsid w:val="00CD3B65"/>
    <w:rsid w:val="00CD3CB1"/>
    <w:rsid w:val="00CD3E44"/>
    <w:rsid w:val="00CD43FA"/>
    <w:rsid w:val="00CD608D"/>
    <w:rsid w:val="00CD7616"/>
    <w:rsid w:val="00CD795A"/>
    <w:rsid w:val="00CE11DD"/>
    <w:rsid w:val="00CE2258"/>
    <w:rsid w:val="00CE3283"/>
    <w:rsid w:val="00CE3378"/>
    <w:rsid w:val="00CE4D95"/>
    <w:rsid w:val="00CE52D7"/>
    <w:rsid w:val="00CE629D"/>
    <w:rsid w:val="00CF07E6"/>
    <w:rsid w:val="00CF226E"/>
    <w:rsid w:val="00CF2562"/>
    <w:rsid w:val="00CF33B6"/>
    <w:rsid w:val="00CF406F"/>
    <w:rsid w:val="00CF5521"/>
    <w:rsid w:val="00CF631A"/>
    <w:rsid w:val="00CF684B"/>
    <w:rsid w:val="00CF7D29"/>
    <w:rsid w:val="00D01FB8"/>
    <w:rsid w:val="00D021C2"/>
    <w:rsid w:val="00D02A81"/>
    <w:rsid w:val="00D04A48"/>
    <w:rsid w:val="00D04C65"/>
    <w:rsid w:val="00D04C90"/>
    <w:rsid w:val="00D062BE"/>
    <w:rsid w:val="00D06457"/>
    <w:rsid w:val="00D06776"/>
    <w:rsid w:val="00D07E73"/>
    <w:rsid w:val="00D115E6"/>
    <w:rsid w:val="00D13FEF"/>
    <w:rsid w:val="00D151E7"/>
    <w:rsid w:val="00D15AC5"/>
    <w:rsid w:val="00D1730F"/>
    <w:rsid w:val="00D17B1C"/>
    <w:rsid w:val="00D22406"/>
    <w:rsid w:val="00D2384D"/>
    <w:rsid w:val="00D25869"/>
    <w:rsid w:val="00D25C0A"/>
    <w:rsid w:val="00D25D86"/>
    <w:rsid w:val="00D263F1"/>
    <w:rsid w:val="00D26487"/>
    <w:rsid w:val="00D265C8"/>
    <w:rsid w:val="00D27DE7"/>
    <w:rsid w:val="00D323C4"/>
    <w:rsid w:val="00D33F2B"/>
    <w:rsid w:val="00D34189"/>
    <w:rsid w:val="00D34CE8"/>
    <w:rsid w:val="00D3593A"/>
    <w:rsid w:val="00D375D6"/>
    <w:rsid w:val="00D4001C"/>
    <w:rsid w:val="00D438F0"/>
    <w:rsid w:val="00D4403F"/>
    <w:rsid w:val="00D44372"/>
    <w:rsid w:val="00D443D4"/>
    <w:rsid w:val="00D4603C"/>
    <w:rsid w:val="00D5206B"/>
    <w:rsid w:val="00D52ADB"/>
    <w:rsid w:val="00D53161"/>
    <w:rsid w:val="00D5508F"/>
    <w:rsid w:val="00D550B6"/>
    <w:rsid w:val="00D55786"/>
    <w:rsid w:val="00D55EC2"/>
    <w:rsid w:val="00D55F02"/>
    <w:rsid w:val="00D57130"/>
    <w:rsid w:val="00D60812"/>
    <w:rsid w:val="00D60A30"/>
    <w:rsid w:val="00D611F3"/>
    <w:rsid w:val="00D623DD"/>
    <w:rsid w:val="00D629D8"/>
    <w:rsid w:val="00D62D39"/>
    <w:rsid w:val="00D632DB"/>
    <w:rsid w:val="00D63708"/>
    <w:rsid w:val="00D6481B"/>
    <w:rsid w:val="00D66900"/>
    <w:rsid w:val="00D67371"/>
    <w:rsid w:val="00D67BF8"/>
    <w:rsid w:val="00D70935"/>
    <w:rsid w:val="00D724FE"/>
    <w:rsid w:val="00D759E5"/>
    <w:rsid w:val="00D77706"/>
    <w:rsid w:val="00D778A1"/>
    <w:rsid w:val="00D77A2F"/>
    <w:rsid w:val="00D80219"/>
    <w:rsid w:val="00D8128F"/>
    <w:rsid w:val="00D82717"/>
    <w:rsid w:val="00D82D31"/>
    <w:rsid w:val="00D82E17"/>
    <w:rsid w:val="00D83542"/>
    <w:rsid w:val="00D83AD9"/>
    <w:rsid w:val="00D84645"/>
    <w:rsid w:val="00D853FA"/>
    <w:rsid w:val="00D859AC"/>
    <w:rsid w:val="00D86198"/>
    <w:rsid w:val="00D874EA"/>
    <w:rsid w:val="00D87704"/>
    <w:rsid w:val="00D878BD"/>
    <w:rsid w:val="00D90EDE"/>
    <w:rsid w:val="00D9165A"/>
    <w:rsid w:val="00D91EAA"/>
    <w:rsid w:val="00D92AC0"/>
    <w:rsid w:val="00D94DD8"/>
    <w:rsid w:val="00D95AAD"/>
    <w:rsid w:val="00D96028"/>
    <w:rsid w:val="00D97D1D"/>
    <w:rsid w:val="00DA1892"/>
    <w:rsid w:val="00DA22EF"/>
    <w:rsid w:val="00DA34B6"/>
    <w:rsid w:val="00DA36CA"/>
    <w:rsid w:val="00DA48A7"/>
    <w:rsid w:val="00DA4FDB"/>
    <w:rsid w:val="00DA5907"/>
    <w:rsid w:val="00DA6E7B"/>
    <w:rsid w:val="00DB0AED"/>
    <w:rsid w:val="00DB10AB"/>
    <w:rsid w:val="00DB1F0A"/>
    <w:rsid w:val="00DB39EB"/>
    <w:rsid w:val="00DB3CCC"/>
    <w:rsid w:val="00DB53CB"/>
    <w:rsid w:val="00DB67F3"/>
    <w:rsid w:val="00DC11F9"/>
    <w:rsid w:val="00DC2867"/>
    <w:rsid w:val="00DC343A"/>
    <w:rsid w:val="00DD130F"/>
    <w:rsid w:val="00DD4131"/>
    <w:rsid w:val="00DD4387"/>
    <w:rsid w:val="00DD5B36"/>
    <w:rsid w:val="00DD7ED3"/>
    <w:rsid w:val="00DE1553"/>
    <w:rsid w:val="00DE295D"/>
    <w:rsid w:val="00DE29E5"/>
    <w:rsid w:val="00DE2B95"/>
    <w:rsid w:val="00DE45E9"/>
    <w:rsid w:val="00DE51F9"/>
    <w:rsid w:val="00DE56BC"/>
    <w:rsid w:val="00DE7F8F"/>
    <w:rsid w:val="00DE7FAA"/>
    <w:rsid w:val="00DF03B9"/>
    <w:rsid w:val="00DF0C4B"/>
    <w:rsid w:val="00DF0F34"/>
    <w:rsid w:val="00DF1657"/>
    <w:rsid w:val="00DF36FD"/>
    <w:rsid w:val="00DF38F5"/>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17322"/>
    <w:rsid w:val="00E2059A"/>
    <w:rsid w:val="00E228D3"/>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7C9"/>
    <w:rsid w:val="00E37B82"/>
    <w:rsid w:val="00E37CF5"/>
    <w:rsid w:val="00E37D59"/>
    <w:rsid w:val="00E42E68"/>
    <w:rsid w:val="00E453B2"/>
    <w:rsid w:val="00E46571"/>
    <w:rsid w:val="00E501E2"/>
    <w:rsid w:val="00E550CC"/>
    <w:rsid w:val="00E55672"/>
    <w:rsid w:val="00E56FEA"/>
    <w:rsid w:val="00E60196"/>
    <w:rsid w:val="00E61F8D"/>
    <w:rsid w:val="00E63C2D"/>
    <w:rsid w:val="00E67590"/>
    <w:rsid w:val="00E67F1D"/>
    <w:rsid w:val="00E70939"/>
    <w:rsid w:val="00E709FC"/>
    <w:rsid w:val="00E7155B"/>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57B"/>
    <w:rsid w:val="00E86ECC"/>
    <w:rsid w:val="00E87CB3"/>
    <w:rsid w:val="00E91141"/>
    <w:rsid w:val="00E925A6"/>
    <w:rsid w:val="00E945AC"/>
    <w:rsid w:val="00E94859"/>
    <w:rsid w:val="00E94C30"/>
    <w:rsid w:val="00E95C4B"/>
    <w:rsid w:val="00E965EE"/>
    <w:rsid w:val="00E9683E"/>
    <w:rsid w:val="00E96ECC"/>
    <w:rsid w:val="00E9744A"/>
    <w:rsid w:val="00E97657"/>
    <w:rsid w:val="00EA09FE"/>
    <w:rsid w:val="00EA15C8"/>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BA7"/>
    <w:rsid w:val="00ED0CB1"/>
    <w:rsid w:val="00ED230B"/>
    <w:rsid w:val="00ED3570"/>
    <w:rsid w:val="00ED368F"/>
    <w:rsid w:val="00ED3B71"/>
    <w:rsid w:val="00ED4A3F"/>
    <w:rsid w:val="00ED4FDE"/>
    <w:rsid w:val="00ED6D87"/>
    <w:rsid w:val="00EE1DB5"/>
    <w:rsid w:val="00EE3357"/>
    <w:rsid w:val="00EE4551"/>
    <w:rsid w:val="00EF0C29"/>
    <w:rsid w:val="00EF30E2"/>
    <w:rsid w:val="00EF3119"/>
    <w:rsid w:val="00EF3282"/>
    <w:rsid w:val="00EF6C64"/>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21E6"/>
    <w:rsid w:val="00F4303A"/>
    <w:rsid w:val="00F475D0"/>
    <w:rsid w:val="00F5118A"/>
    <w:rsid w:val="00F555B0"/>
    <w:rsid w:val="00F571CF"/>
    <w:rsid w:val="00F6162A"/>
    <w:rsid w:val="00F66759"/>
    <w:rsid w:val="00F66AF5"/>
    <w:rsid w:val="00F67967"/>
    <w:rsid w:val="00F67CF6"/>
    <w:rsid w:val="00F72651"/>
    <w:rsid w:val="00F8175E"/>
    <w:rsid w:val="00F81B05"/>
    <w:rsid w:val="00F81F15"/>
    <w:rsid w:val="00F82049"/>
    <w:rsid w:val="00F82C9F"/>
    <w:rsid w:val="00F8388A"/>
    <w:rsid w:val="00F84E80"/>
    <w:rsid w:val="00F87537"/>
    <w:rsid w:val="00F878EC"/>
    <w:rsid w:val="00F947DC"/>
    <w:rsid w:val="00F9781A"/>
    <w:rsid w:val="00FA057C"/>
    <w:rsid w:val="00FA086F"/>
    <w:rsid w:val="00FA0D16"/>
    <w:rsid w:val="00FA185B"/>
    <w:rsid w:val="00FA60BF"/>
    <w:rsid w:val="00FA6883"/>
    <w:rsid w:val="00FA7405"/>
    <w:rsid w:val="00FB0D12"/>
    <w:rsid w:val="00FB1CB4"/>
    <w:rsid w:val="00FB3D40"/>
    <w:rsid w:val="00FB44EB"/>
    <w:rsid w:val="00FB675F"/>
    <w:rsid w:val="00FC1255"/>
    <w:rsid w:val="00FC1300"/>
    <w:rsid w:val="00FC1C93"/>
    <w:rsid w:val="00FC1E29"/>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225D"/>
    <w:rsid w:val="00FE353A"/>
    <w:rsid w:val="00FE5C3E"/>
    <w:rsid w:val="00FF0A2F"/>
    <w:rsid w:val="00FF1B04"/>
    <w:rsid w:val="00FF22F8"/>
    <w:rsid w:val="00FF4311"/>
    <w:rsid w:val="020A6A96"/>
    <w:rsid w:val="0356786B"/>
    <w:rsid w:val="046D5F2B"/>
    <w:rsid w:val="046E31C1"/>
    <w:rsid w:val="056C4F65"/>
    <w:rsid w:val="05D56B13"/>
    <w:rsid w:val="06F4696E"/>
    <w:rsid w:val="07245E56"/>
    <w:rsid w:val="08EC4C7B"/>
    <w:rsid w:val="0B0D7FCB"/>
    <w:rsid w:val="0BD035B7"/>
    <w:rsid w:val="0C023D8C"/>
    <w:rsid w:val="0E32302E"/>
    <w:rsid w:val="0E94232E"/>
    <w:rsid w:val="0F1306D5"/>
    <w:rsid w:val="11295396"/>
    <w:rsid w:val="163E2FB7"/>
    <w:rsid w:val="182A198B"/>
    <w:rsid w:val="1A48157B"/>
    <w:rsid w:val="1BD70953"/>
    <w:rsid w:val="1BF601C3"/>
    <w:rsid w:val="1BF87698"/>
    <w:rsid w:val="1BFC4B6A"/>
    <w:rsid w:val="1C876DFD"/>
    <w:rsid w:val="1CB43574"/>
    <w:rsid w:val="1E585AB7"/>
    <w:rsid w:val="1EB160C2"/>
    <w:rsid w:val="1FF145B9"/>
    <w:rsid w:val="204F545B"/>
    <w:rsid w:val="20A975CA"/>
    <w:rsid w:val="2193546F"/>
    <w:rsid w:val="26F50BA9"/>
    <w:rsid w:val="28FC23A7"/>
    <w:rsid w:val="29026D00"/>
    <w:rsid w:val="2B6B1ECB"/>
    <w:rsid w:val="2CC655FD"/>
    <w:rsid w:val="2EA644DF"/>
    <w:rsid w:val="2FB532A0"/>
    <w:rsid w:val="30EF4E79"/>
    <w:rsid w:val="319C4BEA"/>
    <w:rsid w:val="32FC508C"/>
    <w:rsid w:val="33E04FA2"/>
    <w:rsid w:val="34C829B2"/>
    <w:rsid w:val="35381804"/>
    <w:rsid w:val="386A3F56"/>
    <w:rsid w:val="38984605"/>
    <w:rsid w:val="3A810EF7"/>
    <w:rsid w:val="3C3802E9"/>
    <w:rsid w:val="3CDC0F3A"/>
    <w:rsid w:val="3E586AB8"/>
    <w:rsid w:val="3E5C1B1D"/>
    <w:rsid w:val="3EAE14E9"/>
    <w:rsid w:val="3FD261A6"/>
    <w:rsid w:val="42EB2F9C"/>
    <w:rsid w:val="45226963"/>
    <w:rsid w:val="4D39606F"/>
    <w:rsid w:val="4D8D2B43"/>
    <w:rsid w:val="4F8E3D4D"/>
    <w:rsid w:val="50D161F3"/>
    <w:rsid w:val="53B3493A"/>
    <w:rsid w:val="5537323C"/>
    <w:rsid w:val="55855837"/>
    <w:rsid w:val="55EA7A80"/>
    <w:rsid w:val="56503211"/>
    <w:rsid w:val="58A41D5D"/>
    <w:rsid w:val="59294AEC"/>
    <w:rsid w:val="598B567E"/>
    <w:rsid w:val="5C624734"/>
    <w:rsid w:val="5FE91ABC"/>
    <w:rsid w:val="60275465"/>
    <w:rsid w:val="628E734C"/>
    <w:rsid w:val="6580603B"/>
    <w:rsid w:val="68C7223A"/>
    <w:rsid w:val="68EF6886"/>
    <w:rsid w:val="69A9601D"/>
    <w:rsid w:val="69F67450"/>
    <w:rsid w:val="6F620677"/>
    <w:rsid w:val="6FDD1093"/>
    <w:rsid w:val="709C0126"/>
    <w:rsid w:val="72C6269C"/>
    <w:rsid w:val="73202E32"/>
    <w:rsid w:val="752302A2"/>
    <w:rsid w:val="76022652"/>
    <w:rsid w:val="768501BE"/>
    <w:rsid w:val="76C8601E"/>
    <w:rsid w:val="77D173EC"/>
    <w:rsid w:val="7A6A0753"/>
    <w:rsid w:val="7D80556D"/>
    <w:rsid w:val="7ED86E63"/>
    <w:rsid w:val="7FC307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34FC58-2298-4D24-928D-4ED96F24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pPr>
      <w:widowControl w:val="0"/>
    </w:pPr>
    <w:rPr>
      <w:rFonts w:ascii="Calibri" w:hAnsi="Calibri"/>
      <w:b/>
      <w:bCs/>
      <w:kern w:val="2"/>
      <w:sz w:val="21"/>
      <w:szCs w:val="22"/>
    </w:rPr>
  </w:style>
  <w:style w:type="paragraph" w:styleId="a4">
    <w:name w:val="annotation text"/>
    <w:basedOn w:val="a"/>
    <w:link w:val="Char0"/>
    <w:uiPriority w:val="99"/>
    <w:qFormat/>
    <w:pPr>
      <w:widowControl/>
      <w:jc w:val="left"/>
    </w:pPr>
    <w:rPr>
      <w:rFonts w:ascii="宋体" w:hAnsi="宋体"/>
      <w:kern w:val="0"/>
      <w:sz w:val="24"/>
      <w:szCs w:val="24"/>
    </w:rPr>
  </w:style>
  <w:style w:type="paragraph" w:styleId="a5">
    <w:name w:val="Normal Indent"/>
    <w:basedOn w:val="a"/>
    <w:qFormat/>
    <w:pPr>
      <w:ind w:firstLineChars="200" w:firstLine="420"/>
    </w:pPr>
    <w:rPr>
      <w:rFonts w:ascii="Times New Roman" w:hAnsi="Times New Roman" w:cs="Times New Roman"/>
      <w:szCs w:val="20"/>
    </w:rPr>
  </w:style>
  <w:style w:type="paragraph" w:styleId="a6">
    <w:name w:val="Document Map"/>
    <w:basedOn w:val="a"/>
    <w:link w:val="Char1"/>
    <w:qFormat/>
    <w:pPr>
      <w:shd w:val="clear" w:color="auto" w:fill="000080"/>
    </w:pPr>
    <w:rPr>
      <w:rFonts w:ascii="Times New Roman" w:hAnsi="Times New Roman" w:cs="Times New Roman"/>
      <w:szCs w:val="20"/>
    </w:rPr>
  </w:style>
  <w:style w:type="paragraph" w:styleId="a7">
    <w:name w:val="Body Text"/>
    <w:basedOn w:val="a"/>
    <w:link w:val="Char2"/>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8">
    <w:name w:val="Plain Text"/>
    <w:basedOn w:val="a"/>
    <w:link w:val="Char3"/>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c">
    <w:name w:val="footnote text"/>
    <w:basedOn w:val="a"/>
    <w:link w:val="Char7"/>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d">
    <w:name w:val="Normal (Web)"/>
    <w:basedOn w:val="a"/>
    <w:qFormat/>
    <w:pPr>
      <w:widowControl/>
      <w:spacing w:before="100" w:beforeAutospacing="1" w:after="100" w:afterAutospacing="1"/>
      <w:jc w:val="left"/>
    </w:pPr>
    <w:rPr>
      <w:rFonts w:ascii="宋体" w:hAnsi="宋体"/>
      <w:kern w:val="0"/>
      <w:sz w:val="24"/>
      <w:szCs w:val="24"/>
    </w:rPr>
  </w:style>
  <w:style w:type="paragraph" w:styleId="ae">
    <w:name w:val="Title"/>
    <w:basedOn w:val="a"/>
    <w:next w:val="a"/>
    <w:link w:val="Char8"/>
    <w:qFormat/>
    <w:pPr>
      <w:spacing w:before="240" w:after="60"/>
      <w:jc w:val="center"/>
      <w:outlineLvl w:val="0"/>
    </w:pPr>
    <w:rPr>
      <w:rFonts w:ascii="Cambria" w:hAnsi="Cambria"/>
      <w:b/>
      <w:sz w:val="32"/>
      <w:szCs w:val="20"/>
    </w:rPr>
  </w:style>
  <w:style w:type="character" w:styleId="af">
    <w:name w:val="Strong"/>
    <w:uiPriority w:val="22"/>
    <w:qFormat/>
    <w:rPr>
      <w:b/>
      <w:bCs/>
    </w:rPr>
  </w:style>
  <w:style w:type="character" w:styleId="af0">
    <w:name w:val="page number"/>
    <w:basedOn w:val="a0"/>
    <w:qFormat/>
  </w:style>
  <w:style w:type="character" w:styleId="af1">
    <w:name w:val="Hyperlink"/>
    <w:basedOn w:val="a0"/>
    <w:uiPriority w:val="99"/>
    <w:unhideWhenUsed/>
    <w:qFormat/>
    <w:rPr>
      <w:color w:val="0000FF" w:themeColor="hyperlink"/>
      <w:u w:val="single"/>
    </w:rPr>
  </w:style>
  <w:style w:type="character" w:styleId="af2">
    <w:name w:val="annotation reference"/>
    <w:qFormat/>
    <w:rPr>
      <w:sz w:val="21"/>
      <w:szCs w:val="21"/>
    </w:rPr>
  </w:style>
  <w:style w:type="character" w:styleId="af3">
    <w:name w:val="footnote reference"/>
    <w:qFormat/>
    <w:rPr>
      <w:vertAlign w:val="superscript"/>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页眉 Char"/>
    <w:basedOn w:val="a0"/>
    <w:link w:val="ab"/>
    <w:uiPriority w:val="99"/>
    <w:qFormat/>
    <w:rPr>
      <w:sz w:val="18"/>
      <w:szCs w:val="18"/>
    </w:rPr>
  </w:style>
  <w:style w:type="character" w:customStyle="1" w:styleId="Char5">
    <w:name w:val="页脚 Char"/>
    <w:basedOn w:val="a0"/>
    <w:link w:val="aa"/>
    <w:uiPriority w:val="99"/>
    <w:qFormat/>
    <w:rPr>
      <w:sz w:val="18"/>
      <w:szCs w:val="18"/>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4"/>
    <w:uiPriority w:val="99"/>
    <w:qFormat/>
    <w:rPr>
      <w:rFonts w:ascii="宋体" w:eastAsia="宋体" w:hAnsi="宋体" w:cs="宋体"/>
      <w:kern w:val="0"/>
      <w:sz w:val="24"/>
      <w:szCs w:val="24"/>
    </w:rPr>
  </w:style>
  <w:style w:type="character" w:customStyle="1" w:styleId="Char4">
    <w:name w:val="批注框文本 Char"/>
    <w:basedOn w:val="a0"/>
    <w:link w:val="a9"/>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eastAsia="宋体" w:hAnsi="Calibri" w:cs="宋体"/>
      <w:kern w:val="2"/>
      <w:sz w:val="21"/>
      <w:szCs w:val="22"/>
    </w:rPr>
  </w:style>
  <w:style w:type="character" w:customStyle="1" w:styleId="Char">
    <w:name w:val="批注主题 Char"/>
    <w:basedOn w:val="Char0"/>
    <w:link w:val="a3"/>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eastAsia="宋体"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eastAsia="宋体"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8">
    <w:name w:val="标题 Char"/>
    <w:link w:val="ae"/>
    <w:qFormat/>
    <w:rPr>
      <w:rFonts w:ascii="Cambria" w:hAnsi="Cambria"/>
      <w:b/>
      <w:kern w:val="2"/>
      <w:sz w:val="32"/>
    </w:rPr>
  </w:style>
  <w:style w:type="character" w:customStyle="1" w:styleId="Char2">
    <w:name w:val="正文文本 Char"/>
    <w:link w:val="a7"/>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1">
    <w:name w:val="文档结构图 Char"/>
    <w:basedOn w:val="a0"/>
    <w:link w:val="a6"/>
    <w:qFormat/>
    <w:rPr>
      <w:rFonts w:ascii="Times New Roman" w:hAnsi="Times New Roman" w:cs="Times New Roman"/>
      <w:kern w:val="2"/>
      <w:sz w:val="21"/>
      <w:shd w:val="clear" w:color="auto" w:fill="000080"/>
    </w:rPr>
  </w:style>
  <w:style w:type="character" w:customStyle="1" w:styleId="Char3">
    <w:name w:val="纯文本 Char"/>
    <w:basedOn w:val="a0"/>
    <w:link w:val="a8"/>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rFonts w:ascii="Times New Roman" w:eastAsia="宋体" w:hAnsi="Times New Roman" w:cs="Times New Roman"/>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7">
    <w:name w:val="脚注文本 Char"/>
    <w:basedOn w:val="a0"/>
    <w:link w:val="ac"/>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rFonts w:ascii="Times New Roman" w:eastAsia="宋体" w:hAnsi="Times New Roman" w:cs="Times New Roman"/>
      <w:kern w:val="2"/>
      <w:sz w:val="21"/>
      <w:szCs w:val="21"/>
    </w:rPr>
  </w:style>
  <w:style w:type="paragraph" w:customStyle="1" w:styleId="40">
    <w:name w:val="修订4"/>
    <w:hidden/>
    <w:uiPriority w:val="99"/>
    <w:semiHidden/>
    <w:qFormat/>
    <w:rPr>
      <w:rFonts w:ascii="Calibri" w:eastAsia="宋体" w:hAnsi="Calibri" w:cs="宋体"/>
      <w:kern w:val="2"/>
      <w:sz w:val="21"/>
      <w:szCs w:val="22"/>
    </w:rPr>
  </w:style>
  <w:style w:type="paragraph" w:customStyle="1" w:styleId="5">
    <w:name w:val="修订5"/>
    <w:hidden/>
    <w:uiPriority w:val="99"/>
    <w:unhideWhenUsed/>
    <w:qFormat/>
    <w:rPr>
      <w:rFonts w:ascii="Calibri" w:eastAsia="宋体"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www.chinawealth.com.cn" TargetMode="Externa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0.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1.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2.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3.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14.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5.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6.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7.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18.xml><?xml version="1.0" encoding="utf-8"?>
<ds:datastoreItem xmlns:ds="http://schemas.openxmlformats.org/officeDocument/2006/customXml" ds:itemID="{F84295E4-C757-46C6-86FD-9BB2E63651C5}">
  <ds:schemaRefs>
    <ds:schemaRef ds:uri="http://schemas.openxmlformats.org/officeDocument/2006/bibliography"/>
  </ds:schemaRefs>
</ds:datastoreItem>
</file>

<file path=customXml/itemProps2.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3.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4.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7.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8.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9.xml><?xml version="1.0" encoding="utf-8"?>
<ds:datastoreItem xmlns:ds="http://schemas.openxmlformats.org/officeDocument/2006/customXml" ds:itemID="{9114D43D-ED98-4C7B-A3AE-26D78B80CA8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4327</Words>
  <Characters>24667</Characters>
  <Application>Microsoft Office Word</Application>
  <DocSecurity>0</DocSecurity>
  <Lines>205</Lines>
  <Paragraphs>57</Paragraphs>
  <ScaleCrop>false</ScaleCrop>
  <Company>Microsoft</Company>
  <LinksUpToDate>false</LinksUpToDate>
  <CharactersWithSpaces>28937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朱乐</cp:lastModifiedBy>
  <cp:revision>69</cp:revision>
  <cp:lastPrinted>2020-09-21T06:35:00Z</cp:lastPrinted>
  <dcterms:created xsi:type="dcterms:W3CDTF">2021-09-06T06:01:00Z</dcterms:created>
  <dcterms:modified xsi:type="dcterms:W3CDTF">2023-03-07T08:02:00Z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900F04764CD64EDDA971068C54A5D50A</vt:lpwstr>
  </property>
</Properties>
</file>