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丰裕固收23053期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丰裕固收23053期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FYG23053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2025年3月27日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718,772,007.29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119.43%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718,772,007.29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711,490,167.00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丰裕固收23053期A款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548,253,923.20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169,545,920.53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丰裕固收23053期F款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FYG23053F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972,163.56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丰裕固收23053期A款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丰裕固收23053期F款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主要投资于期限匹配债券，通过杠杆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64.58%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64.58%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35.28%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35.28%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23浙滨投发01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101,383,580.33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100,911,363.93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23象山经开01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100,524,552.46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22淮南建发MTN002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70,787,623.52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22胶州城投MTN001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59,714,210.24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22金坛建设PPN003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40,571,511.94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22江宁科学MTN002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40,247,837.53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22华发MTN003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40,144,846.37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20永投01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30,725,025.83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23金坛投资PPN001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30,366,498.63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138,119,786.25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19.22%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浙江滨海新区投资发展集团有限公司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23浙滨投发01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101,383,580.33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象山经济开发区投资有限公司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23象山经开01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100,524,552.46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扬州经济技术开发区开发(集团)有限公司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100,911,363.93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711,490,167.00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711,490,167.00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23扬州经开04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杭银理财幸福99丰裕固收23053期（稳利低波款）理财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3301040160015309811-5123053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