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rPr>
          <w:rFonts w:ascii="宋体" w:hAnsi="宋体" w:eastAsia="宋体" w:cs="宋体"/>
          <w:color w:val="000000"/>
          <w:kern w:val="0"/>
          <w:sz w:val="24"/>
          <w:szCs w:val="24"/>
        </w:rPr>
      </w:pPr>
      <w:r>
        <w:rPr>
          <w:rFonts w:hint="eastAsia" w:ascii="黑体" w:hAnsi="宋体" w:eastAsia="黑体" w:cs="黑体"/>
          <w:b/>
          <w:bCs/>
          <w:color w:val="000000"/>
          <w:kern w:val="0"/>
          <w:sz w:val="24"/>
          <w:szCs w:val="24"/>
        </w:rPr>
        <w:t>理财产品登记编码:</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w:t>
      </w:r>
      <w:r>
        <w:rPr>
          <w:rFonts w:ascii="宋体" w:hAnsi="宋体" w:eastAsia="宋体" w:cs="宋体"/>
          <w:kern w:val="0"/>
          <w:sz w:val="24"/>
          <w:szCs w:val="24"/>
        </w:rPr>
        <w:t>Z7002623001654</w:t>
      </w:r>
      <w:r>
        <w:rPr>
          <w:rFonts w:ascii="宋体" w:hAnsi="宋体" w:eastAsia="宋体" w:cs="宋体"/>
          <w:color w:val="000000"/>
          <w:kern w:val="0"/>
          <w:sz w:val="24"/>
          <w:szCs w:val="24"/>
        </w:rPr>
        <w:t>】</w:t>
      </w:r>
    </w:p>
    <w:p>
      <w:pPr>
        <w:widowControl/>
        <w:spacing w:line="300" w:lineRule="exact"/>
        <w:rPr>
          <w:rFonts w:ascii="黑体" w:hAnsi="黑体" w:eastAsia="黑体" w:cs="宋体"/>
          <w:color w:val="000000"/>
          <w:kern w:val="0"/>
          <w:szCs w:val="21"/>
        </w:rPr>
      </w:pPr>
      <w:r>
        <w:rPr>
          <w:rFonts w:hint="eastAsia" w:ascii="黑体" w:hAnsi="黑体" w:eastAsia="黑体" w:cs="宋体"/>
          <w:color w:val="000000"/>
          <w:kern w:val="0"/>
          <w:szCs w:val="21"/>
        </w:rPr>
        <w:t>理财产品</w:t>
      </w:r>
      <w:r>
        <w:rPr>
          <w:rFonts w:ascii="黑体" w:hAnsi="黑体" w:eastAsia="黑体" w:cs="宋体"/>
          <w:color w:val="000000"/>
          <w:kern w:val="0"/>
          <w:szCs w:val="21"/>
        </w:rPr>
        <w:t>登记编码为本产品在</w:t>
      </w:r>
      <w:r>
        <w:rPr>
          <w:rFonts w:hint="eastAsia" w:ascii="黑体" w:hAnsi="黑体" w:eastAsia="黑体" w:cs="宋体"/>
          <w:color w:val="000000"/>
          <w:kern w:val="0"/>
          <w:szCs w:val="21"/>
        </w:rPr>
        <w:t>全国银行业理财信息登记系统</w:t>
      </w:r>
      <w:r>
        <w:rPr>
          <w:rFonts w:ascii="黑体" w:hAnsi="黑体" w:eastAsia="黑体" w:cs="宋体"/>
          <w:color w:val="000000"/>
          <w:kern w:val="0"/>
          <w:szCs w:val="21"/>
        </w:rPr>
        <w:t>取得的理财产品登记编码，</w:t>
      </w:r>
      <w:r>
        <w:rPr>
          <w:rFonts w:hint="eastAsia" w:ascii="黑体" w:hAnsi="黑体" w:eastAsia="黑体" w:cs="宋体"/>
          <w:color w:val="000000"/>
          <w:kern w:val="0"/>
          <w:szCs w:val="21"/>
        </w:rPr>
        <w:t>投资者</w:t>
      </w:r>
      <w:r>
        <w:rPr>
          <w:rFonts w:ascii="黑体" w:hAnsi="黑体" w:eastAsia="黑体" w:cs="宋体"/>
          <w:color w:val="000000"/>
          <w:kern w:val="0"/>
          <w:szCs w:val="21"/>
        </w:rPr>
        <w:t>可以</w:t>
      </w:r>
      <w:r>
        <w:rPr>
          <w:rFonts w:hint="eastAsia" w:ascii="黑体" w:hAnsi="黑体" w:eastAsia="黑体" w:cs="宋体"/>
          <w:color w:val="000000"/>
          <w:kern w:val="0"/>
          <w:szCs w:val="21"/>
        </w:rPr>
        <w:t>依据</w:t>
      </w:r>
      <w:r>
        <w:rPr>
          <w:rFonts w:ascii="黑体" w:hAnsi="黑体" w:eastAsia="黑体" w:cs="宋体"/>
          <w:color w:val="000000"/>
          <w:kern w:val="0"/>
          <w:szCs w:val="21"/>
        </w:rPr>
        <w:t>该理财产品登记编码在中国理财网（</w:t>
      </w:r>
      <w:r>
        <w:rPr>
          <w:rFonts w:hint="eastAsia" w:ascii="黑体" w:hAnsi="黑体" w:eastAsia="黑体" w:cs="宋体"/>
          <w:color w:val="000000"/>
          <w:kern w:val="0"/>
          <w:szCs w:val="21"/>
        </w:rPr>
        <w:t>www.chinawealth.com.cn</w:t>
      </w:r>
      <w:r>
        <w:rPr>
          <w:rFonts w:ascii="黑体" w:hAnsi="黑体" w:eastAsia="黑体" w:cs="宋体"/>
          <w:color w:val="000000"/>
          <w:kern w:val="0"/>
          <w:szCs w:val="21"/>
        </w:rPr>
        <w:t>）</w:t>
      </w:r>
      <w:r>
        <w:rPr>
          <w:rFonts w:hint="eastAsia" w:ascii="黑体" w:hAnsi="黑体" w:eastAsia="黑体" w:cs="宋体"/>
          <w:color w:val="000000"/>
          <w:kern w:val="0"/>
          <w:szCs w:val="21"/>
        </w:rPr>
        <w:t>上查询</w:t>
      </w:r>
      <w:r>
        <w:rPr>
          <w:rFonts w:ascii="黑体" w:hAnsi="黑体" w:eastAsia="黑体" w:cs="宋体"/>
          <w:color w:val="000000"/>
          <w:kern w:val="0"/>
          <w:szCs w:val="21"/>
        </w:rPr>
        <w:t>本产品相关信息。</w:t>
      </w:r>
    </w:p>
    <w:p>
      <w:pPr>
        <w:widowControl/>
        <w:spacing w:line="300" w:lineRule="exact"/>
        <w:rPr>
          <w:rFonts w:ascii="黑体" w:hAnsi="黑体" w:eastAsia="黑体" w:cs="宋体"/>
          <w:color w:val="000000"/>
          <w:kern w:val="0"/>
          <w:szCs w:val="21"/>
        </w:rPr>
      </w:pPr>
    </w:p>
    <w:p>
      <w:pPr>
        <w:widowControl/>
        <w:spacing w:line="300" w:lineRule="exact"/>
        <w:rPr>
          <w:rFonts w:ascii="宋体" w:hAnsi="宋体" w:eastAsia="宋体" w:cs="宋体"/>
          <w:b/>
          <w:color w:val="000000"/>
          <w:kern w:val="0"/>
          <w:sz w:val="28"/>
          <w:szCs w:val="28"/>
        </w:rPr>
      </w:pPr>
      <w:r>
        <w:rPr>
          <w:rFonts w:ascii="黑体" w:hAnsi="黑体" w:eastAsia="黑体" w:cs="宋体"/>
          <w:b/>
          <w:color w:val="000000"/>
          <w:kern w:val="0"/>
          <w:sz w:val="28"/>
          <w:szCs w:val="28"/>
        </w:rPr>
        <w:t>郑重</w:t>
      </w:r>
      <w:r>
        <w:rPr>
          <w:rFonts w:hint="eastAsia" w:ascii="黑体" w:hAnsi="黑体" w:eastAsia="黑体" w:cs="宋体"/>
          <w:b/>
          <w:color w:val="000000"/>
          <w:kern w:val="0"/>
          <w:sz w:val="28"/>
          <w:szCs w:val="28"/>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cs="宋体"/>
          <w:b/>
          <w:color w:val="000000"/>
          <w:kern w:val="0"/>
          <w:sz w:val="28"/>
          <w:szCs w:val="28"/>
        </w:rPr>
        <w:t>www.chinawealth.com.cn）上查询到产品相关信息，</w:t>
      </w:r>
      <w:r>
        <w:rPr>
          <w:rFonts w:hint="eastAsia" w:ascii="黑体" w:hAnsi="黑体" w:eastAsia="黑体" w:cs="宋体"/>
          <w:b/>
          <w:color w:val="000000"/>
          <w:kern w:val="0"/>
          <w:sz w:val="28"/>
          <w:szCs w:val="28"/>
        </w:rPr>
        <w:t>则该</w:t>
      </w:r>
      <w:r>
        <w:rPr>
          <w:rFonts w:ascii="黑体" w:hAnsi="黑体" w:eastAsia="黑体" w:cs="宋体"/>
          <w:b/>
          <w:color w:val="000000"/>
          <w:kern w:val="0"/>
          <w:sz w:val="28"/>
          <w:szCs w:val="28"/>
        </w:rPr>
        <w:t>产品非</w:t>
      </w:r>
      <w:r>
        <w:rPr>
          <w:rFonts w:hint="eastAsia" w:ascii="黑体" w:hAnsi="黑体" w:eastAsia="黑体" w:cs="宋体"/>
          <w:b/>
          <w:color w:val="000000"/>
          <w:kern w:val="0"/>
          <w:sz w:val="28"/>
          <w:szCs w:val="28"/>
        </w:rPr>
        <w:t>信银</w:t>
      </w:r>
      <w:r>
        <w:rPr>
          <w:rFonts w:ascii="黑体" w:hAnsi="黑体" w:eastAsia="黑体" w:cs="宋体"/>
          <w:b/>
          <w:color w:val="000000"/>
          <w:kern w:val="0"/>
          <w:sz w:val="28"/>
          <w:szCs w:val="28"/>
        </w:rPr>
        <w:t>理财发行产品。</w:t>
      </w: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center"/>
        <w:rPr>
          <w:rFonts w:ascii="黑体" w:hAnsi="宋体" w:eastAsia="黑体" w:cs="黑体"/>
          <w:b/>
          <w:bCs/>
          <w:color w:val="000000"/>
          <w:kern w:val="0"/>
          <w:sz w:val="24"/>
          <w:szCs w:val="24"/>
        </w:rPr>
      </w:pPr>
      <w:bookmarkStart w:id="0" w:name="_GoBack"/>
      <w:r>
        <w:rPr>
          <w:rFonts w:hint="eastAsia" w:ascii="黑体" w:hAnsi="宋体" w:eastAsia="黑体" w:cs="黑体"/>
          <w:b/>
          <w:bCs/>
          <w:color w:val="000000"/>
          <w:kern w:val="0"/>
          <w:sz w:val="24"/>
          <w:szCs w:val="24"/>
        </w:rPr>
        <w:t>信银理财理财产品说明书</w:t>
      </w:r>
      <w:bookmarkEnd w:id="0"/>
    </w:p>
    <w:p>
      <w:pPr>
        <w:spacing w:line="300" w:lineRule="exact"/>
        <w:ind w:right="-693" w:rightChars="-330"/>
        <w:jc w:val="center"/>
        <w:rPr>
          <w:rFonts w:ascii="黑体" w:hAnsi="Calibri" w:eastAsia="黑体" w:cs="黑体"/>
          <w:b/>
          <w:bCs/>
          <w:color w:val="000000"/>
          <w:kern w:val="0"/>
          <w:sz w:val="20"/>
          <w:szCs w:val="20"/>
        </w:rPr>
      </w:pPr>
      <w:r>
        <w:rPr>
          <w:rFonts w:hint="eastAsia" w:ascii="黑体" w:hAnsi="Times New Roman" w:eastAsia="黑体" w:cs="黑体"/>
          <w:b/>
          <w:bCs/>
          <w:color w:val="000000"/>
          <w:kern w:val="0"/>
          <w:sz w:val="20"/>
          <w:szCs w:val="20"/>
        </w:rPr>
        <w:t>（</w:t>
      </w:r>
      <w:r>
        <w:rPr>
          <w:rFonts w:hint="eastAsia" w:ascii="黑体" w:hAnsi="Calibri" w:eastAsia="黑体" w:cs="黑体"/>
          <w:b/>
          <w:bCs/>
          <w:color w:val="000000"/>
          <w:kern w:val="0"/>
          <w:sz w:val="20"/>
          <w:szCs w:val="20"/>
        </w:rPr>
        <w:t>产品</w:t>
      </w:r>
      <w:r>
        <w:rPr>
          <w:rFonts w:hint="eastAsia" w:ascii="黑体" w:hAnsi="Times New Roman" w:eastAsia="黑体" w:cs="黑体"/>
          <w:b/>
          <w:bCs/>
          <w:color w:val="000000"/>
          <w:kern w:val="0"/>
          <w:sz w:val="20"/>
          <w:szCs w:val="20"/>
        </w:rPr>
        <w:t>名称：</w:t>
      </w:r>
      <w:r>
        <w:rPr>
          <w:rFonts w:hint="eastAsia" w:ascii="黑体" w:hAnsi="Calibri" w:eastAsia="黑体" w:cs="黑体"/>
          <w:b/>
          <w:bCs/>
          <w:color w:val="000000"/>
          <w:kern w:val="0"/>
          <w:sz w:val="20"/>
          <w:szCs w:val="20"/>
        </w:rPr>
        <w:t>【</w:t>
      </w:r>
      <w:r>
        <w:rPr>
          <w:rFonts w:hint="eastAsia" w:ascii="黑体" w:hAnsi="Calibri" w:eastAsia="黑体" w:cs="黑体"/>
          <w:b/>
          <w:bCs/>
          <w:kern w:val="0"/>
          <w:sz w:val="20"/>
          <w:szCs w:val="20"/>
        </w:rPr>
        <w:t>信银理财安盈象固收稳健丰收九个月封闭式11号理财产品</w:t>
      </w:r>
      <w:r>
        <w:rPr>
          <w:rFonts w:hint="eastAsia" w:ascii="黑体" w:hAnsi="Calibri" w:eastAsia="黑体" w:cs="黑体"/>
          <w:b/>
          <w:bCs/>
          <w:color w:val="000000"/>
          <w:kern w:val="0"/>
          <w:sz w:val="20"/>
          <w:szCs w:val="20"/>
        </w:rPr>
        <w:t xml:space="preserve">】  </w:t>
      </w:r>
    </w:p>
    <w:p>
      <w:pPr>
        <w:spacing w:line="300" w:lineRule="exact"/>
        <w:ind w:right="-693" w:rightChars="-330"/>
        <w:jc w:val="center"/>
        <w:rPr>
          <w:rFonts w:ascii="黑体" w:hAnsi="Times New Roman" w:eastAsia="黑体" w:cs="黑体"/>
          <w:b/>
          <w:bCs/>
          <w:color w:val="000000"/>
          <w:kern w:val="0"/>
          <w:sz w:val="20"/>
          <w:szCs w:val="20"/>
        </w:rPr>
      </w:pPr>
      <w:r>
        <w:rPr>
          <w:rFonts w:hint="eastAsia" w:ascii="黑体" w:hAnsi="Calibri" w:eastAsia="黑体" w:cs="黑体"/>
          <w:b/>
          <w:bCs/>
          <w:color w:val="000000"/>
          <w:kern w:val="0"/>
          <w:sz w:val="20"/>
          <w:szCs w:val="20"/>
        </w:rPr>
        <w:t>产品代码</w:t>
      </w:r>
      <w:r>
        <w:rPr>
          <w:rFonts w:ascii="黑体" w:hAnsi="Calibri" w:eastAsia="黑体" w:cs="黑体"/>
          <w:b/>
          <w:bCs/>
          <w:color w:val="000000"/>
          <w:kern w:val="0"/>
          <w:sz w:val="20"/>
          <w:szCs w:val="20"/>
        </w:rPr>
        <w:t>：【</w:t>
      </w:r>
      <w:r>
        <w:rPr>
          <w:rFonts w:ascii="黑体" w:hAnsi="Calibri" w:eastAsia="黑体" w:cs="黑体"/>
          <w:b/>
          <w:bCs/>
          <w:kern w:val="0"/>
          <w:sz w:val="20"/>
          <w:szCs w:val="20"/>
        </w:rPr>
        <w:t>AF234105</w:t>
      </w:r>
      <w:r>
        <w:rPr>
          <w:rFonts w:ascii="黑体" w:hAnsi="Calibri" w:eastAsia="黑体" w:cs="黑体"/>
          <w:b/>
          <w:bCs/>
          <w:color w:val="000000"/>
          <w:kern w:val="0"/>
          <w:sz w:val="20"/>
          <w:szCs w:val="20"/>
        </w:rPr>
        <w:t>】</w:t>
      </w:r>
      <w:r>
        <w:rPr>
          <w:rFonts w:hint="eastAsia" w:ascii="黑体" w:hAnsi="Times New Roman" w:eastAsia="黑体" w:cs="黑体"/>
          <w:b/>
          <w:bCs/>
          <w:color w:val="000000"/>
          <w:kern w:val="0"/>
          <w:sz w:val="20"/>
          <w:szCs w:val="20"/>
        </w:rPr>
        <w:t>）</w:t>
      </w:r>
    </w:p>
    <w:p>
      <w:pPr>
        <w:widowControl/>
        <w:spacing w:line="300" w:lineRule="exact"/>
        <w:ind w:right="-693" w:rightChars="-330"/>
        <w:jc w:val="left"/>
        <w:rPr>
          <w:rFonts w:ascii="宋体" w:hAnsi="宋体" w:eastAsia="宋体" w:cs="宋体"/>
          <w:color w:val="000000"/>
          <w:kern w:val="0"/>
          <w:sz w:val="24"/>
          <w:szCs w:val="24"/>
        </w:rPr>
      </w:pPr>
    </w:p>
    <w:p>
      <w:pPr>
        <w:widowControl/>
        <w:spacing w:line="300" w:lineRule="exact"/>
        <w:ind w:right="-693" w:rightChars="-330"/>
        <w:jc w:val="left"/>
        <w:rPr>
          <w:rFonts w:ascii="宋体" w:hAnsi="宋体" w:eastAsia="宋体" w:cs="宋体"/>
          <w:color w:val="000000"/>
          <w:kern w:val="0"/>
          <w:sz w:val="24"/>
          <w:szCs w:val="24"/>
        </w:rPr>
      </w:pPr>
      <w:r>
        <w:rPr>
          <w:rFonts w:hint="eastAsia" w:ascii="黑体" w:hAnsi="Times New Roman" w:eastAsia="黑体" w:cs="黑体"/>
          <w:b/>
          <w:bCs/>
          <w:color w:val="000000"/>
          <w:kern w:val="0"/>
          <w:sz w:val="20"/>
          <w:szCs w:val="20"/>
        </w:rPr>
        <w:t>重要须知</w:t>
      </w:r>
      <w:r>
        <w:rPr>
          <w:rFonts w:hint="eastAsia" w:ascii="黑体" w:hAnsi="Times New Roman" w:eastAsia="黑体" w:cs="黑体"/>
          <w:color w:val="000000"/>
          <w:kern w:val="0"/>
          <w:sz w:val="20"/>
          <w:szCs w:val="20"/>
        </w:rPr>
        <w:t>：</w:t>
      </w:r>
    </w:p>
    <w:p>
      <w:pPr>
        <w:widowControl/>
        <w:snapToGrid w:val="0"/>
        <w:ind w:firstLine="400" w:firstLineChars="200"/>
        <w:rPr>
          <w:rFonts w:ascii="黑体" w:hAnsi="Times New Roman" w:eastAsia="黑体" w:cs="黑体"/>
          <w:color w:val="000000"/>
          <w:kern w:val="0"/>
          <w:sz w:val="20"/>
          <w:szCs w:val="20"/>
        </w:rPr>
      </w:pPr>
      <w:r>
        <w:rPr>
          <w:rFonts w:ascii="黑体" w:hAnsi="Times New Roman" w:eastAsia="黑体" w:cs="黑体"/>
          <w:color w:val="000000"/>
          <w:kern w:val="0"/>
          <w:sz w:val="20"/>
          <w:szCs w:val="20"/>
        </w:rPr>
        <w:t>1</w:t>
      </w:r>
      <w:r>
        <w:rPr>
          <w:rFonts w:hint="eastAsia" w:ascii="黑体" w:hAnsi="Times New Roman" w:eastAsia="黑体" w:cs="黑体"/>
          <w:color w:val="000000"/>
          <w:kern w:val="0"/>
          <w:sz w:val="20"/>
          <w:szCs w:val="20"/>
        </w:rPr>
        <w:t>．</w:t>
      </w:r>
      <w:r>
        <w:rPr>
          <w:rFonts w:ascii="黑体" w:hAnsi="Times New Roman" w:eastAsia="黑体" w:cs="黑体"/>
          <w:color w:val="000000"/>
          <w:kern w:val="0"/>
          <w:sz w:val="20"/>
          <w:szCs w:val="20"/>
        </w:rPr>
        <w:t>本</w:t>
      </w:r>
      <w:r>
        <w:rPr>
          <w:rFonts w:hint="eastAsia" w:ascii="黑体" w:hAnsi="Times New Roman" w:eastAsia="黑体" w:cs="黑体"/>
          <w:color w:val="000000"/>
          <w:kern w:val="0"/>
          <w:sz w:val="20"/>
          <w:szCs w:val="20"/>
        </w:rPr>
        <w:t>理财产品的《信银理财理财</w:t>
      </w:r>
      <w:r>
        <w:rPr>
          <w:rFonts w:ascii="黑体" w:hAnsi="Times New Roman" w:eastAsia="黑体" w:cs="黑体"/>
          <w:color w:val="000000"/>
          <w:kern w:val="0"/>
          <w:sz w:val="20"/>
          <w:szCs w:val="20"/>
        </w:rPr>
        <w:t>产品说明书</w:t>
      </w:r>
      <w:r>
        <w:rPr>
          <w:rFonts w:hint="eastAsia" w:ascii="黑体" w:hAnsi="Times New Roman" w:eastAsia="黑体" w:cs="黑体"/>
          <w:color w:val="000000"/>
          <w:kern w:val="0"/>
          <w:sz w:val="20"/>
          <w:szCs w:val="20"/>
        </w:rPr>
        <w:t>》、</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信银</w:t>
      </w:r>
      <w:r>
        <w:rPr>
          <w:rFonts w:ascii="黑体" w:hAnsi="Times New Roman" w:eastAsia="黑体" w:cs="黑体"/>
          <w:color w:val="000000"/>
          <w:kern w:val="0"/>
          <w:sz w:val="20"/>
          <w:szCs w:val="20"/>
        </w:rPr>
        <w:t>理财理财产品风险揭示书》</w:t>
      </w:r>
      <w:r>
        <w:rPr>
          <w:rFonts w:hint="eastAsia" w:ascii="黑体" w:hAnsi="Times New Roman" w:eastAsia="黑体" w:cs="黑体"/>
          <w:color w:val="000000"/>
          <w:kern w:val="0"/>
          <w:sz w:val="20"/>
          <w:szCs w:val="20"/>
        </w:rPr>
        <w:t>、《信银理财理财产品投资协议书》</w:t>
      </w:r>
      <w:r>
        <w:rPr>
          <w:rFonts w:ascii="黑体" w:hAnsi="Times New Roman" w:eastAsia="黑体" w:cs="黑体"/>
          <w:color w:val="000000"/>
          <w:kern w:val="0"/>
          <w:sz w:val="20"/>
          <w:szCs w:val="20"/>
        </w:rPr>
        <w:t>与《信银理财理财产品销售总协议》（含附件：客户权益须知专页）（或合作销售机构向投资者提供的理财产品销售协议文本）</w:t>
      </w:r>
      <w:r>
        <w:rPr>
          <w:rFonts w:hint="eastAsia" w:ascii="黑体" w:hAnsi="Times New Roman" w:eastAsia="黑体" w:cs="黑体"/>
          <w:color w:val="000000"/>
          <w:kern w:val="0"/>
          <w:sz w:val="20"/>
          <w:szCs w:val="20"/>
        </w:rPr>
        <w:t>等文件及其不时有效修订与补充</w:t>
      </w:r>
      <w:r>
        <w:rPr>
          <w:rFonts w:ascii="黑体" w:hAnsi="Times New Roman" w:eastAsia="黑体" w:cs="黑体"/>
          <w:color w:val="000000"/>
          <w:kern w:val="0"/>
          <w:sz w:val="20"/>
          <w:szCs w:val="20"/>
        </w:rPr>
        <w:t>共同构成</w:t>
      </w:r>
      <w:r>
        <w:rPr>
          <w:rFonts w:hint="eastAsia" w:ascii="黑体" w:hAnsi="Times New Roman" w:eastAsia="黑体" w:cs="黑体"/>
          <w:color w:val="000000"/>
          <w:kern w:val="0"/>
          <w:sz w:val="20"/>
          <w:szCs w:val="20"/>
        </w:rPr>
        <w:t>理财产品销售文件</w:t>
      </w:r>
      <w:r>
        <w:rPr>
          <w:rFonts w:ascii="黑体" w:hAnsi="Times New Roman" w:eastAsia="黑体" w:cs="黑体"/>
          <w:color w:val="000000"/>
          <w:kern w:val="0"/>
          <w:sz w:val="20"/>
          <w:szCs w:val="20"/>
        </w:rPr>
        <w:t>。</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2</w:t>
      </w:r>
      <w:r>
        <w:rPr>
          <w:rFonts w:hint="eastAsia" w:ascii="黑体" w:hAnsi="Times New Roman" w:eastAsia="黑体" w:cs="黑体"/>
          <w:color w:val="000000"/>
          <w:kern w:val="0"/>
          <w:sz w:val="20"/>
          <w:szCs w:val="20"/>
        </w:rPr>
        <w:t>．本理财产品不等同于银行存款。</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3</w:t>
      </w:r>
      <w:r>
        <w:rPr>
          <w:rFonts w:hint="eastAsia" w:ascii="黑体" w:hAnsi="Times New Roman" w:eastAsia="黑体" w:cs="黑体"/>
          <w:color w:val="000000"/>
          <w:kern w:val="0"/>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color w:val="000000"/>
          <w:kern w:val="0"/>
          <w:sz w:val="20"/>
          <w:szCs w:val="20"/>
        </w:rPr>
        <w:t>机构</w:t>
      </w:r>
      <w:r>
        <w:rPr>
          <w:rFonts w:hint="eastAsia" w:ascii="黑体" w:hAnsi="Times New Roman" w:eastAsia="黑体" w:cs="黑体"/>
          <w:color w:val="000000"/>
          <w:kern w:val="0"/>
          <w:sz w:val="20"/>
          <w:szCs w:val="20"/>
        </w:rPr>
        <w:t>各营业场所或营业</w:t>
      </w:r>
      <w:r>
        <w:rPr>
          <w:rFonts w:ascii="黑体" w:hAnsi="Times New Roman" w:eastAsia="黑体" w:cs="黑体"/>
          <w:color w:val="000000"/>
          <w:kern w:val="0"/>
          <w:sz w:val="20"/>
          <w:szCs w:val="20"/>
        </w:rPr>
        <w:t>网点</w:t>
      </w:r>
      <w:r>
        <w:rPr>
          <w:rFonts w:hint="eastAsia" w:ascii="黑体" w:hAnsi="Times New Roman" w:eastAsia="黑体" w:cs="黑体"/>
          <w:color w:val="000000"/>
          <w:kern w:val="0"/>
          <w:sz w:val="20"/>
          <w:szCs w:val="20"/>
        </w:rPr>
        <w:t>咨询。</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4</w:t>
      </w:r>
      <w:r>
        <w:rPr>
          <w:rFonts w:hint="eastAsia" w:ascii="黑体" w:hAnsi="Times New Roman" w:eastAsia="黑体" w:cs="黑体"/>
          <w:color w:val="000000"/>
          <w:kern w:val="0"/>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widowControl/>
        <w:snapToGrid w:val="0"/>
        <w:ind w:firstLine="402" w:firstLineChars="200"/>
        <w:rPr>
          <w:rFonts w:ascii="宋体" w:hAnsi="宋体" w:eastAsia="宋体" w:cs="宋体"/>
          <w:b/>
          <w:color w:val="000000"/>
          <w:kern w:val="0"/>
          <w:sz w:val="24"/>
          <w:szCs w:val="24"/>
        </w:rPr>
      </w:pPr>
      <w:r>
        <w:rPr>
          <w:rFonts w:ascii="黑体" w:hAnsi="Times New Roman" w:eastAsia="黑体" w:cs="黑体"/>
          <w:b/>
          <w:color w:val="000000"/>
          <w:kern w:val="0"/>
          <w:sz w:val="20"/>
          <w:szCs w:val="20"/>
        </w:rPr>
        <w:t>5</w:t>
      </w:r>
      <w:r>
        <w:rPr>
          <w:rFonts w:hint="eastAsia" w:ascii="黑体" w:hAnsi="Times New Roman" w:eastAsia="黑体" w:cs="黑体"/>
          <w:b/>
          <w:color w:val="000000"/>
          <w:kern w:val="0"/>
          <w:sz w:val="20"/>
          <w:szCs w:val="20"/>
        </w:rPr>
        <w:t>．本理财产品不保障理财本金和收益，投资者所能获得的最终收益以理财产品最终清算的投资者可得收益为准。产品过往业绩不代表其未来表现，不构成新发理财产品业绩表现的保证。</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宋体"/>
          <w:color w:val="000000"/>
          <w:kern w:val="0"/>
          <w:sz w:val="20"/>
          <w:szCs w:val="20"/>
        </w:rPr>
        <w:t> </w:t>
      </w:r>
    </w:p>
    <w:p>
      <w:pPr>
        <w:widowControl/>
        <w:snapToGrid w:val="0"/>
        <w:rPr>
          <w:rFonts w:ascii="宋体" w:hAnsi="宋体" w:eastAsia="宋体" w:cs="宋体"/>
          <w:b/>
          <w:color w:val="000000"/>
          <w:kern w:val="0"/>
          <w:sz w:val="24"/>
          <w:szCs w:val="24"/>
        </w:rPr>
      </w:pPr>
      <w:r>
        <w:rPr>
          <w:rFonts w:hint="eastAsia" w:ascii="黑体" w:hAnsi="Times New Roman" w:eastAsia="黑体" w:cs="黑体"/>
          <w:b/>
          <w:bCs/>
          <w:color w:val="000000"/>
          <w:kern w:val="0"/>
          <w:sz w:val="20"/>
          <w:szCs w:val="20"/>
        </w:rPr>
        <w:t>风险提示：</w:t>
      </w:r>
    </w:p>
    <w:p>
      <w:pPr>
        <w:widowControl/>
        <w:snapToGrid w:val="0"/>
        <w:ind w:firstLine="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本产品不保证本金和收益，投资者的本金有可能蒙受损失，极端情况下，可能全部或部分受损。投资者应充分认识投资风险，谨慎投资。具体风险如下：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3．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国务院银行业监督管理机构规定的其他措施。</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4．提前终止风险：如发生提前终止条款约定情形，可能导致本产品提前终止。</w:t>
      </w:r>
      <w:r>
        <w:rPr>
          <w:rFonts w:hint="eastAsia" w:ascii="黑体" w:hAnsi="宋体" w:eastAsia="黑体" w:cs="宋体"/>
          <w:b/>
          <w:color w:val="000000"/>
          <w:kern w:val="0"/>
          <w:sz w:val="20"/>
          <w:szCs w:val="20"/>
        </w:rPr>
        <w:t>如本理财产品提前终止，则投资者实际理财投资期可能小于预定期限。</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6．</w:t>
      </w:r>
      <w:r>
        <w:rPr>
          <w:rFonts w:hint="eastAsia" w:ascii="黑体" w:hAnsi="Times New Roman" w:eastAsia="黑体" w:cs="宋体"/>
          <w:b/>
          <w:color w:val="000000"/>
          <w:kern w:val="0"/>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hAnsi="宋体" w:eastAsia="黑体" w:cs="宋体"/>
          <w:b/>
          <w:color w:val="000000"/>
          <w:kern w:val="0"/>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的有效联系方式变更的，应及时通知信银理财或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。如投资者未及时告知信银理财或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联系方式变更的，或因投资者其他原因导致信银理财或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在其需联系时无法及时联系上投资者，可能会由此影响投资者的投资决策，由此而产生的责任和风险由投资者自行承担。</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7．管理风险：由于产品管理人、所投资资管产品的受托人/管理人、投资顾问等受经验、技能等因素的限制，可能会影响本理财产品的管理，导致本产品项下的理财收益降低。</w:t>
      </w:r>
    </w:p>
    <w:p>
      <w:pPr>
        <w:widowControl/>
        <w:snapToGrid w:val="0"/>
        <w:ind w:firstLine="402" w:firstLineChars="200"/>
        <w:rPr>
          <w:rFonts w:ascii="黑体" w:hAnsi="宋体" w:eastAsia="黑体" w:cs="宋体"/>
          <w:b/>
          <w:color w:val="000000"/>
          <w:kern w:val="0"/>
          <w:sz w:val="20"/>
          <w:szCs w:val="20"/>
        </w:rPr>
      </w:pPr>
      <w:r>
        <w:rPr>
          <w:rFonts w:hint="eastAsia" w:ascii="黑体" w:hAnsi="Times New Roman" w:eastAsia="黑体" w:cs="黑体"/>
          <w:b/>
          <w:color w:val="000000"/>
          <w:kern w:val="0"/>
          <w:sz w:val="20"/>
          <w:szCs w:val="20"/>
        </w:rPr>
        <w:t>8．延期清算风险：</w:t>
      </w:r>
      <w:r>
        <w:rPr>
          <w:rFonts w:hint="eastAsia" w:ascii="黑体" w:hAnsi="宋体" w:eastAsia="黑体" w:cs="宋体"/>
          <w:b/>
          <w:color w:val="000000"/>
          <w:kern w:val="0"/>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widowControl/>
        <w:snapToGrid w:val="0"/>
        <w:ind w:firstLine="402" w:firstLineChars="200"/>
        <w:rPr>
          <w:rFonts w:ascii="黑体" w:hAnsi="Times New Roman" w:eastAsia="黑体" w:cs="黑体"/>
          <w:b/>
          <w:color w:val="000000"/>
          <w:kern w:val="0"/>
          <w:sz w:val="20"/>
          <w:szCs w:val="20"/>
        </w:rPr>
      </w:pPr>
      <w:r>
        <w:rPr>
          <w:rFonts w:ascii="黑体" w:hAnsi="宋体" w:eastAsia="黑体" w:cs="宋体"/>
          <w:b/>
          <w:color w:val="000000"/>
          <w:kern w:val="0"/>
          <w:sz w:val="20"/>
          <w:szCs w:val="20"/>
        </w:rPr>
        <w:t>9</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理财产品不成立风险：如发生理财产品不成立条款约定之情形，信银理财有权通知</w:t>
      </w:r>
      <w:r>
        <w:rPr>
          <w:rFonts w:hint="eastAsia" w:ascii="黑体" w:hAnsi="宋体" w:eastAsia="黑体" w:cs="宋体"/>
          <w:b/>
          <w:color w:val="000000"/>
          <w:kern w:val="0"/>
          <w:sz w:val="20"/>
          <w:szCs w:val="20"/>
        </w:rPr>
        <w:t>（或</w:t>
      </w:r>
      <w:r>
        <w:rPr>
          <w:rFonts w:ascii="黑体" w:hAnsi="宋体" w:eastAsia="黑体" w:cs="宋体"/>
          <w:b/>
          <w:color w:val="000000"/>
          <w:kern w:val="0"/>
          <w:sz w:val="20"/>
          <w:szCs w:val="20"/>
        </w:rPr>
        <w:t>通过代销机构通知）投资者产品不成立。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10．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12</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合作销售机构</w:t>
      </w:r>
      <w:r>
        <w:rPr>
          <w:rFonts w:hint="eastAsia" w:ascii="黑体" w:hAnsi="宋体" w:eastAsia="黑体" w:cs="宋体"/>
          <w:b/>
          <w:color w:val="000000"/>
          <w:kern w:val="0"/>
          <w:sz w:val="20"/>
          <w:szCs w:val="20"/>
        </w:rPr>
        <w:t>（代销</w:t>
      </w:r>
      <w:r>
        <w:rPr>
          <w:rFonts w:ascii="黑体" w:hAnsi="宋体" w:eastAsia="黑体" w:cs="宋体"/>
          <w:b/>
          <w:color w:val="000000"/>
          <w:kern w:val="0"/>
          <w:sz w:val="20"/>
          <w:szCs w:val="20"/>
        </w:rPr>
        <w:t>机构）风险：投资者</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合作销售机构购买本理财产品</w:t>
      </w:r>
      <w:r>
        <w:rPr>
          <w:rFonts w:hint="eastAsia" w:ascii="黑体" w:hAnsi="宋体" w:eastAsia="黑体" w:cs="宋体"/>
          <w:b/>
          <w:color w:val="000000"/>
          <w:kern w:val="0"/>
          <w:sz w:val="20"/>
          <w:szCs w:val="20"/>
        </w:rPr>
        <w:t>的</w:t>
      </w:r>
      <w:r>
        <w:rPr>
          <w:rFonts w:ascii="黑体" w:hAnsi="宋体" w:eastAsia="黑体" w:cs="宋体"/>
          <w:b/>
          <w:color w:val="000000"/>
          <w:kern w:val="0"/>
          <w:sz w:val="20"/>
          <w:szCs w:val="20"/>
        </w:rPr>
        <w:t>，资金清算将通过合作销售机构进行</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如因合作销售机构</w:t>
      </w:r>
      <w:r>
        <w:rPr>
          <w:rFonts w:hint="eastAsia" w:ascii="黑体" w:hAnsi="宋体" w:eastAsia="黑体" w:cs="宋体"/>
          <w:b/>
          <w:color w:val="000000"/>
          <w:kern w:val="0"/>
          <w:sz w:val="20"/>
          <w:szCs w:val="20"/>
        </w:rPr>
        <w:t>资金清算</w:t>
      </w:r>
      <w:r>
        <w:rPr>
          <w:rFonts w:ascii="黑体" w:hAnsi="宋体" w:eastAsia="黑体" w:cs="宋体"/>
          <w:b/>
          <w:color w:val="000000"/>
          <w:kern w:val="0"/>
          <w:sz w:val="20"/>
          <w:szCs w:val="20"/>
        </w:rPr>
        <w:t>账户余额不足或合作销售机构未及时办理资金清算或违背相关合作协议约定、处理事务不当等，可能导致</w:t>
      </w:r>
      <w:r>
        <w:rPr>
          <w:rFonts w:hint="eastAsia" w:ascii="黑体" w:hAnsi="宋体" w:eastAsia="黑体" w:cs="宋体"/>
          <w:b/>
          <w:color w:val="000000"/>
          <w:kern w:val="0"/>
          <w:sz w:val="20"/>
          <w:szCs w:val="20"/>
        </w:rPr>
        <w:t>投资者</w:t>
      </w:r>
      <w:r>
        <w:rPr>
          <w:rFonts w:ascii="黑体" w:hAnsi="宋体" w:eastAsia="黑体" w:cs="宋体"/>
          <w:b/>
          <w:color w:val="000000"/>
          <w:kern w:val="0"/>
          <w:sz w:val="20"/>
          <w:szCs w:val="20"/>
        </w:rPr>
        <w:t>认购失败或</w:t>
      </w:r>
      <w:r>
        <w:rPr>
          <w:rFonts w:hint="eastAsia" w:ascii="黑体" w:hAnsi="宋体" w:eastAsia="黑体" w:cs="宋体"/>
          <w:b/>
          <w:color w:val="000000"/>
          <w:kern w:val="0"/>
          <w:sz w:val="20"/>
          <w:szCs w:val="20"/>
        </w:rPr>
        <w:t>理财</w:t>
      </w:r>
      <w:r>
        <w:rPr>
          <w:rFonts w:ascii="黑体" w:hAnsi="宋体" w:eastAsia="黑体" w:cs="宋体"/>
          <w:b/>
          <w:color w:val="000000"/>
          <w:kern w:val="0"/>
          <w:sz w:val="20"/>
          <w:szCs w:val="20"/>
        </w:rPr>
        <w:t>资金遭受损失。</w:t>
      </w:r>
      <w:r>
        <w:rPr>
          <w:rFonts w:hint="eastAsia" w:ascii="黑体" w:hAnsi="宋体" w:eastAsia="黑体" w:cs="宋体"/>
          <w:b/>
          <w:color w:val="000000"/>
          <w:kern w:val="0"/>
          <w:sz w:val="20"/>
          <w:szCs w:val="20"/>
        </w:rPr>
        <w:t>在</w:t>
      </w:r>
      <w:r>
        <w:rPr>
          <w:rFonts w:ascii="黑体" w:hAnsi="宋体" w:eastAsia="黑体" w:cs="宋体"/>
          <w:b/>
          <w:color w:val="000000"/>
          <w:kern w:val="0"/>
          <w:sz w:val="20"/>
          <w:szCs w:val="20"/>
        </w:rPr>
        <w:t>认购时，如果投资者在合作销售机构的资金账户余额</w:t>
      </w:r>
      <w:r>
        <w:rPr>
          <w:rFonts w:hint="eastAsia" w:ascii="黑体" w:hAnsi="宋体" w:eastAsia="黑体" w:cs="宋体"/>
          <w:b/>
          <w:color w:val="000000"/>
          <w:kern w:val="0"/>
          <w:sz w:val="20"/>
          <w:szCs w:val="20"/>
        </w:rPr>
        <w:t>不足</w:t>
      </w:r>
      <w:r>
        <w:rPr>
          <w:rFonts w:ascii="黑体" w:hAnsi="宋体" w:eastAsia="黑体" w:cs="宋体"/>
          <w:b/>
          <w:color w:val="000000"/>
          <w:kern w:val="0"/>
          <w:sz w:val="20"/>
          <w:szCs w:val="20"/>
        </w:rPr>
        <w:t>，或合作销售机构</w:t>
      </w:r>
      <w:r>
        <w:rPr>
          <w:rFonts w:hint="eastAsia" w:ascii="黑体" w:hAnsi="宋体" w:eastAsia="黑体" w:cs="宋体"/>
          <w:b/>
          <w:color w:val="000000"/>
          <w:kern w:val="0"/>
          <w:sz w:val="20"/>
          <w:szCs w:val="20"/>
        </w:rPr>
        <w:t>未及时将投资者认购</w:t>
      </w:r>
      <w:r>
        <w:rPr>
          <w:rFonts w:ascii="黑体" w:hAnsi="宋体" w:eastAsia="黑体" w:cs="宋体"/>
          <w:b/>
          <w:color w:val="000000"/>
          <w:kern w:val="0"/>
          <w:sz w:val="20"/>
          <w:szCs w:val="20"/>
        </w:rPr>
        <w:t>资金划转至信银理财，将导致投资者无法完成认购，因此造成的损失信银理财不承担责任；在</w:t>
      </w:r>
      <w:r>
        <w:rPr>
          <w:rFonts w:hint="eastAsia" w:ascii="黑体" w:hAnsi="宋体" w:eastAsia="黑体" w:cs="宋体"/>
          <w:b/>
          <w:color w:val="000000"/>
          <w:kern w:val="0"/>
          <w:sz w:val="20"/>
          <w:szCs w:val="20"/>
        </w:rPr>
        <w:t>赎回和</w:t>
      </w:r>
      <w:r>
        <w:rPr>
          <w:rFonts w:ascii="黑体" w:hAnsi="宋体" w:eastAsia="黑体" w:cs="宋体"/>
          <w:b/>
          <w:color w:val="000000"/>
          <w:kern w:val="0"/>
          <w:sz w:val="20"/>
          <w:szCs w:val="20"/>
        </w:rPr>
        <w:t>到期时，信银理财将投资者应得资金划转至合作</w:t>
      </w:r>
      <w:r>
        <w:rPr>
          <w:rFonts w:hint="eastAsia" w:ascii="黑体" w:hAnsi="宋体" w:eastAsia="黑体" w:cs="宋体"/>
          <w:b/>
          <w:color w:val="000000"/>
          <w:kern w:val="0"/>
          <w:sz w:val="20"/>
          <w:szCs w:val="20"/>
        </w:rPr>
        <w:t>销售</w:t>
      </w:r>
      <w:r>
        <w:rPr>
          <w:rFonts w:ascii="黑体" w:hAnsi="宋体" w:eastAsia="黑体" w:cs="宋体"/>
          <w:b/>
          <w:color w:val="000000"/>
          <w:kern w:val="0"/>
          <w:sz w:val="20"/>
          <w:szCs w:val="20"/>
        </w:rPr>
        <w:t>机构</w:t>
      </w:r>
      <w:r>
        <w:rPr>
          <w:rFonts w:hint="eastAsia" w:ascii="黑体" w:hAnsi="宋体" w:eastAsia="黑体" w:cs="宋体"/>
          <w:b/>
          <w:color w:val="000000"/>
          <w:kern w:val="0"/>
          <w:sz w:val="20"/>
          <w:szCs w:val="20"/>
        </w:rPr>
        <w:t>指定账户</w:t>
      </w:r>
      <w:r>
        <w:rPr>
          <w:rFonts w:ascii="黑体" w:hAnsi="宋体" w:eastAsia="黑体" w:cs="宋体"/>
          <w:b/>
          <w:color w:val="000000"/>
          <w:kern w:val="0"/>
          <w:sz w:val="20"/>
          <w:szCs w:val="20"/>
        </w:rPr>
        <w:t>后，由合作销售机构将相应应得资金划转至投资者账户</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若</w:t>
      </w:r>
      <w:r>
        <w:rPr>
          <w:rFonts w:hint="eastAsia" w:ascii="黑体" w:hAnsi="宋体" w:eastAsia="黑体" w:cs="宋体"/>
          <w:b/>
          <w:color w:val="000000"/>
          <w:kern w:val="0"/>
          <w:sz w:val="20"/>
          <w:szCs w:val="20"/>
        </w:rPr>
        <w:t>合作</w:t>
      </w:r>
      <w:r>
        <w:rPr>
          <w:rFonts w:ascii="黑体" w:hAnsi="宋体" w:eastAsia="黑体" w:cs="宋体"/>
          <w:b/>
          <w:color w:val="000000"/>
          <w:kern w:val="0"/>
          <w:sz w:val="20"/>
          <w:szCs w:val="20"/>
        </w:rPr>
        <w:t>销售机构未及时进行划付，因此造成的</w:t>
      </w:r>
      <w:r>
        <w:rPr>
          <w:rFonts w:hint="eastAsia" w:ascii="黑体" w:hAnsi="宋体" w:eastAsia="黑体" w:cs="宋体"/>
          <w:b/>
          <w:color w:val="000000"/>
          <w:kern w:val="0"/>
          <w:sz w:val="20"/>
          <w:szCs w:val="20"/>
        </w:rPr>
        <w:t>损失</w:t>
      </w:r>
      <w:r>
        <w:rPr>
          <w:rFonts w:ascii="黑体" w:hAnsi="宋体" w:eastAsia="黑体" w:cs="宋体"/>
          <w:b/>
          <w:color w:val="000000"/>
          <w:kern w:val="0"/>
          <w:sz w:val="20"/>
          <w:szCs w:val="20"/>
        </w:rPr>
        <w:t>信银理财不承担任何责任。</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13</w:t>
      </w:r>
      <w:r>
        <w:rPr>
          <w:rFonts w:hint="eastAsia" w:ascii="黑体" w:hAnsi="宋体" w:eastAsia="黑体" w:cs="宋体"/>
          <w:b/>
          <w:color w:val="000000"/>
          <w:kern w:val="0"/>
          <w:sz w:val="20"/>
          <w:szCs w:val="20"/>
        </w:rPr>
        <w:t>．操作风险：如本理财产品管理人、</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由于内部作业、人员管理、系统操作及事务处理不当或失误等，可能导致本理财产品的本金及收益遭受损失。</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14</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关联交易风险：</w:t>
      </w:r>
      <w:r>
        <w:rPr>
          <w:rFonts w:hint="eastAsia" w:ascii="黑体" w:hAnsi="宋体" w:eastAsia="黑体" w:cs="宋体"/>
          <w:b/>
          <w:color w:val="000000"/>
          <w:kern w:val="0"/>
          <w:sz w:val="20"/>
          <w:szCs w:val="20"/>
        </w:rPr>
        <w:t>在合法合规且履行应履行的内外部程序后，理财产品可能与管理人及其控股股东、实际控制人等发生关联交易。本</w:t>
      </w:r>
      <w:r>
        <w:rPr>
          <w:rFonts w:ascii="黑体" w:hAnsi="宋体" w:eastAsia="黑体" w:cs="宋体"/>
          <w:b/>
          <w:color w:val="000000"/>
          <w:kern w:val="0"/>
          <w:sz w:val="20"/>
          <w:szCs w:val="20"/>
        </w:rPr>
        <w:t>理财产品可能</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管理人的关联方</w:t>
      </w:r>
      <w:r>
        <w:rPr>
          <w:rFonts w:hint="eastAsia" w:ascii="黑体" w:hAnsi="宋体" w:eastAsia="黑体" w:cs="宋体"/>
          <w:b/>
          <w:color w:val="000000"/>
          <w:kern w:val="0"/>
          <w:sz w:val="20"/>
          <w:szCs w:val="20"/>
        </w:rPr>
        <w:t>进行</w:t>
      </w:r>
      <w:r>
        <w:rPr>
          <w:rFonts w:ascii="黑体" w:hAnsi="宋体" w:eastAsia="黑体" w:cs="宋体"/>
          <w:b/>
          <w:color w:val="000000"/>
          <w:kern w:val="0"/>
          <w:sz w:val="20"/>
          <w:szCs w:val="20"/>
        </w:rPr>
        <w:t>销售。</w:t>
      </w:r>
      <w:r>
        <w:rPr>
          <w:rFonts w:hint="eastAsia" w:ascii="黑体" w:hAnsi="宋体" w:eastAsia="黑体" w:cs="宋体"/>
          <w:b/>
          <w:color w:val="000000"/>
          <w:kern w:val="0"/>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widowControl/>
        <w:spacing w:line="300" w:lineRule="atLeast"/>
        <w:ind w:right="36"/>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hint="eastAsia" w:ascii="黑体" w:hAnsi="Times New Roman" w:eastAsia="黑体" w:cs="黑体"/>
          <w:b/>
          <w:bCs/>
          <w:color w:val="000000"/>
          <w:kern w:val="0"/>
          <w:sz w:val="20"/>
          <w:szCs w:val="20"/>
        </w:rPr>
        <w:t>释义与</w:t>
      </w:r>
      <w:r>
        <w:rPr>
          <w:rFonts w:ascii="黑体" w:hAnsi="Times New Roman" w:eastAsia="黑体" w:cs="黑体"/>
          <w:b/>
          <w:bCs/>
          <w:color w:val="000000"/>
          <w:kern w:val="0"/>
          <w:sz w:val="20"/>
          <w:szCs w:val="20"/>
        </w:rPr>
        <w:t>定义：</w:t>
      </w:r>
    </w:p>
    <w:p>
      <w:pPr>
        <w:widowControl/>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本产品说明书中，除非上下文另有明确约定，下列用词将具有如下含义：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1．信银理财有限责任公司（简称“信银理财”）：为中信银行股份有限公司经国务院银行业监督管理机构批准设立的主要从事理财业务的金融机构。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2．理财业务：指信银理财接受投资者委托，按照与投资者约定的投资策略、风险承担和收益分配方式，对受托的投资者财产进行投资和管理的金融服务。</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3．理财产品/产品：是指信银理财按照约定条件和实际投资收益情况向投资者支付收益、不保证本金支付和收益水平的非保本理财产品。根据募集方式、运作方式、投资性质的不同，理财产品分为多种类型。</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5．理财产品资产净值</w:t>
      </w:r>
      <w:r>
        <w:rPr>
          <w:rFonts w:ascii="黑体" w:hAnsi="黑体" w:eastAsia="黑体" w:cs="宋体"/>
          <w:color w:val="000000"/>
          <w:kern w:val="0"/>
          <w:sz w:val="20"/>
          <w:szCs w:val="20"/>
        </w:rPr>
        <w:t>/资产净值</w:t>
      </w:r>
      <w:r>
        <w:rPr>
          <w:rFonts w:hint="eastAsia" w:ascii="黑体" w:hAnsi="黑体" w:eastAsia="黑体" w:cs="宋体"/>
          <w:color w:val="000000"/>
          <w:kern w:val="0"/>
          <w:sz w:val="20"/>
          <w:szCs w:val="20"/>
        </w:rPr>
        <w:t>/净资产</w:t>
      </w:r>
      <w:r>
        <w:rPr>
          <w:rFonts w:ascii="黑体" w:hAnsi="黑体" w:eastAsia="黑体" w:cs="宋体"/>
          <w:color w:val="000000"/>
          <w:kern w:val="0"/>
          <w:sz w:val="20"/>
          <w:szCs w:val="20"/>
        </w:rPr>
        <w:t>：资产净值=产品资产总值-产品负</w:t>
      </w:r>
      <w:r>
        <w:rPr>
          <w:rFonts w:hint="eastAsia" w:ascii="黑体" w:hAnsi="黑体" w:eastAsia="黑体" w:cs="宋体"/>
          <w:color w:val="000000"/>
          <w:kern w:val="0"/>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6．</w:t>
      </w:r>
      <w:r>
        <w:rPr>
          <w:rFonts w:ascii="黑体" w:hAnsi="黑体" w:eastAsia="黑体" w:cs="宋体"/>
          <w:color w:val="000000"/>
          <w:kern w:val="0"/>
          <w:sz w:val="20"/>
          <w:szCs w:val="20"/>
        </w:rPr>
        <w:t>理财产品单位净值/单位净值/</w:t>
      </w:r>
      <w:r>
        <w:rPr>
          <w:rFonts w:hint="eastAsia" w:ascii="黑体" w:hAnsi="黑体" w:eastAsia="黑体" w:cs="宋体"/>
          <w:color w:val="000000"/>
          <w:kern w:val="0"/>
          <w:sz w:val="20"/>
          <w:szCs w:val="20"/>
        </w:rPr>
        <w:t>份额净值</w:t>
      </w:r>
      <w:r>
        <w:rPr>
          <w:rFonts w:ascii="黑体" w:hAnsi="黑体" w:eastAsia="黑体" w:cs="宋体"/>
          <w:color w:val="000000"/>
          <w:kern w:val="0"/>
          <w:sz w:val="20"/>
          <w:szCs w:val="20"/>
        </w:rPr>
        <w:t>：指理财产品份额的单位净值，即每1</w:t>
      </w:r>
      <w:r>
        <w:rPr>
          <w:rFonts w:hint="eastAsia" w:ascii="黑体" w:hAnsi="黑体" w:eastAsia="黑体" w:cs="宋体"/>
          <w:color w:val="000000"/>
          <w:kern w:val="0"/>
          <w:sz w:val="20"/>
          <w:szCs w:val="20"/>
        </w:rPr>
        <w:t>份理财产品份额以人民币计价的价格。理财产品单位净值</w:t>
      </w:r>
      <w:r>
        <w:rPr>
          <w:rFonts w:ascii="黑体" w:hAnsi="黑体" w:eastAsia="黑体" w:cs="宋体"/>
          <w:color w:val="000000"/>
          <w:kern w:val="0"/>
          <w:sz w:val="20"/>
          <w:szCs w:val="20"/>
        </w:rPr>
        <w:t>=当日理财产品资产净值/当日理财产品存续份额</w:t>
      </w:r>
      <w:r>
        <w:rPr>
          <w:rFonts w:hint="eastAsia"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7．理财</w:t>
      </w:r>
      <w:r>
        <w:rPr>
          <w:rFonts w:ascii="黑体" w:hAnsi="黑体" w:eastAsia="黑体" w:cs="宋体"/>
          <w:color w:val="000000"/>
          <w:kern w:val="0"/>
          <w:sz w:val="20"/>
          <w:szCs w:val="20"/>
        </w:rPr>
        <w:t>产品本金</w:t>
      </w:r>
      <w:r>
        <w:rPr>
          <w:rFonts w:hint="eastAsia" w:ascii="黑体" w:hAnsi="黑体" w:eastAsia="黑体" w:cs="宋体"/>
          <w:color w:val="000000"/>
          <w:kern w:val="0"/>
          <w:sz w:val="20"/>
          <w:szCs w:val="20"/>
        </w:rPr>
        <w:t>/投资本金/本金</w:t>
      </w:r>
      <w:r>
        <w:rPr>
          <w:rFonts w:ascii="黑体" w:hAnsi="黑体" w:eastAsia="黑体" w:cs="宋体"/>
          <w:color w:val="000000"/>
          <w:kern w:val="0"/>
          <w:sz w:val="20"/>
          <w:szCs w:val="20"/>
        </w:rPr>
        <w:t>：指投资者为认购理财</w:t>
      </w:r>
      <w:r>
        <w:rPr>
          <w:rFonts w:hint="eastAsia" w:ascii="黑体" w:hAnsi="黑体" w:eastAsia="黑体" w:cs="宋体"/>
          <w:color w:val="000000"/>
          <w:kern w:val="0"/>
          <w:sz w:val="20"/>
          <w:szCs w:val="20"/>
        </w:rPr>
        <w:t>产品</w:t>
      </w:r>
      <w:r>
        <w:rPr>
          <w:rFonts w:ascii="黑体" w:hAnsi="黑体" w:eastAsia="黑体" w:cs="宋体"/>
          <w:color w:val="000000"/>
          <w:kern w:val="0"/>
          <w:sz w:val="20"/>
          <w:szCs w:val="20"/>
        </w:rPr>
        <w:t>份额而向理财产品管理人交付的货币资金</w:t>
      </w:r>
      <w:r>
        <w:rPr>
          <w:rFonts w:hint="eastAsia" w:ascii="黑体" w:hAnsi="黑体" w:eastAsia="黑体" w:cs="宋体"/>
          <w:color w:val="000000"/>
          <w:kern w:val="0"/>
          <w:sz w:val="20"/>
          <w:szCs w:val="20"/>
        </w:rPr>
        <w:t>，扣除认购费后</w:t>
      </w:r>
      <w:r>
        <w:rPr>
          <w:rFonts w:ascii="黑体" w:hAnsi="黑体" w:eastAsia="黑体" w:cs="宋体"/>
          <w:color w:val="000000"/>
          <w:kern w:val="0"/>
          <w:sz w:val="20"/>
          <w:szCs w:val="20"/>
        </w:rPr>
        <w:t>即投资者的投资</w:t>
      </w:r>
      <w:r>
        <w:rPr>
          <w:rFonts w:hint="eastAsia" w:ascii="黑体" w:hAnsi="黑体" w:eastAsia="黑体" w:cs="宋体"/>
          <w:color w:val="000000"/>
          <w:kern w:val="0"/>
          <w:sz w:val="20"/>
          <w:szCs w:val="20"/>
        </w:rPr>
        <w:t>本金。</w:t>
      </w:r>
      <w:r>
        <w:rPr>
          <w:rFonts w:ascii="黑体" w:hAnsi="黑体" w:eastAsia="黑体" w:cs="宋体"/>
          <w:color w:val="000000"/>
          <w:kern w:val="0"/>
          <w:sz w:val="20"/>
          <w:szCs w:val="20"/>
        </w:rPr>
        <w:t>本金</w:t>
      </w:r>
      <w:r>
        <w:rPr>
          <w:rFonts w:hint="eastAsia" w:ascii="黑体" w:hAnsi="黑体" w:eastAsia="黑体" w:cs="宋体"/>
          <w:color w:val="000000"/>
          <w:kern w:val="0"/>
          <w:sz w:val="20"/>
          <w:szCs w:val="20"/>
        </w:rPr>
        <w:t>的</w:t>
      </w:r>
      <w:r>
        <w:rPr>
          <w:rFonts w:ascii="黑体" w:hAnsi="黑体" w:eastAsia="黑体" w:cs="宋体"/>
          <w:color w:val="000000"/>
          <w:kern w:val="0"/>
          <w:sz w:val="20"/>
          <w:szCs w:val="20"/>
        </w:rPr>
        <w:t>称谓</w:t>
      </w:r>
      <w:r>
        <w:rPr>
          <w:rFonts w:ascii="黑体" w:hAnsi="黑体" w:eastAsia="黑体" w:cs="宋体"/>
          <w:kern w:val="0"/>
          <w:sz w:val="20"/>
          <w:szCs w:val="20"/>
        </w:rPr>
        <w:t>仅为产品估值和核算方便而设，</w:t>
      </w:r>
      <w:r>
        <w:rPr>
          <w:rFonts w:hint="eastAsia" w:ascii="黑体" w:hAnsi="黑体" w:eastAsia="黑体" w:cs="宋体"/>
          <w:color w:val="000000"/>
          <w:kern w:val="0"/>
          <w:sz w:val="20"/>
          <w:szCs w:val="20"/>
        </w:rPr>
        <w:t>不代表对</w:t>
      </w:r>
      <w:r>
        <w:rPr>
          <w:rFonts w:ascii="黑体" w:hAnsi="黑体" w:eastAsia="黑体" w:cs="宋体"/>
          <w:color w:val="000000"/>
          <w:kern w:val="0"/>
          <w:sz w:val="20"/>
          <w:szCs w:val="20"/>
        </w:rPr>
        <w:t>投资资金不受损失的承诺。</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8．理财产品</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/投资</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/收益</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指</w:t>
      </w:r>
      <w:r>
        <w:rPr>
          <w:rFonts w:ascii="黑体" w:hAnsi="黑体" w:eastAsia="黑体" w:cs="宋体"/>
          <w:color w:val="000000"/>
          <w:kern w:val="0"/>
          <w:sz w:val="20"/>
          <w:szCs w:val="20"/>
        </w:rPr>
        <w:t>投资者投资理财产品获得的投资收益。</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9</w:t>
      </w:r>
      <w:r>
        <w:rPr>
          <w:rFonts w:hint="eastAsia" w:ascii="黑体" w:hAnsi="黑体" w:eastAsia="黑体" w:cs="宋体"/>
          <w:color w:val="000000"/>
          <w:kern w:val="0"/>
          <w:sz w:val="20"/>
          <w:szCs w:val="20"/>
        </w:rPr>
        <w:t>．合作销售机构/代销机构：指</w:t>
      </w:r>
      <w:r>
        <w:rPr>
          <w:rFonts w:ascii="黑体" w:hAnsi="黑体" w:eastAsia="黑体" w:cs="宋体"/>
          <w:color w:val="000000"/>
          <w:kern w:val="0"/>
          <w:sz w:val="20"/>
          <w:szCs w:val="20"/>
        </w:rPr>
        <w:t>接受</w:t>
      </w:r>
      <w:r>
        <w:rPr>
          <w:rFonts w:hint="eastAsia" w:ascii="黑体" w:hAnsi="黑体" w:eastAsia="黑体" w:cs="宋体"/>
          <w:color w:val="000000"/>
          <w:kern w:val="0"/>
          <w:sz w:val="20"/>
          <w:szCs w:val="20"/>
        </w:rPr>
        <w:t>信银</w:t>
      </w:r>
      <w:r>
        <w:rPr>
          <w:rFonts w:ascii="黑体" w:hAnsi="黑体" w:eastAsia="黑体" w:cs="宋体"/>
          <w:color w:val="000000"/>
          <w:kern w:val="0"/>
          <w:sz w:val="20"/>
          <w:szCs w:val="20"/>
        </w:rPr>
        <w:t>理财委托</w:t>
      </w: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其销售渠道</w:t>
      </w:r>
      <w:r>
        <w:rPr>
          <w:rFonts w:hint="eastAsia" w:ascii="黑体" w:hAnsi="黑体" w:eastAsia="黑体" w:cs="宋体"/>
          <w:color w:val="000000"/>
          <w:kern w:val="0"/>
          <w:sz w:val="20"/>
          <w:szCs w:val="20"/>
        </w:rPr>
        <w:t>代理</w:t>
      </w:r>
      <w:r>
        <w:rPr>
          <w:rFonts w:ascii="黑体" w:hAnsi="黑体" w:eastAsia="黑体" w:cs="宋体"/>
          <w:color w:val="000000"/>
          <w:kern w:val="0"/>
          <w:sz w:val="20"/>
          <w:szCs w:val="20"/>
        </w:rPr>
        <w:t>销售信银理财依法发行的理财产品的机构。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10</w:t>
      </w:r>
      <w:r>
        <w:rPr>
          <w:rFonts w:hint="eastAsia" w:ascii="黑体" w:hAnsi="黑体" w:eastAsia="黑体" w:cs="宋体"/>
          <w:color w:val="000000"/>
          <w:kern w:val="0"/>
          <w:sz w:val="20"/>
          <w:szCs w:val="20"/>
        </w:rPr>
        <w:t>．监管</w:t>
      </w:r>
      <w:r>
        <w:rPr>
          <w:rFonts w:ascii="黑体" w:hAnsi="黑体" w:eastAsia="黑体" w:cs="宋体"/>
          <w:color w:val="000000"/>
          <w:kern w:val="0"/>
          <w:sz w:val="20"/>
          <w:szCs w:val="20"/>
        </w:rPr>
        <w:t>机构：</w:t>
      </w:r>
      <w:r>
        <w:rPr>
          <w:rFonts w:hint="eastAsia" w:ascii="黑体" w:hAnsi="黑体" w:eastAsia="黑体" w:cs="宋体"/>
          <w:color w:val="000000"/>
          <w:kern w:val="0"/>
          <w:sz w:val="20"/>
          <w:szCs w:val="20"/>
        </w:rPr>
        <w:t>指对管理人（包括理财产品管理人、理财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所投资的资管产品的管理人</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11</w:t>
      </w:r>
      <w:r>
        <w:rPr>
          <w:rFonts w:hint="eastAsia" w:ascii="黑体" w:hAnsi="黑体" w:eastAsia="黑体" w:cs="宋体"/>
          <w:color w:val="000000"/>
          <w:kern w:val="0"/>
          <w:sz w:val="20"/>
          <w:szCs w:val="20"/>
        </w:rPr>
        <w:t>．适用</w:t>
      </w:r>
      <w:r>
        <w:rPr>
          <w:rFonts w:ascii="黑体" w:hAnsi="黑体" w:eastAsia="黑体" w:cs="宋体"/>
          <w:color w:val="000000"/>
          <w:kern w:val="0"/>
          <w:sz w:val="20"/>
          <w:szCs w:val="20"/>
        </w:rPr>
        <w:t>法律：</w:t>
      </w:r>
      <w:r>
        <w:rPr>
          <w:rFonts w:hint="eastAsia" w:ascii="黑体" w:hAnsi="黑体" w:eastAsia="黑体" w:cs="宋体"/>
          <w:color w:val="000000"/>
          <w:kern w:val="0"/>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12</w:t>
      </w:r>
      <w:r>
        <w:rPr>
          <w:rFonts w:hint="eastAsia" w:ascii="黑体" w:hAnsi="黑体" w:eastAsia="黑体" w:cs="宋体"/>
          <w:color w:val="000000"/>
          <w:kern w:val="0"/>
          <w:sz w:val="20"/>
          <w:szCs w:val="20"/>
        </w:rPr>
        <w:t>．不可抗力：指理财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当事各方不能预见、不能避免且不能克服的客观情况，该事件妨碍、影响或延误任何一方依相关理财产品文件履行其全部或部分义务。该事件包括但不限于：</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1</w:t>
      </w:r>
      <w:r>
        <w:rPr>
          <w:rFonts w:hint="eastAsia" w:ascii="黑体" w:hAnsi="黑体" w:eastAsia="黑体" w:cs="宋体"/>
          <w:color w:val="000000"/>
          <w:kern w:val="0"/>
          <w:sz w:val="20"/>
          <w:szCs w:val="20"/>
        </w:rPr>
        <w:t>）地震、台风、海啸、洪水、火灾、停电、瘟疫；</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2</w:t>
      </w:r>
      <w:r>
        <w:rPr>
          <w:rFonts w:hint="eastAsia" w:ascii="黑体" w:hAnsi="黑体" w:eastAsia="黑体" w:cs="宋体"/>
          <w:color w:val="000000"/>
          <w:kern w:val="0"/>
          <w:sz w:val="20"/>
          <w:szCs w:val="20"/>
        </w:rPr>
        <w:t>）战争、政变、恐怖主义行动、骚乱、罢工；</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3</w:t>
      </w:r>
      <w:r>
        <w:rPr>
          <w:rFonts w:hint="eastAsia" w:ascii="黑体" w:hAnsi="黑体" w:eastAsia="黑体" w:cs="宋体"/>
          <w:color w:val="000000"/>
          <w:kern w:val="0"/>
          <w:sz w:val="20"/>
          <w:szCs w:val="20"/>
        </w:rPr>
        <w:t>）新的适用法律或国家政策的颁布或实施、对原适用法律或国家政策的修改；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4</w:t>
      </w:r>
      <w:r>
        <w:rPr>
          <w:rFonts w:hint="eastAsia" w:ascii="黑体" w:hAnsi="黑体" w:eastAsia="黑体" w:cs="宋体"/>
          <w:color w:val="000000"/>
          <w:kern w:val="0"/>
          <w:sz w:val="20"/>
          <w:szCs w:val="20"/>
        </w:rPr>
        <w:t>）金融管理部门强制要求（该等强制要求不可归咎于任何一方）；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5</w:t>
      </w:r>
      <w:r>
        <w:rPr>
          <w:rFonts w:hint="eastAsia" w:ascii="黑体" w:hAnsi="黑体" w:eastAsia="黑体" w:cs="宋体"/>
          <w:color w:val="000000"/>
          <w:kern w:val="0"/>
          <w:sz w:val="20"/>
          <w:szCs w:val="20"/>
        </w:rPr>
        <w:t>）因理财产品各方和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或其关联方运营网络系统遭受黑客攻击、电信部门技术调整或故障等原因而造成的理财产品各方和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或其关联方之服务、营业的中断或者延迟。</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13．流动性受限资产：是指由于法律法规、监管、合同或操作障碍等原因无法以合理价格予以变现的资产，包括到期日在</w:t>
      </w:r>
      <w:r>
        <w:rPr>
          <w:rFonts w:ascii="黑体" w:hAnsi="黑体" w:eastAsia="黑体" w:cs="宋体"/>
          <w:color w:val="000000"/>
          <w:kern w:val="0"/>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14．信银理财电子渠道：指信银理财官方网站（</w:t>
      </w:r>
      <w:r>
        <w:fldChar w:fldCharType="begin"/>
      </w:r>
      <w:r>
        <w:instrText xml:space="preserve"> HYPERLINK "http://www.citic-wealth.com" </w:instrText>
      </w:r>
      <w:r>
        <w:fldChar w:fldCharType="separate"/>
      </w:r>
      <w:r>
        <w:rPr>
          <w:rFonts w:ascii="黑体" w:hAnsi="黑体" w:eastAsia="黑体" w:cs="宋体"/>
          <w:color w:val="0000FF"/>
          <w:kern w:val="0"/>
          <w:sz w:val="20"/>
          <w:szCs w:val="20"/>
          <w:u w:val="single"/>
        </w:rPr>
        <w:t>http://www.citic-wealth.com</w:t>
      </w:r>
      <w:r>
        <w:rPr>
          <w:rFonts w:ascii="黑体" w:hAnsi="黑体" w:eastAsia="黑体" w:cs="宋体"/>
          <w:color w:val="0000FF"/>
          <w:kern w:val="0"/>
          <w:sz w:val="20"/>
          <w:szCs w:val="20"/>
          <w:u w:val="single"/>
        </w:rPr>
        <w:fldChar w:fldCharType="end"/>
      </w: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、信银理财APP。</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15．信银理财直销渠道：指信银理财电子渠道及营业场所。</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16．销售机构：指信银理财及代销机构。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17．理财产品合同：指本理财产品的《信银理财理财产品说明书》、《信银理财理财产品风险揭示书》和《信银理财理财产品投资协议书》及其不时有效修订与补充。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18．销售文件：指本理财产品的理财产品合同及《信银理财理财产品销售总协议》（含附件：客户权益须知专页）（或合作销售机构向投资者提供的理财产品销售协议文本）等文件及其不时有效修订与补充。</w:t>
      </w:r>
    </w:p>
    <w:p>
      <w:pPr>
        <w:widowControl/>
        <w:numPr>
          <w:ilvl w:val="255"/>
          <w:numId w:val="0"/>
        </w:numPr>
        <w:spacing w:line="300" w:lineRule="atLeast"/>
        <w:ind w:right="36" w:firstLine="400" w:firstLineChars="200"/>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ascii="黑体" w:hAnsi="Times New Roman" w:eastAsia="黑体" w:cs="黑体"/>
          <w:b/>
          <w:bCs/>
          <w:color w:val="000000"/>
          <w:kern w:val="0"/>
          <w:sz w:val="20"/>
          <w:szCs w:val="20"/>
        </w:rPr>
        <w:t> </w:t>
      </w:r>
      <w:r>
        <w:rPr>
          <w:rFonts w:hint="eastAsia" w:ascii="黑体" w:hAnsi="Times New Roman" w:eastAsia="黑体" w:cs="黑体"/>
          <w:b/>
          <w:bCs/>
          <w:color w:val="000000"/>
          <w:kern w:val="0"/>
          <w:sz w:val="20"/>
          <w:szCs w:val="20"/>
        </w:rPr>
        <w:t>理财产品风险评级及</w:t>
      </w:r>
      <w:r>
        <w:rPr>
          <w:rFonts w:ascii="黑体" w:hAnsi="Times New Roman" w:eastAsia="黑体" w:cs="黑体"/>
          <w:b/>
          <w:bCs/>
          <w:color w:val="000000"/>
          <w:kern w:val="0"/>
          <w:sz w:val="20"/>
          <w:szCs w:val="20"/>
        </w:rPr>
        <w:t>与投资者</w:t>
      </w:r>
      <w:r>
        <w:rPr>
          <w:rFonts w:hint="eastAsia" w:ascii="黑体" w:hAnsi="Times New Roman" w:eastAsia="黑体" w:cs="黑体"/>
          <w:b/>
          <w:bCs/>
          <w:color w:val="000000"/>
          <w:kern w:val="0"/>
          <w:sz w:val="20"/>
          <w:szCs w:val="20"/>
        </w:rPr>
        <w:t>类型</w:t>
      </w:r>
      <w:r>
        <w:rPr>
          <w:rFonts w:ascii="黑体" w:hAnsi="Times New Roman" w:eastAsia="黑体" w:cs="黑体"/>
          <w:b/>
          <w:bCs/>
          <w:color w:val="000000"/>
          <w:kern w:val="0"/>
          <w:sz w:val="20"/>
          <w:szCs w:val="20"/>
        </w:rPr>
        <w:t>对应关系</w:t>
      </w:r>
      <w:r>
        <w:rPr>
          <w:rFonts w:hint="eastAsia" w:ascii="黑体" w:hAnsi="Times New Roman" w:eastAsia="黑体" w:cs="黑体"/>
          <w:b/>
          <w:bCs/>
          <w:color w:val="000000"/>
          <w:kern w:val="0"/>
          <w:sz w:val="20"/>
          <w:szCs w:val="20"/>
        </w:rPr>
        <w:t>：</w:t>
      </w:r>
    </w:p>
    <w:p>
      <w:pPr>
        <w:widowControl/>
        <w:snapToGrid w:val="0"/>
        <w:ind w:left="-2" w:leftChars="-1" w:right="46" w:rightChars="22"/>
        <w:jc w:val="left"/>
        <w:rPr>
          <w:rFonts w:ascii="黑体" w:hAnsi="Times New Roman" w:eastAsia="黑体" w:cs="黑体"/>
          <w:b/>
          <w:bCs/>
          <w:color w:val="000000"/>
          <w:kern w:val="0"/>
          <w:sz w:val="20"/>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68"/>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kern w:val="0"/>
                <w:sz w:val="24"/>
                <w:szCs w:val="24"/>
              </w:rPr>
              <w:t>产品</w:t>
            </w:r>
            <w:r>
              <w:rPr>
                <w:rFonts w:ascii="楷体" w:hAnsi="楷体" w:eastAsia="楷体" w:cs="楷体"/>
                <w:b/>
                <w:color w:val="000000"/>
                <w:kern w:val="0"/>
                <w:sz w:val="24"/>
                <w:szCs w:val="24"/>
              </w:rPr>
              <w:t>风险评级</w:t>
            </w:r>
          </w:p>
        </w:tc>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ascii="楷体" w:hAnsi="楷体" w:eastAsia="楷体" w:cs="楷体"/>
                <w:b/>
                <w:color w:val="000000"/>
                <w:kern w:val="0"/>
                <w:sz w:val="24"/>
                <w:szCs w:val="24"/>
              </w:rPr>
              <w:t>风险程度</w:t>
            </w:r>
          </w:p>
        </w:tc>
        <w:tc>
          <w:tcPr>
            <w:tcW w:w="4327"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sz w:val="24"/>
                <w:szCs w:val="24"/>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PR1级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PR2级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中低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PR3级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中等</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PR4级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PR5级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激进型</w:t>
            </w:r>
          </w:p>
        </w:tc>
      </w:tr>
    </w:tbl>
    <w:p>
      <w:pPr>
        <w:widowControl/>
        <w:snapToGrid w:val="0"/>
        <w:ind w:left="-2" w:leftChars="-1" w:right="46" w:rightChars="22" w:firstLine="400" w:firstLineChars="200"/>
        <w:jc w:val="left"/>
        <w:rPr>
          <w:rFonts w:ascii="黑体" w:hAnsi="Times New Roman" w:eastAsia="黑体" w:cs="宋体"/>
          <w:color w:val="000000"/>
          <w:kern w:val="0"/>
          <w:sz w:val="20"/>
          <w:szCs w:val="20"/>
        </w:rPr>
      </w:pPr>
    </w:p>
    <w:p>
      <w:pPr>
        <w:widowControl/>
        <w:snapToGrid w:val="0"/>
        <w:ind w:right="46" w:rightChars="22"/>
        <w:jc w:val="left"/>
        <w:outlineLvl w:val="0"/>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一、</w:t>
      </w:r>
      <w:r>
        <w:rPr>
          <w:rFonts w:ascii="Times New Roman" w:hAnsi="Times New Roman" w:eastAsia="黑体" w:cs="宋体"/>
          <w:color w:val="000000"/>
          <w:kern w:val="0"/>
          <w:sz w:val="14"/>
          <w:szCs w:val="14"/>
        </w:rPr>
        <w:t xml:space="preserve"> </w:t>
      </w:r>
      <w:r>
        <w:rPr>
          <w:rFonts w:hint="eastAsia" w:ascii="黑体" w:hAnsi="Times New Roman" w:eastAsia="黑体" w:cs="黑体"/>
          <w:color w:val="000000"/>
          <w:kern w:val="0"/>
          <w:sz w:val="20"/>
          <w:szCs w:val="20"/>
        </w:rPr>
        <w:t>产品投资范围</w:t>
      </w:r>
    </w:p>
    <w:p>
      <w:pPr>
        <w:widowControl/>
        <w:snapToGrid w:val="0"/>
        <w:ind w:right="46" w:rightChars="22" w:firstLine="400" w:firstLineChars="200"/>
        <w:jc w:val="left"/>
        <w:outlineLvl w:val="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．产品投资策略：</w:t>
      </w:r>
    </w:p>
    <w:p>
      <w:pPr>
        <w:widowControl/>
        <w:spacing w:line="300" w:lineRule="exact"/>
        <w:ind w:left="-2" w:right="31" w:rightChars="15" w:firstLine="400" w:firstLineChars="200"/>
        <w:rPr>
          <w:rFonts w:ascii="楷体_GB2312" w:hAnsi="宋体" w:eastAsia="楷体_GB2312" w:cs="宋体"/>
          <w:kern w:val="0"/>
          <w:sz w:val="20"/>
          <w:szCs w:val="20"/>
        </w:rPr>
      </w:pPr>
      <w:r>
        <w:rPr>
          <w:rFonts w:hint="eastAsia" w:ascii="楷体_GB2312" w:hAnsi="宋体" w:eastAsia="楷体_GB2312" w:cs="宋体"/>
          <w:kern w:val="0"/>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widowControl/>
        <w:spacing w:line="300" w:lineRule="exact"/>
        <w:ind w:right="31" w:rightChars="15" w:firstLine="400" w:firstLineChars="200"/>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．本理财产品存续期间，投资于以下投资对象：</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（1）债权类资产</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a</w:t>
      </w:r>
      <w:r>
        <w:rPr>
          <w:rFonts w:ascii="楷体_GB2312" w:hAnsi="宋体" w:eastAsia="楷体_GB2312" w:cs="宋体"/>
          <w:color w:val="000000"/>
          <w:kern w:val="0"/>
          <w:sz w:val="20"/>
          <w:szCs w:val="20"/>
        </w:rPr>
        <w:t>.</w:t>
      </w:r>
      <w:r>
        <w:rPr>
          <w:rFonts w:hint="eastAsia" w:ascii="楷体_GB2312" w:hAnsi="宋体" w:eastAsia="楷体_GB2312" w:cs="宋体"/>
          <w:color w:val="000000"/>
          <w:kern w:val="0"/>
          <w:sz w:val="20"/>
          <w:szCs w:val="20"/>
        </w:rPr>
        <w:t>货币市场类：现金、存款、大额</w:t>
      </w:r>
      <w:r>
        <w:rPr>
          <w:rFonts w:ascii="楷体_GB2312" w:hAnsi="宋体" w:eastAsia="楷体_GB2312" w:cs="宋体"/>
          <w:color w:val="000000"/>
          <w:kern w:val="0"/>
          <w:sz w:val="20"/>
          <w:szCs w:val="20"/>
        </w:rPr>
        <w:t>存单、同业存单、</w:t>
      </w:r>
      <w:r>
        <w:rPr>
          <w:rFonts w:hint="eastAsia" w:ascii="楷体_GB2312" w:hAnsi="宋体" w:eastAsia="楷体_GB2312" w:cs="宋体"/>
          <w:color w:val="000000"/>
          <w:kern w:val="0"/>
          <w:sz w:val="20"/>
          <w:szCs w:val="20"/>
        </w:rPr>
        <w:t>货币基金、质押式回购和其他货币市场类资产；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楷体_GB2312" w:hAnsi="宋体" w:eastAsia="楷体_GB2312" w:cs="宋体"/>
          <w:color w:val="000000"/>
          <w:kern w:val="0"/>
          <w:sz w:val="20"/>
          <w:szCs w:val="20"/>
        </w:rPr>
        <w:t>b.固定收益类：国债</w:t>
      </w:r>
      <w:r>
        <w:rPr>
          <w:rFonts w:ascii="楷体_GB2312" w:hAnsi="宋体" w:eastAsia="楷体_GB2312" w:cs="宋体"/>
          <w:color w:val="000000"/>
          <w:kern w:val="0"/>
          <w:sz w:val="20"/>
          <w:szCs w:val="20"/>
        </w:rPr>
        <w:t>、地方政府债券、中央银行票据、政府机构债券、金融债券、公司信用类债券、在银行间市场和证券交易所市场发行的</w:t>
      </w:r>
      <w:r>
        <w:rPr>
          <w:rFonts w:hint="eastAsia" w:ascii="楷体_GB2312" w:hAnsi="宋体" w:eastAsia="楷体_GB2312" w:cs="宋体"/>
          <w:color w:val="000000"/>
          <w:kern w:val="0"/>
          <w:sz w:val="20"/>
          <w:szCs w:val="20"/>
        </w:rPr>
        <w:t>资产支持证券、非公开定向债务融资工具、债券型</w:t>
      </w:r>
      <w:r>
        <w:rPr>
          <w:rFonts w:ascii="楷体_GB2312" w:hAnsi="宋体" w:eastAsia="楷体_GB2312" w:cs="宋体"/>
          <w:color w:val="000000"/>
          <w:kern w:val="0"/>
          <w:sz w:val="20"/>
          <w:szCs w:val="20"/>
        </w:rPr>
        <w:t>证券投资</w:t>
      </w:r>
      <w:r>
        <w:rPr>
          <w:rFonts w:hint="eastAsia" w:ascii="楷体_GB2312" w:hAnsi="宋体" w:eastAsia="楷体_GB2312" w:cs="宋体"/>
          <w:color w:val="000000"/>
          <w:kern w:val="0"/>
          <w:sz w:val="20"/>
          <w:szCs w:val="20"/>
        </w:rPr>
        <w:t>基金、</w:t>
      </w:r>
      <w:r>
        <w:rPr>
          <w:rFonts w:ascii="楷体_GB2312" w:hAnsi="宋体" w:eastAsia="楷体_GB2312" w:cs="宋体"/>
          <w:color w:val="000000"/>
          <w:kern w:val="0"/>
          <w:sz w:val="20"/>
          <w:szCs w:val="20"/>
        </w:rPr>
        <w:t>非标准化债权类资产</w:t>
      </w:r>
      <w:r>
        <w:rPr>
          <w:rFonts w:hint="eastAsia" w:ascii="楷体_GB2312" w:hAnsi="宋体" w:eastAsia="楷体_GB2312" w:cs="宋体"/>
          <w:color w:val="000000"/>
          <w:kern w:val="0"/>
          <w:sz w:val="20"/>
          <w:szCs w:val="20"/>
        </w:rPr>
        <w:t>和其他固定收益类资产；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2）</w:t>
      </w:r>
      <w:r>
        <w:rPr>
          <w:rFonts w:hint="eastAsia" w:ascii="Times New Roman" w:hAnsi="Times New Roman" w:eastAsia="楷体_GB2312" w:cs="宋体"/>
          <w:color w:val="000000"/>
          <w:kern w:val="0"/>
          <w:sz w:val="20"/>
          <w:szCs w:val="20"/>
        </w:rPr>
        <w:t>权益</w:t>
      </w:r>
      <w:r>
        <w:rPr>
          <w:rFonts w:ascii="Times New Roman" w:hAnsi="Times New Roman" w:eastAsia="楷体_GB2312" w:cs="宋体"/>
          <w:color w:val="000000"/>
          <w:kern w:val="0"/>
          <w:sz w:val="20"/>
          <w:szCs w:val="20"/>
        </w:rPr>
        <w:t>类</w:t>
      </w:r>
      <w:r>
        <w:rPr>
          <w:rFonts w:hint="eastAsia" w:ascii="Times New Roman" w:hAnsi="Times New Roman" w:eastAsia="楷体_GB2312" w:cs="宋体"/>
          <w:color w:val="000000"/>
          <w:kern w:val="0"/>
          <w:sz w:val="20"/>
          <w:szCs w:val="20"/>
        </w:rPr>
        <w:t>资产</w:t>
      </w:r>
      <w:r>
        <w:rPr>
          <w:rFonts w:ascii="Times New Roman" w:hAnsi="Times New Roman" w:eastAsia="楷体_GB2312" w:cs="宋体"/>
          <w:color w:val="000000"/>
          <w:kern w:val="0"/>
          <w:sz w:val="20"/>
          <w:szCs w:val="20"/>
        </w:rPr>
        <w:t>：</w:t>
      </w:r>
      <w:r>
        <w:rPr>
          <w:rFonts w:hint="eastAsia" w:ascii="楷体_GB2312" w:hAnsi="宋体" w:eastAsia="楷体_GB2312" w:cs="楷体_GB2312"/>
          <w:color w:val="000000"/>
          <w:kern w:val="0"/>
          <w:sz w:val="20"/>
          <w:szCs w:val="20"/>
        </w:rPr>
        <w:t>上市</w:t>
      </w:r>
      <w:r>
        <w:rPr>
          <w:rFonts w:ascii="楷体_GB2312" w:hAnsi="宋体" w:eastAsia="楷体_GB2312" w:cs="楷体_GB2312"/>
          <w:color w:val="000000"/>
          <w:kern w:val="0"/>
          <w:sz w:val="20"/>
          <w:szCs w:val="20"/>
        </w:rPr>
        <w:t>交易</w:t>
      </w:r>
      <w:r>
        <w:rPr>
          <w:rFonts w:hint="eastAsia" w:ascii="楷体_GB2312" w:hAnsi="宋体" w:eastAsia="楷体_GB2312" w:cs="楷体_GB2312"/>
          <w:color w:val="000000"/>
          <w:kern w:val="0"/>
          <w:sz w:val="20"/>
          <w:szCs w:val="20"/>
        </w:rPr>
        <w:t>的</w:t>
      </w:r>
      <w:r>
        <w:rPr>
          <w:rFonts w:ascii="楷体_GB2312" w:hAnsi="宋体" w:eastAsia="楷体_GB2312" w:cs="楷体_GB2312"/>
          <w:color w:val="000000"/>
          <w:kern w:val="0"/>
          <w:sz w:val="20"/>
          <w:szCs w:val="20"/>
        </w:rPr>
        <w:t>股票以及法律法规允许或监管部门批准的其他具备权益特征的资产和资产组合</w:t>
      </w:r>
      <w:r>
        <w:rPr>
          <w:rFonts w:ascii="Times New Roman" w:hAnsi="Times New Roman" w:eastAsia="楷体_GB2312" w:cs="宋体"/>
          <w:color w:val="000000"/>
          <w:kern w:val="0"/>
          <w:sz w:val="20"/>
          <w:szCs w:val="20"/>
        </w:rPr>
        <w:t>。</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3</w:t>
      </w:r>
      <w:r>
        <w:rPr>
          <w:rFonts w:hint="eastAsia" w:ascii="Times New Roman" w:hAnsi="Times New Roman" w:eastAsia="楷体_GB2312" w:cs="宋体"/>
          <w:color w:val="000000"/>
          <w:kern w:val="0"/>
          <w:sz w:val="20"/>
          <w:szCs w:val="20"/>
        </w:rPr>
        <w:t>）商品</w:t>
      </w:r>
      <w:r>
        <w:rPr>
          <w:rFonts w:ascii="Times New Roman" w:hAnsi="Times New Roman" w:eastAsia="楷体_GB2312" w:cs="宋体"/>
          <w:color w:val="000000"/>
          <w:kern w:val="0"/>
          <w:sz w:val="20"/>
          <w:szCs w:val="20"/>
        </w:rPr>
        <w:t>及</w:t>
      </w:r>
      <w:r>
        <w:rPr>
          <w:rFonts w:hint="eastAsia" w:ascii="Times New Roman" w:hAnsi="Times New Roman" w:eastAsia="楷体_GB2312" w:cs="宋体"/>
          <w:color w:val="000000"/>
          <w:kern w:val="0"/>
          <w:sz w:val="20"/>
          <w:szCs w:val="20"/>
        </w:rPr>
        <w:t>金融</w:t>
      </w:r>
      <w:r>
        <w:rPr>
          <w:rFonts w:ascii="Times New Roman" w:hAnsi="Times New Roman" w:eastAsia="楷体_GB2312" w:cs="宋体"/>
          <w:color w:val="000000"/>
          <w:kern w:val="0"/>
          <w:sz w:val="20"/>
          <w:szCs w:val="20"/>
        </w:rPr>
        <w:t>衍生品类资产：</w:t>
      </w:r>
      <w:r>
        <w:rPr>
          <w:rFonts w:hint="eastAsia" w:ascii="Times New Roman" w:hAnsi="Times New Roman" w:eastAsia="楷体_GB2312" w:cs="宋体"/>
          <w:color w:val="000000"/>
          <w:kern w:val="0"/>
          <w:sz w:val="20"/>
          <w:szCs w:val="20"/>
        </w:rPr>
        <w:t>商品现货，互换</w:t>
      </w:r>
      <w:r>
        <w:rPr>
          <w:rFonts w:ascii="Times New Roman" w:hAnsi="Times New Roman" w:eastAsia="楷体_GB2312" w:cs="宋体"/>
          <w:color w:val="000000"/>
          <w:kern w:val="0"/>
          <w:sz w:val="20"/>
          <w:szCs w:val="20"/>
        </w:rPr>
        <w:t>、</w:t>
      </w:r>
      <w:r>
        <w:rPr>
          <w:rFonts w:hint="eastAsia" w:ascii="Times New Roman" w:hAnsi="Times New Roman" w:eastAsia="楷体_GB2312" w:cs="宋体"/>
          <w:color w:val="000000"/>
          <w:kern w:val="0"/>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widowControl/>
        <w:spacing w:line="300" w:lineRule="exact"/>
        <w:ind w:right="31" w:rightChars="15" w:firstLine="400" w:firstLineChars="200"/>
        <w:rPr>
          <w:rFonts w:ascii="Times New Roman" w:hAnsi="Times New Roman" w:eastAsia="楷体_GB2312" w:cs="宋体"/>
          <w:color w:val="000000"/>
          <w:kern w:val="0"/>
          <w:sz w:val="20"/>
          <w:szCs w:val="20"/>
        </w:rPr>
      </w:pPr>
      <w:r>
        <w:rPr>
          <w:rFonts w:ascii="楷体_GB2312" w:hAnsi="宋体" w:eastAsia="楷体_GB2312" w:cs="宋体"/>
          <w:color w:val="000000"/>
          <w:kern w:val="0"/>
          <w:sz w:val="20"/>
          <w:szCs w:val="20"/>
        </w:rPr>
        <w:t>3</w:t>
      </w:r>
      <w:r>
        <w:rPr>
          <w:rFonts w:hint="eastAsia" w:ascii="楷体_GB2312" w:hAnsi="宋体" w:eastAsia="楷体_GB2312" w:cs="宋体"/>
          <w:color w:val="000000"/>
          <w:kern w:val="0"/>
          <w:sz w:val="20"/>
          <w:szCs w:val="20"/>
        </w:rPr>
        <w:t>．</w:t>
      </w:r>
      <w:r>
        <w:rPr>
          <w:rFonts w:hint="eastAsia" w:ascii="Times New Roman" w:hAnsi="Times New Roman" w:eastAsia="楷体_GB2312" w:cs="宋体"/>
          <w:color w:val="000000"/>
          <w:kern w:val="0"/>
          <w:sz w:val="20"/>
          <w:szCs w:val="20"/>
        </w:rPr>
        <w:t>各</w:t>
      </w:r>
      <w:r>
        <w:rPr>
          <w:rFonts w:ascii="Times New Roman" w:hAnsi="Times New Roman" w:eastAsia="楷体_GB2312" w:cs="宋体"/>
          <w:color w:val="000000"/>
          <w:kern w:val="0"/>
          <w:sz w:val="20"/>
          <w:szCs w:val="20"/>
        </w:rPr>
        <w:t>投资对象投资比例为：</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资产种类</w:t>
            </w:r>
          </w:p>
        </w:tc>
        <w:tc>
          <w:tcPr>
            <w:tcW w:w="2237"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【8</w:t>
            </w:r>
            <w:r>
              <w:rPr>
                <w:rFonts w:ascii="楷体" w:hAnsi="楷体" w:eastAsia="楷体"/>
                <w:sz w:val="20"/>
                <w:szCs w:val="20"/>
              </w:rPr>
              <w:t>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其中</w:t>
            </w:r>
            <w:r>
              <w:rPr>
                <w:rFonts w:ascii="楷体" w:hAnsi="楷体" w:eastAsia="楷体" w:cs="宋体"/>
                <w:color w:val="000000"/>
                <w:kern w:val="0"/>
                <w:sz w:val="20"/>
                <w:szCs w:val="20"/>
              </w:rPr>
              <w:t>，非标准化债权类资产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权益类资产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资产：持仓合约价值</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资产：衍生品账户权益</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本产品可通过信托、证券</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基金</w:t>
      </w:r>
      <w:r>
        <w:rPr>
          <w:rFonts w:ascii="Times New Roman" w:hAnsi="Times New Roman" w:eastAsia="楷体_GB2312" w:cs="楷体_GB2312"/>
          <w:color w:val="000000"/>
          <w:kern w:val="0"/>
          <w:sz w:val="20"/>
          <w:szCs w:val="20"/>
        </w:rPr>
        <w:t>、期货</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保险资产管理机构等依法设立的资产管理产品</w:t>
      </w:r>
      <w:r>
        <w:rPr>
          <w:rFonts w:hint="eastAsia" w:ascii="Times New Roman" w:hAnsi="Times New Roman" w:eastAsia="楷体_GB2312" w:cs="楷体_GB2312"/>
          <w:color w:val="000000"/>
          <w:kern w:val="0"/>
          <w:sz w:val="20"/>
          <w:szCs w:val="20"/>
        </w:rPr>
        <w:t>以及其他符合国家相关政策、法律法规的投资渠道和方式实现对上述投资品种的投资，且可以由资产持有人按公允价格转让本产品所投资的全部或部分投资标的。</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宋体"/>
          <w:color w:val="000000"/>
          <w:kern w:val="0"/>
          <w:sz w:val="20"/>
          <w:szCs w:val="20"/>
        </w:rPr>
        <w:t>产品管理人应确保本产品建仓期后投资比例符合前述要求，</w:t>
      </w:r>
      <w:r>
        <w:rPr>
          <w:rFonts w:hint="eastAsia" w:ascii="Times New Roman" w:hAnsi="Times New Roman" w:eastAsia="楷体_GB2312" w:cs="楷体_GB2312"/>
          <w:color w:val="000000"/>
          <w:kern w:val="0"/>
          <w:sz w:val="20"/>
          <w:szCs w:val="20"/>
        </w:rPr>
        <w:t>非因管理人主观因素导致突破前述比例限制的，管理人应在流动性受限资产可出售、可转让或者恢复交易的15个</w:t>
      </w:r>
      <w:r>
        <w:rPr>
          <w:rFonts w:ascii="Times New Roman" w:hAnsi="Times New Roman" w:eastAsia="楷体_GB2312" w:cs="楷体_GB2312"/>
          <w:color w:val="000000"/>
          <w:kern w:val="0"/>
          <w:sz w:val="20"/>
          <w:szCs w:val="20"/>
        </w:rPr>
        <w:t>交易日内调整至</w:t>
      </w:r>
      <w:r>
        <w:rPr>
          <w:rFonts w:hint="eastAsia" w:ascii="Times New Roman" w:hAnsi="Times New Roman" w:eastAsia="楷体_GB2312" w:cs="楷体_GB2312"/>
          <w:color w:val="000000"/>
          <w:kern w:val="0"/>
          <w:sz w:val="20"/>
          <w:szCs w:val="20"/>
        </w:rPr>
        <w:t>至符合</w:t>
      </w:r>
      <w:r>
        <w:rPr>
          <w:rFonts w:ascii="Times New Roman" w:hAnsi="Times New Roman" w:eastAsia="楷体_GB2312" w:cs="楷体_GB2312"/>
          <w:color w:val="000000"/>
          <w:kern w:val="0"/>
          <w:sz w:val="20"/>
          <w:szCs w:val="20"/>
        </w:rPr>
        <w:t>要求</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国务院银行业监督管理机构规定的特殊情形除外</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楷体_GB2312" w:hAnsi="宋体" w:eastAsia="楷体_GB2312" w:cs="楷体_GB2312"/>
          <w:color w:val="000000"/>
          <w:kern w:val="0"/>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hAnsi="宋体" w:eastAsia="楷体_GB2312" w:cs="楷体_GB2312"/>
          <w:color w:val="000000"/>
          <w:kern w:val="0"/>
          <w:sz w:val="20"/>
          <w:szCs w:val="20"/>
        </w:rPr>
        <w:t>有权根据市场情况，在不损害投资者利益且根据</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说明书约定提前</w:t>
      </w:r>
      <w:r>
        <w:rPr>
          <w:rFonts w:hint="eastAsia" w:ascii="楷体_GB2312" w:hAnsi="宋体" w:eastAsia="楷体_GB2312" w:cs="楷体_GB2312"/>
          <w:color w:val="000000"/>
          <w:kern w:val="0"/>
          <w:sz w:val="20"/>
          <w:szCs w:val="20"/>
        </w:rPr>
        <w:t>通知</w:t>
      </w:r>
      <w:r>
        <w:rPr>
          <w:rFonts w:ascii="楷体_GB2312" w:hAnsi="宋体" w:eastAsia="楷体_GB2312" w:cs="楷体_GB2312"/>
          <w:color w:val="000000"/>
          <w:kern w:val="0"/>
          <w:sz w:val="20"/>
          <w:szCs w:val="20"/>
        </w:rPr>
        <w:t>投资者的情况下，对本</w:t>
      </w:r>
      <w:r>
        <w:rPr>
          <w:rFonts w:hint="eastAsia" w:ascii="楷体_GB2312" w:hAnsi="宋体" w:eastAsia="楷体_GB2312" w:cs="楷体_GB2312"/>
          <w:color w:val="000000"/>
          <w:kern w:val="0"/>
          <w:sz w:val="20"/>
          <w:szCs w:val="20"/>
        </w:rPr>
        <w:t>产品</w:t>
      </w:r>
      <w:r>
        <w:rPr>
          <w:rFonts w:ascii="楷体_GB2312" w:hAnsi="宋体" w:eastAsia="楷体_GB2312" w:cs="楷体_GB2312"/>
          <w:color w:val="000000"/>
          <w:kern w:val="0"/>
          <w:sz w:val="20"/>
          <w:szCs w:val="20"/>
        </w:rPr>
        <w:t>的</w:t>
      </w:r>
      <w:r>
        <w:rPr>
          <w:rFonts w:hint="eastAsia" w:ascii="楷体_GB2312" w:hAnsi="宋体" w:eastAsia="楷体_GB2312" w:cs="楷体_GB2312"/>
          <w:color w:val="000000"/>
          <w:kern w:val="0"/>
          <w:sz w:val="20"/>
          <w:szCs w:val="20"/>
        </w:rPr>
        <w:t>投资范围、投资品种或投资比例进行</w:t>
      </w:r>
      <w:r>
        <w:rPr>
          <w:rFonts w:ascii="楷体_GB2312" w:hAnsi="宋体" w:eastAsia="楷体_GB2312" w:cs="楷体_GB2312"/>
          <w:color w:val="000000"/>
          <w:kern w:val="0"/>
          <w:sz w:val="20"/>
          <w:szCs w:val="20"/>
        </w:rPr>
        <w:t>调</w:t>
      </w:r>
      <w:r>
        <w:rPr>
          <w:rFonts w:ascii="楷体_GB2312" w:hAnsi="宋体" w:eastAsia="楷体_GB2312" w:cs="楷体_GB2312"/>
          <w:kern w:val="0"/>
          <w:sz w:val="20"/>
          <w:szCs w:val="20"/>
        </w:rPr>
        <w:t>整</w:t>
      </w:r>
      <w:r>
        <w:rPr>
          <w:rFonts w:hint="eastAsia" w:ascii="楷体_GB2312" w:hAnsi="宋体" w:eastAsia="楷体_GB2312" w:cs="楷体_GB2312"/>
          <w:kern w:val="0"/>
          <w:sz w:val="20"/>
          <w:szCs w:val="20"/>
        </w:rPr>
        <w:t>。投资者</w:t>
      </w:r>
      <w:r>
        <w:rPr>
          <w:rFonts w:ascii="楷体_GB2312" w:hAnsi="宋体" w:eastAsia="楷体_GB2312" w:cs="楷体_GB2312"/>
          <w:kern w:val="0"/>
          <w:sz w:val="20"/>
          <w:szCs w:val="20"/>
        </w:rPr>
        <w:t>不接受的，可</w:t>
      </w:r>
      <w:r>
        <w:rPr>
          <w:rFonts w:hint="eastAsia" w:ascii="楷体_GB2312" w:hAnsi="宋体" w:eastAsia="楷体_GB2312" w:cs="楷体_GB2312"/>
          <w:kern w:val="0"/>
          <w:sz w:val="20"/>
          <w:szCs w:val="20"/>
        </w:rPr>
        <w:t>提前</w:t>
      </w:r>
      <w:r>
        <w:rPr>
          <w:rFonts w:ascii="楷体_GB2312" w:hAnsi="宋体" w:eastAsia="楷体_GB2312" w:cs="楷体_GB2312"/>
          <w:kern w:val="0"/>
          <w:sz w:val="20"/>
          <w:szCs w:val="20"/>
        </w:rPr>
        <w:t>赎回理财产品，</w:t>
      </w:r>
      <w:r>
        <w:rPr>
          <w:rFonts w:hint="eastAsia" w:ascii="楷体_GB2312" w:hAnsi="宋体" w:eastAsia="楷体_GB2312" w:cs="楷体_GB2312"/>
          <w:kern w:val="0"/>
          <w:sz w:val="20"/>
          <w:szCs w:val="20"/>
        </w:rPr>
        <w:t>信银理财有权根据情况设立临时的赎回开放日</w:t>
      </w:r>
      <w:r>
        <w:rPr>
          <w:rFonts w:ascii="楷体_GB2312" w:hAnsi="宋体" w:eastAsia="楷体_GB2312" w:cs="楷体_GB2312"/>
          <w:kern w:val="0"/>
          <w:sz w:val="20"/>
          <w:szCs w:val="20"/>
        </w:rPr>
        <w:t>。</w:t>
      </w:r>
      <w:r>
        <w:rPr>
          <w:rFonts w:hint="eastAsia" w:ascii="楷体_GB2312" w:hAnsi="宋体" w:eastAsia="楷体_GB2312" w:cs="楷体_GB2312"/>
          <w:color w:val="000000"/>
          <w:kern w:val="0"/>
          <w:sz w:val="20"/>
          <w:szCs w:val="20"/>
        </w:rPr>
        <w:t>除</w:t>
      </w:r>
      <w:r>
        <w:rPr>
          <w:rFonts w:ascii="楷体_GB2312" w:hAnsi="宋体" w:eastAsia="楷体_GB2312" w:cs="楷体_GB2312"/>
          <w:color w:val="000000"/>
          <w:kern w:val="0"/>
          <w:sz w:val="20"/>
          <w:szCs w:val="20"/>
        </w:rPr>
        <w:t>高风险类型的产品超出比例范围投资较低风险资产外，</w:t>
      </w:r>
      <w:r>
        <w:rPr>
          <w:rFonts w:hint="eastAsia" w:ascii="楷体_GB2312" w:hAnsi="宋体" w:eastAsia="楷体_GB2312" w:cs="楷体_GB2312"/>
          <w:color w:val="000000"/>
          <w:kern w:val="0"/>
          <w:sz w:val="20"/>
          <w:szCs w:val="20"/>
        </w:rPr>
        <w:t>产品管理人应按</w:t>
      </w:r>
      <w:r>
        <w:rPr>
          <w:rFonts w:ascii="楷体_GB2312" w:hAnsi="宋体" w:eastAsia="楷体_GB2312" w:cs="楷体_GB2312"/>
          <w:color w:val="000000"/>
          <w:kern w:val="0"/>
          <w:sz w:val="20"/>
          <w:szCs w:val="20"/>
        </w:rPr>
        <w:t>监管要求</w:t>
      </w:r>
      <w:r>
        <w:rPr>
          <w:rFonts w:hint="eastAsia" w:ascii="楷体_GB2312" w:hAnsi="宋体" w:eastAsia="楷体_GB2312" w:cs="楷体_GB2312"/>
          <w:color w:val="000000"/>
          <w:kern w:val="0"/>
          <w:sz w:val="20"/>
          <w:szCs w:val="20"/>
        </w:rPr>
        <w:t>提前</w:t>
      </w:r>
      <w:r>
        <w:rPr>
          <w:rFonts w:ascii="楷体_GB2312" w:hAnsi="宋体" w:eastAsia="楷体_GB2312" w:cs="楷体_GB2312"/>
          <w:color w:val="000000"/>
          <w:kern w:val="0"/>
          <w:sz w:val="20"/>
          <w:szCs w:val="20"/>
        </w:rPr>
        <w:t>取得投资者书面同意</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并履行登记备案等法律法规以及金融监督管理部门规定的程序。</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w:t>
      </w:r>
      <w:r>
        <w:rPr>
          <w:rFonts w:ascii="Times New Roman" w:hAnsi="Times New Roman" w:eastAsia="楷体_GB2312" w:cs="楷体_GB2312"/>
          <w:color w:val="000000"/>
          <w:kern w:val="0"/>
          <w:sz w:val="20"/>
          <w:szCs w:val="20"/>
        </w:rPr>
        <w:t>限制：</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（1）本产品总资产不得超过净资产的</w:t>
      </w:r>
      <w:r>
        <w:rPr>
          <w:rFonts w:ascii="Times New Roman" w:hAnsi="Times New Roman" w:eastAsia="楷体_GB2312" w:cs="楷体_GB2312"/>
          <w:color w:val="000000"/>
          <w:kern w:val="0"/>
          <w:sz w:val="20"/>
          <w:szCs w:val="20"/>
        </w:rPr>
        <w:t>200%；</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Times New Roman" w:hAnsi="Times New Roman" w:eastAsia="楷体_GB2312" w:cs="楷体_GB2312"/>
          <w:color w:val="000000"/>
          <w:kern w:val="0"/>
          <w:sz w:val="20"/>
          <w:szCs w:val="20"/>
        </w:rPr>
        <w:t>（2）</w:t>
      </w:r>
      <w:r>
        <w:rPr>
          <w:rFonts w:hint="eastAsia" w:ascii="Times New Roman" w:hAnsi="Times New Roman" w:eastAsia="楷体_GB2312" w:cs="楷体_GB2312"/>
          <w:color w:val="000000"/>
          <w:kern w:val="0"/>
          <w:sz w:val="20"/>
          <w:szCs w:val="20"/>
        </w:rPr>
        <w:t>本产品投资单只证券或者单只公募证券投资基金的市值不得超过产品净资产的</w:t>
      </w:r>
      <w:r>
        <w:rPr>
          <w:rFonts w:ascii="Times New Roman" w:hAnsi="Times New Roman" w:eastAsia="楷体_GB2312" w:cs="楷体_GB2312"/>
          <w:color w:val="000000"/>
          <w:kern w:val="0"/>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widowControl/>
        <w:spacing w:line="300" w:lineRule="exact"/>
        <w:ind w:firstLine="426" w:firstLineChars="213"/>
        <w:rPr>
          <w:rFonts w:ascii="Times New Roman" w:hAnsi="Times New Roman" w:eastAsia="楷体_GB2312" w:cs="楷体_GB2312"/>
          <w:b/>
          <w:bCs/>
          <w:color w:val="000000"/>
          <w:kern w:val="0"/>
          <w:sz w:val="20"/>
          <w:szCs w:val="20"/>
        </w:rPr>
      </w:pPr>
      <w:r>
        <w:rPr>
          <w:rFonts w:hint="eastAsia" w:ascii="Times New Roman" w:hAnsi="Times New Roman" w:eastAsia="楷体_GB2312" w:cs="楷体_GB2312"/>
          <w:color w:val="000000"/>
          <w:kern w:val="0"/>
          <w:sz w:val="20"/>
          <w:szCs w:val="20"/>
        </w:rPr>
        <w:t>（3</w:t>
      </w:r>
      <w:r>
        <w:rPr>
          <w:rFonts w:ascii="Times New Roman" w:hAnsi="Times New Roman" w:eastAsia="楷体_GB2312" w:cs="楷体_GB2312"/>
          <w:color w:val="000000"/>
          <w:kern w:val="0"/>
          <w:sz w:val="20"/>
          <w:szCs w:val="20"/>
        </w:rPr>
        <w:t>）</w:t>
      </w:r>
      <w:r>
        <w:rPr>
          <w:rFonts w:ascii="Times New Roman" w:hAnsi="Times New Roman" w:eastAsia="楷体_GB2312" w:cs="楷体_GB2312"/>
          <w:b/>
          <w:bCs/>
          <w:color w:val="000000"/>
          <w:kern w:val="0"/>
          <w:sz w:val="20"/>
          <w:szCs w:val="20"/>
        </w:rPr>
        <w:t>本产品可以同时出现下述两种情形（具体以本产品说明书约定和实际运作情况为准）：</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a）计划投资不存在活跃交易市场，并且需要采用估值技术确定公允价值的资产；</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b）计划投资上述资产的比例达到产品净资产50%以上</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eastAsia="楷体_GB2312"/>
          <w:color w:val="000000" w:themeColor="text1"/>
          <w:sz w:val="20"/>
          <w:szCs w:val="20"/>
          <w14:textFill>
            <w14:solidFill>
              <w14:schemeClr w14:val="tx1"/>
            </w14:solidFill>
          </w14:textFill>
        </w:rPr>
        <w:t>5</w:t>
      </w:r>
      <w:r>
        <w:rPr>
          <w:rFonts w:hint="eastAsia" w:ascii="楷体_GB2312" w:eastAsia="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本理财产品的投资合作机构为【中信证券股份有限公司】。</w:t>
      </w:r>
    </w:p>
    <w:p>
      <w:pPr>
        <w:widowControl/>
        <w:spacing w:line="300" w:lineRule="exact"/>
        <w:ind w:firstLine="400" w:firstLineChars="200"/>
        <w:rPr>
          <w:rFonts w:ascii="Times New Roman" w:hAnsi="Times New Roman" w:eastAsia="楷体_GB2312" w:cs="楷体_GB2312"/>
          <w:color w:val="000000"/>
          <w:kern w:val="0"/>
          <w:sz w:val="20"/>
          <w:szCs w:val="20"/>
          <w:u w:val="single"/>
        </w:rPr>
      </w:pPr>
      <w:r>
        <w:rPr>
          <w:rFonts w:ascii="楷体_GB2312" w:hAnsi="宋体" w:eastAsia="楷体_GB2312" w:cs="宋体"/>
          <w:color w:val="000000"/>
          <w:kern w:val="0"/>
          <w:sz w:val="20"/>
          <w:szCs w:val="20"/>
        </w:rPr>
        <w:t>6</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7</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在合法合规且履行应履行的内外部程序后，理财产品可能与管理人及其控股股东、实际控制人等发生关联交易。</w:t>
      </w:r>
    </w:p>
    <w:p>
      <w:pPr>
        <w:widowControl/>
        <w:spacing w:line="300" w:lineRule="exact"/>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楷体" w:hAnsi="楷体" w:eastAsia="楷体" w:cs="宋体"/>
          <w:color w:val="000000"/>
          <w:kern w:val="0"/>
          <w:sz w:val="24"/>
          <w:szCs w:val="24"/>
        </w:rPr>
      </w:pPr>
      <w:r>
        <w:rPr>
          <w:rFonts w:hint="eastAsia" w:ascii="黑体" w:hAnsi="Times New Roman" w:eastAsia="黑体" w:cs="黑体"/>
          <w:color w:val="000000"/>
          <w:kern w:val="0"/>
          <w:sz w:val="20"/>
          <w:szCs w:val="20"/>
        </w:rPr>
        <w:t>二、产品基本要素</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产品名称</w:t>
            </w:r>
          </w:p>
        </w:tc>
        <w:tc>
          <w:tcPr>
            <w:tcW w:w="3710" w:type="pct"/>
            <w:vAlign w:val="center"/>
          </w:tcPr>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楷体_GB2312" w:hAnsi="宋体" w:eastAsia="楷体_GB2312" w:cs="楷体_GB2312"/>
                <w:color w:val="000000"/>
                <w:kern w:val="0"/>
                <w:sz w:val="20"/>
                <w:szCs w:val="20"/>
              </w:rPr>
              <w:t>【信银理财安盈象固收稳健丰收九个月封闭式11号理财产品】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理财产品登记编码</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Z7002623001654】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代码</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AF234105】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产品类型</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公募</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固定收益类</w:t>
            </w:r>
            <w:r>
              <w:rPr>
                <w:rFonts w:ascii="楷体_GB2312" w:hAnsi="宋体" w:eastAsia="楷体_GB2312" w:cs="楷体_GB2312"/>
                <w:color w:val="000000"/>
                <w:kern w:val="0"/>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信银理财产品风险分级</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PR</w:t>
            </w: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hAnsi="宋体" w:eastAsia="楷体_GB2312" w:cs="楷体_GB2312"/>
                <w:color w:val="000000"/>
                <w:kern w:val="0"/>
                <w:sz w:val="20"/>
                <w:szCs w:val="20"/>
              </w:rPr>
              <w:t>。本风险分级为信银理财自行评定，仅供参考。</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产品通过代销机构销售的，代销机构将</w:t>
            </w:r>
            <w:r>
              <w:rPr>
                <w:rFonts w:hint="eastAsia" w:ascii="楷体_GB2312" w:hAnsi="宋体" w:eastAsia="楷体_GB2312" w:cs="楷体_GB2312"/>
                <w:color w:val="000000"/>
                <w:kern w:val="0"/>
                <w:sz w:val="20"/>
                <w:szCs w:val="20"/>
              </w:rPr>
              <w:t>对</w:t>
            </w:r>
            <w:r>
              <w:rPr>
                <w:rFonts w:ascii="楷体_GB2312" w:hAnsi="宋体" w:eastAsia="楷体_GB2312" w:cs="楷体_GB2312"/>
                <w:color w:val="000000"/>
                <w:kern w:val="0"/>
                <w:sz w:val="20"/>
                <w:szCs w:val="20"/>
              </w:rPr>
              <w:t>理财产品进行风险评级</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对投资者进行风险</w:t>
            </w:r>
            <w:r>
              <w:rPr>
                <w:rFonts w:hint="eastAsia" w:ascii="楷体_GB2312" w:hAnsi="宋体" w:eastAsia="楷体_GB2312" w:cs="楷体_GB2312"/>
                <w:color w:val="000000"/>
                <w:kern w:val="0"/>
                <w:sz w:val="20"/>
                <w:szCs w:val="20"/>
              </w:rPr>
              <w:t>承受</w:t>
            </w:r>
            <w:r>
              <w:rPr>
                <w:rFonts w:ascii="楷体_GB2312" w:hAnsi="宋体" w:eastAsia="楷体_GB2312" w:cs="楷体_GB2312"/>
                <w:color w:val="000000"/>
                <w:kern w:val="0"/>
                <w:sz w:val="20"/>
                <w:szCs w:val="20"/>
              </w:rPr>
              <w:t>能力测评</w:t>
            </w:r>
            <w:r>
              <w:rPr>
                <w:rFonts w:hint="eastAsia" w:ascii="楷体_GB2312" w:hAnsi="宋体" w:eastAsia="楷体_GB2312" w:cs="楷体_GB2312"/>
                <w:color w:val="000000"/>
                <w:kern w:val="0"/>
                <w:sz w:val="20"/>
                <w:szCs w:val="20"/>
              </w:rPr>
              <w:t>，</w:t>
            </w:r>
            <w:r>
              <w:rPr>
                <w:rFonts w:hint="eastAsia" w:ascii="楷体_GB2312" w:hAnsi="宋体" w:eastAsia="楷体_GB2312" w:cs="楷体_GB2312"/>
                <w:b/>
                <w:color w:val="000000"/>
                <w:kern w:val="0"/>
                <w:sz w:val="20"/>
                <w:szCs w:val="20"/>
              </w:rPr>
              <w:t>理财产品评级应当以代销机构最终披露的评级结果为准</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代销</w:t>
            </w:r>
            <w:r>
              <w:rPr>
                <w:rFonts w:ascii="楷体_GB2312" w:hAnsi="宋体" w:eastAsia="楷体_GB2312" w:cs="楷体_GB2312"/>
                <w:color w:val="000000"/>
                <w:kern w:val="0"/>
                <w:sz w:val="20"/>
                <w:szCs w:val="20"/>
              </w:rPr>
              <w:t>机构对</w:t>
            </w:r>
            <w:r>
              <w:rPr>
                <w:rFonts w:hint="eastAsia" w:ascii="楷体_GB2312" w:hAnsi="宋体" w:eastAsia="楷体_GB2312" w:cs="楷体_GB2312"/>
                <w:color w:val="000000"/>
                <w:kern w:val="0"/>
                <w:sz w:val="20"/>
                <w:szCs w:val="20"/>
              </w:rPr>
              <w:t>产品的</w:t>
            </w:r>
            <w:r>
              <w:rPr>
                <w:rFonts w:ascii="楷体_GB2312" w:hAnsi="宋体" w:eastAsia="楷体_GB2312" w:cs="楷体_GB2312"/>
                <w:color w:val="000000"/>
                <w:kern w:val="0"/>
                <w:sz w:val="20"/>
                <w:szCs w:val="20"/>
              </w:rPr>
              <w:t>风险</w:t>
            </w:r>
            <w:r>
              <w:rPr>
                <w:rFonts w:hint="eastAsia" w:ascii="楷体_GB2312" w:hAnsi="宋体" w:eastAsia="楷体_GB2312" w:cs="楷体_GB2312"/>
                <w:color w:val="000000"/>
                <w:kern w:val="0"/>
                <w:sz w:val="20"/>
                <w:szCs w:val="20"/>
              </w:rPr>
              <w:t>评级</w:t>
            </w:r>
            <w:r>
              <w:rPr>
                <w:rFonts w:ascii="楷体_GB2312" w:hAnsi="宋体" w:eastAsia="楷体_GB2312" w:cs="楷体_GB2312"/>
                <w:color w:val="000000"/>
                <w:kern w:val="0"/>
                <w:sz w:val="20"/>
                <w:szCs w:val="20"/>
              </w:rPr>
              <w:t>结果与信银理财不一致的，将采用对应较高风险</w:t>
            </w:r>
            <w:r>
              <w:rPr>
                <w:rFonts w:hint="eastAsia" w:ascii="楷体_GB2312" w:hAnsi="宋体" w:eastAsia="楷体_GB2312" w:cs="楷体_GB2312"/>
                <w:color w:val="000000"/>
                <w:kern w:val="0"/>
                <w:sz w:val="20"/>
                <w:szCs w:val="20"/>
              </w:rPr>
              <w:t>等级</w:t>
            </w:r>
            <w:r>
              <w:rPr>
                <w:rFonts w:ascii="楷体_GB2312" w:hAnsi="宋体" w:eastAsia="楷体_GB2312" w:cs="楷体_GB2312"/>
                <w:color w:val="000000"/>
                <w:kern w:val="0"/>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发行对象</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【个人</w:t>
            </w:r>
            <w:r>
              <w:rPr>
                <w:rFonts w:ascii="楷体_GB2312" w:hAnsi="宋体" w:eastAsia="楷体_GB2312" w:cs="楷体_GB2312"/>
                <w:color w:val="000000"/>
                <w:kern w:val="0"/>
                <w:sz w:val="20"/>
                <w:szCs w:val="20"/>
              </w:rPr>
              <w:t>/机构】</w:t>
            </w:r>
            <w:r>
              <w:rPr>
                <w:rFonts w:hint="eastAsia" w:ascii="楷体_GB2312" w:hAnsi="宋体" w:eastAsia="楷体_GB2312" w:cs="楷体_GB2312"/>
                <w:color w:val="000000"/>
                <w:kern w:val="0"/>
                <w:sz w:val="20"/>
                <w:szCs w:val="20"/>
              </w:rPr>
              <w:t>客户</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适合</w:t>
            </w:r>
            <w:r>
              <w:rPr>
                <w:rFonts w:hint="eastAsia" w:ascii="楷体_GB2312" w:eastAsia="楷体_GB2312" w:cs="楷体_GB2312"/>
                <w:sz w:val="20"/>
                <w:szCs w:val="20"/>
              </w:rPr>
              <w:t>【</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w:t>
            </w:r>
            <w:r>
              <w:rPr>
                <w:rFonts w:hint="eastAsia" w:ascii="楷体_GB2312" w:hAnsi="宋体" w:eastAsia="楷体_GB2312" w:cs="楷体_GB2312"/>
                <w:color w:val="000000"/>
                <w:kern w:val="0"/>
                <w:sz w:val="20"/>
                <w:szCs w:val="20"/>
              </w:rPr>
              <w:t>投资者。</w:t>
            </w:r>
            <w:r>
              <w:rPr>
                <w:rFonts w:hint="eastAsia" w:ascii="楷体_GB2312" w:hAnsi="宋体" w:eastAsia="楷体_GB2312" w:cs="楷体_GB2312"/>
                <w:kern w:val="0"/>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理财本金</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本理财产品不保证本金及理财收益，其理财收益随单位净值浮动。详细内容见以下“七</w:t>
            </w:r>
            <w:r>
              <w:rPr>
                <w:rFonts w:ascii="楷体_GB2312" w:hAnsi="宋体" w:eastAsia="楷体_GB2312" w:cs="楷体_GB2312"/>
                <w:color w:val="000000"/>
                <w:kern w:val="0"/>
                <w:sz w:val="20"/>
                <w:szCs w:val="20"/>
              </w:rPr>
              <w:t>、</w:t>
            </w:r>
            <w:r>
              <w:rPr>
                <w:rFonts w:hint="eastAsia" w:ascii="楷体_GB2312" w:hAnsi="宋体" w:eastAsia="楷体_GB2312" w:cs="楷体_GB2312"/>
                <w:b/>
                <w:bCs/>
                <w:color w:val="000000"/>
                <w:kern w:val="0"/>
                <w:sz w:val="20"/>
                <w:szCs w:val="20"/>
              </w:rPr>
              <w:t>理财资金分配</w:t>
            </w:r>
            <w:r>
              <w:rPr>
                <w:rFonts w:hint="eastAsia" w:ascii="楷体_GB2312" w:hAnsi="宋体" w:eastAsia="楷体_GB2312" w:cs="楷体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w:t>
            </w:r>
            <w:r>
              <w:rPr>
                <w:rFonts w:ascii="楷体_GB2312" w:hAnsi="宋体" w:eastAsia="楷体_GB2312" w:cs="楷体_GB2312"/>
                <w:color w:val="000000"/>
                <w:kern w:val="0"/>
                <w:sz w:val="20"/>
                <w:szCs w:val="20"/>
              </w:rPr>
              <w:t>管理人依据理财产品</w:t>
            </w:r>
            <w:r>
              <w:rPr>
                <w:rFonts w:hint="eastAsia" w:ascii="楷体_GB2312" w:hAnsi="宋体" w:eastAsia="楷体_GB2312" w:cs="楷体_GB2312"/>
                <w:color w:val="000000"/>
                <w:kern w:val="0"/>
                <w:sz w:val="20"/>
                <w:szCs w:val="20"/>
              </w:rPr>
              <w:t>销售合同</w:t>
            </w:r>
            <w:r>
              <w:rPr>
                <w:rFonts w:ascii="楷体_GB2312" w:hAnsi="宋体" w:eastAsia="楷体_GB2312" w:cs="楷体_GB2312"/>
                <w:color w:val="000000"/>
                <w:kern w:val="0"/>
                <w:sz w:val="20"/>
                <w:szCs w:val="20"/>
              </w:rPr>
              <w:t>向投资者发行的</w:t>
            </w: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受益凭证。理财产品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产品份额面值</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产品份额面值为</w:t>
            </w:r>
            <w:r>
              <w:rPr>
                <w:rFonts w:hint="eastAsia" w:ascii="楷体_GB2312" w:hAnsi="宋体" w:eastAsia="楷体_GB2312" w:cs="楷体_GB2312"/>
                <w:color w:val="000000"/>
                <w:kern w:val="0"/>
                <w:sz w:val="20"/>
                <w:szCs w:val="20"/>
              </w:rPr>
              <w:t>【人民币</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产品份额类型</w:t>
            </w:r>
          </w:p>
        </w:tc>
        <w:tc>
          <w:tcPr>
            <w:tcW w:w="3710" w:type="pct"/>
            <w:vAlign w:val="center"/>
          </w:tcPr>
          <w:p>
            <w:pPr>
              <w:spacing w:line="300" w:lineRule="exact"/>
              <w:ind w:right="31"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代码【AF234105B】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11</w:t>
            </w:r>
            <w:r>
              <w:rPr>
                <w:rFonts w:hint="eastAsia" w:ascii="楷体_GB2312" w:eastAsia="楷体_GB2312" w:cs="楷体_GB2312"/>
                <w:sz w:val="20"/>
                <w:szCs w:val="20"/>
              </w:rPr>
              <w:t>号（协作））</w:t>
            </w:r>
          </w:p>
          <w:p>
            <w:pPr>
              <w:widowControl/>
              <w:spacing w:line="300" w:lineRule="exact"/>
              <w:ind w:right="31" w:rightChars="15"/>
              <w:jc w:val="left"/>
              <w:rPr>
                <w:rFonts w:ascii="楷体_GB2312" w:hAnsi="宋体" w:eastAsia="楷体_GB2312" w:cs="楷体_GB2312"/>
                <w:color w:val="000000"/>
                <w:kern w:val="0"/>
                <w:sz w:val="20"/>
                <w:szCs w:val="20"/>
              </w:rPr>
            </w:pP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工作日</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募集期</w:t>
            </w:r>
          </w:p>
        </w:tc>
        <w:tc>
          <w:tcPr>
            <w:tcW w:w="3710" w:type="pct"/>
            <w:vAlign w:val="center"/>
          </w:tcPr>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【2023】年【</w:t>
            </w:r>
            <w:r>
              <w:rPr>
                <w:rFonts w:ascii="楷体_GB2312" w:hAnsi="宋体" w:eastAsia="楷体_GB2312" w:cs="楷体_GB2312"/>
                <w:color w:val="000000"/>
                <w:kern w:val="0"/>
                <w:sz w:val="20"/>
                <w:szCs w:val="20"/>
              </w:rPr>
              <w:t>11</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】日至【2023】年【</w:t>
            </w:r>
            <w:r>
              <w:rPr>
                <w:rFonts w:ascii="楷体_GB2312" w:hAnsi="宋体" w:eastAsia="楷体_GB2312" w:cs="楷体_GB2312"/>
                <w:color w:val="000000"/>
                <w:kern w:val="0"/>
                <w:sz w:val="20"/>
                <w:szCs w:val="20"/>
              </w:rPr>
              <w:t>11</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7</w:t>
            </w:r>
            <w:r>
              <w:rPr>
                <w:rFonts w:hint="eastAsia" w:ascii="楷体_GB2312" w:hAnsi="宋体" w:eastAsia="楷体_GB2312" w:cs="楷体_GB2312"/>
                <w:color w:val="000000"/>
                <w:kern w:val="0"/>
                <w:sz w:val="20"/>
                <w:szCs w:val="20"/>
              </w:rPr>
              <w:t>】日，信银理财有权提前结束募集期并提前成立产品或者延长募集期。</w:t>
            </w:r>
            <w:r>
              <w:rPr>
                <w:rFonts w:ascii="Times New Roman" w:hAnsi="Times New Roman" w:eastAsia="楷体_GB2312" w:cs="Times New Roman"/>
                <w:color w:val="000000"/>
                <w:kern w:val="0"/>
                <w:sz w:val="20"/>
                <w:szCs w:val="20"/>
              </w:rPr>
              <w:t>投资者在</w:t>
            </w:r>
            <w:r>
              <w:rPr>
                <w:rFonts w:hint="eastAsia" w:ascii="Times New Roman" w:hAnsi="Times New Roman" w:eastAsia="楷体_GB2312" w:cs="Times New Roman"/>
                <w:color w:val="000000"/>
                <w:kern w:val="0"/>
                <w:sz w:val="20"/>
                <w:szCs w:val="20"/>
              </w:rPr>
              <w:t>信银</w:t>
            </w:r>
            <w:r>
              <w:rPr>
                <w:rFonts w:ascii="Times New Roman" w:hAnsi="Times New Roman" w:eastAsia="楷体_GB2312" w:cs="Times New Roman"/>
                <w:color w:val="000000"/>
                <w:kern w:val="0"/>
                <w:sz w:val="20"/>
                <w:szCs w:val="20"/>
              </w:rPr>
              <w:t>理财直销渠道购买</w:t>
            </w:r>
            <w:r>
              <w:rPr>
                <w:rFonts w:hint="eastAsia" w:ascii="Times New Roman" w:hAnsi="Times New Roman" w:eastAsia="楷体_GB2312" w:cs="Times New Roman"/>
                <w:color w:val="000000"/>
                <w:kern w:val="0"/>
                <w:sz w:val="20"/>
                <w:szCs w:val="20"/>
              </w:rPr>
              <w:t>产品</w:t>
            </w:r>
            <w:r>
              <w:rPr>
                <w:rFonts w:ascii="Times New Roman" w:hAnsi="Times New Roman" w:eastAsia="楷体_GB2312" w:cs="Times New Roman"/>
                <w:color w:val="000000"/>
                <w:kern w:val="0"/>
                <w:sz w:val="20"/>
                <w:szCs w:val="20"/>
              </w:rPr>
              <w:t>的，募集期内</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可以</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。撤单</w:t>
            </w:r>
            <w:r>
              <w:rPr>
                <w:rFonts w:ascii="Times New Roman" w:hAnsi="Times New Roman" w:eastAsia="楷体_GB2312" w:cs="Times New Roman"/>
                <w:color w:val="000000"/>
                <w:kern w:val="0"/>
                <w:sz w:val="20"/>
                <w:szCs w:val="20"/>
              </w:rPr>
              <w:t>具体规则</w:t>
            </w:r>
            <w:r>
              <w:rPr>
                <w:rFonts w:hint="eastAsia" w:ascii="Times New Roman" w:hAnsi="Times New Roman" w:eastAsia="楷体_GB2312" w:cs="Times New Roman"/>
                <w:color w:val="000000"/>
                <w:kern w:val="0"/>
                <w:sz w:val="20"/>
                <w:szCs w:val="20"/>
              </w:rPr>
              <w:t>以</w:t>
            </w:r>
            <w:r>
              <w:rPr>
                <w:rFonts w:ascii="Times New Roman" w:hAnsi="Times New Roman" w:eastAsia="楷体_GB2312" w:cs="Times New Roman"/>
                <w:color w:val="000000"/>
                <w:kern w:val="0"/>
                <w:sz w:val="20"/>
                <w:szCs w:val="20"/>
              </w:rPr>
              <w:t>信银理财</w:t>
            </w:r>
            <w:r>
              <w:rPr>
                <w:rFonts w:hint="eastAsia" w:ascii="Times New Roman" w:hAnsi="Times New Roman" w:eastAsia="楷体_GB2312" w:cs="Times New Roman"/>
                <w:color w:val="000000"/>
                <w:kern w:val="0"/>
                <w:sz w:val="20"/>
                <w:szCs w:val="20"/>
              </w:rPr>
              <w:t>说明</w:t>
            </w:r>
            <w:r>
              <w:rPr>
                <w:rFonts w:ascii="Times New Roman" w:hAnsi="Times New Roman" w:eastAsia="楷体_GB2312" w:cs="Times New Roman"/>
                <w:color w:val="000000"/>
                <w:kern w:val="0"/>
                <w:sz w:val="20"/>
                <w:szCs w:val="20"/>
              </w:rPr>
              <w:t>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2</w:t>
            </w:r>
            <w:r>
              <w:rPr>
                <w:rFonts w:ascii="Times New Roman" w:hAnsi="Times New Roman" w:eastAsia="楷体_GB2312" w:cs="Times New Roman"/>
                <w:color w:val="000000"/>
                <w:kern w:val="0"/>
                <w:sz w:val="20"/>
                <w:szCs w:val="20"/>
              </w:rPr>
              <w:t>.</w:t>
            </w:r>
            <w:r>
              <w:rPr>
                <w:rFonts w:hint="eastAsia" w:ascii="Times New Roman" w:hAnsi="Times New Roman" w:eastAsia="楷体_GB2312" w:cs="Times New Roman"/>
                <w:color w:val="000000"/>
                <w:kern w:val="0"/>
                <w:sz w:val="20"/>
                <w:szCs w:val="20"/>
              </w:rPr>
              <w:t>投资者在</w:t>
            </w:r>
            <w:r>
              <w:rPr>
                <w:rFonts w:ascii="Times New Roman" w:hAnsi="Times New Roman" w:eastAsia="楷体_GB2312" w:cs="Times New Roman"/>
                <w:color w:val="000000"/>
                <w:kern w:val="0"/>
                <w:sz w:val="20"/>
                <w:szCs w:val="20"/>
              </w:rPr>
              <w:t>代销</w:t>
            </w:r>
            <w:r>
              <w:rPr>
                <w:rFonts w:hint="eastAsia" w:ascii="Times New Roman" w:hAnsi="Times New Roman" w:eastAsia="楷体_GB2312" w:cs="Times New Roman"/>
                <w:color w:val="000000"/>
                <w:kern w:val="0"/>
                <w:sz w:val="20"/>
                <w:szCs w:val="20"/>
              </w:rPr>
              <w:t>机构</w:t>
            </w:r>
            <w:r>
              <w:rPr>
                <w:rFonts w:ascii="Times New Roman" w:hAnsi="Times New Roman" w:eastAsia="楷体_GB2312" w:cs="Times New Roman"/>
                <w:color w:val="000000"/>
                <w:kern w:val="0"/>
                <w:sz w:val="20"/>
                <w:szCs w:val="20"/>
              </w:rPr>
              <w:t>购买理财产品的，</w:t>
            </w:r>
            <w:r>
              <w:rPr>
                <w:rFonts w:hint="eastAsia" w:ascii="Times New Roman" w:hAnsi="Times New Roman" w:eastAsia="楷体_GB2312" w:cs="Times New Roman"/>
                <w:color w:val="000000"/>
                <w:kern w:val="0"/>
                <w:sz w:val="20"/>
                <w:szCs w:val="20"/>
              </w:rPr>
              <w:t>募集期</w:t>
            </w:r>
            <w:r>
              <w:rPr>
                <w:rFonts w:ascii="Times New Roman" w:hAnsi="Times New Roman" w:eastAsia="楷体_GB2312" w:cs="Times New Roman"/>
                <w:color w:val="000000"/>
                <w:kern w:val="0"/>
                <w:sz w:val="20"/>
                <w:szCs w:val="20"/>
              </w:rPr>
              <w:t>内是否可以撤单</w:t>
            </w:r>
            <w:r>
              <w:rPr>
                <w:rFonts w:hint="eastAsia" w:ascii="Times New Roman" w:hAnsi="Times New Roman" w:eastAsia="楷体_GB2312" w:cs="Times New Roman"/>
                <w:color w:val="000000"/>
                <w:kern w:val="0"/>
                <w:sz w:val="20"/>
                <w:szCs w:val="20"/>
              </w:rPr>
              <w:t>以及</w:t>
            </w:r>
            <w:r>
              <w:rPr>
                <w:rFonts w:ascii="Times New Roman" w:hAnsi="Times New Roman" w:eastAsia="楷体_GB2312" w:cs="Times New Roman"/>
                <w:color w:val="000000"/>
                <w:kern w:val="0"/>
                <w:sz w:val="20"/>
                <w:szCs w:val="20"/>
              </w:rPr>
              <w:t>撤单规则，以代销机构说明或公布的操作方式为准。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“可以</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”则</w:t>
            </w:r>
            <w:r>
              <w:rPr>
                <w:rFonts w:ascii="Times New Roman" w:hAnsi="Times New Roman" w:eastAsia="楷体_GB2312" w:cs="Times New Roman"/>
                <w:color w:val="000000"/>
                <w:kern w:val="0"/>
                <w:sz w:val="20"/>
                <w:szCs w:val="20"/>
              </w:rPr>
              <w:t>意味着</w:t>
            </w:r>
            <w:r>
              <w:rPr>
                <w:rFonts w:hint="eastAsia" w:ascii="Times New Roman" w:hAnsi="Times New Roman" w:eastAsia="楷体_GB2312" w:cs="Times New Roman"/>
                <w:color w:val="000000"/>
                <w:kern w:val="0"/>
                <w:sz w:val="20"/>
                <w:szCs w:val="20"/>
              </w:rPr>
              <w:t>投资者有权撤销其已向信银理财或代销机构提交的认购申请。</w:t>
            </w:r>
          </w:p>
          <w:p>
            <w:pPr>
              <w:spacing w:line="300" w:lineRule="exact"/>
              <w:ind w:right="31" w:rightChars="15"/>
              <w:rPr>
                <w:rFonts w:ascii="Times New Roman" w:hAnsi="Times New Roman" w:eastAsia="楷体_GB2312" w:cs="Times New Roman"/>
                <w:color w:val="000000"/>
                <w:sz w:val="20"/>
                <w:szCs w:val="20"/>
              </w:rPr>
            </w:pPr>
            <w:r>
              <w:rPr>
                <w:rFonts w:ascii="Times New Roman" w:hAnsi="Times New Roman" w:eastAsia="楷体_GB2312" w:cs="Times New Roman"/>
                <w:color w:val="000000"/>
                <w:sz w:val="20"/>
                <w:szCs w:val="20"/>
              </w:rPr>
              <w:t>3.</w:t>
            </w:r>
            <w:r>
              <w:rPr>
                <w:rFonts w:hint="eastAsia" w:ascii="Times New Roman" w:hAnsi="Times New Roman" w:eastAsia="楷体_GB2312" w:cs="Times New Roman"/>
                <w:color w:val="000000"/>
                <w:sz w:val="20"/>
                <w:szCs w:val="20"/>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运作</w:t>
            </w:r>
            <w:r>
              <w:rPr>
                <w:rFonts w:ascii="Times New Roman" w:hAnsi="Times New Roman" w:eastAsia="楷体_GB2312" w:cs="Times New Roman"/>
                <w:color w:val="000000"/>
                <w:kern w:val="0"/>
                <w:sz w:val="20"/>
                <w:szCs w:val="20"/>
              </w:rPr>
              <w:t>起始</w:t>
            </w:r>
            <w:r>
              <w:rPr>
                <w:rFonts w:hint="eastAsia" w:ascii="Times New Roman" w:hAnsi="Times New Roman" w:eastAsia="楷体_GB2312" w:cs="Times New Roman"/>
                <w:color w:val="000000"/>
                <w:kern w:val="0"/>
                <w:sz w:val="20"/>
                <w:szCs w:val="20"/>
              </w:rPr>
              <w:t>日</w:t>
            </w:r>
          </w:p>
        </w:tc>
        <w:tc>
          <w:tcPr>
            <w:tcW w:w="371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产品建仓期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】日至【2</w:t>
            </w:r>
            <w:r>
              <w:rPr>
                <w:rFonts w:ascii="楷体_GB2312" w:eastAsia="楷体_GB2312" w:cs="楷体_GB2312"/>
                <w:sz w:val="20"/>
                <w:szCs w:val="20"/>
              </w:rPr>
              <w:t>024</w:t>
            </w:r>
            <w:r>
              <w:rPr>
                <w:rFonts w:hint="eastAsia" w:ascii="楷体_GB2312" w:eastAsia="楷体_GB2312" w:cs="楷体_GB2312"/>
                <w:sz w:val="20"/>
                <w:szCs w:val="20"/>
              </w:rPr>
              <w:t>】年</w:t>
            </w:r>
            <w:r>
              <w:rPr>
                <w:rFonts w:ascii="楷体_GB2312" w:eastAsia="楷体_GB2312" w:cs="楷体_GB2312"/>
                <w:sz w:val="20"/>
                <w:szCs w:val="20"/>
              </w:rPr>
              <w:t>【2】</w:t>
            </w:r>
            <w:r>
              <w:rPr>
                <w:rFonts w:hint="eastAsia" w:ascii="楷体_GB2312" w:eastAsia="楷体_GB2312" w:cs="楷体_GB2312"/>
                <w:sz w:val="20"/>
                <w:szCs w:val="20"/>
              </w:rPr>
              <w:t>月</w:t>
            </w:r>
            <w:r>
              <w:rPr>
                <w:rFonts w:ascii="楷体_GB2312" w:eastAsia="楷体_GB2312" w:cs="楷体_GB2312"/>
                <w:sz w:val="20"/>
                <w:szCs w:val="20"/>
              </w:rPr>
              <w:t>【7】</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到期日</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清算期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到期日（或理财产品实际终止日）至投资者持有</w:t>
            </w:r>
            <w:r>
              <w:rPr>
                <w:rFonts w:ascii="楷体_GB2312" w:hAnsi="宋体" w:eastAsia="楷体_GB2312" w:cs="楷体_GB2312"/>
                <w:color w:val="000000"/>
                <w:kern w:val="0"/>
                <w:sz w:val="20"/>
                <w:szCs w:val="20"/>
              </w:rPr>
              <w:t>的本</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产品份额清零之日</w:t>
            </w:r>
            <w:r>
              <w:rPr>
                <w:rFonts w:hint="eastAsia" w:ascii="楷体_GB2312" w:hAnsi="宋体" w:eastAsia="楷体_GB2312" w:cs="楷体_GB2312"/>
                <w:color w:val="000000"/>
                <w:kern w:val="0"/>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right="31" w:rightChars="15"/>
              <w:jc w:val="left"/>
              <w:rPr>
                <w:rFonts w:ascii="Times New Roman" w:hAnsi="宋体" w:eastAsia="楷体_GB2312" w:cs="楷体_GB2312"/>
                <w:color w:val="000000"/>
                <w:kern w:val="0"/>
                <w:sz w:val="20"/>
                <w:szCs w:val="20"/>
              </w:rPr>
            </w:pPr>
            <w:r>
              <w:rPr>
                <w:rFonts w:ascii="Times New Roman" w:hAnsi="宋体" w:eastAsia="楷体_GB2312" w:cs="楷体_GB2312"/>
                <w:color w:val="000000"/>
                <w:kern w:val="0"/>
                <w:sz w:val="20"/>
                <w:szCs w:val="20"/>
              </w:rPr>
              <w:t>业绩</w:t>
            </w:r>
            <w:r>
              <w:rPr>
                <w:rFonts w:hint="eastAsia" w:ascii="Times New Roman" w:hAnsi="宋体" w:eastAsia="楷体_GB2312" w:cs="楷体_GB2312"/>
                <w:color w:val="000000"/>
                <w:kern w:val="0"/>
                <w:sz w:val="20"/>
                <w:szCs w:val="20"/>
              </w:rPr>
              <w:t>比较</w:t>
            </w:r>
            <w:r>
              <w:rPr>
                <w:rFonts w:ascii="Times New Roman" w:hAnsi="宋体" w:eastAsia="楷体_GB2312" w:cs="楷体_GB2312"/>
                <w:color w:val="000000"/>
                <w:kern w:val="0"/>
                <w:sz w:val="20"/>
                <w:szCs w:val="20"/>
              </w:rPr>
              <w:t>基准</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B类份额：【3.30</w:t>
            </w:r>
            <w:r>
              <w:rPr>
                <w:rFonts w:hint="eastAsia" w:ascii="楷体_GB2312" w:eastAsia="楷体_GB2312" w:cs="楷体_GB2312"/>
                <w:sz w:val="20"/>
                <w:szCs w:val="20"/>
              </w:rPr>
              <w:t>%-</w:t>
            </w:r>
            <w:r>
              <w:rPr>
                <w:rFonts w:ascii="楷体_GB2312" w:eastAsia="楷体_GB2312" w:cs="楷体_GB2312"/>
                <w:sz w:val="20"/>
                <w:szCs w:val="20"/>
              </w:rPr>
              <w:t>4.00</w:t>
            </w:r>
            <w:r>
              <w:rPr>
                <w:rFonts w:hint="eastAsia" w:ascii="楷体_GB2312" w:eastAsia="楷体_GB2312" w:cs="楷体_GB2312"/>
                <w:sz w:val="20"/>
                <w:szCs w:val="20"/>
              </w:rPr>
              <w:t>%</w:t>
            </w:r>
            <w:r>
              <w:rPr>
                <w:rFonts w:ascii="楷体_GB2312" w:eastAsia="楷体_GB2312" w:cs="楷体_GB2312"/>
                <w:sz w:val="20"/>
                <w:szCs w:val="20"/>
              </w:rPr>
              <w:t>】</w:t>
            </w:r>
          </w:p>
          <w:p>
            <w:pPr>
              <w:spacing w:line="300" w:lineRule="exact"/>
              <w:ind w:right="31" w:rightChars="15"/>
              <w:rPr>
                <w:rFonts w:ascii="楷体_GB2312" w:eastAsia="楷体_GB2312" w:cs="楷体_GB2312"/>
                <w:sz w:val="20"/>
                <w:szCs w:val="20"/>
              </w:rPr>
            </w:pP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w:t>
            </w:r>
          </w:p>
          <w:p>
            <w:pPr>
              <w:widowControl/>
              <w:spacing w:line="300" w:lineRule="exact"/>
              <w:ind w:left="-2" w:leftChars="-1" w:right="31" w:rightChars="15"/>
              <w:rPr>
                <w:rFonts w:ascii="楷体_GB2312" w:hAnsi="宋体" w:eastAsia="楷体_GB2312" w:cs="楷体_GB2312"/>
                <w:b/>
                <w:bCs/>
                <w:color w:val="000000"/>
                <w:kern w:val="0"/>
                <w:sz w:val="20"/>
                <w:szCs w:val="20"/>
              </w:rPr>
            </w:pPr>
            <w:r>
              <w:rPr>
                <w:rFonts w:hint="eastAsia" w:ascii="楷体_GB2312" w:hAnsi="宋体" w:eastAsia="楷体_GB2312" w:cs="楷体_GB2312"/>
                <w:b/>
                <w:bCs/>
                <w:color w:val="000000"/>
                <w:kern w:val="0"/>
                <w:sz w:val="20"/>
                <w:szCs w:val="20"/>
              </w:rPr>
              <w:t>业绩比较基准是基于产品性质、投资策略、过往经验等因素对产品设定的投资目标，不是预期收益率，不代表产品的未来表现和实际收益，不构成对产品收益的承诺，投资须谨慎。</w:t>
            </w:r>
          </w:p>
          <w:p>
            <w:pPr>
              <w:widowControl/>
              <w:spacing w:line="300" w:lineRule="exact"/>
              <w:ind w:left="-2" w:leftChars="-1" w:right="31" w:rightChars="15"/>
              <w:rPr>
                <w:rFonts w:ascii="黑体" w:hAnsi="黑体" w:eastAsia="黑体" w:cs="楷体_GB2312"/>
                <w:b/>
                <w:color w:val="000000"/>
                <w:kern w:val="0"/>
                <w:sz w:val="20"/>
                <w:szCs w:val="20"/>
              </w:rPr>
            </w:pPr>
            <w:r>
              <w:rPr>
                <w:rFonts w:hint="eastAsia" w:ascii="楷体_GB2312" w:hAnsi="宋体" w:eastAsia="楷体_GB2312" w:cs="楷体_GB2312"/>
                <w:b/>
                <w:bCs/>
                <w:color w:val="000000"/>
                <w:kern w:val="0"/>
                <w:sz w:val="20"/>
                <w:szCs w:val="20"/>
              </w:rPr>
              <w:t>本产品收取的销售服务费可能因销售</w:t>
            </w:r>
            <w:r>
              <w:rPr>
                <w:rFonts w:ascii="楷体_GB2312" w:hAnsi="宋体" w:eastAsia="楷体_GB2312" w:cs="楷体_GB2312"/>
                <w:b/>
                <w:bCs/>
                <w:color w:val="000000"/>
                <w:kern w:val="0"/>
                <w:sz w:val="20"/>
                <w:szCs w:val="20"/>
              </w:rPr>
              <w:t>机构</w:t>
            </w:r>
            <w:r>
              <w:rPr>
                <w:rFonts w:hint="eastAsia" w:ascii="楷体_GB2312" w:hAnsi="宋体" w:eastAsia="楷体_GB2312" w:cs="楷体_GB2312"/>
                <w:b/>
                <w:bCs/>
                <w:color w:val="000000"/>
                <w:kern w:val="0"/>
                <w:sz w:val="20"/>
                <w:szCs w:val="20"/>
              </w:rPr>
              <w:t>不同有所差异，从而导致测算的业绩比较基准有所差异，请投资者关注管理人及销售机构相关信息披露。</w:t>
            </w:r>
          </w:p>
          <w:p>
            <w:pPr>
              <w:widowControl/>
              <w:spacing w:line="300" w:lineRule="exact"/>
              <w:ind w:left="-2" w:leftChars="-1"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交易时间</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本产品认购交易时间为【8：30-17：00】（信银理财有权变更交易时间，且无需另行通知）。如果投资者通过信银理财直销渠道购买的，则交易时间以信银理财直销渠道的营业时间和公布的交易时间为准，且必须在【8：30-17：00】内；募集期内，信银理财在认购交易时间内受理投资者的认购申请。投资者通过代销机构购买理财产品的，还应按照代销机构对于交易时间以及交易申请的相关规定执行，但认购交易时间必须在【8：30-17：00】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计划募集金额</w:t>
            </w:r>
            <w:r>
              <w:rPr>
                <w:rFonts w:ascii="Times New Roman" w:hAnsi="宋体" w:eastAsia="楷体_GB2312" w:cs="楷体_GB2312"/>
                <w:color w:val="000000"/>
                <w:kern w:val="0"/>
                <w:sz w:val="20"/>
                <w:szCs w:val="20"/>
              </w:rPr>
              <w:t>下限</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【100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币种</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认购起点</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1.B类份额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1" w:rightChars="15"/>
              <w:rPr>
                <w:rFonts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kern w:val="0"/>
                <w:sz w:val="20"/>
                <w:szCs w:val="20"/>
              </w:rPr>
              <w:t>2</w:t>
            </w:r>
            <w:r>
              <w:rPr>
                <w:rFonts w:ascii="楷体_GB2312" w:hAnsi="宋体" w:eastAsia="楷体_GB2312" w:cs="楷体_GB2312"/>
                <w:kern w:val="0"/>
                <w:sz w:val="20"/>
                <w:szCs w:val="20"/>
              </w:rPr>
              <w:t>.</w:t>
            </w:r>
            <w:r>
              <w:rPr>
                <w:rFonts w:hint="eastAsia" w:ascii="楷体_GB2312" w:hAnsi="宋体" w:eastAsia="楷体_GB2312" w:cs="楷体_GB2312"/>
                <w:kern w:val="0"/>
                <w:sz w:val="20"/>
                <w:szCs w:val="20"/>
              </w:rPr>
              <w:t>代销机构对产品的认</w:t>
            </w:r>
            <w:r>
              <w:rPr>
                <w:rFonts w:ascii="楷体_GB2312" w:hAnsi="宋体" w:eastAsia="楷体_GB2312" w:cs="楷体_GB2312"/>
                <w:kern w:val="0"/>
                <w:sz w:val="20"/>
                <w:szCs w:val="20"/>
              </w:rPr>
              <w:t>购</w:t>
            </w:r>
            <w:r>
              <w:rPr>
                <w:rFonts w:hint="eastAsia" w:ascii="楷体_GB2312" w:hAnsi="宋体" w:eastAsia="楷体_GB2312" w:cs="楷体_GB2312"/>
                <w:kern w:val="0"/>
                <w:sz w:val="20"/>
                <w:szCs w:val="20"/>
              </w:rPr>
              <w:t>起点及追加认</w:t>
            </w:r>
            <w:r>
              <w:rPr>
                <w:rFonts w:ascii="楷体_GB2312" w:hAnsi="宋体" w:eastAsia="楷体_GB2312" w:cs="楷体_GB2312"/>
                <w:kern w:val="0"/>
                <w:sz w:val="20"/>
                <w:szCs w:val="20"/>
              </w:rPr>
              <w:t>购金额</w:t>
            </w:r>
            <w:r>
              <w:rPr>
                <w:rFonts w:hint="eastAsia" w:ascii="楷体_GB2312" w:hAnsi="宋体" w:eastAsia="楷体_GB2312" w:cs="楷体_GB2312"/>
                <w:kern w:val="0"/>
                <w:sz w:val="20"/>
                <w:szCs w:val="20"/>
              </w:rPr>
              <w:t>的要求与信银理财不一致的，以代销机构为准，但不得低于上述对应金额</w:t>
            </w:r>
            <w:r>
              <w:rPr>
                <w:rFonts w:hint="eastAsia" w:ascii="楷体_GB2312" w:hAnsi="宋体" w:eastAsia="宋体" w:cs="宋体"/>
                <w:kern w:val="0"/>
                <w:sz w:val="2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单个</w:t>
            </w:r>
            <w:r>
              <w:rPr>
                <w:rFonts w:ascii="Times New Roman" w:hAnsi="宋体" w:eastAsia="楷体_GB2312" w:cs="楷体_GB2312"/>
                <w:color w:val="000000"/>
                <w:kern w:val="0"/>
                <w:sz w:val="20"/>
                <w:szCs w:val="20"/>
              </w:rPr>
              <w:t>投资者持仓份额比例限制</w:t>
            </w:r>
          </w:p>
        </w:tc>
        <w:tc>
          <w:tcPr>
            <w:tcW w:w="3710" w:type="pct"/>
            <w:vAlign w:val="center"/>
          </w:tcPr>
          <w:p>
            <w:pPr>
              <w:widowControl/>
              <w:spacing w:line="300" w:lineRule="exact"/>
              <w:ind w:left="-2" w:leftChars="-1" w:right="31" w:rightChars="15"/>
              <w:jc w:val="left"/>
              <w:rPr>
                <w:rFonts w:ascii="楷体_GB2312" w:hAnsi="宋体" w:eastAsia="楷体_GB2312" w:cs="楷体_GB2312"/>
                <w:b/>
                <w:color w:val="000000"/>
                <w:kern w:val="0"/>
                <w:sz w:val="20"/>
                <w:szCs w:val="20"/>
              </w:rPr>
            </w:pPr>
            <w:r>
              <w:rPr>
                <w:rFonts w:hint="eastAsia" w:ascii="楷体_GB2312" w:hAnsi="宋体" w:eastAsia="楷体_GB2312" w:cs="楷体_GB2312"/>
                <w:color w:val="000000"/>
                <w:kern w:val="0"/>
                <w:sz w:val="20"/>
                <w:szCs w:val="20"/>
              </w:rPr>
              <w:t>本产品</w:t>
            </w:r>
            <w:r>
              <w:rPr>
                <w:rFonts w:ascii="楷体_GB2312" w:hAnsi="宋体" w:eastAsia="楷体_GB2312" w:cs="楷体_GB2312"/>
                <w:color w:val="000000"/>
                <w:kern w:val="0"/>
                <w:sz w:val="20"/>
                <w:szCs w:val="20"/>
              </w:rPr>
              <w:t>单一投资者持有份额</w:t>
            </w:r>
            <w:r>
              <w:rPr>
                <w:rFonts w:hint="eastAsia" w:ascii="楷体_GB2312" w:hAnsi="宋体" w:eastAsia="楷体_GB2312" w:cs="楷体_GB2312"/>
                <w:color w:val="000000"/>
                <w:kern w:val="0"/>
                <w:sz w:val="20"/>
                <w:szCs w:val="20"/>
              </w:rPr>
              <w:t>【b</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可以</w:t>
            </w:r>
            <w:r>
              <w:rPr>
                <w:rFonts w:ascii="楷体_GB2312" w:hAnsi="宋体" w:eastAsia="楷体_GB2312" w:cs="楷体_GB2312"/>
                <w:color w:val="000000"/>
                <w:kern w:val="0"/>
                <w:sz w:val="20"/>
                <w:szCs w:val="20"/>
              </w:rPr>
              <w:t>超过产品总份额的50%</w:t>
            </w:r>
            <w:r>
              <w:rPr>
                <w:rFonts w:hint="eastAsia" w:ascii="楷体_GB2312" w:hAnsi="宋体" w:eastAsia="楷体_GB2312" w:cs="楷体_GB2312"/>
                <w:color w:val="000000"/>
                <w:kern w:val="0"/>
                <w:sz w:val="20"/>
                <w:szCs w:val="20"/>
              </w:rPr>
              <w:t>。但产品不得</w:t>
            </w:r>
            <w:r>
              <w:rPr>
                <w:rFonts w:ascii="楷体_GB2312" w:hAnsi="宋体" w:eastAsia="楷体_GB2312" w:cs="楷体_GB2312"/>
                <w:color w:val="000000"/>
                <w:kern w:val="0"/>
                <w:sz w:val="20"/>
                <w:szCs w:val="20"/>
              </w:rPr>
              <w:t xml:space="preserve">向个人投资者公开发售。 </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不得</w:t>
            </w:r>
            <w:r>
              <w:rPr>
                <w:rFonts w:ascii="楷体_GB2312" w:hAnsi="宋体" w:eastAsia="楷体_GB2312" w:cs="楷体_GB2312"/>
                <w:color w:val="000000"/>
                <w:kern w:val="0"/>
                <w:sz w:val="20"/>
                <w:szCs w:val="20"/>
              </w:rPr>
              <w:t>超过产品总份额的50%。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份额单位</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单位净值</w:t>
            </w:r>
          </w:p>
        </w:tc>
        <w:tc>
          <w:tcPr>
            <w:tcW w:w="3710" w:type="pct"/>
            <w:vAlign w:val="center"/>
          </w:tcPr>
          <w:p>
            <w:pPr>
              <w:spacing w:line="300" w:lineRule="exact"/>
              <w:ind w:right="25"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widowControl/>
              <w:spacing w:line="300" w:lineRule="exact"/>
              <w:ind w:right="25" w:rightChars="12"/>
              <w:jc w:val="left"/>
              <w:rPr>
                <w:rFonts w:ascii="楷体_GB2312" w:hAnsi="宋体" w:eastAsia="楷体_GB2312" w:cs="楷体_GB2312"/>
                <w:color w:val="000000"/>
                <w:kern w:val="0"/>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认购渠道</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通过代销机构销售的，投资者可通过代销机构规定的渠道认购。</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税收条款</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根据国家法律法规、部门规章和其他规范性文件，理财产品运营过程中产生的相关税费（包括但不限于增值税及相应的附加税费等）由理财产品承担，由信银理财作为</w:t>
            </w:r>
            <w:r>
              <w:rPr>
                <w:rFonts w:ascii="楷体_GB2312" w:hAnsi="宋体" w:eastAsia="楷体_GB2312" w:cs="楷体_GB2312"/>
                <w:color w:val="000000"/>
                <w:kern w:val="0"/>
                <w:sz w:val="20"/>
                <w:szCs w:val="20"/>
              </w:rPr>
              <w:t>产品管理人</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理财资金</w:t>
            </w:r>
            <w:r>
              <w:rPr>
                <w:rFonts w:hint="eastAsia" w:ascii="楷体_GB2312" w:hAnsi="宋体" w:eastAsia="楷体_GB2312" w:cs="楷体_GB2312"/>
                <w:color w:val="000000"/>
                <w:kern w:val="0"/>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费用条款</w:t>
            </w:r>
          </w:p>
        </w:tc>
        <w:tc>
          <w:tcPr>
            <w:tcW w:w="3710" w:type="pct"/>
            <w:vAlign w:val="center"/>
          </w:tcPr>
          <w:p>
            <w:pPr>
              <w:widowControl/>
              <w:snapToGrid w:val="0"/>
              <w:spacing w:line="300" w:lineRule="exact"/>
              <w:ind w:left="-2" w:leftChars="-1" w:right="46" w:rightChars="22"/>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，以及按照国家规定可以列入的其他费用</w:t>
            </w:r>
            <w:r>
              <w:rPr>
                <w:rFonts w:hint="eastAsia" w:ascii="楷体_GB2312" w:hAnsi="宋体" w:eastAsia="楷体_GB2312" w:cs="楷体_GB2312"/>
                <w:b/>
                <w:color w:val="000000"/>
                <w:kern w:val="0"/>
                <w:sz w:val="20"/>
                <w:szCs w:val="20"/>
              </w:rPr>
              <w:t>，按照实际发生时列支</w:t>
            </w:r>
            <w:r>
              <w:rPr>
                <w:rFonts w:ascii="楷体_GB2312" w:hAnsi="宋体" w:eastAsia="楷体_GB2312" w:cs="楷体_GB2312"/>
                <w:b/>
                <w:color w:val="000000"/>
                <w:kern w:val="0"/>
                <w:sz w:val="20"/>
                <w:szCs w:val="20"/>
              </w:rPr>
              <w:t>。管理人因管理、运营理财产品发生的税费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snapToGrid w:val="0"/>
              <w:spacing w:line="300" w:lineRule="exact"/>
              <w:ind w:left="-2" w:leftChars="-1" w:right="46"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w:t>
            </w:r>
            <w:r>
              <w:rPr>
                <w:rFonts w:ascii="楷体_GB2312" w:eastAsia="楷体_GB2312" w:cs="楷体_GB2312"/>
                <w:b/>
                <w:sz w:val="20"/>
                <w:szCs w:val="20"/>
              </w:rPr>
              <w:t>B类份额费率【0.25%】/年</w:t>
            </w:r>
            <w:r>
              <w:rPr>
                <w:rFonts w:hint="eastAsia" w:ascii="楷体_GB2312" w:eastAsia="楷体_GB2312" w:cs="楷体_GB2312"/>
                <w:b/>
                <w:sz w:val="20"/>
                <w:szCs w:val="20"/>
              </w:rPr>
              <w:t>。</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B</w:t>
            </w:r>
            <w:r>
              <w:rPr>
                <w:rFonts w:ascii="楷体_GB2312" w:eastAsia="楷体_GB2312"/>
                <w:b/>
                <w:sz w:val="20"/>
                <w:szCs w:val="20"/>
              </w:rPr>
              <w:t>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具体请参见本说明书“</w:t>
            </w:r>
            <w:r>
              <w:rPr>
                <w:rFonts w:hint="eastAsia" w:ascii="黑体" w:hAnsi="宋体" w:eastAsia="黑体" w:cs="黑体"/>
                <w:b/>
                <w:color w:val="000000"/>
                <w:kern w:val="0"/>
                <w:sz w:val="20"/>
                <w:szCs w:val="20"/>
              </w:rPr>
              <w:t>八、理财产品的费用</w:t>
            </w:r>
            <w:r>
              <w:rPr>
                <w:rFonts w:ascii="楷体_GB2312" w:hAnsi="宋体" w:eastAsia="楷体_GB2312" w:cs="楷体_GB2312"/>
                <w:b/>
                <w:color w:val="000000"/>
                <w:kern w:val="0"/>
                <w:sz w:val="20"/>
                <w:szCs w:val="20"/>
              </w:rPr>
              <w:t>”部分。</w:t>
            </w:r>
          </w:p>
          <w:p>
            <w:pPr>
              <w:widowControl/>
              <w:spacing w:line="300" w:lineRule="exact"/>
              <w:ind w:right="31" w:rightChars="15"/>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left="-2" w:leftChars="-1" w:right="46" w:rightChars="22"/>
              <w:jc w:val="left"/>
              <w:outlineLvl w:val="0"/>
              <w:rPr>
                <w:rFonts w:ascii="楷体_GB2312" w:hAnsi="宋体" w:eastAsia="楷体_GB2312" w:cs="楷体_GB2312"/>
                <w:color w:val="000000"/>
                <w:kern w:val="0"/>
                <w:sz w:val="20"/>
                <w:szCs w:val="20"/>
              </w:rPr>
            </w:pPr>
            <w:r>
              <w:rPr>
                <w:rFonts w:ascii="楷体_GB2312" w:hAnsi="宋体" w:eastAsia="楷体_GB2312" w:cs="楷体_GB2312"/>
                <w:b/>
                <w:color w:val="000000"/>
                <w:kern w:val="0"/>
                <w:sz w:val="20"/>
                <w:szCs w:val="20"/>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产品管理人</w:t>
            </w: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管理</w:t>
            </w:r>
            <w:r>
              <w:rPr>
                <w:rFonts w:hint="eastAsia" w:ascii="Times New Roman" w:hAnsi="宋体" w:eastAsia="楷体_GB2312" w:cs="楷体_GB2312"/>
                <w:color w:val="000000"/>
                <w:kern w:val="0"/>
                <w:sz w:val="20"/>
                <w:szCs w:val="20"/>
              </w:rPr>
              <w:t>人/管理人</w:t>
            </w:r>
            <w:r>
              <w:rPr>
                <w:rFonts w:ascii="Times New Roman" w:hAnsi="宋体" w:eastAsia="楷体_GB2312" w:cs="楷体_GB2312"/>
                <w:color w:val="000000"/>
                <w:kern w:val="0"/>
                <w:sz w:val="20"/>
                <w:szCs w:val="20"/>
              </w:rPr>
              <w:t>、</w:t>
            </w:r>
            <w:r>
              <w:rPr>
                <w:rFonts w:hint="eastAsia" w:ascii="Times New Roman" w:hAnsi="宋体" w:eastAsia="楷体_GB2312" w:cs="楷体_GB2312"/>
                <w:color w:val="000000"/>
                <w:kern w:val="0"/>
                <w:sz w:val="20"/>
                <w:szCs w:val="20"/>
              </w:rPr>
              <w:t>收益</w:t>
            </w:r>
            <w:r>
              <w:rPr>
                <w:rFonts w:ascii="Times New Roman" w:hAnsi="宋体" w:eastAsia="楷体_GB2312" w:cs="楷体_GB2312"/>
                <w:color w:val="000000"/>
                <w:kern w:val="0"/>
                <w:sz w:val="20"/>
                <w:szCs w:val="20"/>
              </w:rPr>
              <w:t>计算方</w:t>
            </w:r>
          </w:p>
        </w:tc>
        <w:tc>
          <w:tcPr>
            <w:tcW w:w="3710" w:type="pct"/>
            <w:vAlign w:val="center"/>
          </w:tcPr>
          <w:p>
            <w:pPr>
              <w:widowControl/>
              <w:spacing w:line="300" w:lineRule="atLeast"/>
              <w:ind w:left="-2" w:right="31"/>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w:t>
            </w:r>
          </w:p>
        </w:tc>
        <w:tc>
          <w:tcPr>
            <w:tcW w:w="3710" w:type="pct"/>
            <w:vAlign w:val="center"/>
          </w:tcPr>
          <w:p>
            <w:pPr>
              <w:spacing w:line="300" w:lineRule="atLeast"/>
              <w:ind w:right="31"/>
              <w:rPr>
                <w:rFonts w:ascii="楷体_GB2312" w:eastAsia="楷体_GB2312" w:cs="楷体_GB2312"/>
                <w:sz w:val="20"/>
                <w:szCs w:val="20"/>
              </w:rPr>
            </w:pPr>
            <w:r>
              <w:rPr>
                <w:rFonts w:ascii="楷体_GB2312" w:eastAsia="楷体_GB2312" w:cs="楷体_GB2312"/>
                <w:sz w:val="20"/>
                <w:szCs w:val="20"/>
              </w:rPr>
              <w:t>B类份额（份额代码【AF234105B】）合作销售机构信息</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企业名称：【浙江杭州余杭农村商业银行股份有限公司】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9133010014387221XY】</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住所：【浙江省杭州市临平区南苑街道南大街</w:t>
            </w:r>
            <w:r>
              <w:rPr>
                <w:rFonts w:ascii="楷体_GB2312" w:eastAsia="楷体_GB2312" w:cs="楷体_GB2312"/>
                <w:sz w:val="20"/>
                <w:szCs w:val="20"/>
              </w:rPr>
              <w:t>72号】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企业名称：【浙江松阳农村商业银行股份有限公司】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91331124148632856X】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住所：【浙江省丽水市松阳县水南街道要津南路</w:t>
            </w:r>
            <w:r>
              <w:rPr>
                <w:rFonts w:ascii="楷体_GB2312" w:eastAsia="楷体_GB2312" w:cs="楷体_GB2312"/>
                <w:sz w:val="20"/>
                <w:szCs w:val="20"/>
              </w:rPr>
              <w:t>71号】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1.</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w:t>
            </w:r>
            <w:r>
              <w:rPr>
                <w:rFonts w:hint="eastAsia" w:ascii="楷体_GB2312" w:eastAsia="楷体_GB2312" w:cs="楷体_GB2312"/>
                <w:sz w:val="20"/>
                <w:szCs w:val="20"/>
              </w:rPr>
              <w:t>企业名称：【浙江天台农村商业银行股份有限公司】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w:t>
            </w:r>
            <w:r>
              <w:rPr>
                <w:rFonts w:hint="eastAsia" w:ascii="楷体_GB2312" w:eastAsia="楷体_GB2312" w:cs="楷体_GB2312"/>
                <w:sz w:val="20"/>
                <w:szCs w:val="20"/>
              </w:rPr>
              <w:t>企业名称：【浙江舟山普陀农村商业银行股份有限公司】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913309006831072360】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住所：【浙江省舟山市普陀区东港街道麒麟街</w:t>
            </w:r>
            <w:r>
              <w:rPr>
                <w:rFonts w:ascii="楷体_GB2312" w:eastAsia="楷体_GB2312" w:cs="楷体_GB2312"/>
                <w:sz w:val="20"/>
                <w:szCs w:val="20"/>
              </w:rPr>
              <w:t>225号（自贸试验区内）】</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30.</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1.</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32.</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3.</w:t>
            </w:r>
            <w:r>
              <w:rPr>
                <w:rFonts w:hint="eastAsia" w:ascii="楷体_GB2312" w:eastAsia="楷体_GB2312" w:cs="楷体_GB2312"/>
                <w:sz w:val="20"/>
                <w:szCs w:val="20"/>
              </w:rPr>
              <w:t>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4.</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5.</w:t>
            </w:r>
            <w:r>
              <w:rPr>
                <w:rFonts w:hint="eastAsia" w:ascii="楷体_GB2312" w:eastAsia="楷体_GB2312" w:cs="楷体_GB2312"/>
                <w:sz w:val="20"/>
                <w:szCs w:val="20"/>
              </w:rPr>
              <w:t>企业名称：【宁波镇海农村商业银行股份有限公司】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91330200717212676J】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住所：【宁波市镇海区骆驼街道镇海大道中段</w:t>
            </w:r>
            <w:r>
              <w:rPr>
                <w:rFonts w:ascii="楷体_GB2312" w:eastAsia="楷体_GB2312" w:cs="楷体_GB2312"/>
                <w:sz w:val="20"/>
                <w:szCs w:val="20"/>
              </w:rPr>
              <w:t>788号】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36.</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37.</w:t>
            </w:r>
            <w:r>
              <w:rPr>
                <w:rFonts w:hint="eastAsia" w:ascii="楷体_GB2312" w:eastAsia="楷体_GB2312" w:cs="楷体_GB2312"/>
                <w:sz w:val="20"/>
                <w:szCs w:val="20"/>
              </w:rPr>
              <w:t>企业名称：【宁波甬城农村商业银行股份有限公司】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38.</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39.</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40.</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41.</w:t>
            </w:r>
            <w:r>
              <w:rPr>
                <w:rFonts w:hint="eastAsia" w:ascii="楷体_GB2312" w:eastAsia="楷体_GB2312" w:cs="楷体_GB2312"/>
                <w:sz w:val="20"/>
                <w:szCs w:val="20"/>
              </w:rPr>
              <w:t>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2.</w:t>
            </w:r>
            <w:r>
              <w:rPr>
                <w:rFonts w:hint="eastAsia" w:ascii="楷体_GB2312" w:eastAsia="楷体_GB2312" w:cs="楷体_GB2312"/>
                <w:sz w:val="20"/>
                <w:szCs w:val="20"/>
              </w:rPr>
              <w:t>企业名称：【浙江海宁农村商业银行股份有限公司】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43.</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44.</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5.</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6.</w:t>
            </w:r>
            <w:r>
              <w:rPr>
                <w:rFonts w:hint="eastAsia" w:ascii="楷体_GB2312" w:eastAsia="楷体_GB2312" w:cs="楷体_GB2312"/>
                <w:sz w:val="20"/>
                <w:szCs w:val="20"/>
              </w:rPr>
              <w:t>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7.</w:t>
            </w:r>
            <w:r>
              <w:rPr>
                <w:rFonts w:hint="eastAsia" w:ascii="楷体_GB2312" w:eastAsia="楷体_GB2312" w:cs="楷体_GB2312"/>
                <w:sz w:val="20"/>
                <w:szCs w:val="20"/>
              </w:rPr>
              <w:t>企业名称：【浙江上虞农村商业银行股份有限公司】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91330600146116161G】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住所：【浙江省百官街道德盛路</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8.</w:t>
            </w:r>
            <w:r>
              <w:rPr>
                <w:rFonts w:hint="eastAsia" w:ascii="楷体_GB2312" w:eastAsia="楷体_GB2312" w:cs="楷体_GB2312"/>
                <w:sz w:val="20"/>
                <w:szCs w:val="20"/>
              </w:rPr>
              <w:t>企业名称：【浙江缙云农村商业银行股份有限公司】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913311227047843259】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住所：【浙江省丽水市缙云县五云镇新区仙都路</w:t>
            </w:r>
            <w:r>
              <w:rPr>
                <w:rFonts w:ascii="楷体_GB2312" w:eastAsia="楷体_GB2312" w:cs="楷体_GB2312"/>
                <w:sz w:val="20"/>
                <w:szCs w:val="20"/>
              </w:rPr>
              <w:t>68号】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9.</w:t>
            </w:r>
            <w:r>
              <w:rPr>
                <w:rFonts w:hint="eastAsia" w:ascii="楷体_GB2312" w:eastAsia="楷体_GB2312" w:cs="楷体_GB2312"/>
                <w:sz w:val="20"/>
                <w:szCs w:val="20"/>
              </w:rPr>
              <w:t>企业名称：【浙江义乌农村商业银行股份有限公司】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91330782609786576E】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住所：【浙江省义乌市福田街道城北路677号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0.</w:t>
            </w:r>
            <w:r>
              <w:rPr>
                <w:rFonts w:hint="eastAsia" w:ascii="楷体_GB2312" w:eastAsia="楷体_GB2312" w:cs="楷体_GB2312"/>
                <w:sz w:val="20"/>
                <w:szCs w:val="20"/>
              </w:rPr>
              <w:t>企业名称：【浙江兰溪农村商业银行股份有限公司】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91330781147387545R】</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住所：【浙江省兰溪市兰江街道丹溪大道18号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1.</w:t>
            </w:r>
            <w:r>
              <w:rPr>
                <w:rFonts w:hint="eastAsia" w:ascii="楷体_GB2312" w:eastAsia="楷体_GB2312" w:cs="楷体_GB2312"/>
                <w:sz w:val="20"/>
                <w:szCs w:val="20"/>
              </w:rPr>
              <w:t>企业名称：【浙江长兴农村商业银行股份有限公司】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91330522147148640A】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住所：【浙江省湖州市长兴县太湖街道明珠路1298号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2.</w:t>
            </w:r>
            <w:r>
              <w:rPr>
                <w:rFonts w:hint="eastAsia" w:ascii="楷体_GB2312" w:eastAsia="楷体_GB2312" w:cs="楷体_GB2312"/>
                <w:sz w:val="20"/>
                <w:szCs w:val="20"/>
              </w:rPr>
              <w:t>企业名称：【浙江绍兴恒信农村商业银行股份有限公司】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9133060271252980XJ】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住所：【浙江省绍兴市中兴中路159号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合作销售机构主要职责</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理财产品的宣传推广；</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.投资者风险承受能力评估和投资者适当性管理；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.理财产品认</w:t>
            </w:r>
            <w:r>
              <w:rPr>
                <w:rFonts w:hint="eastAsia" w:ascii="楷体_GB2312" w:hAnsi="宋体" w:eastAsia="楷体_GB2312" w:cs="楷体_GB2312"/>
                <w:color w:val="000000"/>
                <w:kern w:val="0"/>
                <w:sz w:val="20"/>
                <w:szCs w:val="20"/>
              </w:rPr>
              <w:t>/申购、赎回等业务办理；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.协助管理人与投资者订立相关协议；</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.协助管理人与投资者沟通及进行信息披露；</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.接受投资者咨询、投诉和客户维护等销售服务；</w:t>
            </w:r>
          </w:p>
          <w:p>
            <w:pPr>
              <w:widowControl/>
              <w:spacing w:line="300" w:lineRule="exact"/>
              <w:ind w:right="31" w:rightChars="15"/>
              <w:jc w:val="left"/>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7.</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托管人</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【广东省深圳市福田区深南大道7088号</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托管人职责</w:t>
            </w:r>
          </w:p>
        </w:tc>
        <w:tc>
          <w:tcPr>
            <w:tcW w:w="3710" w:type="pct"/>
            <w:vAlign w:val="center"/>
          </w:tcPr>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安全保管理财产品财产；</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为每只理财产品开设独立的托管账户，不同托管账户中的资产应当相互独立，为理财产品开立所需的证券账户等其他账户；</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按照托管协议约定和管理人的投资指令，及时办理理财产品的清算、交割事宜，核对理财产品资金划拨记录；</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建立与理财产品管理人的对账机制，复核、审查理财产品资金头寸、资产账目、</w:t>
            </w:r>
            <w:r>
              <w:rPr>
                <w:rFonts w:ascii="楷体_GB2312" w:hAnsi="宋体" w:eastAsia="楷体_GB2312" w:cs="楷体_GB2312"/>
                <w:color w:val="000000"/>
                <w:kern w:val="0"/>
                <w:sz w:val="20"/>
                <w:szCs w:val="20"/>
              </w:rPr>
              <w:t>资产净值</w:t>
            </w:r>
            <w:r>
              <w:rPr>
                <w:rFonts w:hint="eastAsia" w:ascii="楷体_GB2312" w:hAnsi="宋体" w:eastAsia="楷体_GB2312" w:cs="楷体_GB2312"/>
                <w:color w:val="000000"/>
                <w:kern w:val="0"/>
                <w:sz w:val="20"/>
                <w:szCs w:val="20"/>
              </w:rPr>
              <w:t>、理财产品份额认/申购、赎回价格等数据，及时核查认/申购、赎回以及投资资金的支付和到账情况；</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监督理财产品投资运作，发现理财产品违反法律、行政法规、规章规定或合同约定进行投资的，应当拒绝执行，及时通知理财产品管理人并报告银行业监督管理机构；</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保存理财产品托管业务活动的记录、账册、报表和其他相关材料1</w:t>
            </w: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年以上；</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对理财产品投资信息和相关资料承担保密责任，除法律、行政法规、规章规定、审计要求或者合同约定外，不得向任何机构或者个人提供相关信息和资料；</w:t>
            </w:r>
          </w:p>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9</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理财托管</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firstLine="284" w:firstLineChars="142"/>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投资者认购或申购（如有）理财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的资金划出账户与理财产品到期或期间赎回（如有）接收资金的银行</w:t>
            </w:r>
            <w:r>
              <w:rPr>
                <w:rFonts w:ascii="楷体_GB2312" w:hAnsi="宋体" w:eastAsia="楷体_GB2312" w:cs="楷体_GB2312"/>
                <w:color w:val="000000"/>
                <w:kern w:val="0"/>
                <w:sz w:val="20"/>
                <w:szCs w:val="20"/>
              </w:rPr>
              <w:t>结算</w:t>
            </w:r>
            <w:r>
              <w:rPr>
                <w:rFonts w:hint="eastAsia" w:ascii="楷体_GB2312" w:hAnsi="宋体" w:eastAsia="楷体_GB2312" w:cs="楷体_GB2312"/>
                <w:color w:val="000000"/>
                <w:kern w:val="0"/>
                <w:sz w:val="20"/>
                <w:szCs w:val="20"/>
              </w:rPr>
              <w:t>账户。在本理财产品存续期间，除非经理财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理财交易账户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销售机构为投资者开立的、记录投资者通过该销售机构办理认购、申购、赎回、转换、转托管及定期定额投资等业务导致理财份额变动及结余情况的账户</w:t>
            </w:r>
            <w:r>
              <w:rPr>
                <w:rFonts w:ascii="楷体_GB2312" w:hAnsi="宋体" w:eastAsia="楷体_GB2312" w:cs="楷体_GB2312"/>
                <w:color w:val="000000"/>
                <w:kern w:val="0"/>
                <w:sz w:val="20"/>
                <w:szCs w:val="20"/>
              </w:rPr>
              <w:t>。具体</w:t>
            </w:r>
            <w:r>
              <w:rPr>
                <w:rFonts w:hint="eastAsia" w:ascii="楷体_GB2312" w:hAnsi="宋体" w:eastAsia="楷体_GB2312" w:cs="楷体_GB2312"/>
                <w:color w:val="000000"/>
                <w:kern w:val="0"/>
                <w:sz w:val="20"/>
                <w:szCs w:val="20"/>
              </w:rPr>
              <w:t>开户</w:t>
            </w:r>
            <w:r>
              <w:rPr>
                <w:rFonts w:ascii="楷体_GB2312" w:hAnsi="宋体" w:eastAsia="楷体_GB2312" w:cs="楷体_GB2312"/>
                <w:color w:val="000000"/>
                <w:kern w:val="0"/>
                <w:sz w:val="20"/>
                <w:szCs w:val="20"/>
              </w:rPr>
              <w:t>流程应</w:t>
            </w:r>
            <w:r>
              <w:rPr>
                <w:rFonts w:hint="eastAsia" w:ascii="楷体_GB2312" w:hAnsi="宋体" w:eastAsia="楷体_GB2312" w:cs="楷体_GB2312"/>
                <w:color w:val="000000"/>
                <w:kern w:val="0"/>
                <w:sz w:val="20"/>
                <w:szCs w:val="20"/>
              </w:rPr>
              <w:t>遵守</w:t>
            </w:r>
            <w:r>
              <w:rPr>
                <w:rFonts w:ascii="楷体_GB2312" w:hAnsi="宋体" w:eastAsia="楷体_GB2312" w:cs="楷体_GB2312"/>
                <w:color w:val="000000"/>
                <w:kern w:val="0"/>
                <w:sz w:val="20"/>
                <w:szCs w:val="20"/>
              </w:rPr>
              <w:t>信银理财或代销机构</w:t>
            </w:r>
            <w:r>
              <w:rPr>
                <w:rFonts w:hint="eastAsia" w:ascii="楷体_GB2312" w:hAnsi="宋体" w:eastAsia="楷体_GB2312" w:cs="楷体_GB2312"/>
                <w:color w:val="000000"/>
                <w:kern w:val="0"/>
                <w:sz w:val="20"/>
                <w:szCs w:val="20"/>
              </w:rPr>
              <w:t>网点</w:t>
            </w:r>
            <w:r>
              <w:rPr>
                <w:rFonts w:ascii="楷体_GB2312" w:hAnsi="宋体" w:eastAsia="楷体_GB2312" w:cs="楷体_GB2312"/>
                <w:color w:val="000000"/>
                <w:kern w:val="0"/>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信息披露</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将通过</w:t>
            </w:r>
            <w:r>
              <w:rPr>
                <w:rFonts w:ascii="楷体_GB2312" w:eastAsia="楷体_GB2312" w:cs="楷体_GB2312"/>
                <w:sz w:val="20"/>
                <w:szCs w:val="20"/>
              </w:rPr>
              <w:t>【</w:t>
            </w:r>
            <w:r>
              <w:rPr>
                <w:rFonts w:hint="eastAsia" w:ascii="楷体_GB2312" w:eastAsia="楷体_GB2312" w:cs="楷体_GB2312"/>
                <w:sz w:val="20"/>
                <w:szCs w:val="20"/>
              </w:rPr>
              <w:t>信银理财官方网站（</w:t>
            </w:r>
            <w:r>
              <w:fldChar w:fldCharType="begin"/>
            </w:r>
            <w:r>
              <w:instrText xml:space="preserve"> HYPERLINK "http://www.citic-wealth.com" </w:instrText>
            </w:r>
            <w:r>
              <w:fldChar w:fldCharType="separate"/>
            </w:r>
            <w:r>
              <w:rPr>
                <w:rStyle w:val="6"/>
                <w:rFonts w:ascii="楷体_GB2312" w:eastAsia="楷体_GB2312" w:cs="楷体_GB2312"/>
                <w:sz w:val="20"/>
                <w:szCs w:val="20"/>
              </w:rPr>
              <w:t>http://www.citic-wealth.com</w:t>
            </w:r>
            <w:r>
              <w:rPr>
                <w:rStyle w:val="6"/>
                <w:rFonts w:ascii="楷体_GB2312" w:eastAsia="楷体_GB2312" w:cs="楷体_GB2312"/>
                <w:sz w:val="20"/>
                <w:szCs w:val="20"/>
              </w:rPr>
              <w:fldChar w:fldCharType="end"/>
            </w:r>
            <w:r>
              <w:rPr>
                <w:rFonts w:hint="eastAsia" w:ascii="楷体_GB2312" w:eastAsia="楷体_GB2312" w:cs="楷体_GB2312"/>
                <w:sz w:val="20"/>
                <w:szCs w:val="20"/>
              </w:rPr>
              <w:t>）</w:t>
            </w:r>
            <w:r>
              <w:rPr>
                <w:rFonts w:ascii="楷体_GB2312" w:eastAsia="楷体_GB2312" w:cs="楷体_GB2312"/>
                <w:sz w:val="20"/>
                <w:szCs w:val="20"/>
              </w:rPr>
              <w:t>】</w:t>
            </w:r>
            <w:r>
              <w:rPr>
                <w:rFonts w:hint="eastAsia" w:ascii="楷体_GB2312" w:hAnsi="宋体" w:eastAsia="楷体_GB2312" w:cs="楷体_GB2312"/>
                <w:color w:val="000000"/>
                <w:kern w:val="0"/>
                <w:sz w:val="20"/>
                <w:szCs w:val="20"/>
              </w:rPr>
              <w:t>披露</w:t>
            </w:r>
            <w:r>
              <w:rPr>
                <w:rFonts w:ascii="楷体_GB2312" w:hAnsi="宋体" w:eastAsia="楷体_GB2312" w:cs="楷体_GB2312"/>
                <w:color w:val="000000"/>
                <w:kern w:val="0"/>
                <w:sz w:val="20"/>
                <w:szCs w:val="20"/>
              </w:rPr>
              <w:t>本理财产品的各类信息。</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本理财产品存续期间内，因</w:t>
            </w:r>
            <w:r>
              <w:rPr>
                <w:rFonts w:ascii="楷体_GB2312" w:hAnsi="宋体" w:eastAsia="楷体_GB2312" w:cs="楷体_GB2312"/>
                <w:color w:val="000000"/>
                <w:kern w:val="0"/>
                <w:sz w:val="20"/>
                <w:szCs w:val="20"/>
              </w:rPr>
              <w:t>国家法律法规、监管规定发生变化，或是出于维持本产品正常运营需要</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在不损害投资者</w:t>
            </w:r>
            <w:r>
              <w:rPr>
                <w:rFonts w:hint="eastAsia" w:ascii="楷体_GB2312" w:hAnsi="宋体" w:eastAsia="楷体_GB2312" w:cs="楷体_GB2312"/>
                <w:color w:val="000000"/>
                <w:kern w:val="0"/>
                <w:sz w:val="20"/>
                <w:szCs w:val="20"/>
              </w:rPr>
              <w:t>利益</w:t>
            </w:r>
            <w:r>
              <w:rPr>
                <w:rFonts w:ascii="楷体_GB2312" w:hAnsi="宋体" w:eastAsia="楷体_GB2312" w:cs="楷体_GB2312"/>
                <w:color w:val="000000"/>
                <w:kern w:val="0"/>
                <w:sz w:val="20"/>
                <w:szCs w:val="20"/>
              </w:rPr>
              <w:t>的前提下</w:t>
            </w:r>
            <w:r>
              <w:rPr>
                <w:rFonts w:hint="eastAsia" w:ascii="楷体_GB2312" w:hAnsi="宋体" w:eastAsia="楷体_GB2312" w:cs="楷体_GB2312"/>
                <w:color w:val="000000"/>
                <w:kern w:val="0"/>
                <w:sz w:val="20"/>
                <w:szCs w:val="20"/>
              </w:rPr>
              <w:t>，信银理财有权提前【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】个工作日向投资者发出</w:t>
            </w:r>
            <w:r>
              <w:rPr>
                <w:rFonts w:ascii="楷体_GB2312" w:hAnsi="宋体" w:eastAsia="楷体_GB2312" w:cs="楷体_GB2312"/>
                <w:color w:val="000000"/>
                <w:kern w:val="0"/>
                <w:sz w:val="20"/>
                <w:szCs w:val="20"/>
              </w:rPr>
              <w:t>通知</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符合监管规定的方式</w:t>
            </w:r>
            <w:r>
              <w:rPr>
                <w:rFonts w:hint="eastAsia" w:ascii="楷体_GB2312" w:hAnsi="宋体" w:eastAsia="楷体_GB2312" w:cs="楷体_GB2312"/>
                <w:color w:val="000000"/>
                <w:kern w:val="0"/>
                <w:sz w:val="20"/>
                <w:szCs w:val="20"/>
              </w:rPr>
              <w:t>对说明书条款进行补充、说明和修改。</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决定理财产品不成立，将在决定本理财产品不成立后的【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w:t>
            </w:r>
            <w:r>
              <w:rPr>
                <w:rFonts w:hint="eastAsia" w:ascii="楷体_GB2312" w:hAnsi="宋体" w:eastAsia="楷体_GB2312" w:cs="楷体_GB2312"/>
                <w:color w:val="000000"/>
                <w:kern w:val="0"/>
                <w:sz w:val="20"/>
                <w:szCs w:val="20"/>
              </w:rPr>
              <w:t>内向</w:t>
            </w:r>
            <w:r>
              <w:rPr>
                <w:rFonts w:ascii="楷体_GB2312" w:hAnsi="宋体" w:eastAsia="楷体_GB2312" w:cs="楷体_GB2312"/>
                <w:color w:val="000000"/>
                <w:kern w:val="0"/>
                <w:sz w:val="20"/>
                <w:szCs w:val="20"/>
              </w:rPr>
              <w:t>投资者发布信息。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决定提前</w:t>
            </w:r>
            <w:r>
              <w:rPr>
                <w:rFonts w:hint="eastAsia" w:ascii="楷体_GB2312" w:hAnsi="宋体" w:eastAsia="楷体_GB2312" w:cs="楷体_GB2312"/>
                <w:color w:val="000000"/>
                <w:kern w:val="0"/>
                <w:sz w:val="20"/>
                <w:szCs w:val="20"/>
              </w:rPr>
              <w:t>结束募集期或</w:t>
            </w:r>
            <w:r>
              <w:rPr>
                <w:rFonts w:ascii="楷体_GB2312" w:hAnsi="宋体" w:eastAsia="楷体_GB2312" w:cs="楷体_GB2312"/>
                <w:color w:val="000000"/>
                <w:kern w:val="0"/>
                <w:sz w:val="20"/>
                <w:szCs w:val="20"/>
              </w:rPr>
              <w:t>延长募集期</w:t>
            </w:r>
            <w:r>
              <w:rPr>
                <w:rFonts w:hint="eastAsia" w:ascii="楷体_GB2312" w:hAnsi="宋体" w:eastAsia="楷体_GB2312" w:cs="楷体_GB2312"/>
                <w:color w:val="000000"/>
                <w:kern w:val="0"/>
                <w:sz w:val="20"/>
                <w:szCs w:val="20"/>
              </w:rPr>
              <w:t>的，将在</w:t>
            </w:r>
            <w:r>
              <w:rPr>
                <w:rFonts w:ascii="楷体_GB2312" w:hAnsi="宋体" w:eastAsia="楷体_GB2312" w:cs="楷体_GB2312"/>
                <w:color w:val="000000"/>
                <w:kern w:val="0"/>
                <w:sz w:val="20"/>
                <w:szCs w:val="20"/>
              </w:rPr>
              <w:t>决定调整募集期后的【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工作日内向</w:t>
            </w:r>
            <w:r>
              <w:rPr>
                <w:rFonts w:hint="eastAsia" w:ascii="楷体_GB2312" w:hAnsi="宋体" w:eastAsia="楷体_GB2312" w:cs="楷体_GB2312"/>
                <w:color w:val="000000"/>
                <w:kern w:val="0"/>
                <w:sz w:val="20"/>
                <w:szCs w:val="20"/>
              </w:rPr>
              <w:t>投资者发布</w:t>
            </w:r>
            <w:r>
              <w:rPr>
                <w:rFonts w:ascii="楷体_GB2312" w:hAnsi="宋体" w:eastAsia="楷体_GB2312" w:cs="楷体_GB2312"/>
                <w:color w:val="000000"/>
                <w:kern w:val="0"/>
                <w:sz w:val="20"/>
                <w:szCs w:val="20"/>
              </w:rPr>
              <w:t>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在本产品成立后【</w:t>
            </w: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w:t>
            </w:r>
            <w:r>
              <w:rPr>
                <w:rFonts w:hint="eastAsia" w:ascii="楷体_GB2312" w:hAnsi="宋体" w:eastAsia="楷体_GB2312" w:cs="楷体_GB2312"/>
                <w:color w:val="000000"/>
                <w:kern w:val="0"/>
                <w:sz w:val="20"/>
                <w:szCs w:val="20"/>
              </w:rPr>
              <w:t>日</w:t>
            </w:r>
            <w:r>
              <w:rPr>
                <w:rFonts w:ascii="楷体_GB2312" w:hAnsi="宋体" w:eastAsia="楷体_GB2312" w:cs="楷体_GB2312"/>
                <w:color w:val="000000"/>
                <w:kern w:val="0"/>
                <w:sz w:val="20"/>
                <w:szCs w:val="20"/>
              </w:rPr>
              <w:t>内披露发行公告。</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如信银理财决定提前终止本产品，将于提前终止日前【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如本产品需延期清算，将于原定到期日前【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个工作日内向投资者发布相关信息。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信银理财将在本产品终止</w:t>
            </w:r>
            <w:r>
              <w:rPr>
                <w:rFonts w:ascii="楷体_GB2312" w:hAnsi="宋体" w:eastAsia="楷体_GB2312" w:cs="楷体_GB2312"/>
                <w:color w:val="000000"/>
                <w:kern w:val="0"/>
                <w:sz w:val="20"/>
                <w:szCs w:val="20"/>
              </w:rPr>
              <w:t>（包括</w:t>
            </w:r>
            <w:r>
              <w:rPr>
                <w:rFonts w:hint="eastAsia" w:ascii="楷体_GB2312" w:hAnsi="宋体" w:eastAsia="楷体_GB2312" w:cs="楷体_GB2312"/>
                <w:color w:val="000000"/>
                <w:kern w:val="0"/>
                <w:sz w:val="20"/>
                <w:szCs w:val="20"/>
              </w:rPr>
              <w:t>到期和</w:t>
            </w:r>
            <w:r>
              <w:rPr>
                <w:rFonts w:ascii="楷体_GB2312" w:hAnsi="宋体" w:eastAsia="楷体_GB2312" w:cs="楷体_GB2312"/>
                <w:color w:val="000000"/>
                <w:kern w:val="0"/>
                <w:sz w:val="20"/>
                <w:szCs w:val="20"/>
              </w:rPr>
              <w:t>提前终止）</w:t>
            </w:r>
            <w:r>
              <w:rPr>
                <w:rFonts w:hint="eastAsia" w:ascii="楷体_GB2312" w:hAnsi="宋体" w:eastAsia="楷体_GB2312" w:cs="楷体_GB2312"/>
                <w:color w:val="000000"/>
                <w:kern w:val="0"/>
                <w:sz w:val="20"/>
                <w:szCs w:val="20"/>
              </w:rPr>
              <w:t>日后【5】个工作日内，向投资者披露</w:t>
            </w:r>
            <w:r>
              <w:rPr>
                <w:rFonts w:ascii="楷体_GB2312" w:hAnsi="宋体" w:eastAsia="楷体_GB2312" w:cs="楷体_GB2312"/>
                <w:color w:val="000000"/>
                <w:kern w:val="0"/>
                <w:sz w:val="20"/>
                <w:szCs w:val="20"/>
              </w:rPr>
              <w:t>到期公告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到期日产品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单位净值在内的</w:t>
            </w:r>
            <w:r>
              <w:rPr>
                <w:rFonts w:hint="eastAsia" w:ascii="楷体_GB2312" w:hAnsi="宋体" w:eastAsia="楷体_GB2312" w:cs="楷体_GB2312"/>
                <w:color w:val="000000"/>
                <w:kern w:val="0"/>
                <w:sz w:val="20"/>
                <w:szCs w:val="20"/>
              </w:rPr>
              <w:t>到期相关信息。</w:t>
            </w:r>
          </w:p>
          <w:p>
            <w:pPr>
              <w:spacing w:line="300" w:lineRule="exact"/>
              <w:ind w:right="31" w:rightChars="15"/>
              <w:rPr>
                <w:rFonts w:ascii="楷体_GB2312" w:eastAsia="楷体_GB2312" w:cs="楷体_GB2312"/>
                <w:color w:val="000000"/>
                <w:sz w:val="20"/>
                <w:szCs w:val="20"/>
              </w:rPr>
            </w:pPr>
            <w:r>
              <w:rPr>
                <w:rFonts w:ascii="楷体_GB2312" w:eastAsia="楷体_GB2312" w:cs="楷体_GB2312"/>
                <w:color w:val="000000"/>
                <w:sz w:val="20"/>
                <w:szCs w:val="20"/>
              </w:rPr>
              <w:t>8.</w:t>
            </w:r>
            <w:r>
              <w:rPr>
                <w:rFonts w:hint="eastAsia" w:ascii="楷体_GB2312" w:eastAsia="楷体_GB2312" w:cs="楷体_GB2312"/>
                <w:color w:val="000000"/>
                <w:sz w:val="20"/>
                <w:szCs w:val="20"/>
              </w:rPr>
              <w:t>在产品</w:t>
            </w:r>
            <w:r>
              <w:rPr>
                <w:rFonts w:ascii="楷体_GB2312" w:eastAsia="楷体_GB2312" w:cs="楷体_GB2312"/>
                <w:color w:val="000000"/>
                <w:sz w:val="20"/>
                <w:szCs w:val="20"/>
              </w:rPr>
              <w:t>存续期间，</w:t>
            </w:r>
            <w:r>
              <w:rPr>
                <w:rFonts w:hint="eastAsia" w:ascii="楷体_GB2312" w:eastAsia="楷体_GB2312" w:cs="楷体_GB2312"/>
                <w:color w:val="000000"/>
                <w:sz w:val="20"/>
                <w:szCs w:val="20"/>
              </w:rPr>
              <w:t>信银理财根据</w:t>
            </w:r>
            <w:r>
              <w:rPr>
                <w:rFonts w:ascii="楷体_GB2312" w:eastAsia="楷体_GB2312" w:cs="楷体_GB2312"/>
                <w:color w:val="000000"/>
                <w:sz w:val="20"/>
                <w:szCs w:val="20"/>
              </w:rPr>
              <w:t>市场情况对投资范围、投资品种或投资比例进行调整</w:t>
            </w:r>
            <w:r>
              <w:rPr>
                <w:rFonts w:hint="eastAsia" w:ascii="楷体_GB2312" w:eastAsia="楷体_GB2312" w:cs="楷体_GB2312"/>
                <w:color w:val="000000"/>
                <w:sz w:val="20"/>
                <w:szCs w:val="20"/>
              </w:rPr>
              <w:t>的</w:t>
            </w:r>
            <w:r>
              <w:rPr>
                <w:rFonts w:ascii="楷体_GB2312" w:eastAsia="楷体_GB2312" w:cs="楷体_GB2312"/>
                <w:color w:val="000000"/>
                <w:sz w:val="20"/>
                <w:szCs w:val="20"/>
              </w:rPr>
              <w:t>，</w:t>
            </w:r>
            <w:r>
              <w:rPr>
                <w:rFonts w:hint="eastAsia" w:ascii="楷体_GB2312" w:eastAsia="楷体_GB2312" w:cs="楷体_GB2312"/>
                <w:color w:val="000000"/>
                <w:sz w:val="20"/>
                <w:szCs w:val="20"/>
              </w:rPr>
              <w:t>将</w:t>
            </w:r>
            <w:r>
              <w:rPr>
                <w:rFonts w:ascii="楷体_GB2312" w:eastAsia="楷体_GB2312" w:cs="楷体_GB2312"/>
                <w:color w:val="000000"/>
                <w:sz w:val="20"/>
                <w:szCs w:val="20"/>
              </w:rPr>
              <w:t>提前【</w:t>
            </w:r>
            <w:r>
              <w:rPr>
                <w:rFonts w:ascii="楷体_GB2312" w:eastAsia="楷体_GB2312" w:cs="楷体_GB2312"/>
                <w:sz w:val="20"/>
                <w:szCs w:val="20"/>
              </w:rPr>
              <w:t>2</w:t>
            </w:r>
            <w:r>
              <w:rPr>
                <w:rFonts w:ascii="楷体_GB2312" w:eastAsia="楷体_GB2312" w:cs="楷体_GB2312"/>
                <w:color w:val="000000"/>
                <w:sz w:val="20"/>
                <w:szCs w:val="20"/>
              </w:rPr>
              <w:t>】个工作日告知</w:t>
            </w:r>
            <w:r>
              <w:rPr>
                <w:rFonts w:hint="eastAsia" w:ascii="楷体_GB2312" w:eastAsia="楷体_GB2312" w:cs="楷体_GB2312"/>
                <w:color w:val="000000"/>
                <w:sz w:val="20"/>
                <w:szCs w:val="20"/>
              </w:rPr>
              <w:t>投资者</w:t>
            </w:r>
            <w:r>
              <w:rPr>
                <w:rFonts w:ascii="楷体_GB2312" w:eastAsia="楷体_GB2312" w:cs="楷体_GB2312"/>
                <w:color w:val="000000"/>
                <w:sz w:val="20"/>
                <w:szCs w:val="20"/>
              </w:rPr>
              <w:t>。</w:t>
            </w:r>
          </w:p>
          <w:p>
            <w:pPr>
              <w:spacing w:line="300" w:lineRule="exact"/>
              <w:ind w:right="31" w:rightChars="15"/>
              <w:rPr>
                <w:rFonts w:ascii="楷体_GB2312" w:eastAsia="楷体_GB2312" w:cs="楷体_GB2312"/>
                <w:color w:val="000000"/>
                <w:sz w:val="20"/>
                <w:szCs w:val="20"/>
              </w:rPr>
            </w:pPr>
            <w:r>
              <w:rPr>
                <w:rFonts w:ascii="楷体_GB2312" w:eastAsia="楷体_GB2312"/>
                <w:color w:val="000000"/>
                <w:sz w:val="20"/>
                <w:szCs w:val="20"/>
              </w:rPr>
              <w:t>9.</w:t>
            </w:r>
            <w:r>
              <w:rPr>
                <w:rFonts w:hint="eastAsia" w:ascii="楷体_GB2312" w:eastAsia="楷体_GB2312"/>
                <w:color w:val="000000"/>
                <w:sz w:val="20"/>
                <w:szCs w:val="20"/>
              </w:rPr>
              <w:t>如因法律法规、规范性文件的规定或市场变化等原因，信银理财确需调整本产品说明书项下收费标准的，应在变更</w:t>
            </w:r>
            <w:r>
              <w:rPr>
                <w:rFonts w:ascii="楷体_GB2312" w:eastAsia="楷体_GB2312"/>
                <w:color w:val="000000"/>
                <w:sz w:val="20"/>
                <w:szCs w:val="20"/>
              </w:rPr>
              <w:t>生效前</w:t>
            </w:r>
            <w:r>
              <w:rPr>
                <w:rFonts w:hint="eastAsia" w:ascii="楷体_GB2312" w:eastAsia="楷体_GB2312"/>
                <w:color w:val="000000"/>
                <w:sz w:val="20"/>
                <w:szCs w:val="20"/>
              </w:rPr>
              <w:t>【</w:t>
            </w:r>
            <w:r>
              <w:rPr>
                <w:rFonts w:hint="eastAsia" w:ascii="楷体_GB2312" w:eastAsia="楷体_GB2312"/>
                <w:sz w:val="20"/>
                <w:szCs w:val="20"/>
              </w:rPr>
              <w:t>2</w:t>
            </w:r>
            <w:r>
              <w:rPr>
                <w:rFonts w:ascii="楷体_GB2312" w:eastAsia="楷体_GB2312"/>
                <w:color w:val="000000"/>
                <w:sz w:val="20"/>
                <w:szCs w:val="20"/>
              </w:rPr>
              <w:t>】</w:t>
            </w:r>
            <w:r>
              <w:rPr>
                <w:rFonts w:hint="eastAsia" w:ascii="楷体_GB2312" w:eastAsia="楷体_GB2312"/>
                <w:color w:val="000000"/>
                <w:sz w:val="20"/>
                <w:szCs w:val="20"/>
              </w:rPr>
              <w:t>个</w:t>
            </w:r>
            <w:r>
              <w:rPr>
                <w:rFonts w:ascii="楷体_GB2312" w:eastAsia="楷体_GB2312"/>
                <w:color w:val="000000"/>
                <w:sz w:val="20"/>
                <w:szCs w:val="20"/>
              </w:rPr>
              <w:t>工作日</w:t>
            </w:r>
            <w:r>
              <w:rPr>
                <w:rFonts w:hint="eastAsia" w:ascii="楷体_GB2312" w:eastAsia="楷体_GB2312"/>
                <w:color w:val="000000"/>
                <w:sz w:val="20"/>
                <w:szCs w:val="20"/>
              </w:rPr>
              <w:t>告知投资者。</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10.</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产品存续</w:t>
            </w:r>
            <w:r>
              <w:rPr>
                <w:rFonts w:hint="eastAsia" w:ascii="Times New Roman" w:hAnsi="Times New Roman" w:eastAsia="楷体_GB2312" w:cs="楷体_GB2312"/>
                <w:color w:val="000000"/>
                <w:kern w:val="0"/>
                <w:sz w:val="20"/>
                <w:szCs w:val="20"/>
              </w:rPr>
              <w:t>期间</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如</w:t>
            </w:r>
            <w:r>
              <w:rPr>
                <w:rFonts w:ascii="Times New Roman" w:hAnsi="Times New Roman" w:eastAsia="楷体_GB2312" w:cs="楷体_GB2312"/>
                <w:color w:val="000000"/>
                <w:kern w:val="0"/>
                <w:sz w:val="20"/>
                <w:szCs w:val="20"/>
              </w:rPr>
              <w:t>因市场</w:t>
            </w:r>
            <w:r>
              <w:rPr>
                <w:rFonts w:hint="eastAsia" w:ascii="Times New Roman" w:hAnsi="Times New Roman" w:eastAsia="楷体_GB2312" w:cs="楷体_GB2312"/>
                <w:color w:val="000000"/>
                <w:kern w:val="0"/>
                <w:sz w:val="20"/>
                <w:szCs w:val="20"/>
              </w:rPr>
              <w:t>重大</w:t>
            </w:r>
            <w:r>
              <w:rPr>
                <w:rFonts w:ascii="Times New Roman" w:hAnsi="Times New Roman" w:eastAsia="楷体_GB2312" w:cs="楷体_GB2312"/>
                <w:color w:val="000000"/>
                <w:kern w:val="0"/>
                <w:sz w:val="20"/>
                <w:szCs w:val="20"/>
              </w:rPr>
              <w:t>变化导致投资比例暂时超出</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说明书约定的投资比例区间</w:t>
            </w:r>
            <w:r>
              <w:rPr>
                <w:rFonts w:hint="eastAsia" w:ascii="Times New Roman" w:hAnsi="Times New Roman" w:eastAsia="楷体_GB2312" w:cs="楷体_GB2312"/>
                <w:color w:val="000000"/>
                <w:kern w:val="0"/>
                <w:sz w:val="20"/>
                <w:szCs w:val="20"/>
              </w:rPr>
              <w:t>且</w:t>
            </w:r>
            <w:r>
              <w:rPr>
                <w:rFonts w:ascii="Times New Roman" w:hAnsi="Times New Roman" w:eastAsia="楷体_GB2312" w:cs="楷体_GB2312"/>
                <w:color w:val="000000"/>
                <w:kern w:val="0"/>
                <w:sz w:val="20"/>
                <w:szCs w:val="20"/>
              </w:rPr>
              <w:t>可能对理财产品收益产生重大影响的，</w:t>
            </w:r>
            <w:r>
              <w:rPr>
                <w:rFonts w:hint="eastAsia" w:ascii="Times New Roman" w:hAnsi="Times New Roman" w:eastAsia="楷体_GB2312" w:cs="楷体_GB2312"/>
                <w:color w:val="000000"/>
                <w:kern w:val="0"/>
                <w:sz w:val="20"/>
                <w:szCs w:val="20"/>
              </w:rPr>
              <w:t>信银理财</w:t>
            </w:r>
            <w:r>
              <w:rPr>
                <w:rFonts w:ascii="Times New Roman" w:hAnsi="Times New Roman" w:eastAsia="楷体_GB2312" w:cs="楷体_GB2312"/>
                <w:color w:val="000000"/>
                <w:kern w:val="0"/>
                <w:sz w:val="20"/>
                <w:szCs w:val="20"/>
              </w:rPr>
              <w:t>将</w:t>
            </w:r>
            <w:r>
              <w:rPr>
                <w:rFonts w:hint="eastAsia" w:ascii="Times New Roman" w:hAnsi="Times New Roman" w:eastAsia="楷体_GB2312" w:cs="楷体_GB2312"/>
                <w:color w:val="000000"/>
                <w:kern w:val="0"/>
                <w:sz w:val="20"/>
                <w:szCs w:val="20"/>
              </w:rPr>
              <w:t>在【2】个</w:t>
            </w:r>
            <w:r>
              <w:rPr>
                <w:rFonts w:ascii="Times New Roman" w:hAnsi="Times New Roman" w:eastAsia="楷体_GB2312" w:cs="楷体_GB2312"/>
                <w:color w:val="000000"/>
                <w:kern w:val="0"/>
                <w:sz w:val="20"/>
                <w:szCs w:val="20"/>
              </w:rPr>
              <w:t>工作日内</w:t>
            </w:r>
            <w:r>
              <w:rPr>
                <w:rFonts w:hint="eastAsia" w:ascii="Times New Roman" w:hAnsi="Times New Roman" w:eastAsia="楷体_GB2312" w:cs="楷体_GB2312"/>
                <w:color w:val="000000"/>
                <w:kern w:val="0"/>
                <w:sz w:val="20"/>
                <w:szCs w:val="20"/>
              </w:rPr>
              <w:t>告知投资者</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11.</w:t>
            </w:r>
            <w:r>
              <w:rPr>
                <w:rFonts w:hint="eastAsia" w:ascii="Times New Roman" w:hAnsi="Times New Roman" w:eastAsia="楷体_GB2312" w:cs="楷体_GB2312"/>
                <w:color w:val="000000"/>
                <w:kern w:val="0"/>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产品存续期间，信银理财将向投资者</w:t>
            </w:r>
            <w:r>
              <w:rPr>
                <w:rFonts w:hint="eastAsia" w:ascii="楷体_GB2312" w:hAnsi="宋体" w:eastAsia="楷体_GB2312" w:cs="楷体_GB2312"/>
                <w:color w:val="000000"/>
                <w:kern w:val="0"/>
                <w:sz w:val="20"/>
                <w:szCs w:val="20"/>
              </w:rPr>
              <w:t>发布</w:t>
            </w:r>
            <w:r>
              <w:rPr>
                <w:rFonts w:ascii="楷体_GB2312" w:hAnsi="宋体" w:eastAsia="楷体_GB2312" w:cs="楷体_GB2312"/>
                <w:color w:val="000000"/>
                <w:kern w:val="0"/>
                <w:sz w:val="20"/>
                <w:szCs w:val="20"/>
              </w:rPr>
              <w:t>定期报告，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但不限于季度、半年和年度报告。</w:t>
            </w:r>
            <w:r>
              <w:rPr>
                <w:rFonts w:hint="eastAsia" w:ascii="楷体_GB2312" w:hAnsi="宋体" w:eastAsia="楷体_GB2312" w:cs="楷体_GB2312"/>
                <w:color w:val="000000"/>
                <w:kern w:val="0"/>
                <w:sz w:val="20"/>
                <w:szCs w:val="20"/>
              </w:rPr>
              <w:t>理财产品成立不足</w:t>
            </w:r>
            <w:r>
              <w:rPr>
                <w:rFonts w:ascii="楷体_GB2312" w:hAnsi="宋体" w:eastAsia="楷体_GB2312" w:cs="楷体_GB2312"/>
                <w:color w:val="000000"/>
                <w:kern w:val="0"/>
                <w:sz w:val="20"/>
                <w:szCs w:val="20"/>
              </w:rPr>
              <w:t>90日或者剩余存续期不超过90日的，</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可以不编制理财产品当期的季度、半年和年度报告</w:t>
            </w:r>
            <w:r>
              <w:rPr>
                <w:rFonts w:hint="eastAsia" w:ascii="楷体_GB2312" w:hAnsi="宋体" w:eastAsia="楷体_GB2312" w:cs="楷体_GB2312"/>
                <w:color w:val="000000"/>
                <w:kern w:val="0"/>
                <w:sz w:val="20"/>
                <w:szCs w:val="20"/>
              </w:rPr>
              <w:t>。管理人</w:t>
            </w:r>
            <w:r>
              <w:rPr>
                <w:rFonts w:ascii="楷体_GB2312" w:hAnsi="宋体" w:eastAsia="楷体_GB2312" w:cs="楷体_GB2312"/>
                <w:color w:val="000000"/>
                <w:kern w:val="0"/>
                <w:sz w:val="20"/>
                <w:szCs w:val="20"/>
              </w:rPr>
              <w:t xml:space="preserve">将在理财产品季度、半年和年度报告中披露理财产品组合资产情况及其流动性风险分析等； </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13.</w:t>
            </w:r>
            <w:r>
              <w:rPr>
                <w:rFonts w:hint="eastAsia" w:ascii="楷体_GB2312" w:hAnsi="宋体" w:eastAsia="楷体_GB2312" w:cs="楷体_GB2312"/>
                <w:color w:val="000000"/>
                <w:kern w:val="0"/>
                <w:sz w:val="20"/>
                <w:szCs w:val="20"/>
              </w:rPr>
              <w:t>在</w:t>
            </w:r>
            <w:r>
              <w:rPr>
                <w:rFonts w:ascii="楷体_GB2312" w:hAnsi="宋体" w:eastAsia="楷体_GB2312" w:cs="楷体_GB2312"/>
                <w:color w:val="000000"/>
                <w:kern w:val="0"/>
                <w:sz w:val="20"/>
                <w:szCs w:val="20"/>
              </w:rPr>
              <w:t>本理财产品存续期间</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获知</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经信银理财合理判断认为对</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产品、投资者权益、投资收益等有重大影响的事件，将</w:t>
            </w:r>
            <w:r>
              <w:rPr>
                <w:rFonts w:hint="eastAsia" w:ascii="楷体_GB2312" w:hAnsi="宋体" w:eastAsia="楷体_GB2312" w:cs="楷体_GB2312"/>
                <w:color w:val="000000"/>
                <w:kern w:val="0"/>
                <w:sz w:val="20"/>
                <w:szCs w:val="20"/>
              </w:rPr>
              <w:t>按照</w:t>
            </w:r>
            <w:r>
              <w:rPr>
                <w:rFonts w:ascii="楷体_GB2312" w:hAnsi="宋体" w:eastAsia="楷体_GB2312" w:cs="楷体_GB2312"/>
                <w:color w:val="000000"/>
                <w:kern w:val="0"/>
                <w:sz w:val="20"/>
                <w:szCs w:val="20"/>
              </w:rPr>
              <w:t>法律法规、监管规定</w:t>
            </w:r>
            <w:r>
              <w:rPr>
                <w:rFonts w:hint="eastAsia" w:ascii="楷体_GB2312" w:hAnsi="宋体" w:eastAsia="楷体_GB2312" w:cs="楷体_GB2312"/>
                <w:color w:val="000000"/>
                <w:kern w:val="0"/>
                <w:sz w:val="20"/>
                <w:szCs w:val="20"/>
              </w:rPr>
              <w:t>及时</w:t>
            </w:r>
            <w:r>
              <w:rPr>
                <w:rFonts w:ascii="楷体_GB2312" w:hAnsi="宋体" w:eastAsia="楷体_GB2312" w:cs="楷体_GB2312"/>
                <w:color w:val="000000"/>
                <w:kern w:val="0"/>
                <w:sz w:val="20"/>
                <w:szCs w:val="20"/>
              </w:rPr>
              <w:t>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至少每周向投资者披露一次本产品的资产净值和份额净值。</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15.</w:t>
            </w:r>
            <w:r>
              <w:rPr>
                <w:rFonts w:hint="eastAsia" w:ascii="楷体_GB2312" w:hAnsi="宋体" w:eastAsia="楷体_GB2312" w:cs="楷体_GB2312"/>
                <w:color w:val="000000"/>
                <w:kern w:val="0"/>
                <w:sz w:val="20"/>
                <w:szCs w:val="20"/>
              </w:rPr>
              <w:t>管理人在</w:t>
            </w:r>
            <w:r>
              <w:rPr>
                <w:rFonts w:ascii="楷体_GB2312" w:hAnsi="宋体" w:eastAsia="楷体_GB2312" w:cs="楷体_GB2312"/>
                <w:color w:val="000000"/>
                <w:kern w:val="0"/>
                <w:sz w:val="20"/>
                <w:szCs w:val="20"/>
              </w:rPr>
              <w:t>运用暂停</w:t>
            </w:r>
            <w:r>
              <w:rPr>
                <w:rFonts w:hint="eastAsia" w:ascii="楷体_GB2312" w:hAnsi="宋体" w:eastAsia="楷体_GB2312" w:cs="楷体_GB2312"/>
                <w:color w:val="000000"/>
                <w:kern w:val="0"/>
                <w:sz w:val="20"/>
                <w:szCs w:val="20"/>
              </w:rPr>
              <w:t>或</w:t>
            </w:r>
            <w:r>
              <w:rPr>
                <w:rFonts w:ascii="楷体_GB2312" w:hAnsi="宋体" w:eastAsia="楷体_GB2312" w:cs="楷体_GB2312"/>
                <w:color w:val="000000"/>
                <w:kern w:val="0"/>
                <w:sz w:val="20"/>
                <w:szCs w:val="20"/>
              </w:rPr>
              <w:t>拒绝认</w:t>
            </w:r>
            <w:r>
              <w:rPr>
                <w:rFonts w:hint="eastAsia" w:ascii="楷体_GB2312" w:hAnsi="宋体" w:eastAsia="楷体_GB2312" w:cs="楷体_GB2312"/>
                <w:color w:val="000000"/>
                <w:kern w:val="0"/>
                <w:sz w:val="20"/>
                <w:szCs w:val="20"/>
              </w:rPr>
              <w:t>购</w:t>
            </w:r>
            <w:r>
              <w:rPr>
                <w:rFonts w:ascii="楷体_GB2312" w:hAnsi="宋体" w:eastAsia="楷体_GB2312" w:cs="楷体_GB2312"/>
                <w:color w:val="000000"/>
                <w:kern w:val="0"/>
                <w:sz w:val="20"/>
                <w:szCs w:val="20"/>
              </w:rPr>
              <w:t>申请</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暂停理财产品估值等措施后，</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个交易日内告知投资者，并说明运用相关措施的原因、拟采取的应对安排等。在发生涉及理财产品认购事项调</w:t>
            </w:r>
            <w:r>
              <w:rPr>
                <w:rFonts w:hint="eastAsia" w:ascii="楷体_GB2312" w:hAnsi="宋体" w:eastAsia="楷体_GB2312" w:cs="楷体_GB2312"/>
                <w:color w:val="000000"/>
                <w:kern w:val="0"/>
                <w:sz w:val="20"/>
                <w:szCs w:val="20"/>
              </w:rPr>
              <w:t>整</w:t>
            </w:r>
            <w:r>
              <w:rPr>
                <w:rFonts w:ascii="楷体_GB2312" w:hAnsi="宋体" w:eastAsia="楷体_GB2312" w:cs="楷体_GB2312"/>
                <w:color w:val="000000"/>
                <w:kern w:val="0"/>
                <w:sz w:val="20"/>
                <w:szCs w:val="20"/>
              </w:rPr>
              <w:t>时，及时发布临时公告</w:t>
            </w:r>
            <w:r>
              <w:rPr>
                <w:rFonts w:hint="eastAsia" w:ascii="楷体_GB2312" w:hAnsi="宋体" w:eastAsia="楷体_GB2312" w:cs="楷体_GB2312"/>
                <w:color w:val="000000"/>
                <w:kern w:val="0"/>
                <w:sz w:val="20"/>
                <w:szCs w:val="20"/>
              </w:rPr>
              <w:t>。</w:t>
            </w: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6.</w:t>
            </w:r>
            <w:r>
              <w:rPr>
                <w:rFonts w:hint="eastAsia" w:ascii="楷体_GB2312" w:hAnsi="宋体" w:eastAsia="楷体_GB2312" w:cs="楷体_GB2312"/>
                <w:color w:val="000000"/>
                <w:kern w:val="0"/>
                <w:sz w:val="20"/>
                <w:szCs w:val="20"/>
              </w:rPr>
              <w:t>法律法规、</w:t>
            </w:r>
            <w:r>
              <w:rPr>
                <w:rFonts w:ascii="楷体_GB2312" w:hAnsi="宋体" w:eastAsia="楷体_GB2312" w:cs="楷体_GB2312"/>
                <w:color w:val="000000"/>
                <w:kern w:val="0"/>
                <w:sz w:val="20"/>
                <w:szCs w:val="20"/>
              </w:rPr>
              <w:t>规范性文件、</w:t>
            </w:r>
            <w:r>
              <w:rPr>
                <w:rFonts w:hint="eastAsia" w:ascii="楷体_GB2312" w:hAnsi="宋体" w:eastAsia="楷体_GB2312" w:cs="楷体_GB2312"/>
                <w:color w:val="000000"/>
                <w:kern w:val="0"/>
                <w:sz w:val="20"/>
                <w:szCs w:val="20"/>
              </w:rPr>
              <w:t>监管政策规定或本说明书约定其他应向投资者进行</w:t>
            </w:r>
            <w:r>
              <w:rPr>
                <w:rFonts w:ascii="楷体_GB2312" w:hAnsi="宋体" w:eastAsia="楷体_GB2312" w:cs="楷体_GB2312"/>
                <w:color w:val="000000"/>
                <w:kern w:val="0"/>
                <w:sz w:val="20"/>
                <w:szCs w:val="20"/>
              </w:rPr>
              <w:t>信息</w:t>
            </w:r>
            <w:r>
              <w:rPr>
                <w:rFonts w:hint="eastAsia" w:ascii="楷体_GB2312" w:hAnsi="宋体" w:eastAsia="楷体_GB2312" w:cs="楷体_GB2312"/>
                <w:color w:val="000000"/>
                <w:kern w:val="0"/>
                <w:sz w:val="20"/>
                <w:szCs w:val="20"/>
              </w:rPr>
              <w:t>披露的情形</w:t>
            </w:r>
            <w:r>
              <w:rPr>
                <w:rFonts w:ascii="楷体_GB2312" w:hAnsi="宋体" w:eastAsia="楷体_GB2312" w:cs="楷体_GB2312"/>
                <w:color w:val="000000"/>
                <w:kern w:val="0"/>
                <w:sz w:val="20"/>
                <w:szCs w:val="20"/>
              </w:rPr>
              <w:t>的，信银理财将根据上述规定向投资者发布相关信息</w:t>
            </w:r>
            <w:r>
              <w:rPr>
                <w:rFonts w:hint="eastAsia" w:ascii="楷体_GB2312" w:hAnsi="宋体" w:eastAsia="楷体_GB2312" w:cs="楷体_GB2312"/>
                <w:color w:val="000000"/>
                <w:kern w:val="0"/>
                <w:sz w:val="20"/>
                <w:szCs w:val="20"/>
              </w:rPr>
              <w:t>。</w:t>
            </w:r>
          </w:p>
        </w:tc>
      </w:tr>
    </w:tbl>
    <w:p>
      <w:pPr>
        <w:widowControl/>
        <w:snapToGrid w:val="0"/>
        <w:ind w:left="-2" w:leftChars="-1" w:right="46" w:rightChars="22"/>
        <w:jc w:val="left"/>
        <w:outlineLvl w:val="0"/>
        <w:rPr>
          <w:rFonts w:ascii="黑体" w:hAnsi="Times New Roman" w:eastAsia="黑体" w:cs="黑体"/>
          <w:color w:val="000000"/>
          <w:kern w:val="0"/>
          <w:sz w:val="20"/>
          <w:szCs w:val="20"/>
        </w:rPr>
      </w:pPr>
    </w:p>
    <w:p>
      <w:pPr>
        <w:widowControl/>
        <w:snapToGrid w:val="0"/>
        <w:ind w:left="-2" w:leftChars="-1" w:right="46" w:rightChars="22"/>
        <w:jc w:val="left"/>
        <w:outlineLvl w:val="0"/>
        <w:rPr>
          <w:rFonts w:ascii="宋体" w:hAnsi="宋体" w:eastAsia="宋体" w:cs="宋体"/>
          <w:b/>
          <w:color w:val="000000"/>
          <w:kern w:val="0"/>
          <w:sz w:val="24"/>
          <w:szCs w:val="24"/>
        </w:rPr>
      </w:pPr>
      <w:r>
        <w:rPr>
          <w:rFonts w:hint="eastAsia" w:ascii="黑体" w:hAnsi="Times New Roman" w:eastAsia="黑体" w:cs="黑体"/>
          <w:b/>
          <w:color w:val="000000"/>
          <w:kern w:val="0"/>
          <w:sz w:val="20"/>
          <w:szCs w:val="20"/>
        </w:rPr>
        <w:t>三、理财产品管理人</w:t>
      </w:r>
    </w:p>
    <w:p>
      <w:pPr>
        <w:spacing w:line="300" w:lineRule="exact"/>
        <w:ind w:left="-2" w:leftChars="-1" w:firstLine="402" w:firstLineChars="200"/>
        <w:rPr>
          <w:rFonts w:ascii="Times New Roman" w:hAnsi="Times New Roman" w:eastAsia="楷体_GB2312" w:cs="楷体_GB2312"/>
          <w:b/>
          <w:bCs/>
          <w:sz w:val="20"/>
          <w:szCs w:val="20"/>
        </w:rPr>
      </w:pPr>
      <w:r>
        <w:rPr>
          <w:rFonts w:hint="eastAsia" w:ascii="Times New Roman" w:hAnsi="Times New Roman" w:eastAsia="楷体_GB2312" w:cs="楷体_GB2312"/>
          <w:b/>
          <w:bCs/>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bCs/>
          <w:sz w:val="20"/>
          <w:szCs w:val="20"/>
        </w:rPr>
        <w:t>在此授权并同意信银理财享有以下权利：</w:t>
      </w:r>
    </w:p>
    <w:p>
      <w:pPr>
        <w:spacing w:line="300" w:lineRule="exact"/>
        <w:ind w:firstLine="402" w:firstLineChars="200"/>
        <w:rPr>
          <w:rFonts w:ascii="楷体" w:hAnsi="楷体" w:eastAsia="楷体" w:cs="楷体_GB2312"/>
          <w:b/>
          <w:bCs/>
          <w:sz w:val="20"/>
          <w:szCs w:val="20"/>
        </w:rPr>
      </w:pPr>
      <w:r>
        <w:rPr>
          <w:rFonts w:ascii="楷体" w:hAnsi="楷体" w:eastAsia="楷体"/>
          <w:b/>
          <w:bCs/>
          <w:sz w:val="20"/>
          <w:szCs w:val="20"/>
        </w:rPr>
        <w:t>1.</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的约定，管理、运用和处分理财资金；</w:t>
      </w:r>
    </w:p>
    <w:p>
      <w:pPr>
        <w:spacing w:line="300" w:lineRule="exact"/>
        <w:ind w:firstLine="402" w:firstLineChars="200"/>
        <w:rPr>
          <w:rFonts w:ascii="楷体" w:hAnsi="楷体" w:eastAsia="楷体" w:cs="楷体_GB2312"/>
          <w:b/>
          <w:bCs/>
          <w:sz w:val="20"/>
          <w:szCs w:val="20"/>
        </w:rPr>
      </w:pPr>
      <w:r>
        <w:rPr>
          <w:rFonts w:ascii="楷体" w:hAnsi="楷体" w:eastAsia="楷体" w:cs="楷体_GB2312"/>
          <w:b/>
          <w:bCs/>
          <w:sz w:val="20"/>
          <w:szCs w:val="20"/>
        </w:rPr>
        <w:t>2.</w:t>
      </w:r>
      <w:r>
        <w:rPr>
          <w:rFonts w:hint="eastAsia" w:ascii="楷体" w:hAnsi="楷体" w:eastAsia="楷体" w:cs="楷体_GB2312"/>
          <w:b/>
          <w:bCs/>
          <w:sz w:val="20"/>
          <w:szCs w:val="20"/>
        </w:rPr>
        <w:t>代表</w:t>
      </w:r>
      <w:r>
        <w:rPr>
          <w:rFonts w:ascii="楷体" w:hAnsi="楷体" w:eastAsia="楷体" w:cs="楷体_GB2312"/>
          <w:b/>
          <w:bCs/>
          <w:sz w:val="20"/>
          <w:szCs w:val="20"/>
        </w:rPr>
        <w:t>理财产品</w:t>
      </w:r>
      <w:r>
        <w:rPr>
          <w:rFonts w:hint="eastAsia" w:ascii="楷体" w:hAnsi="楷体" w:eastAsia="楷体" w:cs="楷体_GB2312"/>
          <w:b/>
          <w:bCs/>
          <w:sz w:val="20"/>
          <w:szCs w:val="20"/>
        </w:rPr>
        <w:t>签订投资和资产管理过程中涉及到的协议、合同等文本；</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3.</w:t>
      </w:r>
      <w:r>
        <w:rPr>
          <w:rFonts w:hint="eastAsia" w:ascii="楷体" w:hAnsi="楷体" w:eastAsia="楷体"/>
          <w:b/>
          <w:bCs/>
          <w:sz w:val="20"/>
          <w:szCs w:val="20"/>
        </w:rPr>
        <w:t>以理财产品投资管理人的名义，依照法律法规相关规定以及为理财产品投资者的利益，对被投资的信托计划、资管计划、各类基金（含公募基金和私募基金）、公司</w:t>
      </w:r>
      <w:r>
        <w:rPr>
          <w:rFonts w:ascii="楷体" w:hAnsi="楷体" w:eastAsia="楷体"/>
          <w:b/>
          <w:bCs/>
          <w:sz w:val="20"/>
          <w:szCs w:val="20"/>
        </w:rPr>
        <w:t>/</w:t>
      </w:r>
      <w:r>
        <w:rPr>
          <w:rFonts w:hint="eastAsia" w:ascii="楷体" w:hAnsi="楷体" w:eastAsia="楷体"/>
          <w:b/>
          <w:bCs/>
          <w:sz w:val="20"/>
          <w:szCs w:val="20"/>
        </w:rPr>
        <w:t>企业等各类投资对象行使出资人</w:t>
      </w:r>
      <w:r>
        <w:rPr>
          <w:rFonts w:ascii="楷体" w:hAnsi="楷体" w:eastAsia="楷体"/>
          <w:b/>
          <w:bCs/>
          <w:sz w:val="20"/>
          <w:szCs w:val="20"/>
        </w:rPr>
        <w:t>/</w:t>
      </w:r>
      <w:r>
        <w:rPr>
          <w:rFonts w:hint="eastAsia" w:ascii="楷体" w:hAnsi="楷体" w:eastAsia="楷体"/>
          <w:b/>
          <w:bCs/>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4.</w:t>
      </w:r>
      <w:r>
        <w:rPr>
          <w:rFonts w:hint="eastAsia" w:ascii="楷体" w:hAnsi="楷体" w:eastAsia="楷体"/>
          <w:b/>
          <w:bCs/>
          <w:sz w:val="20"/>
          <w:szCs w:val="20"/>
        </w:rPr>
        <w:t>以理财产品</w:t>
      </w:r>
      <w:r>
        <w:rPr>
          <w:rFonts w:ascii="楷体" w:hAnsi="楷体" w:eastAsia="楷体"/>
          <w:b/>
          <w:bCs/>
          <w:sz w:val="20"/>
          <w:szCs w:val="20"/>
        </w:rPr>
        <w:t>投资管理人的名义，依照法律法规相关规定以及代表理财</w:t>
      </w:r>
      <w:r>
        <w:rPr>
          <w:rFonts w:hint="eastAsia" w:ascii="楷体" w:hAnsi="楷体" w:eastAsia="楷体"/>
          <w:b/>
          <w:bCs/>
          <w:sz w:val="20"/>
          <w:szCs w:val="20"/>
        </w:rPr>
        <w:t>产品投资者</w:t>
      </w:r>
      <w:r>
        <w:rPr>
          <w:rFonts w:ascii="楷体" w:hAnsi="楷体" w:eastAsia="楷体"/>
          <w:b/>
          <w:bCs/>
          <w:sz w:val="20"/>
          <w:szCs w:val="20"/>
        </w:rPr>
        <w:t>的利益行使代为追索的权利</w:t>
      </w:r>
      <w:r>
        <w:rPr>
          <w:rFonts w:hint="eastAsia" w:ascii="楷体" w:hAnsi="楷体" w:eastAsia="楷体"/>
          <w:b/>
          <w:bCs/>
          <w:sz w:val="20"/>
          <w:szCs w:val="20"/>
        </w:rPr>
        <w:t>（包括</w:t>
      </w:r>
      <w:r>
        <w:rPr>
          <w:rFonts w:ascii="楷体" w:hAnsi="楷体" w:eastAsia="楷体"/>
          <w:b/>
          <w:bCs/>
          <w:sz w:val="20"/>
          <w:szCs w:val="20"/>
        </w:rPr>
        <w:t>但不限于提起诉讼</w:t>
      </w:r>
      <w:r>
        <w:rPr>
          <w:rFonts w:hint="eastAsia" w:ascii="楷体" w:hAnsi="楷体" w:eastAsia="楷体"/>
          <w:b/>
          <w:bCs/>
          <w:sz w:val="20"/>
          <w:szCs w:val="20"/>
        </w:rPr>
        <w:t>/仲裁</w:t>
      </w:r>
      <w:r>
        <w:rPr>
          <w:rFonts w:ascii="楷体" w:hAnsi="楷体" w:eastAsia="楷体"/>
          <w:b/>
          <w:bCs/>
          <w:sz w:val="20"/>
          <w:szCs w:val="20"/>
        </w:rPr>
        <w:t>、申请保全</w:t>
      </w:r>
      <w:r>
        <w:rPr>
          <w:rFonts w:hint="eastAsia" w:ascii="楷体" w:hAnsi="楷体" w:eastAsia="楷体"/>
          <w:b/>
          <w:bCs/>
          <w:sz w:val="20"/>
          <w:szCs w:val="20"/>
        </w:rPr>
        <w:t>/执行</w:t>
      </w:r>
      <w:r>
        <w:rPr>
          <w:rFonts w:ascii="楷体" w:hAnsi="楷体" w:eastAsia="楷体"/>
          <w:b/>
          <w:bCs/>
          <w:sz w:val="20"/>
          <w:szCs w:val="20"/>
        </w:rPr>
        <w:t>的权利）或者实施</w:t>
      </w:r>
      <w:r>
        <w:rPr>
          <w:rFonts w:hint="eastAsia" w:ascii="楷体" w:hAnsi="楷体" w:eastAsia="楷体"/>
          <w:b/>
          <w:bCs/>
          <w:sz w:val="20"/>
          <w:szCs w:val="20"/>
        </w:rPr>
        <w:t>风险处置，行使、放弃、变更相关权利义务等其他</w:t>
      </w:r>
      <w:r>
        <w:rPr>
          <w:rFonts w:ascii="楷体" w:hAnsi="楷体" w:eastAsia="楷体"/>
          <w:b/>
          <w:bCs/>
          <w:sz w:val="20"/>
          <w:szCs w:val="20"/>
        </w:rPr>
        <w:t>法律行为</w:t>
      </w:r>
      <w:r>
        <w:rPr>
          <w:rFonts w:hint="eastAsia" w:ascii="楷体" w:hAnsi="楷体" w:eastAsia="楷体"/>
          <w:b/>
          <w:bCs/>
          <w:sz w:val="20"/>
          <w:szCs w:val="20"/>
        </w:rPr>
        <w:t>，</w:t>
      </w:r>
      <w:r>
        <w:rPr>
          <w:rFonts w:ascii="楷体" w:hAnsi="楷体" w:eastAsia="楷体"/>
          <w:b/>
          <w:bCs/>
          <w:sz w:val="20"/>
          <w:szCs w:val="20"/>
        </w:rPr>
        <w:t>产生的合理费用由理财产品承担</w:t>
      </w:r>
      <w:r>
        <w:rPr>
          <w:rFonts w:hint="eastAsia" w:ascii="楷体" w:hAnsi="楷体" w:eastAsia="楷体"/>
          <w:b/>
          <w:bCs/>
          <w:sz w:val="20"/>
          <w:szCs w:val="20"/>
        </w:rPr>
        <w:t>；</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5.</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的约定，及时、足额获得投资管理费和本产品说明书约定的其他费用（如有）；</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6.</w:t>
      </w:r>
      <w:r>
        <w:rPr>
          <w:rFonts w:hint="eastAsia" w:ascii="楷体" w:hAnsi="楷体" w:eastAsia="楷体"/>
          <w:b/>
          <w:bCs/>
          <w:sz w:val="20"/>
          <w:szCs w:val="20"/>
        </w:rPr>
        <w:t>管理人以其固有财产先行垫付因处理本理财产品相关事务所支出的费用及税费的，对理财产品资金享有优先受偿的权利；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7.</w:t>
      </w:r>
      <w:r>
        <w:rPr>
          <w:rFonts w:hint="eastAsia" w:ascii="楷体" w:hAnsi="楷体" w:eastAsia="楷体"/>
          <w:b/>
          <w:bCs/>
          <w:sz w:val="20"/>
          <w:szCs w:val="20"/>
        </w:rPr>
        <w:t>管理人有权按照法律规定和监管机构的要求将投资者的信息向有权部门或相关机构披露。</w:t>
      </w:r>
    </w:p>
    <w:p>
      <w:pPr>
        <w:widowControl/>
        <w:snapToGrid w:val="0"/>
        <w:spacing w:line="300" w:lineRule="exact"/>
        <w:ind w:left="-2" w:leftChars="-1" w:right="46" w:rightChars="22" w:firstLine="400" w:firstLineChars="200"/>
        <w:jc w:val="left"/>
        <w:outlineLvl w:val="0"/>
        <w:rPr>
          <w:rFonts w:ascii="楷体_GB2312" w:hAnsi="宋体" w:eastAsia="楷体_GB2312" w:cs="宋体"/>
          <w:color w:val="000000"/>
          <w:kern w:val="0"/>
          <w:sz w:val="20"/>
          <w:szCs w:val="20"/>
        </w:rPr>
      </w:pPr>
    </w:p>
    <w:p>
      <w:pPr>
        <w:pStyle w:val="7"/>
        <w:numPr>
          <w:ilvl w:val="0"/>
          <w:numId w:val="2"/>
        </w:numPr>
        <w:spacing w:line="300" w:lineRule="exact"/>
        <w:ind w:right="31" w:rightChars="15" w:firstLineChars="0"/>
        <w:rPr>
          <w:rFonts w:ascii="黑体" w:hAnsi="Times New Roman" w:eastAsia="黑体" w:cs="黑体"/>
          <w:color w:val="000000"/>
          <w:sz w:val="20"/>
          <w:szCs w:val="20"/>
        </w:rPr>
      </w:pPr>
      <w:r>
        <w:rPr>
          <w:rFonts w:hint="eastAsia" w:ascii="黑体" w:hAnsi="Times New Roman" w:eastAsia="黑体" w:cs="黑体"/>
          <w:color w:val="000000"/>
          <w:sz w:val="20"/>
          <w:szCs w:val="20"/>
        </w:rPr>
        <w:t>理财</w:t>
      </w:r>
      <w:r>
        <w:rPr>
          <w:rFonts w:ascii="黑体" w:hAnsi="Times New Roman" w:eastAsia="黑体" w:cs="黑体"/>
          <w:color w:val="000000"/>
          <w:sz w:val="20"/>
          <w:szCs w:val="20"/>
        </w:rPr>
        <w:t>产品的认购</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1.投资者在募集期内可提交认购申请，认购理财产品份额。</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2.本理财产品采取金额认购的方式，认购份额=人民币认购金额×（1-认购费率）/1元（认购份额按照四舍五入方法计算，保留小数点后【2】位，由此误差产生的损失由理财财产承担，产生的收益归理财财产所有）。</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3.【募集期结束后的第一个工作日】为认购份额确认日，认购份额确认日后投资者可向产品销售渠道查询认购是否成功。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4.管理人保留不接受认购申请的权利。</w:t>
      </w:r>
    </w:p>
    <w:p>
      <w:pPr>
        <w:widowControl/>
        <w:spacing w:line="300" w:lineRule="exact"/>
        <w:ind w:left="-2" w:leftChars="-1" w:right="31" w:rightChars="15"/>
        <w:jc w:val="left"/>
        <w:rPr>
          <w:rFonts w:ascii="黑体" w:hAnsi="Times New Roman" w:eastAsia="黑体" w:cs="黑体"/>
          <w:color w:val="000000"/>
          <w:kern w:val="0"/>
          <w:sz w:val="20"/>
          <w:szCs w:val="20"/>
        </w:rPr>
      </w:pPr>
    </w:p>
    <w:p>
      <w:pPr>
        <w:widowControl/>
        <w:spacing w:line="300" w:lineRule="exact"/>
        <w:ind w:left="-2" w:leftChars="-1" w:right="31" w:rightChars="15"/>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五</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理财</w:t>
      </w:r>
      <w:r>
        <w:rPr>
          <w:rFonts w:ascii="黑体" w:hAnsi="Times New Roman" w:eastAsia="黑体" w:cs="黑体"/>
          <w:color w:val="000000"/>
          <w:kern w:val="0"/>
          <w:sz w:val="20"/>
          <w:szCs w:val="20"/>
        </w:rPr>
        <w:t>产品的</w:t>
      </w:r>
      <w:r>
        <w:rPr>
          <w:rFonts w:hint="eastAsia" w:ascii="黑体" w:hAnsi="Times New Roman" w:eastAsia="黑体" w:cs="黑体"/>
          <w:color w:val="000000"/>
          <w:kern w:val="0"/>
          <w:sz w:val="20"/>
          <w:szCs w:val="20"/>
        </w:rPr>
        <w:t>申购和</w:t>
      </w:r>
      <w:r>
        <w:rPr>
          <w:rFonts w:ascii="黑体" w:hAnsi="Times New Roman" w:eastAsia="黑体" w:cs="黑体"/>
          <w:color w:val="000000"/>
          <w:kern w:val="0"/>
          <w:sz w:val="20"/>
          <w:szCs w:val="20"/>
        </w:rPr>
        <w:t>赎回</w:t>
      </w:r>
    </w:p>
    <w:p>
      <w:pPr>
        <w:widowControl/>
        <w:spacing w:line="300" w:lineRule="exact"/>
        <w:ind w:left="-2" w:leftChars="-1" w:right="31" w:rightChars="15" w:firstLine="428" w:firstLineChars="214"/>
        <w:jc w:val="left"/>
        <w:rPr>
          <w:rFonts w:ascii="楷体_GB2312" w:hAnsi="宋体" w:eastAsia="楷体_GB2312" w:cs="宋体"/>
          <w:color w:val="000000"/>
          <w:kern w:val="0"/>
          <w:sz w:val="20"/>
          <w:szCs w:val="20"/>
        </w:rPr>
      </w:pPr>
      <w:r>
        <w:rPr>
          <w:rFonts w:hint="eastAsia" w:ascii="Times New Roman" w:hAnsi="Times New Roman" w:eastAsia="楷体_GB2312" w:cs="宋体"/>
          <w:color w:val="000000"/>
          <w:kern w:val="0"/>
          <w:sz w:val="20"/>
          <w:szCs w:val="20"/>
        </w:rPr>
        <w:t>本产品不开放申购和赎回。</w:t>
      </w:r>
    </w:p>
    <w:p>
      <w:pPr>
        <w:widowControl/>
        <w:spacing w:line="300" w:lineRule="exact"/>
        <w:ind w:right="31" w:rightChars="15"/>
        <w:jc w:val="left"/>
        <w:rPr>
          <w:rFonts w:ascii="楷体_GB2312" w:hAnsi="宋体" w:eastAsia="楷体_GB2312" w:cs="宋体"/>
          <w:color w:val="000000"/>
          <w:kern w:val="0"/>
          <w:sz w:val="20"/>
          <w:szCs w:val="20"/>
        </w:rPr>
      </w:pPr>
    </w:p>
    <w:p>
      <w:pPr>
        <w:widowControl/>
        <w:spacing w:line="300" w:lineRule="exact"/>
        <w:ind w:left="-2" w:leftChars="-1" w:right="84" w:rightChars="40"/>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六、拒绝或暂停接受认购申请的情形及处理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管理人可拒绝接受或暂停接受投资者的认购申请的情形包括：</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）不可抗力或国家经济金融政策发生变化等原因导致本产品无法正常运作；</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）证券交易场所或银行间债券市场依法决定停市等情形；</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）当管理人认为某笔认购申请会有损于本产品其他份额持有人利益时，或基于投资运作和风险控制需要，可拒绝该笔认购申请；</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）当投资者认购金额将导致单笔认购金额上限、单个投资者持仓上限、计划募集金额上限、产品规模上限等各指标超限时，管理人有权拒绝投资者的认购申请；</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法律法规规定或管理人基于审慎考虑认定的其他情形。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如果投资者的认购申请被拒绝，被拒绝的认购款项将全额退还给投资者，扣款日至资金返还日期间不计付利息。投资者通过代销机构购买理财产品的，以代销机构的规定为准。</w:t>
      </w:r>
    </w:p>
    <w:p>
      <w:pPr>
        <w:widowControl/>
        <w:spacing w:line="300" w:lineRule="exact"/>
        <w:ind w:right="84" w:rightChars="40"/>
        <w:jc w:val="left"/>
        <w:rPr>
          <w:rFonts w:ascii="楷体_GB2312" w:hAnsi="宋体" w:eastAsia="楷体_GB2312" w:cs="楷体_GB2312"/>
          <w:color w:val="000000"/>
          <w:kern w:val="0"/>
          <w:sz w:val="20"/>
          <w:szCs w:val="20"/>
        </w:rPr>
      </w:pPr>
    </w:p>
    <w:p>
      <w:pPr>
        <w:widowControl/>
        <w:spacing w:line="300" w:lineRule="exact"/>
        <w:ind w:right="84" w:rightChars="40"/>
        <w:jc w:val="left"/>
        <w:rPr>
          <w:rFonts w:ascii="黑体" w:hAnsi="宋体" w:eastAsia="黑体" w:cs="黑体"/>
          <w:color w:val="000000"/>
          <w:kern w:val="0"/>
          <w:sz w:val="20"/>
          <w:szCs w:val="20"/>
        </w:rPr>
      </w:pPr>
      <w:r>
        <w:rPr>
          <w:rFonts w:hint="eastAsia" w:ascii="黑体" w:hAnsi="宋体" w:eastAsia="黑体" w:cs="黑体"/>
          <w:color w:val="000000"/>
          <w:kern w:val="0"/>
          <w:sz w:val="20"/>
          <w:szCs w:val="20"/>
        </w:rPr>
        <w:t>七</w:t>
      </w:r>
      <w:r>
        <w:rPr>
          <w:rFonts w:ascii="黑体" w:hAnsi="宋体" w:eastAsia="黑体" w:cs="黑体"/>
          <w:color w:val="000000"/>
          <w:kern w:val="0"/>
          <w:sz w:val="20"/>
          <w:szCs w:val="20"/>
        </w:rPr>
        <w:t>、理财资金分配</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本产品在扣除信银理财</w:t>
      </w:r>
      <w:r>
        <w:rPr>
          <w:rFonts w:ascii="楷体_GB2312" w:eastAsia="楷体_GB2312" w:cs="楷体_GB2312"/>
          <w:color w:val="000000" w:themeColor="text1"/>
          <w:sz w:val="20"/>
          <w:szCs w:val="20"/>
          <w14:textFill>
            <w14:solidFill>
              <w14:schemeClr w14:val="tx1"/>
            </w14:solidFill>
          </w14:textFill>
        </w:rPr>
        <w:t>应收取费用</w:t>
      </w:r>
      <w:r>
        <w:rPr>
          <w:rFonts w:hint="eastAsia" w:ascii="楷体_GB2312" w:eastAsia="楷体_GB2312" w:cs="楷体_GB2312"/>
          <w:color w:val="000000" w:themeColor="text1"/>
          <w:sz w:val="20"/>
          <w:szCs w:val="20"/>
          <w14:textFill>
            <w14:solidFill>
              <w14:schemeClr w14:val="tx1"/>
            </w14:solidFill>
          </w14:textFill>
        </w:rPr>
        <w:t>及其他应由产品承担的税费后的投资损益全部归属投资者。</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w:t>
      </w: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-应付浮动</w:t>
      </w:r>
      <w:r>
        <w:rPr>
          <w:rFonts w:ascii="楷体_GB2312" w:eastAsia="楷体_GB2312" w:cs="楷体_GB2312"/>
          <w:color w:val="000000" w:themeColor="text1"/>
          <w:sz w:val="20"/>
          <w:szCs w:val="20"/>
          <w14:textFill>
            <w14:solidFill>
              <w14:schemeClr w14:val="tx1"/>
            </w14:solidFill>
          </w14:textFill>
        </w:rPr>
        <w:t>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w:t>
      </w:r>
      <w:r>
        <w:rPr>
          <w:rFonts w:ascii="楷体_GB2312" w:eastAsia="楷体_GB2312" w:cs="楷体_GB2312"/>
          <w:color w:val="000000" w:themeColor="text1"/>
          <w:sz w:val="20"/>
          <w:szCs w:val="20"/>
          <w14:textFill>
            <w14:solidFill>
              <w14:schemeClr w14:val="tx1"/>
            </w14:solidFill>
          </w14:textFill>
        </w:rPr>
        <w:t>说明书</w:t>
      </w:r>
      <w:r>
        <w:rPr>
          <w:rFonts w:hint="eastAsia" w:ascii="楷体_GB2312" w:eastAsia="楷体_GB2312" w:cs="楷体_GB2312"/>
          <w:color w:val="000000" w:themeColor="text1"/>
          <w:sz w:val="20"/>
          <w:szCs w:val="20"/>
          <w14:textFill>
            <w14:solidFill>
              <w14:schemeClr w14:val="tx1"/>
            </w14:solidFill>
          </w14:textFill>
        </w:rPr>
        <w:t>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napToGrid w:val="0"/>
        <w:spacing w:line="300" w:lineRule="exact"/>
        <w:ind w:left="-2" w:leftChars="-1" w:right="46" w:rightChars="22"/>
        <w:jc w:val="left"/>
        <w:outlineLvl w:val="0"/>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八、理财产品的费用</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1.本产品的费用包括认购费、销售服务费、托管费、固定管理费、浮动管理费，产品运作和清算中产生的其他资金汇划费、结算费、交易手续费、注册登记费、信息披露费、账户服务费、审计费、律师费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，以及按照法律法规规章规定和理财产品销售文件约定可以列入的其他费用。管理人因管理、运营理财产品发生的税费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2.认购费</w:t>
      </w:r>
      <w:r>
        <w:rPr>
          <w:rFonts w:hint="eastAsia" w:ascii="楷体_GB2312" w:hAnsi="宋体" w:eastAsia="楷体_GB2312" w:cs="楷体_GB2312"/>
          <w:b/>
          <w:color w:val="000000"/>
          <w:kern w:val="0"/>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3.销售服务费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B类份额费率【0.25%】/年，计算方式为【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销售服务费每日计提，按【</w:t>
      </w:r>
      <w:r>
        <w:rPr>
          <w:rFonts w:hint="eastAsia" w:ascii="楷体_GB2312" w:eastAsia="楷体_GB2312" w:cs="楷体_GB2312"/>
          <w:b/>
          <w:sz w:val="20"/>
          <w:szCs w:val="20"/>
        </w:rPr>
        <w:t>季</w:t>
      </w:r>
      <w:r>
        <w:rPr>
          <w:rFonts w:ascii="楷体_GB2312" w:hAnsi="宋体" w:eastAsia="楷体_GB2312" w:cs="楷体_GB2312"/>
          <w:b/>
          <w:color w:val="000000"/>
          <w:kern w:val="0"/>
          <w:sz w:val="20"/>
          <w:szCs w:val="20"/>
        </w:rPr>
        <w:t>】支付，由管理人向托管人发送指令，托管人复核后按【季】从资产中一次性支付。投资者通过代销机构购买理财产品的，代销机构收取的</w:t>
      </w:r>
      <w:r>
        <w:rPr>
          <w:rFonts w:hint="eastAsia" w:ascii="楷体_GB2312" w:hAnsi="宋体" w:eastAsia="楷体_GB2312" w:cs="楷体_GB2312"/>
          <w:b/>
          <w:color w:val="000000"/>
          <w:kern w:val="0"/>
          <w:sz w:val="20"/>
          <w:szCs w:val="20"/>
        </w:rPr>
        <w:t>销售</w:t>
      </w:r>
      <w:r>
        <w:rPr>
          <w:rFonts w:ascii="楷体_GB2312" w:hAnsi="宋体" w:eastAsia="楷体_GB2312" w:cs="楷体_GB2312"/>
          <w:b/>
          <w:color w:val="000000"/>
          <w:kern w:val="0"/>
          <w:sz w:val="20"/>
          <w:szCs w:val="20"/>
        </w:rPr>
        <w:t>相关费用以代销机构规定为准。</w:t>
      </w:r>
    </w:p>
    <w:p>
      <w:pPr>
        <w:widowControl/>
        <w:spacing w:line="300" w:lineRule="exact"/>
        <w:ind w:firstLine="402" w:firstLineChars="200"/>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4.托管费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费率【0.01%】/年，计算方式为【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宋体"/>
          <w:b/>
          <w:color w:val="000000"/>
          <w:kern w:val="0"/>
          <w:sz w:val="20"/>
          <w:szCs w:val="20"/>
        </w:rPr>
      </w:pPr>
      <w:r>
        <w:rPr>
          <w:rFonts w:ascii="楷体_GB2312" w:hAnsi="宋体" w:eastAsia="楷体_GB2312" w:cs="楷体_GB2312"/>
          <w:b/>
          <w:color w:val="000000"/>
          <w:kern w:val="0"/>
          <w:sz w:val="20"/>
          <w:szCs w:val="20"/>
        </w:rPr>
        <w:t>托管费每日计提，按【年】支付，由管理人向托管人发送指令，托管人复核后从资产中一次性支付。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5.固定管理费</w:t>
      </w:r>
    </w:p>
    <w:p>
      <w:pPr>
        <w:snapToGrid w:val="0"/>
        <w:spacing w:line="300" w:lineRule="exact"/>
        <w:ind w:firstLine="402" w:firstLineChars="200"/>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6.浮动管理费</w:t>
      </w:r>
    </w:p>
    <w:p>
      <w:pPr>
        <w:snapToGrid w:val="0"/>
        <w:spacing w:line="300" w:lineRule="exact"/>
        <w:ind w:right="84" w:rightChars="40" w:firstLine="402" w:firstLineChars="200"/>
        <w:outlineLvl w:val="0"/>
        <w:rPr>
          <w:rFonts w:ascii="楷体_GB2312" w:eastAsia="楷体_GB2312"/>
          <w:b/>
          <w:sz w:val="20"/>
          <w:szCs w:val="20"/>
        </w:rPr>
      </w:pPr>
      <w:r>
        <w:rPr>
          <w:rFonts w:ascii="楷体_GB2312" w:eastAsia="楷体_GB2312"/>
          <w:b/>
          <w:sz w:val="20"/>
          <w:szCs w:val="20"/>
        </w:rPr>
        <w:t>B类份额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hint="eastAsia" w:ascii="楷体_GB2312" w:hAnsi="宋体" w:eastAsia="楷体_GB2312" w:cs="楷体_GB2312"/>
          <w:b/>
          <w:color w:val="000000"/>
          <w:kern w:val="0"/>
          <w:sz w:val="20"/>
          <w:szCs w:val="20"/>
        </w:rPr>
        <w:t>理财产品每日暂估的浮动管理费，仅用于理财产品会计核算和估值日估值，并将扣除“暂估浮动管理费”后的理财产品份额净值按照本说明书约定定期向投资者进行披露。理财产品实际的浮动管理费最终以每个到期日或提前终止日计提核算的数值为准。</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7.产品运作和清算中产生的其他资金汇划费、结算费、交易手续费、注册登记费、信息披露费、账户服务费、审计费、律师费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及按照法律法规规章规定和理财产品销售文件约定应由产品承担的费用等，按照实际发生时从产品资产中列支。</w:t>
      </w:r>
    </w:p>
    <w:p>
      <w:pPr>
        <w:widowControl/>
        <w:snapToGrid w:val="0"/>
        <w:spacing w:line="300" w:lineRule="exact"/>
        <w:ind w:left="-2" w:leftChars="-1" w:right="46" w:rightChars="22" w:firstLine="400" w:firstLineChars="200"/>
        <w:outlineLvl w:val="0"/>
        <w:rPr>
          <w:rFonts w:ascii="楷体_GB2312" w:hAnsi="宋体" w:eastAsia="楷体_GB2312" w:cs="楷体_GB2312"/>
          <w:color w:val="000000"/>
          <w:kern w:val="0"/>
          <w:sz w:val="20"/>
          <w:szCs w:val="20"/>
        </w:rPr>
      </w:pPr>
    </w:p>
    <w:p>
      <w:pPr>
        <w:widowControl/>
        <w:spacing w:line="300" w:lineRule="exact"/>
        <w:ind w:right="25" w:rightChars="12"/>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九、资产估值</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估值日</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产品的估值日为</w:t>
      </w:r>
      <w:r>
        <w:rPr>
          <w:rFonts w:hint="eastAsia" w:ascii="楷体_GB2312" w:hAnsi="宋体" w:eastAsia="楷体_GB2312" w:cs="楷体_GB2312"/>
          <w:color w:val="000000"/>
          <w:kern w:val="0"/>
          <w:sz w:val="20"/>
          <w:szCs w:val="20"/>
        </w:rPr>
        <w:t>净值披露日和收益分配日</w:t>
      </w:r>
      <w:r>
        <w:rPr>
          <w:rFonts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对象和</w:t>
      </w:r>
      <w:r>
        <w:rPr>
          <w:rFonts w:hint="eastAsia" w:ascii="楷体_GB2312" w:hAnsi="宋体" w:eastAsia="楷体_GB2312" w:cs="楷体_GB2312"/>
          <w:color w:val="000000"/>
          <w:kern w:val="0"/>
          <w:sz w:val="20"/>
          <w:szCs w:val="20"/>
        </w:rPr>
        <w:t>估值方法</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理财产品所投资各类资产原则上按照公允价值估值。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1）银行存款、回购等货币市场工具</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以本金列示，按商定的利率在实际持有期间内逐日计提。</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2）在境内银行间市场和证券交易所流通的债券等标准化固定收益类资产</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在符合企业会计准则及监管要求前提下，若产品投资以收取合同现金流量为目的并持有到期的债券，可采用“摊余成本法”计量；</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其它不符合上述条件的，按第三方估值机构（中债、中证等）提供的相应品种当日的估值净价进行估值，未获取到第三方估值结果的，按照最新监管规定进行估值。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4）未上市基金估值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境内未上市的货币市场基金，按基金管理人公布的前一估值日后至估值日期间（含节假日）能获取到的最新万份收益计提估值日收益。；</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境内未上市的非货币市场基金，按基金管理人公布能获取到的最新份额净值估值。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 xml:space="preserve">5）非上市股权估值 </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6）信托计划、资管计划、私募基金等资产，以对方管理人披露的可获取到的最新净值，或前一估值日后至估值日期间（含节假日）能获取到的最新万分收益进行估值。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7）非标准化债权，在符合企业会计准则及监管要求前提下，可采用摊余成本法计量；存在并可以确定公允价值的，以公允价值估值，公允价值不能确定的，按照最新监管规定或管理人认可的估值技术进行估值。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8）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9）期货、互换、期权等衍生金融工具，有活跃市场的交易，以最近交易日结算价或收盘价进行估值；无活跃市场的交易，按照第三方机构提供的估值数据或管理人认可的估值技术进行估值。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10）若本产品存续期间持有其他投资品种，以管理人和托管人共同认可的方法估值。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11）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12）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widowControl/>
        <w:spacing w:line="300" w:lineRule="exact"/>
        <w:ind w:firstLine="200"/>
        <w:rPr>
          <w:rFonts w:ascii="楷体_GB2312" w:hAnsi="宋体" w:eastAsia="楷体_GB2312" w:cs="宋体"/>
          <w:color w:val="000000"/>
          <w:kern w:val="0"/>
          <w:sz w:val="20"/>
          <w:szCs w:val="20"/>
          <w:u w:val="single"/>
        </w:rPr>
      </w:pPr>
      <w:r>
        <w:rPr>
          <w:rFonts w:hint="eastAsia" w:ascii="楷体_GB2312" w:hAnsi="宋体" w:eastAsia="楷体_GB2312" w:cs="楷体_GB2312"/>
          <w:color w:val="000000"/>
          <w:kern w:val="0"/>
          <w:sz w:val="20"/>
          <w:szCs w:val="20"/>
        </w:rPr>
        <w:t>按照以上估值方法进行估值时，所造成的误差不作为理财产品估值错误处理。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错误的处理</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本产品管理人和托管人将采取必要、适当合理的措施确保资产估值的准确性、及时性。当单位净值出现错误时，本产品管理人和</w:t>
      </w:r>
      <w:r>
        <w:rPr>
          <w:rFonts w:ascii="楷体_GB2312" w:hAnsi="宋体" w:eastAsia="楷体_GB2312" w:cs="楷体_GB2312"/>
          <w:color w:val="000000"/>
          <w:kern w:val="0"/>
          <w:sz w:val="20"/>
          <w:szCs w:val="20"/>
        </w:rPr>
        <w:t>托管人</w:t>
      </w:r>
      <w:r>
        <w:rPr>
          <w:rFonts w:hint="eastAsia" w:ascii="楷体_GB2312" w:hAnsi="宋体" w:eastAsia="楷体_GB2312" w:cs="楷体_GB2312"/>
          <w:color w:val="000000"/>
          <w:kern w:val="0"/>
          <w:sz w:val="20"/>
          <w:szCs w:val="20"/>
        </w:rPr>
        <w:t>应当立即予以纠正，并采取合理的措施防止损失进一步扩大。</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）估值错误处理原则</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由于管理人或托管人自身的过错造成估值错误，导致投资者遭受损失的，由估值错误责任方按照各自过错程度对该估值错误导致投资者遭受的直接损失给予赔偿，承担赔偿责任。</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对于因技术原因引起的差错，若系同行业现有技术水平无法预见、无法避免、无法抗拒，属不可抗力。因不可抗力原因出现差错的当事人不对投资者承担赔偿责任，但</w:t>
      </w:r>
      <w:r>
        <w:rPr>
          <w:rFonts w:ascii="楷体_GB2312" w:hAnsi="宋体" w:eastAsia="楷体_GB2312" w:cs="宋体"/>
          <w:color w:val="000000"/>
          <w:kern w:val="0"/>
          <w:sz w:val="20"/>
          <w:szCs w:val="20"/>
        </w:rPr>
        <w:t>应当积极采取必要措施消除</w:t>
      </w:r>
      <w:r>
        <w:rPr>
          <w:rFonts w:hint="eastAsia" w:ascii="楷体_GB2312" w:hAnsi="宋体" w:eastAsia="楷体_GB2312" w:cs="宋体"/>
          <w:color w:val="000000"/>
          <w:kern w:val="0"/>
          <w:sz w:val="20"/>
          <w:szCs w:val="20"/>
        </w:rPr>
        <w:t>差错</w:t>
      </w:r>
      <w:r>
        <w:rPr>
          <w:rFonts w:ascii="楷体_GB2312" w:hAnsi="宋体" w:eastAsia="楷体_GB2312" w:cs="宋体"/>
          <w:color w:val="000000"/>
          <w:kern w:val="0"/>
          <w:sz w:val="20"/>
          <w:szCs w:val="20"/>
        </w:rPr>
        <w:t>带来的影响</w:t>
      </w:r>
      <w:r>
        <w:rPr>
          <w:rFonts w:hint="eastAsia" w:ascii="楷体_GB2312" w:hAnsi="宋体" w:eastAsia="楷体_GB2312" w:cs="宋体"/>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D</w:t>
      </w:r>
      <w:r>
        <w:rPr>
          <w:rFonts w:hint="eastAsia" w:ascii="楷体_GB2312" w:hAnsi="宋体" w:eastAsia="楷体_GB2312" w:cs="宋体"/>
          <w:color w:val="000000"/>
          <w:kern w:val="0"/>
          <w:sz w:val="20"/>
          <w:szCs w:val="20"/>
        </w:rPr>
        <w:t>当估值出现错误时，因估值错误而获得不当得利的投资者负有及时返还不当得利的义务。</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E</w:t>
      </w:r>
      <w:r>
        <w:rPr>
          <w:rFonts w:hint="eastAsia" w:ascii="楷体_GB2312" w:hAnsi="宋体" w:eastAsia="楷体_GB2312" w:cs="宋体"/>
          <w:color w:val="000000"/>
          <w:kern w:val="0"/>
          <w:sz w:val="20"/>
          <w:szCs w:val="20"/>
        </w:rPr>
        <w:t>按法律法规规定的其他原则处理估值错误。</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）估值错误处理程序</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估值错误被发现后，管理人和托管人应当及时进行处理，处理的程序如下：</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查明估值错误发生的原因，列明所有的管理人和托管人并根据估值错误发生的原因确定估值错误的责任方。</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根据估值错误处理原则对因估值错误造成的损失进行评估。</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根据管理人和托管人协商的方法，由管理人和托管人共同进行更正，由估值错误的责任方进行赔偿损失。</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特殊情况的处理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暂停</w:t>
      </w:r>
      <w:r>
        <w:rPr>
          <w:rFonts w:ascii="楷体_GB2312" w:hAnsi="宋体" w:eastAsia="楷体_GB2312" w:cs="楷体_GB2312"/>
          <w:color w:val="000000"/>
          <w:kern w:val="0"/>
          <w:sz w:val="20"/>
          <w:szCs w:val="20"/>
        </w:rPr>
        <w:t>估值的情形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当资产估值因不可抗力或其他情形致使本产品管理人和托管人无法准确评估资产价值时；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产品投资所涉及的交易市场遇法定节假日或因其他原因暂停营业时；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产品投资的其他</w:t>
      </w:r>
      <w:r>
        <w:rPr>
          <w:rFonts w:hint="eastAsia" w:ascii="楷体_GB2312" w:hAnsi="宋体" w:eastAsia="楷体_GB2312" w:cs="楷体_GB2312"/>
          <w:color w:val="000000"/>
          <w:kern w:val="0"/>
          <w:sz w:val="20"/>
          <w:szCs w:val="20"/>
        </w:rPr>
        <w:t>资产</w:t>
      </w:r>
      <w:r>
        <w:rPr>
          <w:rFonts w:ascii="楷体_GB2312" w:hAnsi="宋体" w:eastAsia="楷体_GB2312" w:cs="楷体_GB2312"/>
          <w:color w:val="000000"/>
          <w:kern w:val="0"/>
          <w:sz w:val="20"/>
          <w:szCs w:val="20"/>
        </w:rPr>
        <w:t>产品合同约定暂停估值或无法估值的情形发生，导致理财产品无法估值时；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产品在前一估值日内，产品资产净值</w:t>
      </w:r>
      <w:r>
        <w:rPr>
          <w:rFonts w:ascii="楷体_GB2312" w:hAnsi="宋体" w:eastAsia="楷体_GB2312" w:cs="楷体_GB2312"/>
          <w:color w:val="000000"/>
          <w:kern w:val="0"/>
          <w:sz w:val="20"/>
          <w:szCs w:val="20"/>
        </w:rPr>
        <w:t>50%以上的资产不具备活跃交易市场或者在活跃市场中无报价，且不能采用估值技术可靠计量公允价值的</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国务院银行业监督管理机构认定的其他情形或理财</w:t>
      </w:r>
      <w:r>
        <w:rPr>
          <w:rFonts w:ascii="楷体_GB2312" w:hAnsi="宋体" w:eastAsia="楷体_GB2312" w:cs="楷体_GB2312"/>
          <w:color w:val="000000"/>
          <w:kern w:val="0"/>
          <w:sz w:val="20"/>
          <w:szCs w:val="20"/>
        </w:rPr>
        <w:t>产品管理人、托管人有合理理由认为将影响本理财产品估值的其他情形</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遇</w:t>
      </w:r>
      <w:r>
        <w:rPr>
          <w:rFonts w:ascii="楷体_GB2312" w:hAnsi="宋体" w:eastAsia="楷体_GB2312" w:cs="楷体_GB2312"/>
          <w:color w:val="000000"/>
          <w:kern w:val="0"/>
          <w:sz w:val="20"/>
          <w:szCs w:val="20"/>
        </w:rPr>
        <w:t>以上情形，</w:t>
      </w:r>
      <w:r>
        <w:rPr>
          <w:rFonts w:hint="eastAsia" w:ascii="楷体_GB2312" w:hAnsi="宋体" w:eastAsia="楷体_GB2312" w:cs="楷体_GB2312"/>
          <w:color w:val="000000"/>
          <w:kern w:val="0"/>
          <w:sz w:val="20"/>
          <w:szCs w:val="20"/>
        </w:rPr>
        <w:t>管理人可暂停本产品估值直至另行通知。</w:t>
      </w:r>
    </w:p>
    <w:p>
      <w:pPr>
        <w:widowControl/>
        <w:snapToGrid w:val="0"/>
        <w:spacing w:line="300" w:lineRule="exact"/>
        <w:ind w:right="46" w:rightChars="22"/>
        <w:jc w:val="left"/>
        <w:outlineLvl w:val="0"/>
        <w:rPr>
          <w:rFonts w:ascii="楷体_GB2312" w:hAnsi="宋体" w:eastAsia="楷体_GB2312" w:cs="宋体"/>
          <w:color w:val="000000"/>
          <w:kern w:val="0"/>
          <w:sz w:val="20"/>
          <w:szCs w:val="20"/>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如遇国家法律法规或监管政策出现重大调整，或者市场、拟投资标的等</w:t>
      </w:r>
      <w:r>
        <w:rPr>
          <w:rFonts w:ascii="楷体_GB2312" w:hAnsi="宋体" w:eastAsia="楷体_GB2312" w:cs="楷体_GB2312"/>
          <w:color w:val="000000"/>
          <w:kern w:val="0"/>
          <w:sz w:val="20"/>
          <w:szCs w:val="20"/>
        </w:rPr>
        <w:t>情况</w:t>
      </w:r>
      <w:r>
        <w:rPr>
          <w:rFonts w:hint="eastAsia" w:ascii="楷体_GB2312" w:hAnsi="宋体" w:eastAsia="楷体_GB2312" w:cs="楷体_GB2312"/>
          <w:color w:val="000000"/>
          <w:kern w:val="0"/>
          <w:sz w:val="20"/>
          <w:szCs w:val="20"/>
        </w:rPr>
        <w:t>出现重大变化，影响到本产品的正常成立时，信银理财有权宣布产品不成立。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信银理财将于决定理财产品不成立后的【</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w:t>
      </w:r>
      <w:r>
        <w:rPr>
          <w:rFonts w:ascii="楷体_GB2312" w:hAnsi="宋体" w:eastAsia="楷体_GB2312" w:cs="楷体_GB2312"/>
          <w:color w:val="000000"/>
          <w:kern w:val="0"/>
          <w:sz w:val="20"/>
          <w:szCs w:val="20"/>
        </w:rPr>
        <w:t>通知投资者</w:t>
      </w:r>
      <w:r>
        <w:rPr>
          <w:rFonts w:hint="eastAsia" w:ascii="楷体_GB2312" w:hAnsi="宋体" w:eastAsia="楷体_GB2312" w:cs="楷体_GB2312"/>
          <w:color w:val="000000"/>
          <w:kern w:val="0"/>
          <w:sz w:val="20"/>
          <w:szCs w:val="20"/>
        </w:rPr>
        <w:t>。如信银理财通知产品不成立，将于通知产品不成立之日起【</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】个工作日内返还投资者本金（扣款日至本金返还日期间不计付利息。投资者通过代销机构购买的，计息规则以代销机构规定为准）。投资者</w:t>
      </w:r>
      <w:r>
        <w:rPr>
          <w:rFonts w:ascii="楷体_GB2312" w:hAnsi="宋体" w:eastAsia="楷体_GB2312" w:cs="楷体_GB2312"/>
          <w:color w:val="000000"/>
          <w:kern w:val="0"/>
          <w:sz w:val="20"/>
          <w:szCs w:val="20"/>
        </w:rPr>
        <w:t>通过代销机构渠道购买</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产品的，</w:t>
      </w:r>
      <w:r>
        <w:rPr>
          <w:rFonts w:hint="eastAsia" w:ascii="楷体_GB2312" w:hAnsi="宋体" w:eastAsia="楷体_GB2312" w:cs="楷体_GB2312"/>
          <w:color w:val="000000"/>
          <w:kern w:val="0"/>
          <w:sz w:val="20"/>
          <w:szCs w:val="20"/>
        </w:rPr>
        <w:t>投资者</w:t>
      </w:r>
      <w:r>
        <w:rPr>
          <w:rFonts w:ascii="楷体_GB2312" w:hAnsi="宋体" w:eastAsia="楷体_GB2312" w:cs="楷体_GB2312"/>
          <w:color w:val="000000"/>
          <w:kern w:val="0"/>
          <w:sz w:val="20"/>
          <w:szCs w:val="20"/>
        </w:rPr>
        <w:t>本金</w:t>
      </w:r>
      <w:r>
        <w:rPr>
          <w:rFonts w:hint="eastAsia" w:ascii="楷体_GB2312" w:hAnsi="宋体" w:eastAsia="楷体_GB2312" w:cs="楷体_GB2312"/>
          <w:color w:val="000000"/>
          <w:kern w:val="0"/>
          <w:sz w:val="20"/>
          <w:szCs w:val="20"/>
        </w:rPr>
        <w:t>划转至</w:t>
      </w:r>
      <w:r>
        <w:rPr>
          <w:rFonts w:ascii="楷体_GB2312" w:hAnsi="宋体" w:eastAsia="楷体_GB2312" w:cs="楷体_GB2312"/>
          <w:color w:val="000000"/>
          <w:kern w:val="0"/>
          <w:sz w:val="20"/>
          <w:szCs w:val="20"/>
        </w:rPr>
        <w:t>投资者账户的时间以代销机构</w:t>
      </w:r>
      <w:r>
        <w:rPr>
          <w:rFonts w:hint="eastAsia" w:ascii="楷体_GB2312" w:hAnsi="宋体" w:eastAsia="楷体_GB2312" w:cs="楷体_GB2312"/>
          <w:color w:val="000000"/>
          <w:kern w:val="0"/>
          <w:sz w:val="20"/>
          <w:szCs w:val="20"/>
        </w:rPr>
        <w:t>清算</w:t>
      </w:r>
      <w:r>
        <w:rPr>
          <w:rFonts w:ascii="楷体_GB2312" w:hAnsi="宋体" w:eastAsia="楷体_GB2312" w:cs="楷体_GB2312"/>
          <w:color w:val="000000"/>
          <w:kern w:val="0"/>
          <w:sz w:val="20"/>
          <w:szCs w:val="20"/>
        </w:rPr>
        <w:t>时间为准。</w:t>
      </w:r>
    </w:p>
    <w:p>
      <w:pPr>
        <w:widowControl/>
        <w:snapToGrid w:val="0"/>
        <w:ind w:left="-2" w:leftChars="-1" w:right="46" w:rightChars="22"/>
        <w:jc w:val="left"/>
        <w:rPr>
          <w:rFonts w:ascii="宋体" w:hAnsi="宋体" w:eastAsia="宋体" w:cs="宋体"/>
          <w:color w:val="000000"/>
          <w:kern w:val="0"/>
          <w:sz w:val="24"/>
          <w:szCs w:val="24"/>
        </w:rPr>
      </w:pPr>
      <w:r>
        <w:rPr>
          <w:rFonts w:ascii="Times New Roman" w:hAnsi="Times New Roman" w:eastAsia="宋体" w:cs="宋体"/>
          <w:b/>
          <w:bCs/>
          <w:color w:val="000000"/>
          <w:kern w:val="0"/>
          <w:sz w:val="20"/>
          <w:szCs w:val="20"/>
        </w:rPr>
        <w:t> </w:t>
      </w: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十一、产品的提前终止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（1）遇不可</w:t>
      </w:r>
      <w:r>
        <w:rPr>
          <w:rFonts w:ascii="楷体_GB2312" w:hAnsi="宋体" w:eastAsia="楷体_GB2312" w:cs="楷体_GB2312"/>
          <w:color w:val="000000"/>
          <w:kern w:val="0"/>
          <w:sz w:val="20"/>
          <w:szCs w:val="20"/>
        </w:rPr>
        <w:t>抗力事件</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法律法规</w:t>
      </w:r>
      <w:r>
        <w:rPr>
          <w:rFonts w:hint="eastAsia" w:ascii="楷体_GB2312" w:hAnsi="宋体" w:eastAsia="楷体_GB2312" w:cs="楷体_GB2312"/>
          <w:color w:val="000000"/>
          <w:kern w:val="0"/>
          <w:sz w:val="20"/>
          <w:szCs w:val="20"/>
        </w:rPr>
        <w:t>规定、</w:t>
      </w:r>
      <w:r>
        <w:rPr>
          <w:rFonts w:ascii="楷体_GB2312" w:hAnsi="宋体" w:eastAsia="楷体_GB2312" w:cs="楷体_GB2312"/>
          <w:color w:val="000000"/>
          <w:kern w:val="0"/>
          <w:sz w:val="20"/>
          <w:szCs w:val="20"/>
        </w:rPr>
        <w:t>国家有权机关强制要求等原因导致理财产品无法继续存续</w:t>
      </w:r>
      <w:r>
        <w:rPr>
          <w:rFonts w:hint="eastAsia" w:ascii="楷体_GB2312" w:hAnsi="宋体" w:eastAsia="楷体_GB2312" w:cs="楷体_GB2312"/>
          <w:color w:val="000000"/>
          <w:kern w:val="0"/>
          <w:sz w:val="20"/>
          <w:szCs w:val="20"/>
        </w:rPr>
        <w:t>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（2）遇国家金融政策出现重大调整，或本产品所投资资产市场价格大幅下滑，或信银理财认为将</w:t>
      </w:r>
      <w:r>
        <w:rPr>
          <w:rFonts w:ascii="楷体_GB2312" w:hAnsi="宋体" w:eastAsia="楷体_GB2312" w:cs="楷体_GB2312"/>
          <w:color w:val="000000"/>
          <w:kern w:val="0"/>
          <w:sz w:val="20"/>
          <w:szCs w:val="20"/>
        </w:rPr>
        <w:t>影响理财产品正常运作</w:t>
      </w:r>
      <w:r>
        <w:rPr>
          <w:rFonts w:hint="eastAsia" w:ascii="楷体_GB2312" w:hAnsi="宋体" w:eastAsia="楷体_GB2312" w:cs="楷体_GB2312"/>
          <w:color w:val="000000"/>
          <w:kern w:val="0"/>
          <w:sz w:val="20"/>
          <w:szCs w:val="20"/>
        </w:rPr>
        <w:t>、需要提前终止本产品的其他情形的；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（3）本产品所投资资产的信用状况发生恶化，信银理财合理判断可能影响到期正常兑付时；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（4）因投资者理财资金被有权机关扣划等原因导致理财产品剩余资产无法满足相关法律法规规定、所投资市场要求或协议等相关法律文件约定，或者继续存续无法实现投资目的；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（5）因相关投资管理机构解散、破产、撤销、被取消业务资格等原因无法继续履行相应职责导致产品无法继续运作；</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（6）相关投资管理机构或运用理财资金的第三方主体实施符合法律法规规定或协议等相关文件约定的行为导致理财产品被动提前终止；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（7）提前终止产品比维持产品运作更有利于保护产品持有人的权益；</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（8）法律法规规定或监管部门认定的其他情形。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如果信银理财提前终止本理财产品，信银理财将于提前终止日前【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】个工作日通知投资者，并在提前终止日后【</w:t>
      </w:r>
      <w:r>
        <w:rPr>
          <w:rFonts w:ascii="楷体_GB2312" w:eastAsia="楷体_GB2312" w:cs="楷体_GB2312"/>
          <w:sz w:val="20"/>
          <w:szCs w:val="20"/>
        </w:rPr>
        <w:t>5</w:t>
      </w:r>
      <w:r>
        <w:rPr>
          <w:rFonts w:hint="eastAsia" w:ascii="楷体_GB2312" w:hAnsi="宋体" w:eastAsia="楷体_GB2312" w:cs="楷体_GB2312"/>
          <w:color w:val="000000"/>
          <w:kern w:val="0"/>
          <w:sz w:val="20"/>
          <w:szCs w:val="20"/>
        </w:rPr>
        <w:t>】个工作日内支付投资者应得</w:t>
      </w:r>
      <w:r>
        <w:rPr>
          <w:rFonts w:ascii="楷体_GB2312" w:hAnsi="宋体" w:eastAsia="楷体_GB2312" w:cs="楷体_GB2312"/>
          <w:color w:val="000000"/>
          <w:kern w:val="0"/>
          <w:sz w:val="20"/>
          <w:szCs w:val="20"/>
        </w:rPr>
        <w:t>资金</w:t>
      </w:r>
      <w:r>
        <w:rPr>
          <w:rFonts w:hint="eastAsia" w:ascii="楷体_GB2312" w:hAnsi="宋体" w:eastAsia="楷体_GB2312" w:cs="楷体_GB2312"/>
          <w:color w:val="000000"/>
          <w:kern w:val="0"/>
          <w:sz w:val="20"/>
          <w:szCs w:val="20"/>
        </w:rPr>
        <w:t>。投资者通过</w:t>
      </w:r>
      <w:r>
        <w:rPr>
          <w:rFonts w:ascii="楷体_GB2312" w:hAnsi="宋体" w:eastAsia="楷体_GB2312" w:cs="楷体_GB2312"/>
          <w:color w:val="000000"/>
          <w:kern w:val="0"/>
          <w:sz w:val="20"/>
          <w:szCs w:val="20"/>
        </w:rPr>
        <w:t>代销机构购买本理财产品的</w:t>
      </w:r>
      <w:r>
        <w:rPr>
          <w:rFonts w:hint="eastAsia" w:ascii="楷体_GB2312" w:hAnsi="宋体" w:eastAsia="楷体_GB2312" w:cs="楷体_GB2312"/>
          <w:color w:val="000000"/>
          <w:kern w:val="0"/>
          <w:sz w:val="20"/>
          <w:szCs w:val="20"/>
        </w:rPr>
        <w:t>，理财资金划转至投资者账户的时间以该代销机构的清算时间为准。若产品提前终止，产品到期日相应调整为提前终止日。</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3.理财产品不因投资者死亡、丧失民事行为能力、破产而终止；投资者的法定继承人、承继人或指定受益人以及继任管理人承担本理财产品项下的相应权利和义务。</w:t>
      </w:r>
    </w:p>
    <w:p>
      <w:pPr>
        <w:widowControl/>
        <w:snapToGrid w:val="0"/>
        <w:ind w:left="-2" w:leftChars="-1" w:right="46" w:rightChars="22" w:firstLine="480" w:firstLineChars="200"/>
        <w:rPr>
          <w:rFonts w:ascii="宋体" w:hAnsi="宋体" w:eastAsia="宋体" w:cs="宋体"/>
          <w:color w:val="000000"/>
          <w:kern w:val="0"/>
          <w:sz w:val="24"/>
          <w:szCs w:val="24"/>
        </w:rPr>
      </w:pP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十二、产品的延期清算</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widowControl/>
        <w:snapToGrid w:val="0"/>
        <w:ind w:right="46" w:rightChars="22"/>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十三、产品管理人与投资者权利义务</w:t>
      </w:r>
    </w:p>
    <w:p>
      <w:pPr>
        <w:widowControl/>
        <w:snapToGrid w:val="0"/>
        <w:ind w:right="46" w:rightChars="22" w:firstLine="428" w:firstLineChars="213"/>
        <w:rPr>
          <w:rFonts w:ascii="Times New Roman" w:hAnsi="Times New Roman" w:eastAsia="楷体_GB2312" w:cs="楷体_GB2312"/>
          <w:b/>
          <w:color w:val="000000"/>
          <w:kern w:val="0"/>
          <w:sz w:val="20"/>
          <w:szCs w:val="20"/>
        </w:rPr>
      </w:pPr>
      <w:r>
        <w:rPr>
          <w:rFonts w:ascii="楷体_GB2312" w:hAnsi="宋体" w:eastAsia="楷体_GB2312" w:cs="宋体"/>
          <w:b/>
          <w:color w:val="000000"/>
          <w:kern w:val="0"/>
          <w:sz w:val="20"/>
          <w:szCs w:val="20"/>
        </w:rPr>
        <w:t>1.</w:t>
      </w:r>
      <w:r>
        <w:rPr>
          <w:rFonts w:ascii="Times New Roman" w:hAnsi="Times New Roman" w:eastAsia="楷体_GB2312" w:cs="楷体_GB2312"/>
          <w:b/>
          <w:color w:val="000000"/>
          <w:kern w:val="0"/>
          <w:sz w:val="20"/>
          <w:szCs w:val="20"/>
        </w:rPr>
        <w:t>产品管理人声明与保证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（1）产品管理人具有开办理财业务的经营资质，保证以诚实守信、勤勉尽职的原则管理和运用理财资金；</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（2）产品管理人具有完全适当的资格和能力订立与履行本理财产品合同。</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（1）投资者具有完全民事行为能力，有完全适当的资格与能力订立并履行本理财产品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，不存在法律、行政法规有关规定禁止或限制投资理财产品的情形（适用于个人投资者）。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所需的一切有关批准、许可、备案或者登记。（适用于机构投资者）；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（2）投资者保证以真实身份投资本理财产品，保证提供给产品管理人和代销机构的信息和资料均真实、准确、完整、合法。如投资者的信息和/或资料发生变更，应当及时书面告知产品管理人或代销机构；</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（3）投资者声明熟悉理财产品类型特征及不同销售渠道的法律法规规定；</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（4）投资者承诺：如委托他人购买本产品，代理人须出具具有法律效力的授权委托书；</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（5）投资者保证理财投资资金来源和用途合法，保证可向产品管理人和代销机构提供合法筹集的证明文件；</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（6）投资者不利用本理财业务及本理财产品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项下理财产品从事违法活动；</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7）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（8）投资者不属于联合国、欧盟或美国等制裁名单，及中国政府部门或有权机关发布的涉恐及反洗钱相关风险名单内的企业或个人；不位于被联合国、欧盟或美国等制裁的国家和地区；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（9）投资者保证不使用贷款、发行债券等筹集的非自有资金投资理财产品，保证投资本理财产品不存在违反监管要求的产品嵌套，以及以投资本理财产品规避投资范围、杠杆约束等监管要求等违规行为。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3.双方同意</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（1）未经产品管理人同意，投资者不得以本理财产品项下的任何权利、利益、权益（包括单独和整体）为投资者和任何第三人的债务设定担保或其他权益；</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（2）未经产品管理人同意，投资者不得向任何第三人转让、赠与本理财产品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或本理财产品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项下的任何权利、利益、权益（包括单独和整体）；</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（3）产品管理人不承担对第三人支付本产品项下投资者清算产品后分配金额以及相关权益的责任，法律法规另有规定的除外。</w:t>
      </w:r>
    </w:p>
    <w:p>
      <w:pPr>
        <w:widowControl/>
        <w:spacing w:line="300" w:lineRule="exact"/>
        <w:ind w:left="402" w:right="25" w:rightChars="12" w:hanging="402" w:hangingChars="200"/>
        <w:jc w:val="left"/>
        <w:rPr>
          <w:rFonts w:ascii="Times New Roman" w:hAnsi="Times New Roman" w:eastAsia="宋体" w:cs="宋体"/>
          <w:b/>
          <w:bCs/>
          <w:color w:val="000000"/>
          <w:kern w:val="0"/>
          <w:sz w:val="20"/>
          <w:szCs w:val="20"/>
        </w:rPr>
      </w:pPr>
      <w:r>
        <w:rPr>
          <w:rFonts w:ascii="Times New Roman" w:hAnsi="Times New Roman" w:eastAsia="宋体" w:cs="宋体"/>
          <w:b/>
          <w:bCs/>
          <w:color w:val="000000"/>
          <w:kern w:val="0"/>
          <w:sz w:val="20"/>
          <w:szCs w:val="20"/>
        </w:rPr>
        <w:t> </w:t>
      </w:r>
    </w:p>
    <w:p>
      <w:pPr>
        <w:widowControl/>
        <w:spacing w:line="300" w:lineRule="exact"/>
        <w:ind w:left="402" w:right="25" w:rightChars="12" w:hanging="402" w:hangingChars="200"/>
        <w:jc w:val="left"/>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十四、保密</w:t>
      </w:r>
      <w:r>
        <w:rPr>
          <w:rFonts w:ascii="黑体" w:hAnsi="宋体" w:eastAsia="黑体" w:cs="黑体"/>
          <w:b/>
          <w:color w:val="000000"/>
          <w:kern w:val="0"/>
          <w:sz w:val="20"/>
          <w:szCs w:val="20"/>
        </w:rPr>
        <w:t>条款</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3.根据监管机构要求，管理人（特指除本理财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的管理人信银理财之外的其他管理人，包括但不限于本理财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widowControl/>
        <w:spacing w:line="300" w:lineRule="exact"/>
        <w:ind w:left="2" w:right="25" w:rightChars="12" w:firstLine="282" w:firstLineChars="141"/>
        <w:jc w:val="left"/>
        <w:rPr>
          <w:rFonts w:ascii="Times New Roman" w:hAnsi="Times New Roman" w:eastAsia="楷体_GB2312" w:cs="楷体_GB2312"/>
          <w:color w:val="000000"/>
          <w:kern w:val="0"/>
          <w:sz w:val="20"/>
          <w:szCs w:val="20"/>
        </w:rPr>
      </w:pPr>
    </w:p>
    <w:p>
      <w:pPr>
        <w:widowControl/>
        <w:spacing w:line="300" w:lineRule="exact"/>
        <w:ind w:left="402" w:right="25" w:rightChars="12" w:hanging="402" w:hangingChars="200"/>
        <w:jc w:val="left"/>
        <w:rPr>
          <w:rFonts w:ascii="楷体_GB2312" w:hAnsi="宋体" w:eastAsia="楷体_GB2312" w:cs="宋体"/>
          <w:b/>
          <w:color w:val="000000"/>
          <w:kern w:val="0"/>
          <w:sz w:val="20"/>
          <w:szCs w:val="20"/>
        </w:rPr>
      </w:pPr>
      <w:r>
        <w:rPr>
          <w:rFonts w:hint="eastAsia" w:ascii="黑体" w:hAnsi="Times New Roman" w:eastAsia="黑体" w:cs="黑体"/>
          <w:b/>
          <w:color w:val="000000"/>
          <w:kern w:val="0"/>
          <w:sz w:val="20"/>
          <w:szCs w:val="20"/>
        </w:rPr>
        <w:t>十五、特别提示</w:t>
      </w:r>
    </w:p>
    <w:p>
      <w:pPr>
        <w:widowControl/>
        <w:spacing w:line="300" w:lineRule="exact"/>
        <w:ind w:firstLine="402" w:firstLineChars="200"/>
        <w:rPr>
          <w:rFonts w:ascii="宋体" w:hAnsi="宋体" w:eastAsia="宋体" w:cs="宋体"/>
          <w:b/>
          <w:color w:val="000000"/>
          <w:kern w:val="0"/>
          <w:sz w:val="24"/>
          <w:szCs w:val="24"/>
        </w:rPr>
      </w:pPr>
      <w:r>
        <w:rPr>
          <w:rFonts w:ascii="楷体_GB2312" w:hAnsi="宋体" w:eastAsia="楷体_GB2312" w:cs="楷体_GB2312"/>
          <w:b/>
          <w:color w:val="000000"/>
          <w:kern w:val="0"/>
          <w:sz w:val="20"/>
          <w:szCs w:val="20"/>
        </w:rPr>
        <w:t>1.本产品面临的风险包括信用风险、市场风险、流动性风险、提前终止风险、政策风险、信息传递风险、管理风险、延期清算风险、</w:t>
      </w:r>
      <w:r>
        <w:rPr>
          <w:rFonts w:hint="eastAsia" w:ascii="楷体_GB2312" w:hAnsi="宋体" w:eastAsia="楷体_GB2312" w:cs="楷体_GB2312"/>
          <w:b/>
          <w:color w:val="000000"/>
          <w:kern w:val="0"/>
          <w:sz w:val="20"/>
          <w:szCs w:val="20"/>
        </w:rPr>
        <w:t>理财</w:t>
      </w:r>
      <w:r>
        <w:rPr>
          <w:rFonts w:ascii="楷体_GB2312" w:hAnsi="宋体" w:eastAsia="楷体_GB2312" w:cs="楷体_GB2312"/>
          <w:b/>
          <w:color w:val="000000"/>
          <w:kern w:val="0"/>
          <w:sz w:val="20"/>
          <w:szCs w:val="20"/>
        </w:rPr>
        <w:t>产品不成立风险、不可抗力及意外事件风险、</w:t>
      </w:r>
      <w:r>
        <w:rPr>
          <w:rFonts w:hint="eastAsia" w:ascii="楷体_GB2312" w:hAnsi="宋体" w:eastAsia="楷体_GB2312" w:cs="楷体_GB2312"/>
          <w:b/>
          <w:color w:val="000000"/>
          <w:kern w:val="0"/>
          <w:sz w:val="20"/>
          <w:szCs w:val="20"/>
        </w:rPr>
        <w:t>理财本金全部损失风险</w:t>
      </w:r>
      <w:r>
        <w:rPr>
          <w:rFonts w:ascii="楷体_GB2312" w:hAnsi="宋体" w:eastAsia="楷体_GB2312" w:cs="楷体_GB2312"/>
          <w:b/>
          <w:color w:val="000000"/>
          <w:kern w:val="0"/>
          <w:sz w:val="20"/>
          <w:szCs w:val="20"/>
        </w:rPr>
        <w:t>、合作销售机构</w:t>
      </w:r>
      <w:r>
        <w:rPr>
          <w:rFonts w:hint="eastAsia" w:ascii="楷体_GB2312" w:hAnsi="宋体" w:eastAsia="楷体_GB2312" w:cs="楷体_GB2312"/>
          <w:b/>
          <w:color w:val="000000"/>
          <w:kern w:val="0"/>
          <w:sz w:val="20"/>
          <w:szCs w:val="20"/>
        </w:rPr>
        <w:t>（代销机构）</w:t>
      </w:r>
      <w:r>
        <w:rPr>
          <w:rFonts w:ascii="楷体_GB2312" w:hAnsi="宋体" w:eastAsia="楷体_GB2312" w:cs="楷体_GB2312"/>
          <w:b/>
          <w:color w:val="000000"/>
          <w:kern w:val="0"/>
          <w:sz w:val="20"/>
          <w:szCs w:val="20"/>
        </w:rPr>
        <w:t>风险、操作风险</w:t>
      </w:r>
      <w:r>
        <w:rPr>
          <w:rFonts w:hint="eastAsia" w:ascii="楷体_GB2312" w:hAnsi="宋体" w:eastAsia="楷体_GB2312" w:cs="楷体_GB2312"/>
          <w:b/>
          <w:color w:val="000000"/>
          <w:kern w:val="0"/>
          <w:sz w:val="20"/>
          <w:szCs w:val="20"/>
        </w:rPr>
        <w:t>、关联交易风险</w:t>
      </w:r>
      <w:r>
        <w:rPr>
          <w:rFonts w:ascii="楷体_GB2312" w:hAnsi="宋体" w:eastAsia="楷体_GB2312" w:cs="楷体_GB2312"/>
          <w:b/>
          <w:color w:val="000000"/>
          <w:kern w:val="0"/>
          <w:sz w:val="20"/>
          <w:szCs w:val="20"/>
        </w:rPr>
        <w:t xml:space="preserve">等风险，将可能导致投资者无法取得收益，甚至本金蒙受部分或全部损失。由此产生的理财本金和收益损失的风险由投资者自行承担，信银理财不承担任何返还理财本金及收益的保证责任。  </w:t>
      </w:r>
    </w:p>
    <w:p>
      <w:pPr>
        <w:widowControl/>
        <w:spacing w:line="300" w:lineRule="exact"/>
        <w:ind w:firstLine="402" w:firstLineChars="20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3.关于费用</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（1）双方确认：本产品说明书约定的收费标准经双方协商确定，双方均认可该收费标准。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4.咨询与投诉：投资者对本理财产品有任何建议、意见或投诉，请联系信银理财理财经理，或反馈至信银理财营业场所，或拨打信银理财客户服务热线【</w:t>
      </w:r>
      <w:r>
        <w:rPr>
          <w:rFonts w:hint="eastAsia" w:ascii="楷体_GB2312" w:hAnsi="宋体" w:eastAsia="楷体_GB2312" w:cs="宋体"/>
          <w:b/>
          <w:color w:val="000000"/>
          <w:kern w:val="0"/>
          <w:sz w:val="20"/>
          <w:szCs w:val="20"/>
        </w:rPr>
        <w:t>950950，工作时间为工作日8：30-20：30</w:t>
      </w:r>
      <w:r>
        <w:rPr>
          <w:rFonts w:ascii="楷体_GB2312" w:hAnsi="宋体" w:eastAsia="楷体_GB2312" w:cs="宋体"/>
          <w:b/>
          <w:color w:val="000000"/>
          <w:kern w:val="0"/>
          <w:sz w:val="20"/>
          <w:szCs w:val="20"/>
        </w:rPr>
        <w:t>】，</w:t>
      </w:r>
      <w:r>
        <w:rPr>
          <w:rFonts w:hint="eastAsia" w:ascii="楷体_GB2312" w:hAnsi="宋体" w:eastAsia="楷体_GB2312" w:cs="宋体"/>
          <w:b/>
          <w:color w:val="000000"/>
          <w:kern w:val="0"/>
          <w:sz w:val="20"/>
          <w:szCs w:val="20"/>
        </w:rPr>
        <w:t>或</w:t>
      </w:r>
      <w:r>
        <w:rPr>
          <w:rFonts w:ascii="楷体_GB2312" w:hAnsi="宋体" w:eastAsia="楷体_GB2312" w:cs="宋体"/>
          <w:b/>
          <w:color w:val="000000"/>
          <w:kern w:val="0"/>
          <w:sz w:val="20"/>
          <w:szCs w:val="20"/>
        </w:rPr>
        <w:t>登录信银理财网站【http://www.citic-wealth.com/】进行查询。 信银理财将安排专人及时收集客户投诉，并在收到客户投诉的第一时间内与客户取得联系，及时处理并进行反馈。投资者通过代销机构购买理财产品的，可按照代销机构提供的联系方式反馈信息、咨询和投诉。</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5.本产品说明书中关于时间的标准，以信银理财业务处理系统记录的北京时间为准。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6.信银理财有权依法对本产品说明书进行解释。</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十六、违约责任</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双方因违反本产品说明书约定而给对方造成损失的，违约方应赔偿因此给对方造成的直接损失。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2" w:right="25" w:rightChars="12" w:hanging="402" w:hangingChars="200"/>
        <w:jc w:val="left"/>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十七、免责内容</w:t>
      </w:r>
    </w:p>
    <w:p>
      <w:pPr>
        <w:widowControl/>
        <w:spacing w:line="300" w:lineRule="exact"/>
        <w:ind w:firstLine="402" w:firstLineChars="200"/>
        <w:rPr>
          <w:rFonts w:ascii="楷体_GB2312" w:hAnsi="宋体" w:eastAsia="楷体_GB2312" w:cs="宋体"/>
          <w:color w:val="000000"/>
          <w:kern w:val="0"/>
          <w:sz w:val="20"/>
          <w:szCs w:val="20"/>
        </w:rPr>
      </w:pPr>
      <w:r>
        <w:rPr>
          <w:rFonts w:ascii="楷体_GB2312" w:hAnsi="宋体" w:eastAsia="楷体_GB2312" w:cs="宋体"/>
          <w:b/>
          <w:color w:val="000000"/>
          <w:kern w:val="0"/>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十八、本说明书的生效与终止</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投资者在信银</w:t>
      </w:r>
      <w:r>
        <w:rPr>
          <w:rFonts w:ascii="楷体_GB2312" w:hAnsi="宋体" w:eastAsia="楷体_GB2312" w:cs="宋体"/>
          <w:color w:val="000000"/>
          <w:kern w:val="0"/>
          <w:sz w:val="20"/>
          <w:szCs w:val="20"/>
        </w:rPr>
        <w:t>理财</w:t>
      </w:r>
      <w:r>
        <w:rPr>
          <w:rFonts w:hint="eastAsia" w:ascii="楷体_GB2312" w:hAnsi="宋体" w:eastAsia="楷体_GB2312" w:cs="宋体"/>
          <w:color w:val="000000"/>
          <w:kern w:val="0"/>
          <w:sz w:val="20"/>
          <w:szCs w:val="20"/>
        </w:rPr>
        <w:t>营业</w:t>
      </w:r>
      <w:r>
        <w:rPr>
          <w:rFonts w:ascii="楷体_GB2312" w:hAnsi="宋体" w:eastAsia="楷体_GB2312" w:cs="宋体"/>
          <w:color w:val="000000"/>
          <w:kern w:val="0"/>
          <w:sz w:val="20"/>
          <w:szCs w:val="20"/>
        </w:rPr>
        <w:t>场所购买理财产品的，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签字/盖章后生效。</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通过</w:t>
      </w:r>
      <w:r>
        <w:rPr>
          <w:rFonts w:hint="eastAsia" w:ascii="楷体_GB2312" w:hAnsi="宋体" w:eastAsia="楷体_GB2312" w:cs="宋体"/>
          <w:color w:val="000000"/>
          <w:kern w:val="0"/>
          <w:sz w:val="20"/>
          <w:szCs w:val="20"/>
        </w:rPr>
        <w:t>信银理财</w:t>
      </w:r>
      <w:r>
        <w:rPr>
          <w:rFonts w:ascii="楷体_GB2312" w:hAnsi="宋体" w:eastAsia="楷体_GB2312" w:cs="宋体"/>
          <w:color w:val="000000"/>
          <w:kern w:val="0"/>
          <w:sz w:val="20"/>
          <w:szCs w:val="20"/>
        </w:rPr>
        <w:t>电子渠道购买理财产品的，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其</w:t>
      </w:r>
      <w:r>
        <w:rPr>
          <w:rFonts w:ascii="楷体_GB2312" w:hAnsi="宋体" w:eastAsia="楷体_GB2312" w:cs="宋体"/>
          <w:color w:val="000000"/>
          <w:kern w:val="0"/>
          <w:sz w:val="20"/>
          <w:szCs w:val="20"/>
        </w:rPr>
        <w:t>在线</w:t>
      </w:r>
      <w:r>
        <w:rPr>
          <w:rFonts w:hint="eastAsia" w:ascii="楷体_GB2312" w:hAnsi="宋体" w:eastAsia="楷体_GB2312" w:cs="宋体"/>
          <w:color w:val="000000"/>
          <w:kern w:val="0"/>
          <w:sz w:val="20"/>
          <w:szCs w:val="20"/>
        </w:rPr>
        <w:t>勾选</w:t>
      </w:r>
      <w:r>
        <w:rPr>
          <w:rFonts w:ascii="楷体_GB2312" w:hAnsi="宋体" w:eastAsia="楷体_GB2312" w:cs="宋体"/>
          <w:color w:val="000000"/>
          <w:kern w:val="0"/>
          <w:sz w:val="20"/>
          <w:szCs w:val="20"/>
        </w:rPr>
        <w:t>确认后生效。</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如</w:t>
      </w:r>
      <w:r>
        <w:rPr>
          <w:rFonts w:ascii="楷体_GB2312" w:hAnsi="宋体" w:eastAsia="楷体_GB2312" w:cs="宋体"/>
          <w:color w:val="000000"/>
          <w:kern w:val="0"/>
          <w:sz w:val="20"/>
          <w:szCs w:val="20"/>
        </w:rPr>
        <w:t>投资者通过</w:t>
      </w:r>
      <w:r>
        <w:rPr>
          <w:rFonts w:hint="eastAsia" w:ascii="楷体_GB2312" w:hAnsi="宋体" w:eastAsia="楷体_GB2312" w:cs="宋体"/>
          <w:color w:val="000000"/>
          <w:kern w:val="0"/>
          <w:sz w:val="20"/>
          <w:szCs w:val="20"/>
        </w:rPr>
        <w:t>信银</w:t>
      </w:r>
      <w:r>
        <w:rPr>
          <w:rFonts w:ascii="楷体_GB2312" w:hAnsi="宋体" w:eastAsia="楷体_GB2312" w:cs="宋体"/>
          <w:color w:val="000000"/>
          <w:kern w:val="0"/>
          <w:sz w:val="20"/>
          <w:szCs w:val="20"/>
        </w:rPr>
        <w:t>理财合作销售机构</w:t>
      </w:r>
      <w:r>
        <w:rPr>
          <w:rFonts w:hint="eastAsia" w:ascii="楷体_GB2312" w:hAnsi="宋体" w:eastAsia="楷体_GB2312" w:cs="宋体"/>
          <w:color w:val="000000"/>
          <w:kern w:val="0"/>
          <w:sz w:val="20"/>
          <w:szCs w:val="20"/>
        </w:rPr>
        <w:t>（代销机构）</w:t>
      </w:r>
      <w:r>
        <w:rPr>
          <w:rFonts w:ascii="楷体_GB2312" w:hAnsi="宋体" w:eastAsia="楷体_GB2312" w:cs="宋体"/>
          <w:color w:val="000000"/>
          <w:kern w:val="0"/>
          <w:sz w:val="20"/>
          <w:szCs w:val="20"/>
        </w:rPr>
        <w:t>购买理财产品的，</w:t>
      </w:r>
      <w:r>
        <w:rPr>
          <w:rFonts w:hint="eastAsia" w:ascii="楷体_GB2312" w:hAnsi="宋体" w:eastAsia="楷体_GB2312" w:cs="宋体"/>
          <w:color w:val="000000"/>
          <w:kern w:val="0"/>
          <w:sz w:val="20"/>
          <w:szCs w:val="20"/>
        </w:rPr>
        <w:t>说明书</w:t>
      </w:r>
      <w:r>
        <w:rPr>
          <w:rFonts w:ascii="楷体_GB2312" w:hAnsi="宋体" w:eastAsia="楷体_GB2312" w:cs="宋体"/>
          <w:color w:val="000000"/>
          <w:kern w:val="0"/>
          <w:sz w:val="20"/>
          <w:szCs w:val="20"/>
        </w:rPr>
        <w:t>签署及生效方式以</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与</w:t>
      </w:r>
      <w:r>
        <w:rPr>
          <w:rFonts w:hint="eastAsia" w:ascii="楷体_GB2312" w:hAnsi="宋体" w:eastAsia="楷体_GB2312" w:cs="宋体"/>
          <w:color w:val="000000"/>
          <w:kern w:val="0"/>
          <w:sz w:val="20"/>
          <w:szCs w:val="20"/>
        </w:rPr>
        <w:t>代销机构约定</w:t>
      </w:r>
      <w:r>
        <w:rPr>
          <w:rFonts w:ascii="楷体_GB2312" w:hAnsi="宋体" w:eastAsia="楷体_GB2312" w:cs="宋体"/>
          <w:color w:val="000000"/>
          <w:kern w:val="0"/>
          <w:sz w:val="20"/>
          <w:szCs w:val="20"/>
        </w:rPr>
        <w:t>为准。</w:t>
      </w:r>
    </w:p>
    <w:p>
      <w:pPr>
        <w:widowControl/>
        <w:spacing w:line="300" w:lineRule="exact"/>
        <w:ind w:left="786" w:right="31" w:rightChars="15"/>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十九、争议解决</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kern w:val="0"/>
          <w:sz w:val="20"/>
          <w:szCs w:val="20"/>
        </w:rPr>
        <w:t>（一）理财产品合同适用中华人民共和国法律（为履行理财产品合同之目的，不包括中国香港特别行政区、澳门特别行政区及台湾地区法律）。</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widowControl/>
        <w:spacing w:line="300" w:lineRule="exact"/>
        <w:ind w:firstLine="402" w:firstLineChars="200"/>
        <w:rPr>
          <w:rFonts w:ascii="楷体_GB2312" w:hAnsi="宋体" w:eastAsia="楷体_GB2312" w:cs="宋体"/>
          <w:color w:val="000000"/>
          <w:kern w:val="0"/>
          <w:sz w:val="20"/>
          <w:szCs w:val="20"/>
        </w:rPr>
      </w:pPr>
      <w:r>
        <w:rPr>
          <w:rFonts w:hint="eastAsia" w:ascii="Times New Roman" w:hAnsi="Times New Roman" w:eastAsia="楷体_GB2312" w:cs="Times New Roman"/>
          <w:b/>
          <w:bCs/>
          <w:kern w:val="0"/>
          <w:sz w:val="20"/>
          <w:szCs w:val="20"/>
        </w:rPr>
        <w:t>（三）在协商或仲裁期间，对于理财产品合同不涉及争议部分的条款，双方仍须履行。</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（以下无正文）</w:t>
      </w:r>
    </w:p>
    <w:p>
      <w:pPr>
        <w:widowControl/>
        <w:jc w:val="left"/>
        <w:rPr>
          <w:rFonts w:ascii="黑体" w:hAnsi="Times New Roman" w:eastAsia="黑体" w:cs="黑体"/>
          <w:color w:val="000000"/>
          <w:kern w:val="0"/>
          <w:sz w:val="20"/>
          <w:szCs w:val="20"/>
        </w:rPr>
      </w:pPr>
      <w:r>
        <w:rPr>
          <w:rFonts w:ascii="黑体" w:hAnsi="Times New Roman" w:eastAsia="黑体" w:cs="黑体"/>
          <w:color w:val="000000"/>
          <w:kern w:val="0"/>
          <w:sz w:val="20"/>
          <w:szCs w:val="20"/>
        </w:rPr>
        <w:br w:type="page"/>
      </w:r>
    </w:p>
    <w:p>
      <w:pPr>
        <w:widowControl/>
        <w:spacing w:before="100" w:beforeAutospacing="1" w:after="100" w:afterAutospacing="1"/>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u w:val="single"/>
        </w:rPr>
        <w:t>                                       </w:t>
      </w:r>
    </w:p>
    <w:p>
      <w:pPr>
        <w:widowControl/>
        <w:jc w:val="left"/>
        <w:rPr>
          <w:rFonts w:ascii="黑体" w:hAnsi="宋体" w:eastAsia="黑体" w:cs="宋体"/>
          <w:b/>
          <w:bCs/>
          <w:color w:val="000000"/>
          <w:kern w:val="0"/>
          <w:sz w:val="24"/>
          <w:szCs w:val="24"/>
        </w:rPr>
      </w:pPr>
      <w:r>
        <w:rPr>
          <w:rFonts w:hint="eastAsia" w:ascii="黑体" w:hAnsi="宋体" w:eastAsia="黑体" w:cs="宋体"/>
          <w:b/>
          <w:bCs/>
          <w:color w:val="000000"/>
          <w:kern w:val="0"/>
          <w:sz w:val="24"/>
          <w:szCs w:val="24"/>
        </w:rPr>
        <w:t>【重要提示：信银理财已提请投资者注意本产品说明书项下免除或限制其责任的条款以及争议解决条款，并已按投资者要求对有关条款予以充分说明。投资者在本产品说明书上签字</w:t>
      </w:r>
      <w:r>
        <w:rPr>
          <w:rFonts w:ascii="黑体" w:hAnsi="宋体" w:eastAsia="黑体" w:cs="宋体"/>
          <w:b/>
          <w:bCs/>
          <w:color w:val="000000"/>
          <w:kern w:val="0"/>
          <w:sz w:val="24"/>
          <w:szCs w:val="24"/>
        </w:rPr>
        <w:t>/盖章或在线</w:t>
      </w:r>
      <w:r>
        <w:rPr>
          <w:rFonts w:hint="eastAsia" w:ascii="黑体" w:hAnsi="宋体" w:eastAsia="黑体" w:cs="宋体"/>
          <w:b/>
          <w:bCs/>
          <w:color w:val="000000"/>
          <w:kern w:val="0"/>
          <w:sz w:val="24"/>
          <w:szCs w:val="24"/>
        </w:rPr>
        <w:t>点击</w:t>
      </w:r>
      <w:r>
        <w:rPr>
          <w:rFonts w:ascii="黑体" w:hAnsi="宋体" w:eastAsia="黑体" w:cs="宋体"/>
          <w:b/>
          <w:bCs/>
          <w:color w:val="000000"/>
          <w:kern w:val="0"/>
          <w:sz w:val="24"/>
          <w:szCs w:val="24"/>
        </w:rPr>
        <w:t>确认</w:t>
      </w:r>
      <w:r>
        <w:rPr>
          <w:rFonts w:hint="eastAsia" w:ascii="黑体" w:hAnsi="宋体" w:eastAsia="黑体" w:cs="宋体"/>
          <w:b/>
          <w:bCs/>
          <w:color w:val="000000"/>
          <w:kern w:val="0"/>
          <w:sz w:val="24"/>
          <w:szCs w:val="24"/>
        </w:rPr>
        <w:t>即表示已知晓并同意本产品说明书的全部</w:t>
      </w:r>
      <w:r>
        <w:rPr>
          <w:rFonts w:ascii="黑体" w:hAnsi="宋体" w:eastAsia="黑体" w:cs="宋体"/>
          <w:b/>
          <w:bCs/>
          <w:color w:val="000000"/>
          <w:kern w:val="0"/>
          <w:sz w:val="24"/>
          <w:szCs w:val="24"/>
        </w:rPr>
        <w:t>内容</w:t>
      </w:r>
      <w:r>
        <w:rPr>
          <w:rFonts w:hint="eastAsia" w:ascii="黑体" w:hAnsi="宋体" w:eastAsia="黑体" w:cs="宋体"/>
          <w:b/>
          <w:bCs/>
          <w:color w:val="000000"/>
          <w:kern w:val="0"/>
          <w:sz w:val="24"/>
          <w:szCs w:val="24"/>
        </w:rPr>
        <w:t>，因此请您务必仔细阅读后再签署本产品说明书。】</w:t>
      </w:r>
    </w:p>
    <w:p>
      <w:pPr>
        <w:widowControl/>
        <w:spacing w:line="300" w:lineRule="exact"/>
        <w:ind w:left="-2" w:leftChars="-1" w:right="31" w:rightChars="15"/>
        <w:jc w:val="left"/>
        <w:rPr>
          <w:rFonts w:ascii="黑体" w:hAnsi="Times New Roman" w:eastAsia="黑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个人客户（签字）：</w:t>
      </w:r>
      <w:r>
        <w:rPr>
          <w:rFonts w:ascii="黑体" w:hAnsi="Times New Roman" w:eastAsia="黑体" w:cs="宋体"/>
          <w:color w:val="000000"/>
          <w:kern w:val="0"/>
          <w:sz w:val="24"/>
          <w:szCs w:val="24"/>
        </w:rPr>
        <w:t xml:space="preserve">            </w:t>
      </w:r>
    </w:p>
    <w:p>
      <w:pPr>
        <w:widowControl/>
        <w:ind w:right="440"/>
        <w:jc w:val="left"/>
        <w:rPr>
          <w:rFonts w:ascii="Arial" w:hAnsi="Arial" w:eastAsia="宋体" w:cs="Arial"/>
          <w:color w:val="000000"/>
          <w:kern w:val="0"/>
          <w:sz w:val="15"/>
          <w:szCs w:val="15"/>
        </w:rPr>
      </w:pPr>
      <w:r>
        <w:rPr>
          <w:rFonts w:ascii="黑体" w:hAnsi="Times New Roman" w:eastAsia="黑体" w:cs="Arial"/>
          <w:color w:val="000000"/>
          <w:kern w:val="0"/>
          <w:sz w:val="24"/>
          <w:szCs w:val="24"/>
        </w:rPr>
        <w:t xml:space="preserve">                                  </w:t>
      </w:r>
    </w:p>
    <w:p>
      <w:pPr>
        <w:widowControl/>
        <w:ind w:left="4440" w:right="440" w:hanging="4440" w:hangingChars="1850"/>
        <w:jc w:val="left"/>
        <w:rPr>
          <w:rFonts w:ascii="Arial" w:hAnsi="Arial" w:eastAsia="宋体" w:cs="Arial"/>
          <w:color w:val="000000"/>
          <w:kern w:val="0"/>
          <w:sz w:val="15"/>
          <w:szCs w:val="15"/>
        </w:rPr>
      </w:pPr>
      <w:r>
        <w:rPr>
          <w:rFonts w:hint="eastAsia" w:ascii="黑体" w:hAnsi="Times New Roman" w:eastAsia="黑体" w:cs="Arial"/>
          <w:color w:val="000000"/>
          <w:kern w:val="0"/>
          <w:sz w:val="24"/>
          <w:szCs w:val="24"/>
        </w:rPr>
        <w:t xml:space="preserve">日期：年 月 日                      </w:t>
      </w:r>
      <w:r>
        <w:rPr>
          <w:rFonts w:ascii="黑体" w:hAnsi="Times New Roman" w:eastAsia="黑体" w:cs="Arial"/>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黑体" w:hAnsi="Times New Roman" w:eastAsia="黑体" w:cs="宋体"/>
          <w:color w:val="000000"/>
          <w:kern w:val="0"/>
          <w:sz w:val="24"/>
          <w:szCs w:val="24"/>
        </w:rPr>
      </w:pP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机构客户（公章）：</w:t>
      </w:r>
      <w:r>
        <w:rPr>
          <w:rFonts w:ascii="黑体" w:hAnsi="Times New Roman" w:eastAsia="黑体" w:cs="宋体"/>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法定代表人或负责人（签字或签章）：</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日期：年</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月</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日</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楷体" w:hAnsi="楷体" w:eastAsia="楷体"/>
      </w:rPr>
    </w:pPr>
    <w:r>
      <w:rPr>
        <w:rFonts w:hint="eastAsia" w:ascii="楷体" w:hAnsi="楷体" w:eastAsia="楷体"/>
      </w:rPr>
      <w:t>本产品风险评级为【PR</w:t>
    </w:r>
    <w:r>
      <w:rPr>
        <w:rFonts w:ascii="楷体" w:hAnsi="楷体" w:eastAsia="楷体"/>
      </w:rPr>
      <w:t>2</w:t>
    </w:r>
    <w:r>
      <w:rPr>
        <w:rFonts w:hint="eastAsia" w:ascii="楷体" w:hAnsi="楷体" w:eastAsia="楷体"/>
      </w:rPr>
      <w:t>】</w:t>
    </w:r>
    <w:r>
      <w:rPr>
        <w:rFonts w:ascii="楷体" w:hAnsi="楷体" w:eastAsia="楷体"/>
      </w:rP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E1DBC"/>
    <w:multiLevelType w:val="multilevel"/>
    <w:tmpl w:val="377E1DBC"/>
    <w:lvl w:ilvl="0" w:tentative="0">
      <w:start w:val="1"/>
      <w:numFmt w:val="lowerLetter"/>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45784EED"/>
    <w:multiLevelType w:val="multilevel"/>
    <w:tmpl w:val="45784EED"/>
    <w:lvl w:ilvl="0" w:tentative="0">
      <w:start w:val="4"/>
      <w:numFmt w:val="japaneseCounting"/>
      <w:lvlText w:val="%1、"/>
      <w:lvlJc w:val="left"/>
      <w:pPr>
        <w:ind w:left="388" w:hanging="39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NhNDRjMTk3YzI2NDgxODYwMmY2NWFjODc1YzEifQ=="/>
  </w:docVars>
  <w:rsids>
    <w:rsidRoot w:val="2B360EEE"/>
    <w:rsid w:val="2B360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paragraph" w:styleId="7">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2023-10-30T10:42:00Z</dcterms:created>
  <dc:creator>陈晨</dc:creator>
  <cp:lastModifiedBy>陈晨</cp:lastModifiedBy>
  <dcterms:modified xsi:type="dcterms:W3CDTF">2023-10-30T10:42:45Z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CCF6DD2761A346ADA57993C2BEBF6AA9_11</vt:lpwstr>
  </property>
</Properties>
</file>