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exact"/>
        <w:ind w:left="-718" w:leftChars="-342" w:right="-693" w:rightChars="-330"/>
        <w:jc w:val="center"/>
        <w:rPr>
          <w:rFonts w:ascii="黑体" w:hAnsi="楷体_GB2312" w:eastAsia="黑体" w:cs="黑体"/>
          <w:b/>
          <w:bCs/>
          <w:color w:val="000000"/>
          <w:kern w:val="0"/>
          <w:sz w:val="24"/>
          <w:szCs w:val="24"/>
        </w:rPr>
      </w:pPr>
      <w:bookmarkStart w:id="0" w:name="_GoBack"/>
      <w:r>
        <w:rPr>
          <w:rFonts w:hint="eastAsia" w:ascii="黑体" w:hAnsi="楷体_GB2312" w:eastAsia="黑体" w:cs="黑体"/>
          <w:b/>
          <w:bCs/>
          <w:color w:val="000000"/>
          <w:kern w:val="0"/>
          <w:sz w:val="24"/>
          <w:szCs w:val="24"/>
        </w:rPr>
        <w:t>信银理财理财产品风险揭示书</w:t>
      </w:r>
    </w:p>
    <w:bookmarkEnd w:id="0"/>
    <w:p>
      <w:pPr>
        <w:widowControl/>
        <w:spacing w:line="300" w:lineRule="exact"/>
        <w:ind w:left="-718" w:leftChars="-342" w:right="-693" w:rightChars="-330"/>
        <w:jc w:val="center"/>
        <w:rPr>
          <w:rFonts w:ascii="楷体_GB2312" w:hAnsi="宋体" w:eastAsia="楷体_GB2312" w:cs="宋体"/>
          <w:color w:val="000000"/>
          <w:kern w:val="0"/>
          <w:sz w:val="24"/>
          <w:szCs w:val="24"/>
        </w:rPr>
      </w:pPr>
      <w:r>
        <w:rPr>
          <w:rFonts w:ascii="黑体" w:hAnsi="宋体" w:eastAsia="黑体" w:cs="宋体"/>
          <w:b/>
          <w:bCs/>
          <w:color w:val="000000"/>
          <w:kern w:val="0"/>
          <w:sz w:val="24"/>
          <w:szCs w:val="24"/>
        </w:rPr>
        <w:t> </w:t>
      </w:r>
    </w:p>
    <w:p>
      <w:pPr>
        <w:widowControl/>
        <w:jc w:val="left"/>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尊敬的客户：</w:t>
      </w:r>
      <w:r>
        <w:rPr>
          <w:rFonts w:ascii="楷体_GB2312" w:hAnsi="Arial" w:eastAsia="楷体_GB2312" w:cs="楷体_GB2312"/>
          <w:color w:val="000000"/>
          <w:kern w:val="0"/>
          <w:sz w:val="24"/>
          <w:szCs w:val="24"/>
        </w:rPr>
        <w:t xml:space="preserve"> </w:t>
      </w:r>
    </w:p>
    <w:p>
      <w:pPr>
        <w:widowControl/>
        <w:ind w:firstLine="482" w:firstLineChars="200"/>
        <w:rPr>
          <w:rFonts w:ascii="宋体" w:hAnsi="宋体" w:eastAsia="宋体" w:cs="宋体"/>
          <w:b/>
          <w:color w:val="000000"/>
          <w:kern w:val="0"/>
          <w:sz w:val="24"/>
          <w:szCs w:val="24"/>
        </w:rPr>
      </w:pPr>
      <w:r>
        <w:rPr>
          <w:rFonts w:ascii="楷体_GB2312" w:hAnsi="Arial" w:eastAsia="楷体_GB2312" w:cs="楷体_GB2312"/>
          <w:b/>
          <w:color w:val="000000"/>
          <w:kern w:val="0"/>
          <w:sz w:val="24"/>
          <w:szCs w:val="24"/>
        </w:rPr>
        <w:t>理财资金管理运用过程中，可能会面临多种风险因素，包括但不限于信用风险、市场风险、流动性风险、提前终止风险、政策风险、信息传递风险、管理风险、延期清算风险、理财产品不成立风险、不可抗力及意外事件风险、</w:t>
      </w:r>
      <w:r>
        <w:rPr>
          <w:rFonts w:hint="eastAsia" w:ascii="楷体_GB2312" w:hAnsi="Arial" w:eastAsia="楷体_GB2312" w:cs="楷体_GB2312"/>
          <w:b/>
          <w:color w:val="000000"/>
          <w:kern w:val="0"/>
          <w:sz w:val="24"/>
          <w:szCs w:val="24"/>
        </w:rPr>
        <w:t>理财本金全部损失风险</w:t>
      </w:r>
      <w:r>
        <w:rPr>
          <w:rFonts w:ascii="楷体_GB2312" w:hAnsi="Arial" w:eastAsia="楷体_GB2312" w:cs="楷体_GB2312"/>
          <w:b/>
          <w:color w:val="000000"/>
          <w:kern w:val="0"/>
          <w:sz w:val="24"/>
          <w:szCs w:val="24"/>
        </w:rPr>
        <w:t>、合作销售机构</w:t>
      </w:r>
      <w:r>
        <w:rPr>
          <w:rFonts w:hint="eastAsia" w:ascii="楷体_GB2312" w:hAnsi="Arial" w:eastAsia="楷体_GB2312" w:cs="楷体_GB2312"/>
          <w:b/>
          <w:color w:val="000000"/>
          <w:kern w:val="0"/>
          <w:sz w:val="24"/>
          <w:szCs w:val="24"/>
        </w:rPr>
        <w:t>（代销机构）</w:t>
      </w:r>
      <w:r>
        <w:rPr>
          <w:rFonts w:ascii="楷体_GB2312" w:hAnsi="Arial" w:eastAsia="楷体_GB2312" w:cs="楷体_GB2312"/>
          <w:b/>
          <w:color w:val="000000"/>
          <w:kern w:val="0"/>
          <w:sz w:val="24"/>
          <w:szCs w:val="24"/>
        </w:rPr>
        <w:t>风险、操作风险</w:t>
      </w:r>
      <w:r>
        <w:rPr>
          <w:rFonts w:hint="eastAsia" w:ascii="楷体_GB2312" w:hAnsi="Arial" w:eastAsia="楷体_GB2312" w:cs="楷体_GB2312"/>
          <w:b/>
          <w:color w:val="000000"/>
          <w:kern w:val="0"/>
          <w:sz w:val="24"/>
          <w:szCs w:val="24"/>
        </w:rPr>
        <w:t>、关联交易风险</w:t>
      </w:r>
      <w:r>
        <w:rPr>
          <w:rFonts w:ascii="楷体_GB2312" w:hAnsi="Arial" w:eastAsia="楷体_GB2312" w:cs="楷体_GB2312"/>
          <w:b/>
          <w:color w:val="000000"/>
          <w:kern w:val="0"/>
          <w:sz w:val="24"/>
          <w:szCs w:val="24"/>
        </w:rPr>
        <w:t>等风险。具体风险的含义，请您认真阅读本理财产品说明书中相应的风险揭示部分。</w:t>
      </w:r>
    </w:p>
    <w:p>
      <w:pPr>
        <w:widowControl/>
        <w:ind w:firstLine="482" w:firstLineChars="200"/>
        <w:rPr>
          <w:rFonts w:ascii="宋体" w:hAnsi="宋体" w:eastAsia="宋体" w:cs="宋体"/>
          <w:b/>
          <w:color w:val="000000"/>
          <w:kern w:val="0"/>
          <w:sz w:val="24"/>
          <w:szCs w:val="24"/>
        </w:rPr>
      </w:pPr>
      <w:r>
        <w:rPr>
          <w:rFonts w:ascii="楷体_GB2312" w:hAnsi="Arial" w:eastAsia="楷体_GB2312" w:cs="楷体_GB2312"/>
          <w:b/>
          <w:color w:val="000000"/>
          <w:kern w:val="0"/>
          <w:sz w:val="24"/>
          <w:szCs w:val="24"/>
        </w:rPr>
        <w:t>由于相关风险因素可能导致您的本金及收益全部或部分损失，因此，在您选择购买本理财产品前，请仔细阅读理财产品销售文件，包括理财产品销售总协议、理财产品投资协议书、理财产品说明书、风险揭示书及客户权益须知等，了解本理财产品具体情况</w:t>
      </w:r>
      <w:r>
        <w:rPr>
          <w:rFonts w:hint="eastAsia" w:ascii="楷体_GB2312" w:hAnsi="Arial" w:eastAsia="楷体_GB2312" w:cs="楷体_GB2312"/>
          <w:b/>
          <w:bCs/>
          <w:color w:val="000000"/>
          <w:kern w:val="0"/>
          <w:sz w:val="24"/>
          <w:szCs w:val="24"/>
        </w:rPr>
        <w:t>。</w:t>
      </w:r>
    </w:p>
    <w:p>
      <w:pPr>
        <w:widowControl/>
        <w:ind w:firstLine="480" w:firstLineChars="200"/>
        <w:rPr>
          <w:rFonts w:ascii="楷体_GB2312" w:hAnsi="宋体" w:eastAsia="楷体_GB2312" w:cs="宋体"/>
          <w:color w:val="000000"/>
          <w:kern w:val="0"/>
          <w:sz w:val="24"/>
          <w:szCs w:val="24"/>
        </w:rPr>
      </w:pPr>
    </w:p>
    <w:p>
      <w:pPr>
        <w:widowControl/>
        <w:ind w:firstLine="480" w:firstLineChars="200"/>
        <w:rPr>
          <w:rFonts w:ascii="楷体_GB2312" w:hAnsi="Arial" w:eastAsia="楷体_GB2312" w:cs="楷体_GB2312"/>
          <w:color w:val="000000"/>
          <w:kern w:val="0"/>
          <w:sz w:val="24"/>
          <w:szCs w:val="24"/>
        </w:rPr>
      </w:pPr>
      <w:r>
        <w:rPr>
          <w:rFonts w:hint="eastAsia" w:ascii="Arial" w:hAnsi="Arial" w:eastAsia="楷体_GB2312" w:cs="楷体_GB2312"/>
          <w:color w:val="000000"/>
          <w:kern w:val="0"/>
          <w:sz w:val="24"/>
          <w:szCs w:val="24"/>
        </w:rPr>
        <w:t>本理财产品名称为</w:t>
      </w:r>
      <w:r>
        <w:rPr>
          <w:rFonts w:hint="eastAsia" w:ascii="楷体_GB2312" w:hAnsi="楷体_GB2312" w:eastAsia="楷体_GB2312" w:cs="楷体_GB2312"/>
          <w:b/>
          <w:bCs/>
          <w:color w:val="000000"/>
          <w:kern w:val="0"/>
          <w:sz w:val="24"/>
          <w:szCs w:val="24"/>
        </w:rPr>
        <w:t>【信银理财安盈象固收稳健丰收九个月封闭式16号理财产品</w:t>
      </w:r>
      <w:r>
        <w:rPr>
          <w:rFonts w:ascii="楷体_GB2312" w:hAnsi="楷体_GB2312" w:eastAsia="楷体_GB2312" w:cs="楷体_GB2312"/>
          <w:b/>
          <w:bCs/>
          <w:color w:val="000000"/>
          <w:kern w:val="0"/>
          <w:sz w:val="24"/>
          <w:szCs w:val="24"/>
        </w:rPr>
        <w:t>】</w:t>
      </w:r>
      <w:r>
        <w:rPr>
          <w:rFonts w:hint="eastAsia" w:ascii="楷体_GB2312" w:hAnsi="Arial" w:eastAsia="楷体_GB2312" w:cs="楷体_GB2312"/>
          <w:color w:val="000000"/>
          <w:kern w:val="0"/>
          <w:sz w:val="24"/>
          <w:szCs w:val="24"/>
        </w:rPr>
        <w:t>，产品代码为【</w:t>
      </w:r>
      <w:r>
        <w:rPr>
          <w:rFonts w:ascii="楷体_GB2312" w:hAnsi="Arial" w:eastAsia="楷体_GB2312" w:cs="楷体_GB2312"/>
          <w:color w:val="000000"/>
          <w:kern w:val="0"/>
          <w:sz w:val="24"/>
          <w:szCs w:val="24"/>
        </w:rPr>
        <w:t>AF234221</w:t>
      </w:r>
      <w:r>
        <w:rPr>
          <w:rFonts w:hint="eastAsia" w:ascii="楷体_GB2312" w:hAnsi="Arial" w:eastAsia="楷体_GB2312" w:cs="楷体_GB2312"/>
          <w:color w:val="000000"/>
          <w:kern w:val="0"/>
          <w:sz w:val="24"/>
          <w:szCs w:val="24"/>
        </w:rPr>
        <w:t>】，类型为公募、【固定收益类</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、封闭式产品，期限为【</w:t>
      </w:r>
      <w:r>
        <w:rPr>
          <w:rFonts w:ascii="楷体_GB2312" w:hAnsi="Arial" w:eastAsia="楷体_GB2312" w:cs="楷体_GB2312"/>
          <w:color w:val="000000"/>
          <w:kern w:val="0"/>
          <w:sz w:val="24"/>
          <w:szCs w:val="24"/>
        </w:rPr>
        <w:t>274</w:t>
      </w:r>
      <w:r>
        <w:rPr>
          <w:rFonts w:hint="eastAsia" w:ascii="楷体_GB2312" w:hAnsi="Arial" w:eastAsia="楷体_GB2312" w:cs="楷体_GB2312"/>
          <w:color w:val="000000"/>
          <w:kern w:val="0"/>
          <w:sz w:val="24"/>
          <w:szCs w:val="24"/>
        </w:rPr>
        <w:t>】天，风险评级为【</w:t>
      </w:r>
      <w:r>
        <w:rPr>
          <w:rFonts w:hint="eastAsia" w:ascii="楷体_GB2312" w:hAnsi="Arial" w:eastAsia="楷体_GB2312" w:cs="楷体_GB2312"/>
          <w:kern w:val="0"/>
          <w:sz w:val="24"/>
          <w:szCs w:val="24"/>
        </w:rPr>
        <w:t>PR</w:t>
      </w:r>
      <w:r>
        <w:rPr>
          <w:rFonts w:ascii="楷体_GB2312" w:hAnsi="Arial" w:eastAsia="楷体_GB2312" w:cs="楷体_GB2312"/>
          <w:kern w:val="0"/>
          <w:sz w:val="24"/>
          <w:szCs w:val="24"/>
        </w:rPr>
        <w:t>2</w:t>
      </w:r>
      <w:r>
        <w:rPr>
          <w:rFonts w:hint="eastAsia" w:ascii="楷体_GB2312" w:hAnsi="Arial" w:eastAsia="楷体_GB2312" w:cs="楷体_GB2312"/>
          <w:color w:val="000000"/>
          <w:kern w:val="0"/>
          <w:sz w:val="24"/>
          <w:szCs w:val="24"/>
        </w:rPr>
        <w:t>】，适合购买客户为风险承受能力为 【</w:t>
      </w:r>
      <w:r>
        <w:rPr>
          <w:rFonts w:hint="eastAsia" w:ascii="楷体_GB2312" w:hAnsi="Arial" w:eastAsia="楷体_GB2312" w:cs="楷体_GB2312"/>
          <w:kern w:val="0"/>
          <w:sz w:val="24"/>
          <w:szCs w:val="24"/>
        </w:rPr>
        <w:t>稳健型</w:t>
      </w:r>
      <w:r>
        <w:rPr>
          <w:rFonts w:hint="eastAsia" w:ascii="楷体_GB2312" w:hAnsi="Arial" w:eastAsia="楷体_GB2312" w:cs="楷体_GB2312"/>
          <w:color w:val="000000"/>
          <w:kern w:val="0"/>
          <w:sz w:val="24"/>
          <w:szCs w:val="24"/>
        </w:rPr>
        <w:t>】</w:t>
      </w:r>
      <w:r>
        <w:rPr>
          <w:rFonts w:ascii="楷体_GB2312" w:hAnsi="Arial" w:eastAsia="楷体_GB2312" w:cs="楷体_GB2312"/>
          <w:color w:val="000000"/>
          <w:kern w:val="0"/>
          <w:sz w:val="24"/>
          <w:szCs w:val="24"/>
        </w:rPr>
        <w:t xml:space="preserve"> </w:t>
      </w:r>
      <w:r>
        <w:rPr>
          <w:rFonts w:hint="eastAsia" w:ascii="楷体_GB2312" w:hAnsi="Arial" w:eastAsia="楷体_GB2312" w:cs="楷体_GB2312"/>
          <w:color w:val="000000"/>
          <w:kern w:val="0"/>
          <w:sz w:val="24"/>
          <w:szCs w:val="24"/>
        </w:rPr>
        <w:t>及以上的客户。【</w:t>
      </w:r>
      <w:r>
        <w:rPr>
          <w:rFonts w:hint="eastAsia" w:ascii="楷体_GB2312" w:hAnsi="Arial" w:eastAsia="楷体_GB2312" w:cs="宋体"/>
          <w:color w:val="000000"/>
          <w:kern w:val="0"/>
          <w:sz w:val="24"/>
          <w:szCs w:val="24"/>
        </w:rPr>
        <w:t>固定收益类产品仅是按照投资性质分类，并非指收益固定或保本。】</w:t>
      </w:r>
    </w:p>
    <w:p>
      <w:pPr>
        <w:widowControl/>
        <w:ind w:firstLine="480" w:firstLineChars="200"/>
        <w:rPr>
          <w:rFonts w:ascii="楷体_GB2312" w:hAnsi="Arial" w:eastAsia="楷体_GB2312" w:cs="楷体_GB2312"/>
          <w:color w:val="000000"/>
          <w:kern w:val="0"/>
          <w:sz w:val="24"/>
          <w:szCs w:val="24"/>
        </w:rPr>
      </w:pPr>
    </w:p>
    <w:p>
      <w:pPr>
        <w:widowControl/>
        <w:ind w:firstLine="480" w:firstLineChars="200"/>
        <w:rPr>
          <w:rFonts w:ascii="楷体_GB2312" w:hAnsi="Arial" w:eastAsia="楷体_GB2312" w:cs="宋体"/>
          <w:color w:val="000000"/>
          <w:kern w:val="0"/>
          <w:sz w:val="24"/>
          <w:szCs w:val="24"/>
        </w:rPr>
      </w:pPr>
      <w:r>
        <w:rPr>
          <w:rFonts w:hint="eastAsia" w:ascii="黑体" w:hAnsi="Times New Roman" w:eastAsia="黑体" w:cs="黑体"/>
          <w:color w:val="000000"/>
          <w:kern w:val="0"/>
          <w:sz w:val="24"/>
          <w:szCs w:val="24"/>
        </w:rPr>
        <w:t>重要提示</w:t>
      </w:r>
      <w:r>
        <w:rPr>
          <w:rFonts w:hint="eastAsia" w:ascii="楷体_GB2312" w:hAnsi="Arial" w:eastAsia="楷体_GB2312" w:cs="楷体_GB2312"/>
          <w:color w:val="000000"/>
          <w:kern w:val="0"/>
          <w:sz w:val="24"/>
          <w:szCs w:val="24"/>
        </w:rPr>
        <w:t>：信银理财</w:t>
      </w:r>
      <w:r>
        <w:rPr>
          <w:rFonts w:ascii="楷体_GB2312" w:hAnsi="Arial" w:eastAsia="楷体_GB2312" w:cs="楷体_GB2312"/>
          <w:color w:val="000000"/>
          <w:kern w:val="0"/>
          <w:sz w:val="24"/>
          <w:szCs w:val="24"/>
        </w:rPr>
        <w:t>作为本理财</w:t>
      </w:r>
      <w:r>
        <w:rPr>
          <w:rFonts w:hint="eastAsia" w:ascii="楷体_GB2312" w:hAnsi="Arial" w:eastAsia="楷体_GB2312" w:cs="楷体_GB2312"/>
          <w:color w:val="000000"/>
          <w:kern w:val="0"/>
          <w:sz w:val="24"/>
          <w:szCs w:val="24"/>
        </w:rPr>
        <w:t>产品</w:t>
      </w:r>
      <w:r>
        <w:rPr>
          <w:rFonts w:ascii="楷体_GB2312" w:hAnsi="Arial" w:eastAsia="楷体_GB2312" w:cs="楷体_GB2312"/>
          <w:color w:val="000000"/>
          <w:kern w:val="0"/>
          <w:sz w:val="24"/>
          <w:szCs w:val="24"/>
        </w:rPr>
        <w:t>管理人承诺以诚实守信、</w:t>
      </w:r>
      <w:r>
        <w:rPr>
          <w:rFonts w:hint="eastAsia" w:ascii="楷体_GB2312" w:hAnsi="Arial" w:eastAsia="楷体_GB2312" w:cs="楷体_GB2312"/>
          <w:color w:val="000000"/>
          <w:kern w:val="0"/>
          <w:sz w:val="24"/>
          <w:szCs w:val="24"/>
        </w:rPr>
        <w:t>勤勉</w:t>
      </w:r>
      <w:r>
        <w:rPr>
          <w:rFonts w:ascii="楷体_GB2312" w:hAnsi="Arial" w:eastAsia="楷体_GB2312" w:cs="楷体_GB2312"/>
          <w:color w:val="000000"/>
          <w:kern w:val="0"/>
          <w:sz w:val="24"/>
          <w:szCs w:val="24"/>
        </w:rPr>
        <w:t>尽职的原则管理和运用理财产品</w:t>
      </w:r>
      <w:r>
        <w:rPr>
          <w:rFonts w:hint="eastAsia" w:ascii="楷体_GB2312" w:hAnsi="Arial" w:eastAsia="楷体_GB2312" w:cs="楷体_GB2312"/>
          <w:color w:val="000000"/>
          <w:kern w:val="0"/>
          <w:sz w:val="24"/>
          <w:szCs w:val="24"/>
        </w:rPr>
        <w:t>资金</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但</w:t>
      </w:r>
      <w:r>
        <w:rPr>
          <w:rFonts w:ascii="楷体_GB2312" w:hAnsi="Arial" w:eastAsia="楷体_GB2312" w:cs="楷体_GB2312"/>
          <w:b/>
          <w:color w:val="000000"/>
          <w:kern w:val="0"/>
          <w:sz w:val="24"/>
          <w:szCs w:val="24"/>
        </w:rPr>
        <w:t>不保证</w:t>
      </w:r>
      <w:r>
        <w:rPr>
          <w:rFonts w:hint="eastAsia" w:ascii="楷体_GB2312" w:hAnsi="Arial" w:eastAsia="楷体_GB2312" w:cs="楷体_GB2312"/>
          <w:b/>
          <w:color w:val="000000"/>
          <w:kern w:val="0"/>
          <w:sz w:val="24"/>
          <w:szCs w:val="24"/>
        </w:rPr>
        <w:t>本金和</w:t>
      </w:r>
      <w:r>
        <w:rPr>
          <w:rFonts w:ascii="楷体_GB2312" w:hAnsi="Arial" w:eastAsia="楷体_GB2312" w:cs="楷体_GB2312"/>
          <w:b/>
          <w:color w:val="000000"/>
          <w:kern w:val="0"/>
          <w:sz w:val="24"/>
          <w:szCs w:val="24"/>
        </w:rPr>
        <w:t>收益，您可能因市场变动</w:t>
      </w:r>
      <w:r>
        <w:rPr>
          <w:rFonts w:hint="eastAsia" w:ascii="楷体_GB2312" w:hAnsi="Arial" w:eastAsia="楷体_GB2312" w:cs="楷体_GB2312"/>
          <w:b/>
          <w:color w:val="000000"/>
          <w:kern w:val="0"/>
          <w:sz w:val="24"/>
          <w:szCs w:val="24"/>
        </w:rPr>
        <w:t>而</w:t>
      </w:r>
      <w:r>
        <w:rPr>
          <w:rFonts w:ascii="楷体_GB2312" w:hAnsi="Arial" w:eastAsia="楷体_GB2312" w:cs="楷体_GB2312"/>
          <w:b/>
          <w:color w:val="000000"/>
          <w:kern w:val="0"/>
          <w:sz w:val="24"/>
          <w:szCs w:val="24"/>
        </w:rPr>
        <w:t>损失全部本金</w:t>
      </w:r>
      <w:r>
        <w:rPr>
          <w:rFonts w:hint="eastAsia" w:ascii="楷体_GB2312" w:hAnsi="Arial" w:eastAsia="楷体_GB2312" w:cs="楷体_GB2312"/>
          <w:b/>
          <w:color w:val="000000"/>
          <w:kern w:val="0"/>
          <w:sz w:val="24"/>
          <w:szCs w:val="24"/>
        </w:rPr>
        <w:t>且</w:t>
      </w:r>
      <w:r>
        <w:rPr>
          <w:rFonts w:ascii="楷体_GB2312" w:hAnsi="Arial" w:eastAsia="楷体_GB2312" w:cs="楷体_GB2312"/>
          <w:b/>
          <w:color w:val="000000"/>
          <w:kern w:val="0"/>
          <w:sz w:val="24"/>
          <w:szCs w:val="24"/>
        </w:rPr>
        <w:t>无法取得任何收益</w:t>
      </w:r>
      <w:r>
        <w:rPr>
          <w:rFonts w:hint="eastAsia" w:ascii="楷体_GB2312" w:hAnsi="Arial" w:eastAsia="楷体_GB2312" w:cs="楷体_GB2312"/>
          <w:color w:val="000000"/>
          <w:kern w:val="0"/>
          <w:sz w:val="24"/>
          <w:szCs w:val="24"/>
        </w:rPr>
        <w:t>。</w:t>
      </w:r>
      <w:r>
        <w:rPr>
          <w:rFonts w:hint="eastAsia" w:ascii="楷体" w:hAnsi="楷体" w:eastAsia="楷体" w:cs="宋体"/>
          <w:b/>
          <w:kern w:val="0"/>
          <w:sz w:val="24"/>
          <w:szCs w:val="24"/>
        </w:rPr>
        <w:t>理财产品过往业绩不代表其未来表现，不等于理财产品实际收益，投资须谨慎。</w:t>
      </w:r>
      <w:r>
        <w:rPr>
          <w:rFonts w:ascii="楷体_GB2312" w:hAnsi="Arial" w:eastAsia="楷体_GB2312" w:cs="楷体_GB2312"/>
          <w:color w:val="000000"/>
          <w:kern w:val="0"/>
          <w:sz w:val="24"/>
          <w:szCs w:val="24"/>
        </w:rPr>
        <w:t>信银理财</w:t>
      </w:r>
      <w:r>
        <w:rPr>
          <w:rFonts w:hint="eastAsia" w:ascii="楷体_GB2312" w:hAnsi="Arial" w:eastAsia="楷体_GB2312" w:cs="楷体_GB2312"/>
          <w:color w:val="000000"/>
          <w:kern w:val="0"/>
          <w:sz w:val="24"/>
          <w:szCs w:val="24"/>
        </w:rPr>
        <w:t>提醒您</w:t>
      </w:r>
      <w:r>
        <w:rPr>
          <w:rFonts w:ascii="楷体_GB2312" w:hAnsi="Arial" w:eastAsia="楷体_GB2312" w:cs="楷体_GB2312"/>
          <w:color w:val="000000"/>
          <w:kern w:val="0"/>
          <w:sz w:val="24"/>
          <w:szCs w:val="24"/>
        </w:rPr>
        <w:t>理财</w:t>
      </w:r>
      <w:r>
        <w:rPr>
          <w:rFonts w:hint="eastAsia" w:ascii="楷体_GB2312" w:hAnsi="Arial" w:eastAsia="楷体_GB2312" w:cs="楷体_GB2312"/>
          <w:color w:val="000000"/>
          <w:kern w:val="0"/>
          <w:sz w:val="24"/>
          <w:szCs w:val="24"/>
        </w:rPr>
        <w:t>产品</w:t>
      </w:r>
      <w:r>
        <w:rPr>
          <w:rFonts w:ascii="楷体_GB2312" w:hAnsi="Arial" w:eastAsia="楷体_GB2312" w:cs="楷体_GB2312"/>
          <w:color w:val="000000"/>
          <w:kern w:val="0"/>
          <w:sz w:val="24"/>
          <w:szCs w:val="24"/>
        </w:rPr>
        <w:t>投资</w:t>
      </w:r>
      <w:r>
        <w:rPr>
          <w:rFonts w:hint="eastAsia" w:ascii="楷体_GB2312" w:hAnsi="Arial" w:eastAsia="楷体_GB2312" w:cs="楷体_GB2312"/>
          <w:color w:val="000000"/>
          <w:kern w:val="0"/>
          <w:sz w:val="24"/>
          <w:szCs w:val="24"/>
        </w:rPr>
        <w:t>风险</w:t>
      </w:r>
      <w:r>
        <w:rPr>
          <w:rFonts w:ascii="楷体_GB2312" w:hAnsi="Arial" w:eastAsia="楷体_GB2312" w:cs="楷体_GB2312"/>
          <w:color w:val="000000"/>
          <w:kern w:val="0"/>
          <w:sz w:val="24"/>
          <w:szCs w:val="24"/>
        </w:rPr>
        <w:t>由</w:t>
      </w:r>
      <w:r>
        <w:rPr>
          <w:rFonts w:hint="eastAsia" w:ascii="楷体_GB2312" w:hAnsi="Arial" w:eastAsia="楷体_GB2312" w:cs="楷体_GB2312"/>
          <w:color w:val="000000"/>
          <w:kern w:val="0"/>
          <w:sz w:val="24"/>
          <w:szCs w:val="24"/>
        </w:rPr>
        <w:t>买者自负</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您应充分认识投资风险，谨慎投资！</w:t>
      </w:r>
      <w:r>
        <w:rPr>
          <w:rFonts w:ascii="楷体_GB2312" w:hAnsi="Arial" w:eastAsia="楷体_GB2312" w:cs="宋体"/>
          <w:color w:val="000000"/>
          <w:kern w:val="0"/>
          <w:sz w:val="24"/>
          <w:szCs w:val="24"/>
        </w:rPr>
        <w:t> </w:t>
      </w:r>
    </w:p>
    <w:p>
      <w:pPr>
        <w:widowControl/>
        <w:ind w:firstLine="480" w:firstLineChars="200"/>
        <w:rPr>
          <w:rFonts w:ascii="楷体_GB2312" w:hAnsi="Arial" w:eastAsia="楷体_GB2312" w:cs="宋体"/>
          <w:color w:val="000000"/>
          <w:kern w:val="0"/>
          <w:sz w:val="24"/>
          <w:szCs w:val="24"/>
        </w:rPr>
      </w:pPr>
    </w:p>
    <w:p>
      <w:pPr>
        <w:widowControl/>
        <w:ind w:firstLine="482" w:firstLineChars="200"/>
        <w:rPr>
          <w:rFonts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【示例】：若投资者购买本理财产品，假设理财产品本金为</w:t>
      </w:r>
      <w:r>
        <w:rPr>
          <w:rFonts w:ascii="楷体_GB2312" w:hAnsi="楷体_GB2312" w:eastAsia="楷体_GB2312" w:cs="楷体_GB2312"/>
          <w:b/>
          <w:bCs/>
          <w:color w:val="000000"/>
          <w:kern w:val="0"/>
          <w:sz w:val="24"/>
          <w:szCs w:val="24"/>
        </w:rPr>
        <w:t>1</w:t>
      </w:r>
      <w:r>
        <w:rPr>
          <w:rFonts w:hint="eastAsia" w:ascii="楷体_GB2312" w:hAnsi="楷体_GB2312" w:eastAsia="楷体_GB2312" w:cs="楷体_GB2312"/>
          <w:b/>
          <w:bCs/>
          <w:color w:val="000000"/>
          <w:kern w:val="0"/>
          <w:sz w:val="24"/>
          <w:szCs w:val="24"/>
        </w:rPr>
        <w:t>.00亿元，在最不利情况下，理财本金及收益全部损失。</w:t>
      </w:r>
    </w:p>
    <w:p>
      <w:pPr>
        <w:widowControl/>
        <w:rPr>
          <w:rFonts w:ascii="楷体_GB2312" w:hAnsi="楷体_GB2312" w:eastAsia="楷体_GB2312" w:cs="楷体_GB2312"/>
          <w:b/>
          <w:bCs/>
          <w:color w:val="000000"/>
          <w:kern w:val="0"/>
          <w:sz w:val="24"/>
          <w:szCs w:val="24"/>
        </w:rPr>
      </w:pPr>
    </w:p>
    <w:p>
      <w:pPr>
        <w:widowControl/>
        <w:ind w:firstLine="482" w:firstLineChars="20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理财非存款</w:t>
      </w:r>
      <w:r>
        <w:rPr>
          <w:rFonts w:ascii="黑体" w:hAnsi="黑体" w:eastAsia="黑体" w:cs="宋体"/>
          <w:b/>
          <w:color w:val="000000"/>
          <w:kern w:val="0"/>
          <w:sz w:val="24"/>
          <w:szCs w:val="24"/>
        </w:rPr>
        <w:t>、产品</w:t>
      </w:r>
      <w:r>
        <w:rPr>
          <w:rFonts w:hint="eastAsia" w:ascii="黑体" w:hAnsi="黑体" w:eastAsia="黑体" w:cs="宋体"/>
          <w:b/>
          <w:color w:val="000000"/>
          <w:kern w:val="0"/>
          <w:sz w:val="24"/>
          <w:szCs w:val="24"/>
        </w:rPr>
        <w:t>有</w:t>
      </w:r>
      <w:r>
        <w:rPr>
          <w:rFonts w:ascii="黑体" w:hAnsi="黑体" w:eastAsia="黑体" w:cs="宋体"/>
          <w:b/>
          <w:color w:val="000000"/>
          <w:kern w:val="0"/>
          <w:sz w:val="24"/>
          <w:szCs w:val="24"/>
        </w:rPr>
        <w:t>风险、投资须谨慎</w:t>
      </w:r>
      <w:r>
        <w:rPr>
          <w:rFonts w:hint="eastAsia" w:ascii="黑体" w:hAnsi="黑体" w:eastAsia="黑体" w:cs="宋体"/>
          <w:b/>
          <w:color w:val="000000"/>
          <w:kern w:val="0"/>
          <w:sz w:val="24"/>
          <w:szCs w:val="24"/>
        </w:rPr>
        <w:t>！</w:t>
      </w:r>
    </w:p>
    <w:p>
      <w:pPr>
        <w:widowControl/>
        <w:ind w:firstLine="482" w:firstLineChars="200"/>
        <w:rPr>
          <w:rFonts w:ascii="黑体" w:hAnsi="黑体" w:eastAsia="黑体" w:cs="宋体"/>
          <w:b/>
          <w:color w:val="000000"/>
          <w:kern w:val="0"/>
          <w:sz w:val="24"/>
          <w:szCs w:val="24"/>
        </w:rPr>
      </w:pPr>
    </w:p>
    <w:p>
      <w:pPr>
        <w:widowControl/>
        <w:ind w:firstLine="480" w:firstLineChars="200"/>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如影响您风险承受能力的因素发生变化，请及时告知信银理财或</w:t>
      </w:r>
      <w:r>
        <w:rPr>
          <w:rFonts w:ascii="楷体_GB2312" w:hAnsi="Arial" w:eastAsia="楷体_GB2312" w:cs="楷体_GB2312"/>
          <w:color w:val="000000"/>
          <w:kern w:val="0"/>
          <w:sz w:val="24"/>
          <w:szCs w:val="24"/>
        </w:rPr>
        <w:t>代销机构</w:t>
      </w:r>
      <w:r>
        <w:rPr>
          <w:rFonts w:hint="eastAsia" w:ascii="楷体_GB2312" w:hAnsi="Arial" w:eastAsia="楷体_GB2312" w:cs="楷体_GB2312"/>
          <w:color w:val="000000"/>
          <w:kern w:val="0"/>
          <w:sz w:val="24"/>
          <w:szCs w:val="24"/>
        </w:rPr>
        <w:t>并重新进行风险承受能力评估。</w:t>
      </w:r>
      <w:r>
        <w:rPr>
          <w:rFonts w:ascii="楷体_GB2312" w:hAnsi="Arial" w:eastAsia="楷体_GB2312" w:cs="楷体_GB2312"/>
          <w:color w:val="000000"/>
          <w:kern w:val="0"/>
          <w:sz w:val="24"/>
          <w:szCs w:val="24"/>
        </w:rPr>
        <w:t xml:space="preserve"> </w:t>
      </w:r>
    </w:p>
    <w:p>
      <w:pPr>
        <w:widowControl/>
        <w:jc w:val="right"/>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风险揭示方：</w:t>
      </w:r>
      <w:r>
        <w:rPr>
          <w:rFonts w:ascii="楷体_GB2312" w:hAnsi="Arial" w:eastAsia="楷体_GB2312" w:cs="楷体_GB2312"/>
          <w:color w:val="000000"/>
          <w:kern w:val="0"/>
          <w:sz w:val="24"/>
          <w:szCs w:val="24"/>
        </w:rPr>
        <w:t xml:space="preserve"> </w:t>
      </w:r>
      <w:r>
        <w:rPr>
          <w:rFonts w:hint="eastAsia" w:ascii="楷体_GB2312" w:hAnsi="Arial" w:eastAsia="楷体_GB2312" w:cs="楷体_GB2312"/>
          <w:color w:val="000000"/>
          <w:kern w:val="0"/>
          <w:sz w:val="24"/>
          <w:szCs w:val="24"/>
        </w:rPr>
        <w:t>信银理财有限责任公司</w:t>
      </w: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宋体" w:eastAsia="楷体_GB2312" w:cs="宋体"/>
          <w:color w:val="000000"/>
          <w:kern w:val="0"/>
          <w:sz w:val="24"/>
          <w:szCs w:val="24"/>
        </w:rPr>
      </w:pPr>
      <w:r>
        <w:rPr>
          <w:rFonts w:hint="eastAsia" w:ascii="楷体_GB2312" w:hAnsi="Arial" w:eastAsia="楷体_GB2312" w:cs="楷体_GB2312"/>
          <w:b/>
          <w:bCs/>
          <w:color w:val="000000"/>
          <w:kern w:val="0"/>
          <w:sz w:val="24"/>
          <w:szCs w:val="24"/>
          <w:u w:val="single"/>
        </w:rPr>
        <w:t>客</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户</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确</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认</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栏</w:t>
      </w:r>
    </w:p>
    <w:p>
      <w:pPr>
        <w:widowControl/>
        <w:ind w:firstLine="480" w:firstLineChars="200"/>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本人/本单位确认，本人/本单位购买该理财产品为本人/本单位真实的意思表示</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并认为该理财产品完全适合本人/本单位的投资目标、投资预期以及风险承受能力，本人/本单位自愿承担由此带来的一切后果。本人/本单位确认信银理财/</w:t>
      </w:r>
      <w:r>
        <w:rPr>
          <w:rFonts w:ascii="楷体_GB2312" w:hAnsi="Arial" w:eastAsia="楷体_GB2312" w:cs="楷体_GB2312"/>
          <w:color w:val="000000"/>
          <w:kern w:val="0"/>
          <w:sz w:val="24"/>
          <w:szCs w:val="24"/>
        </w:rPr>
        <w:t>代销机构</w:t>
      </w:r>
      <w:r>
        <w:rPr>
          <w:rFonts w:hint="eastAsia" w:ascii="楷体_GB2312" w:hAnsi="Arial" w:eastAsia="楷体_GB2312" w:cs="楷体_GB2312"/>
          <w:color w:val="000000"/>
          <w:kern w:val="0"/>
          <w:sz w:val="24"/>
          <w:szCs w:val="24"/>
        </w:rPr>
        <w:t>相关业务人员对于理财产品销售文件中限制或排除本人/本单位权利、增加或加重本人/本单位义务或责任以及有关免除或减轻信银理财责任或信银理财单方面拥有某些权利的条款已向本人/本</w:t>
      </w:r>
      <w:r>
        <w:rPr>
          <w:rFonts w:ascii="楷体_GB2312" w:hAnsi="Arial" w:eastAsia="楷体_GB2312" w:cs="楷体_GB2312"/>
          <w:color w:val="000000"/>
          <w:kern w:val="0"/>
          <w:sz w:val="24"/>
          <w:szCs w:val="24"/>
        </w:rPr>
        <w:t>单位</w:t>
      </w:r>
      <w:r>
        <w:rPr>
          <w:rFonts w:hint="eastAsia" w:ascii="楷体_GB2312" w:hAnsi="Arial" w:eastAsia="楷体_GB2312" w:cs="楷体_GB2312"/>
          <w:color w:val="000000"/>
          <w:kern w:val="0"/>
          <w:sz w:val="24"/>
          <w:szCs w:val="24"/>
        </w:rPr>
        <w:t>予以说明，本人/本单位已完全理解并自愿接受。</w:t>
      </w:r>
      <w:r>
        <w:rPr>
          <w:rFonts w:ascii="楷体_GB2312" w:hAnsi="Arial" w:eastAsia="楷体_GB2312" w:cs="楷体_GB2312"/>
          <w:color w:val="000000"/>
          <w:kern w:val="0"/>
          <w:sz w:val="24"/>
          <w:szCs w:val="24"/>
        </w:rPr>
        <w:t xml:space="preserve"> </w:t>
      </w:r>
    </w:p>
    <w:p>
      <w:pPr>
        <w:widowControl/>
        <w:ind w:firstLine="480"/>
        <w:rPr>
          <w:rFonts w:ascii="楷体_GB2312" w:hAnsi="宋体" w:eastAsia="楷体_GB2312" w:cs="宋体"/>
          <w:color w:val="000000"/>
          <w:kern w:val="0"/>
          <w:sz w:val="24"/>
          <w:szCs w:val="24"/>
        </w:rPr>
      </w:pPr>
    </w:p>
    <w:p>
      <w:pPr>
        <w:widowControl/>
        <w:ind w:firstLine="480"/>
        <w:rPr>
          <w:rFonts w:ascii="楷体_GB2312" w:hAnsi="宋体" w:eastAsia="楷体_GB2312" w:cs="宋体"/>
          <w:b/>
          <w:color w:val="000000"/>
          <w:kern w:val="0"/>
          <w:sz w:val="24"/>
          <w:szCs w:val="24"/>
        </w:rPr>
      </w:pPr>
      <w:r>
        <w:rPr>
          <w:rFonts w:hint="eastAsia" w:ascii="楷体_GB2312" w:hAnsi="宋体" w:eastAsia="楷体_GB2312" w:cs="宋体"/>
          <w:b/>
          <w:color w:val="000000"/>
          <w:kern w:val="0"/>
          <w:sz w:val="24"/>
          <w:szCs w:val="24"/>
        </w:rPr>
        <w:t>本人</w:t>
      </w:r>
      <w:r>
        <w:rPr>
          <w:rFonts w:hint="eastAsia" w:ascii="楷体_GB2312" w:hAnsi="Arial" w:eastAsia="楷体_GB2312" w:cs="楷体_GB2312"/>
          <w:b/>
          <w:color w:val="000000"/>
          <w:kern w:val="0"/>
          <w:sz w:val="24"/>
          <w:szCs w:val="24"/>
        </w:rPr>
        <w:t>/本单位</w:t>
      </w:r>
      <w:r>
        <w:rPr>
          <w:rFonts w:hint="eastAsia" w:ascii="楷体_GB2312" w:hAnsi="宋体" w:eastAsia="楷体_GB2312" w:cs="宋体"/>
          <w:b/>
          <w:color w:val="000000"/>
          <w:kern w:val="0"/>
          <w:sz w:val="24"/>
          <w:szCs w:val="24"/>
        </w:rPr>
        <w:t>确认，将向本理财产品销售机构真实提供信息，自主作出认购等决定，独立对销售文件进行签字</w:t>
      </w:r>
      <w:r>
        <w:rPr>
          <w:rFonts w:ascii="楷体_GB2312" w:hAnsi="宋体" w:eastAsia="楷体_GB2312" w:cs="宋体"/>
          <w:b/>
          <w:color w:val="000000"/>
          <w:kern w:val="0"/>
          <w:sz w:val="24"/>
          <w:szCs w:val="24"/>
        </w:rPr>
        <w:t>/盖章确认，自主承担投资风险。本人</w:t>
      </w:r>
      <w:r>
        <w:rPr>
          <w:rFonts w:hint="eastAsia" w:ascii="楷体_GB2312" w:hAnsi="宋体" w:eastAsia="楷体_GB2312" w:cs="宋体"/>
          <w:b/>
          <w:color w:val="000000"/>
          <w:kern w:val="0"/>
          <w:sz w:val="24"/>
          <w:szCs w:val="24"/>
        </w:rPr>
        <w:t>/本单位</w:t>
      </w:r>
      <w:r>
        <w:rPr>
          <w:rFonts w:ascii="楷体_GB2312" w:hAnsi="宋体" w:eastAsia="楷体_GB2312" w:cs="宋体"/>
          <w:b/>
          <w:color w:val="000000"/>
          <w:kern w:val="0"/>
          <w:sz w:val="24"/>
          <w:szCs w:val="24"/>
        </w:rPr>
        <w:t>拒绝向销售机构提供或者未按照要求提供信息的，销售机构有权告知本人</w:t>
      </w:r>
      <w:r>
        <w:rPr>
          <w:rFonts w:hint="eastAsia" w:ascii="楷体_GB2312" w:hAnsi="宋体" w:eastAsia="楷体_GB2312" w:cs="宋体"/>
          <w:b/>
          <w:color w:val="000000"/>
          <w:kern w:val="0"/>
          <w:sz w:val="24"/>
          <w:szCs w:val="24"/>
        </w:rPr>
        <w:t>/本单位</w:t>
      </w:r>
      <w:r>
        <w:rPr>
          <w:rFonts w:ascii="楷体_GB2312" w:hAnsi="宋体" w:eastAsia="楷体_GB2312" w:cs="宋体"/>
          <w:b/>
          <w:color w:val="000000"/>
          <w:kern w:val="0"/>
          <w:sz w:val="24"/>
          <w:szCs w:val="24"/>
        </w:rPr>
        <w:t>相应的后果和责任，并有权拒绝向本人</w:t>
      </w:r>
      <w:r>
        <w:rPr>
          <w:rFonts w:hint="eastAsia" w:ascii="楷体_GB2312" w:hAnsi="宋体" w:eastAsia="楷体_GB2312" w:cs="宋体"/>
          <w:b/>
          <w:color w:val="000000"/>
          <w:kern w:val="0"/>
          <w:sz w:val="24"/>
          <w:szCs w:val="24"/>
        </w:rPr>
        <w:t>/本单位</w:t>
      </w:r>
      <w:r>
        <w:rPr>
          <w:rFonts w:ascii="楷体_GB2312" w:hAnsi="宋体" w:eastAsia="楷体_GB2312" w:cs="宋体"/>
          <w:b/>
          <w:color w:val="000000"/>
          <w:kern w:val="0"/>
          <w:sz w:val="24"/>
          <w:szCs w:val="24"/>
        </w:rPr>
        <w:t>提供销售服务。</w:t>
      </w:r>
    </w:p>
    <w:p>
      <w:pPr>
        <w:widowControl/>
        <w:ind w:firstLine="480"/>
        <w:rPr>
          <w:rFonts w:ascii="楷体_GB2312" w:hAnsi="宋体" w:eastAsia="楷体_GB2312" w:cs="宋体"/>
          <w:color w:val="000000"/>
          <w:kern w:val="0"/>
          <w:sz w:val="24"/>
          <w:szCs w:val="24"/>
        </w:rPr>
      </w:pPr>
      <w:r>
        <w:rPr>
          <w:rFonts w:hint="eastAsia" w:ascii="楷体_GB2312" w:hAnsi="宋体" w:eastAsia="楷体_GB2312" w:cs="宋体"/>
          <w:color w:val="000000"/>
          <w:kern w:val="0"/>
          <w:sz w:val="24"/>
          <w:szCs w:val="24"/>
        </w:rPr>
        <w:t>本人</w:t>
      </w:r>
      <w:r>
        <w:rPr>
          <w:rFonts w:hint="eastAsia" w:ascii="楷体_GB2312" w:hAnsi="Arial" w:eastAsia="楷体_GB2312" w:cs="楷体_GB2312"/>
          <w:color w:val="000000"/>
          <w:kern w:val="0"/>
          <w:sz w:val="24"/>
          <w:szCs w:val="24"/>
        </w:rPr>
        <w:t>/本单位</w:t>
      </w:r>
      <w:r>
        <w:rPr>
          <w:rFonts w:hint="eastAsia" w:ascii="楷体_GB2312" w:hAnsi="宋体" w:eastAsia="楷体_GB2312" w:cs="宋体"/>
          <w:color w:val="000000"/>
          <w:kern w:val="0"/>
          <w:sz w:val="24"/>
          <w:szCs w:val="24"/>
        </w:rPr>
        <w:t>确认</w:t>
      </w:r>
      <w:r>
        <w:rPr>
          <w:rFonts w:ascii="楷体_GB2312" w:hAnsi="宋体" w:eastAsia="楷体_GB2312" w:cs="宋体"/>
          <w:color w:val="000000"/>
          <w:kern w:val="0"/>
          <w:sz w:val="24"/>
          <w:szCs w:val="24"/>
        </w:rPr>
        <w:t>，</w:t>
      </w:r>
      <w:r>
        <w:rPr>
          <w:rFonts w:hint="eastAsia" w:ascii="楷体_GB2312" w:hAnsi="宋体" w:eastAsia="楷体_GB2312" w:cs="宋体"/>
          <w:color w:val="000000"/>
          <w:kern w:val="0"/>
          <w:sz w:val="24"/>
          <w:szCs w:val="24"/>
        </w:rPr>
        <w:t>投资</w:t>
      </w:r>
      <w:r>
        <w:rPr>
          <w:rFonts w:ascii="楷体_GB2312" w:hAnsi="宋体" w:eastAsia="楷体_GB2312" w:cs="宋体"/>
          <w:color w:val="000000"/>
          <w:kern w:val="0"/>
          <w:sz w:val="24"/>
          <w:szCs w:val="24"/>
        </w:rPr>
        <w:t>本理财产品的</w:t>
      </w:r>
      <w:r>
        <w:rPr>
          <w:rFonts w:hint="eastAsia" w:ascii="楷体_GB2312" w:hAnsi="宋体" w:eastAsia="楷体_GB2312" w:cs="宋体"/>
          <w:color w:val="000000"/>
          <w:kern w:val="0"/>
          <w:sz w:val="24"/>
          <w:szCs w:val="24"/>
        </w:rPr>
        <w:t>资金非贷款</w:t>
      </w:r>
      <w:r>
        <w:rPr>
          <w:rFonts w:ascii="楷体_GB2312" w:hAnsi="宋体" w:eastAsia="楷体_GB2312" w:cs="宋体"/>
          <w:color w:val="000000"/>
          <w:kern w:val="0"/>
          <w:sz w:val="24"/>
          <w:szCs w:val="24"/>
        </w:rPr>
        <w:t>、发行债券等募集的非自有资金。</w:t>
      </w:r>
    </w:p>
    <w:p>
      <w:pPr>
        <w:widowControl/>
        <w:ind w:firstLine="480" w:firstLineChars="200"/>
        <w:rPr>
          <w:rFonts w:ascii="楷体_GB2312" w:hAnsi="Arial" w:eastAsia="楷体_GB2312" w:cs="楷体_GB2312"/>
          <w:color w:val="000000"/>
          <w:kern w:val="0"/>
          <w:sz w:val="24"/>
          <w:szCs w:val="24"/>
        </w:rPr>
      </w:pPr>
      <w:r>
        <w:rPr>
          <w:rFonts w:hint="eastAsia" w:ascii="楷体_GB2312" w:hAnsi="Arial" w:eastAsia="楷体_GB2312" w:cs="楷体_GB2312"/>
          <w:color w:val="000000"/>
          <w:kern w:val="0"/>
          <w:sz w:val="24"/>
          <w:szCs w:val="24"/>
        </w:rPr>
        <w:t>本人/本单位确认已阅知客户权益须知，完全清楚理财产品购买流程、风险评估、产品评级含义、信息披露方式及渠道、信银</w:t>
      </w:r>
      <w:r>
        <w:rPr>
          <w:rFonts w:ascii="楷体_GB2312" w:hAnsi="Arial" w:eastAsia="楷体_GB2312" w:cs="楷体_GB2312"/>
          <w:color w:val="000000"/>
          <w:kern w:val="0"/>
          <w:sz w:val="24"/>
          <w:szCs w:val="24"/>
        </w:rPr>
        <w:t>理财及代销机构</w:t>
      </w:r>
      <w:r>
        <w:rPr>
          <w:rFonts w:hint="eastAsia" w:ascii="楷体_GB2312" w:hAnsi="Arial" w:eastAsia="楷体_GB2312" w:cs="楷体_GB2312"/>
          <w:color w:val="000000"/>
          <w:kern w:val="0"/>
          <w:sz w:val="24"/>
          <w:szCs w:val="24"/>
        </w:rPr>
        <w:t>的联系方式及投诉程序等内容。</w:t>
      </w:r>
    </w:p>
    <w:p>
      <w:pPr>
        <w:widowControl/>
        <w:ind w:firstLine="480" w:firstLineChars="200"/>
        <w:rPr>
          <w:rFonts w:ascii="楷体_GB2312" w:hAnsi="Arial" w:eastAsia="楷体_GB2312" w:cs="楷体_GB2312"/>
          <w:color w:val="000000"/>
          <w:kern w:val="0"/>
          <w:sz w:val="24"/>
          <w:szCs w:val="24"/>
        </w:rPr>
      </w:pPr>
    </w:p>
    <w:p>
      <w:pPr>
        <w:widowControl/>
        <w:ind w:firstLine="480" w:firstLineChars="200"/>
        <w:rPr>
          <w:rFonts w:ascii="宋体" w:hAnsi="宋体" w:eastAsia="宋体" w:cs="宋体"/>
          <w:color w:val="000000"/>
          <w:kern w:val="0"/>
          <w:sz w:val="24"/>
          <w:szCs w:val="24"/>
        </w:rPr>
      </w:pPr>
    </w:p>
    <w:p>
      <w:pPr>
        <w:widowControl/>
        <w:ind w:firstLine="480" w:firstLineChars="200"/>
        <w:jc w:val="left"/>
        <w:rPr>
          <w:rFonts w:ascii="楷体_GB2312" w:hAnsi="Arial" w:eastAsia="楷体_GB2312" w:cs="楷体_GB2312"/>
          <w:color w:val="000000"/>
          <w:kern w:val="0"/>
          <w:sz w:val="24"/>
          <w:szCs w:val="24"/>
        </w:rPr>
      </w:pPr>
      <w:r>
        <w:rPr>
          <w:rFonts w:hint="eastAsia" w:ascii="楷体_GB2312" w:hAnsi="Arial" w:eastAsia="楷体_GB2312" w:cs="楷体_GB2312"/>
          <w:color w:val="000000"/>
          <w:kern w:val="0"/>
          <w:sz w:val="24"/>
          <w:szCs w:val="24"/>
        </w:rPr>
        <w:t>本人/本单位确认如下：</w:t>
      </w:r>
      <w:r>
        <w:rPr>
          <w:rFonts w:ascii="楷体_GB2312" w:hAnsi="Arial" w:eastAsia="楷体_GB2312" w:cs="楷体_GB2312"/>
          <w:color w:val="000000"/>
          <w:kern w:val="0"/>
          <w:sz w:val="24"/>
          <w:szCs w:val="24"/>
        </w:rPr>
        <w:t xml:space="preserve"> </w:t>
      </w:r>
    </w:p>
    <w:p>
      <w:pPr>
        <w:widowControl/>
        <w:ind w:firstLine="480" w:firstLineChars="200"/>
        <w:rPr>
          <w:rFonts w:ascii="楷体_GB2312" w:hAnsi="Arial" w:eastAsia="楷体_GB2312" w:cs="楷体_GB2312"/>
          <w:color w:val="000000"/>
          <w:kern w:val="0"/>
          <w:sz w:val="24"/>
          <w:szCs w:val="24"/>
        </w:rPr>
      </w:pPr>
    </w:p>
    <w:p>
      <w:pPr>
        <w:widowControl/>
        <w:ind w:firstLine="482" w:firstLineChars="200"/>
        <w:rPr>
          <w:rFonts w:ascii="楷体_GB2312" w:hAnsi="Arial" w:eastAsia="楷体_GB2312" w:cs="楷体_GB2312"/>
          <w:b/>
          <w:bCs/>
          <w:color w:val="000000"/>
          <w:kern w:val="0"/>
          <w:sz w:val="24"/>
          <w:szCs w:val="24"/>
        </w:rPr>
      </w:pPr>
      <w:r>
        <w:rPr>
          <w:rFonts w:hint="eastAsia" w:ascii="楷体_GB2312" w:hAnsi="Arial" w:eastAsia="楷体_GB2312" w:cs="楷体_GB2312"/>
          <w:b/>
          <w:bCs/>
          <w:color w:val="000000"/>
          <w:kern w:val="0"/>
          <w:sz w:val="24"/>
          <w:szCs w:val="24"/>
        </w:rPr>
        <w:t>本理财产品可能委托信银理财的关联方【中信银行股份有限</w:t>
      </w:r>
      <w:r>
        <w:rPr>
          <w:rFonts w:ascii="楷体_GB2312" w:hAnsi="Arial" w:eastAsia="楷体_GB2312" w:cs="楷体_GB2312"/>
          <w:b/>
          <w:bCs/>
          <w:color w:val="000000"/>
          <w:kern w:val="0"/>
          <w:sz w:val="24"/>
          <w:szCs w:val="24"/>
        </w:rPr>
        <w:t>公司</w:t>
      </w:r>
      <w:r>
        <w:rPr>
          <w:rFonts w:hint="eastAsia" w:ascii="楷体_GB2312" w:hAnsi="Arial" w:eastAsia="楷体_GB2312" w:cs="楷体_GB2312"/>
          <w:b/>
          <w:bCs/>
          <w:color w:val="000000"/>
          <w:kern w:val="0"/>
          <w:sz w:val="24"/>
          <w:szCs w:val="24"/>
        </w:rPr>
        <w:t>、中信</w:t>
      </w:r>
      <w:r>
        <w:rPr>
          <w:rFonts w:ascii="楷体_GB2312" w:hAnsi="Arial" w:eastAsia="楷体_GB2312" w:cs="楷体_GB2312"/>
          <w:b/>
          <w:bCs/>
          <w:color w:val="000000"/>
          <w:kern w:val="0"/>
          <w:sz w:val="24"/>
          <w:szCs w:val="24"/>
        </w:rPr>
        <w:t>百信银行</w:t>
      </w:r>
      <w:r>
        <w:rPr>
          <w:rFonts w:hint="eastAsia" w:ascii="楷体_GB2312" w:hAnsi="Arial" w:eastAsia="楷体_GB2312" w:cs="楷体_GB2312"/>
          <w:b/>
          <w:bCs/>
          <w:color w:val="000000"/>
          <w:kern w:val="0"/>
          <w:sz w:val="24"/>
          <w:szCs w:val="24"/>
        </w:rPr>
        <w:t>股份</w:t>
      </w:r>
      <w:r>
        <w:rPr>
          <w:rFonts w:ascii="楷体_GB2312" w:hAnsi="Arial" w:eastAsia="楷体_GB2312" w:cs="楷体_GB2312"/>
          <w:b/>
          <w:bCs/>
          <w:color w:val="000000"/>
          <w:kern w:val="0"/>
          <w:sz w:val="24"/>
          <w:szCs w:val="24"/>
        </w:rPr>
        <w:t>有限</w:t>
      </w:r>
      <w:r>
        <w:rPr>
          <w:rFonts w:hint="eastAsia" w:ascii="楷体_GB2312" w:hAnsi="Arial" w:eastAsia="楷体_GB2312" w:cs="楷体_GB2312"/>
          <w:b/>
          <w:bCs/>
          <w:color w:val="000000"/>
          <w:kern w:val="0"/>
          <w:sz w:val="24"/>
          <w:szCs w:val="24"/>
        </w:rPr>
        <w:t>公司】销售，【中信银行股份有限</w:t>
      </w:r>
      <w:r>
        <w:rPr>
          <w:rFonts w:ascii="楷体_GB2312" w:hAnsi="Arial" w:eastAsia="楷体_GB2312" w:cs="楷体_GB2312"/>
          <w:b/>
          <w:bCs/>
          <w:color w:val="000000"/>
          <w:kern w:val="0"/>
          <w:sz w:val="24"/>
          <w:szCs w:val="24"/>
        </w:rPr>
        <w:t>公司</w:t>
      </w:r>
      <w:r>
        <w:rPr>
          <w:rFonts w:hint="eastAsia" w:ascii="楷体_GB2312" w:hAnsi="Arial" w:eastAsia="楷体_GB2312" w:cs="楷体_GB2312"/>
          <w:b/>
          <w:bCs/>
          <w:color w:val="000000"/>
          <w:kern w:val="0"/>
          <w:sz w:val="24"/>
          <w:szCs w:val="24"/>
        </w:rPr>
        <w:t>】系信银理财的【唯一股东】，【中信</w:t>
      </w:r>
      <w:r>
        <w:rPr>
          <w:rFonts w:ascii="楷体_GB2312" w:hAnsi="Arial" w:eastAsia="楷体_GB2312" w:cs="楷体_GB2312"/>
          <w:b/>
          <w:bCs/>
          <w:color w:val="000000"/>
          <w:kern w:val="0"/>
          <w:sz w:val="24"/>
          <w:szCs w:val="24"/>
        </w:rPr>
        <w:t>百信银行</w:t>
      </w:r>
      <w:r>
        <w:rPr>
          <w:rFonts w:hint="eastAsia" w:ascii="楷体_GB2312" w:hAnsi="Arial" w:eastAsia="楷体_GB2312" w:cs="楷体_GB2312"/>
          <w:b/>
          <w:bCs/>
          <w:color w:val="000000"/>
          <w:kern w:val="0"/>
          <w:sz w:val="24"/>
          <w:szCs w:val="24"/>
        </w:rPr>
        <w:t>股份</w:t>
      </w:r>
      <w:r>
        <w:rPr>
          <w:rFonts w:ascii="楷体_GB2312" w:hAnsi="Arial" w:eastAsia="楷体_GB2312" w:cs="楷体_GB2312"/>
          <w:b/>
          <w:bCs/>
          <w:color w:val="000000"/>
          <w:kern w:val="0"/>
          <w:sz w:val="24"/>
          <w:szCs w:val="24"/>
        </w:rPr>
        <w:t>有限</w:t>
      </w:r>
      <w:r>
        <w:rPr>
          <w:rFonts w:hint="eastAsia" w:ascii="楷体_GB2312" w:hAnsi="Arial" w:eastAsia="楷体_GB2312" w:cs="楷体_GB2312"/>
          <w:b/>
          <w:bCs/>
          <w:color w:val="000000"/>
          <w:kern w:val="0"/>
          <w:sz w:val="24"/>
          <w:szCs w:val="24"/>
        </w:rPr>
        <w:t>公司】系中信银行股份有限公司控股子公司，与信银</w:t>
      </w:r>
      <w:r>
        <w:rPr>
          <w:rFonts w:ascii="楷体_GB2312" w:hAnsi="Arial" w:eastAsia="楷体_GB2312" w:cs="楷体_GB2312"/>
          <w:b/>
          <w:bCs/>
          <w:color w:val="000000"/>
          <w:kern w:val="0"/>
          <w:sz w:val="24"/>
          <w:szCs w:val="24"/>
        </w:rPr>
        <w:t>理财</w:t>
      </w:r>
      <w:r>
        <w:rPr>
          <w:rFonts w:hint="eastAsia" w:ascii="楷体_GB2312" w:hAnsi="Arial" w:eastAsia="楷体_GB2312" w:cs="楷体_GB2312"/>
          <w:b/>
          <w:bCs/>
          <w:color w:val="000000"/>
          <w:kern w:val="0"/>
          <w:sz w:val="24"/>
          <w:szCs w:val="24"/>
        </w:rPr>
        <w:t>具有关联关系。信银理财委托【中信银行股份有限</w:t>
      </w:r>
      <w:r>
        <w:rPr>
          <w:rFonts w:ascii="楷体_GB2312" w:hAnsi="Arial" w:eastAsia="楷体_GB2312" w:cs="楷体_GB2312"/>
          <w:b/>
          <w:bCs/>
          <w:color w:val="000000"/>
          <w:kern w:val="0"/>
          <w:sz w:val="24"/>
          <w:szCs w:val="24"/>
        </w:rPr>
        <w:t>公司</w:t>
      </w:r>
      <w:r>
        <w:rPr>
          <w:rFonts w:hint="eastAsia" w:ascii="楷体_GB2312" w:hAnsi="Arial" w:eastAsia="楷体_GB2312" w:cs="楷体_GB2312"/>
          <w:b/>
          <w:bCs/>
          <w:color w:val="000000"/>
          <w:kern w:val="0"/>
          <w:sz w:val="24"/>
          <w:szCs w:val="24"/>
        </w:rPr>
        <w:t>、中信</w:t>
      </w:r>
      <w:r>
        <w:rPr>
          <w:rFonts w:ascii="楷体_GB2312" w:hAnsi="Arial" w:eastAsia="楷体_GB2312" w:cs="楷体_GB2312"/>
          <w:b/>
          <w:bCs/>
          <w:color w:val="000000"/>
          <w:kern w:val="0"/>
          <w:sz w:val="24"/>
          <w:szCs w:val="24"/>
        </w:rPr>
        <w:t>百信银行</w:t>
      </w:r>
      <w:r>
        <w:rPr>
          <w:rFonts w:hint="eastAsia" w:ascii="楷体_GB2312" w:hAnsi="Arial" w:eastAsia="楷体_GB2312" w:cs="楷体_GB2312"/>
          <w:b/>
          <w:bCs/>
          <w:color w:val="000000"/>
          <w:kern w:val="0"/>
          <w:sz w:val="24"/>
          <w:szCs w:val="24"/>
        </w:rPr>
        <w:t>股份</w:t>
      </w:r>
      <w:r>
        <w:rPr>
          <w:rFonts w:ascii="楷体_GB2312" w:hAnsi="Arial" w:eastAsia="楷体_GB2312" w:cs="楷体_GB2312"/>
          <w:b/>
          <w:bCs/>
          <w:color w:val="000000"/>
          <w:kern w:val="0"/>
          <w:sz w:val="24"/>
          <w:szCs w:val="24"/>
        </w:rPr>
        <w:t>有限</w:t>
      </w:r>
      <w:r>
        <w:rPr>
          <w:rFonts w:hint="eastAsia" w:ascii="楷体_GB2312" w:hAnsi="Arial" w:eastAsia="楷体_GB2312" w:cs="楷体_GB2312"/>
          <w:b/>
          <w:bCs/>
          <w:color w:val="000000"/>
          <w:kern w:val="0"/>
          <w:sz w:val="24"/>
          <w:szCs w:val="24"/>
        </w:rPr>
        <w:t>公司】销售本理财产品的，存在关联交易风险，请投资者仔细阅读</w:t>
      </w:r>
      <w:r>
        <w:rPr>
          <w:rFonts w:hint="eastAsia" w:ascii="楷体_GB2312" w:hAnsi="Arial" w:eastAsia="楷体_GB2312" w:cs="楷体_GB2312"/>
          <w:b/>
          <w:color w:val="000000"/>
          <w:kern w:val="0"/>
          <w:sz w:val="24"/>
          <w:szCs w:val="24"/>
        </w:rPr>
        <w:t>理财产品说明书中相应风险揭示部分</w:t>
      </w:r>
      <w:r>
        <w:rPr>
          <w:rFonts w:hint="eastAsia" w:ascii="楷体_GB2312" w:hAnsi="Arial" w:eastAsia="楷体_GB2312" w:cs="楷体_GB2312"/>
          <w:b/>
          <w:bCs/>
          <w:color w:val="000000"/>
          <w:kern w:val="0"/>
          <w:sz w:val="24"/>
          <w:szCs w:val="24"/>
        </w:rPr>
        <w:t>。</w:t>
      </w:r>
    </w:p>
    <w:p>
      <w:pPr>
        <w:widowControl/>
        <w:ind w:firstLine="482" w:firstLineChars="200"/>
        <w:rPr>
          <w:rFonts w:ascii="楷体_GB2312" w:hAnsi="Arial" w:eastAsia="楷体_GB2312" w:cs="楷体_GB2312"/>
          <w:b/>
          <w:bCs/>
          <w:color w:val="000000"/>
          <w:kern w:val="0"/>
          <w:sz w:val="24"/>
          <w:szCs w:val="24"/>
        </w:rPr>
      </w:pPr>
      <w:r>
        <w:rPr>
          <w:rFonts w:hint="eastAsia" w:ascii="楷体_GB2312" w:hAnsi="Arial" w:eastAsia="楷体_GB2312" w:cs="楷体_GB2312"/>
          <w:b/>
          <w:bCs/>
          <w:color w:val="000000"/>
          <w:kern w:val="0"/>
          <w:sz w:val="24"/>
          <w:szCs w:val="24"/>
        </w:rPr>
        <w:t>本人/本单位确认，已知悉上述关联交易，愿意承担相应投资风险。</w:t>
      </w:r>
    </w:p>
    <w:p>
      <w:pPr>
        <w:widowControl/>
        <w:jc w:val="left"/>
        <w:rPr>
          <w:rFonts w:ascii="楷体_GB2312" w:hAnsi="宋体" w:eastAsia="楷体_GB2312" w:cs="宋体"/>
          <w:color w:val="000000"/>
          <w:kern w:val="0"/>
          <w:sz w:val="24"/>
          <w:szCs w:val="24"/>
        </w:rPr>
      </w:pPr>
    </w:p>
    <w:p>
      <w:pPr>
        <w:widowControl/>
        <w:ind w:firstLine="480" w:firstLineChars="200"/>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本人/本单位风险承受能力评级为（由个人客户本人/机构客户授权经办人填写）：</w:t>
      </w:r>
      <w:r>
        <w:rPr>
          <w:rFonts w:ascii="楷体_GB2312" w:hAnsi="Arial" w:eastAsia="楷体_GB2312" w:cs="宋体"/>
          <w:color w:val="000000"/>
          <w:kern w:val="0"/>
          <w:sz w:val="24"/>
          <w:szCs w:val="24"/>
        </w:rPr>
        <w:t> </w:t>
      </w:r>
      <w:r>
        <w:rPr>
          <w:rFonts w:ascii="Arial" w:hAnsi="Arial" w:eastAsia="宋体" w:cs="Arial"/>
          <w:color w:val="000000"/>
          <w:kern w:val="0"/>
          <w:sz w:val="18"/>
          <w:szCs w:val="18"/>
        </w:rPr>
        <w:t> </w:t>
      </w:r>
    </w:p>
    <w:p>
      <w:pPr>
        <w:widowControl/>
        <w:snapToGrid w:val="0"/>
        <w:rPr>
          <w:rFonts w:ascii="楷体_GB2312" w:hAnsi="宋体" w:eastAsia="楷体_GB2312" w:cs="宋体"/>
          <w:color w:val="000000"/>
          <w:kern w:val="0"/>
          <w:sz w:val="24"/>
          <w:szCs w:val="24"/>
        </w:rPr>
      </w:pPr>
      <w:r>
        <w:rPr>
          <w:rFonts w:hint="eastAsia" w:ascii="楷体_GB2312" w:hAnsi="宋体" w:eastAsia="楷体_GB2312" w:cs="楷体_GB2312"/>
          <w:color w:val="000000"/>
          <w:kern w:val="0"/>
          <w:sz w:val="24"/>
          <w:szCs w:val="24"/>
        </w:rPr>
        <w:t>（</w:t>
      </w:r>
      <w:r>
        <w:rPr>
          <w:rFonts w:hint="eastAsia" w:ascii="楷体_GB2312" w:hAnsi="Arial" w:eastAsia="楷体_GB2312" w:cs="楷体_GB2312"/>
          <w:color w:val="000000"/>
          <w:kern w:val="0"/>
          <w:sz w:val="24"/>
          <w:szCs w:val="24"/>
        </w:rPr>
        <w:t>个人客户本人/机构客户授权经办人需全文抄录以下文字以完成确认</w:t>
      </w:r>
      <w:r>
        <w:rPr>
          <w:rFonts w:hint="eastAsia" w:ascii="楷体_GB2312" w:hAnsi="宋体" w:eastAsia="楷体_GB2312" w:cs="楷体_GB2312"/>
          <w:color w:val="000000"/>
          <w:kern w:val="0"/>
          <w:sz w:val="24"/>
          <w:szCs w:val="24"/>
        </w:rPr>
        <w:t>：</w:t>
      </w:r>
      <w:r>
        <w:rPr>
          <w:rFonts w:hint="eastAsia" w:ascii="楷体_GB2312" w:hAnsi="宋体" w:eastAsia="楷体_GB2312" w:cs="楷体_GB2312"/>
          <w:b/>
          <w:bCs/>
          <w:color w:val="000000"/>
          <w:kern w:val="0"/>
          <w:sz w:val="24"/>
          <w:szCs w:val="24"/>
        </w:rPr>
        <w:t>本人/本单位已经阅读风险揭示，愿意承担投资风险</w:t>
      </w:r>
      <w:r>
        <w:rPr>
          <w:rFonts w:hint="eastAsia" w:ascii="楷体_GB2312" w:hAnsi="宋体" w:eastAsia="楷体_GB2312" w:cs="楷体_GB2312"/>
          <w:color w:val="000000"/>
          <w:kern w:val="0"/>
          <w:sz w:val="24"/>
          <w:szCs w:val="24"/>
        </w:rPr>
        <w:t>。）</w:t>
      </w:r>
      <w:r>
        <w:rPr>
          <w:rFonts w:ascii="楷体_GB2312" w:hAnsi="宋体" w:eastAsia="楷体_GB2312" w:cs="楷体_GB2312"/>
          <w:color w:val="000000"/>
          <w:kern w:val="0"/>
          <w:sz w:val="24"/>
          <w:szCs w:val="24"/>
        </w:rPr>
        <w:t xml:space="preserve"> </w:t>
      </w:r>
    </w:p>
    <w:p>
      <w:pPr>
        <w:widowControl/>
        <w:snapToGrid w:val="0"/>
        <w:jc w:val="left"/>
        <w:rPr>
          <w:rFonts w:ascii="楷体_GB2312" w:hAnsi="宋体" w:eastAsia="楷体_GB2312" w:cs="宋体"/>
          <w:color w:val="000000"/>
          <w:kern w:val="0"/>
          <w:sz w:val="24"/>
          <w:szCs w:val="24"/>
        </w:rPr>
      </w:pPr>
      <w:r>
        <w:rPr>
          <w:rFonts w:ascii="楷体_GB2312" w:hAnsi="宋体" w:eastAsia="楷体_GB2312" w:cs="宋体"/>
          <w:color w:val="000000"/>
          <w:kern w:val="0"/>
          <w:sz w:val="24"/>
          <w:szCs w:val="24"/>
          <w:u w:val="single"/>
        </w:rPr>
        <w:t>                                 </w:t>
      </w:r>
    </w:p>
    <w:p>
      <w:pPr>
        <w:widowControl/>
        <w:snapToGrid w:val="0"/>
        <w:ind w:right="440"/>
        <w:jc w:val="left"/>
        <w:rPr>
          <w:rFonts w:ascii="楷体_GB2312" w:hAnsi="宋体" w:eastAsia="楷体_GB2312" w:cs="楷体_GB2312"/>
          <w:color w:val="000000"/>
          <w:kern w:val="0"/>
          <w:sz w:val="24"/>
          <w:szCs w:val="24"/>
        </w:rPr>
      </w:pPr>
      <w:r>
        <w:rPr>
          <w:rFonts w:hint="eastAsia" w:ascii="黑体" w:hAnsi="Times New Roman" w:eastAsia="黑体" w:cs="Arial"/>
          <w:color w:val="000000"/>
          <w:kern w:val="0"/>
          <w:sz w:val="24"/>
          <w:szCs w:val="24"/>
        </w:rPr>
        <w:t>个人客户（签字）：                机构客户（盖章）：</w:t>
      </w:r>
    </w:p>
    <w:p>
      <w:pPr>
        <w:widowControl/>
        <w:snapToGrid w:val="0"/>
        <w:ind w:left="-426" w:right="440"/>
        <w:jc w:val="left"/>
        <w:rPr>
          <w:rFonts w:ascii="宋体" w:hAnsi="宋体" w:eastAsia="宋体" w:cs="宋体"/>
          <w:color w:val="000000"/>
          <w:kern w:val="0"/>
          <w:sz w:val="24"/>
          <w:szCs w:val="24"/>
        </w:rPr>
      </w:pPr>
      <w:r>
        <w:rPr>
          <w:rFonts w:hint="eastAsia" w:ascii="黑体" w:hAnsi="Times New Roman" w:eastAsia="黑体" w:cs="Arial"/>
          <w:color w:val="000000"/>
          <w:kern w:val="0"/>
          <w:sz w:val="24"/>
          <w:szCs w:val="24"/>
        </w:rPr>
        <w:t xml:space="preserve">                               法定代表人或负责人（签字或签章）：</w:t>
      </w:r>
    </w:p>
    <w:p>
      <w:pPr>
        <w:widowControl/>
        <w:snapToGrid w:val="0"/>
        <w:ind w:right="440"/>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napToGrid w:val="0"/>
        <w:ind w:right="440"/>
        <w:jc w:val="left"/>
        <w:rPr>
          <w:rFonts w:ascii="黑体" w:hAnsi="Times New Roman" w:eastAsia="黑体" w:cs="Arial"/>
          <w:color w:val="000000"/>
          <w:kern w:val="0"/>
          <w:sz w:val="24"/>
          <w:szCs w:val="24"/>
        </w:rPr>
      </w:pPr>
      <w:r>
        <w:rPr>
          <w:rFonts w:hint="eastAsia" w:ascii="黑体" w:hAnsi="Times New Roman" w:eastAsia="黑体" w:cs="Arial"/>
          <w:color w:val="000000"/>
          <w:kern w:val="0"/>
          <w:sz w:val="24"/>
          <w:szCs w:val="24"/>
        </w:rPr>
        <w:t>日期：年 月 日                    日期：年 月 日</w:t>
      </w:r>
    </w:p>
    <w:p>
      <w:pPr>
        <w:widowControl/>
        <w:snapToGrid w:val="0"/>
        <w:ind w:right="440"/>
        <w:jc w:val="left"/>
        <w:rPr>
          <w:rFonts w:ascii="宋体" w:hAnsi="宋体" w:eastAsia="宋体" w:cs="宋体"/>
          <w:color w:val="000000"/>
          <w:kern w:val="0"/>
          <w:sz w:val="24"/>
          <w:szCs w:val="24"/>
        </w:rPr>
      </w:pPr>
    </w:p>
    <w:p>
      <w:pPr>
        <w:widowControl/>
        <w:spacing w:line="300" w:lineRule="exact"/>
        <w:ind w:right="-693" w:rightChars="-330"/>
        <w:jc w:val="center"/>
        <w:rPr>
          <w:rFonts w:ascii="黑体" w:hAnsi="宋体" w:eastAsia="黑体" w:cs="宋体"/>
          <w:b/>
          <w:bCs/>
          <w:color w:val="000000"/>
          <w:kern w:val="0"/>
          <w:sz w:val="24"/>
          <w:szCs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楷体" w:hAnsi="楷体" w:eastAsia="楷体"/>
      </w:rPr>
      <w:t xml:space="preserve"> 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2NhNDRjMTk3YzI2NDgxODYwMmY2NWFjODc1YzEifQ=="/>
  </w:docVars>
  <w:rsids>
    <w:rsidRoot w:val="7BF0623C"/>
    <w:rsid w:val="7BF062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2023-12-11T10:53:00Z</dcterms:created>
  <dc:creator>陈晨</dc:creator>
  <cp:lastModifiedBy>陈晨</cp:lastModifiedBy>
  <dcterms:modified xsi:type="dcterms:W3CDTF">2023-12-11T10:54:40Z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FF1D6B0BA6404D19861057EFDDF10372_11</vt:lpwstr>
  </property>
</Properties>
</file>