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半年添益2006期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半年添益2006期</w:t>
      </w:r>
      <w:r>
        <w:rPr>
          <w:rFonts w:ascii="宋体" w:hAnsi="宋体" w:eastAsia="宋体" w:cs="宋体"/>
          <w:sz w:val="24"/>
        </w:rPr>
        <w:t>(产品代码：TYG6M2006)最新运作周期已运行结束，产品运行正常。理财产品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eastAsia="宋体" w:cs="宋体"/>
                <w:sz w:val="20"/>
              </w:rPr>
              <w:t>至2024-09-24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eastAsia="宋体" w:cs="宋体"/>
                <w:sz w:val="20"/>
              </w:rPr>
              <w:t>至2024-03-26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  <w:r>
              <w:rPr>
                <w:rFonts w:ascii="宋体" w:hAnsi="宋体" w:eastAsia="宋体" w:cs="宋体"/>
                <w:sz w:val="20"/>
              </w:rPr>
              <w:t>至2023-09-19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eastAsia="宋体" w:cs="宋体"/>
                <w:sz w:val="20"/>
              </w:rPr>
              <w:t>至2023-03-14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1.1183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0.4674%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2022-03-02</w:t>
            </w:r>
            <w:r>
              <w:rPr>
                <w:rFonts w:ascii="宋体" w:hAnsi="宋体" w:eastAsia="宋体" w:cs="宋体"/>
                <w:sz w:val="20"/>
              </w:rPr>
              <w:t>至2022-09-06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1.1156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5.3185%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2021-08-25</w:t>
            </w:r>
            <w:r>
              <w:rPr>
                <w:rFonts w:ascii="宋体" w:hAnsi="宋体" w:eastAsia="宋体" w:cs="宋体"/>
                <w:sz w:val="20"/>
              </w:rPr>
              <w:t>至2022-03-01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2021-02-24</w:t>
            </w:r>
            <w:r>
              <w:rPr>
                <w:rFonts w:ascii="宋体" w:hAnsi="宋体" w:eastAsia="宋体" w:cs="宋体"/>
                <w:sz w:val="20"/>
              </w:rPr>
              <w:t>至2021-08-24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3.8912%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2020-08-26</w:t>
            </w:r>
            <w:r>
              <w:rPr>
                <w:rFonts w:ascii="宋体" w:hAnsi="宋体" w:eastAsia="宋体" w:cs="宋体"/>
                <w:sz w:val="20"/>
              </w:rPr>
              <w:t>至2021-02-23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2020-02-26</w:t>
            </w:r>
            <w:r>
              <w:rPr>
                <w:rFonts w:ascii="宋体" w:hAnsi="宋体" w:eastAsia="宋体" w:cs="宋体"/>
                <w:sz w:val="20"/>
              </w:rPr>
              <w:t>至2020-08-25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4.2717%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2024年03月27日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EAC3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2024-03-27T09:08:43Z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