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56" w:beforeLines="50" w:beforeAutospacing="0" w:after="0" w:afterAutospacing="0" w:line="360" w:lineRule="auto"/>
        <w:jc w:val="center"/>
        <w:rPr>
          <w:rFonts w:hint="eastAsia" w:ascii="楷体" w:hAnsi="楷体" w:eastAsia="楷体"/>
          <w:b/>
          <w:sz w:val="36"/>
          <w:szCs w:val="36"/>
        </w:rPr>
      </w:pPr>
      <w:r>
        <w:rPr>
          <w:rFonts w:ascii="楷体" w:hAnsi="楷体" w:eastAsia="楷体"/>
          <w:b/>
          <w:sz w:val="36"/>
          <w:szCs w:val="36"/>
        </w:rPr>
        <w:pict>
          <v:shape id="_x0000_s1026" o:spid="_x0000_s1026" o:spt="202" type="#_x0000_t202" style="position:absolute;left:0pt;margin-left:-15.35pt;margin-top:4.85pt;height:201.9pt;width:467.05pt;mso-position-horizontal-relative:margin;mso-wrap-distance-bottom:3.6pt;mso-wrap-distance-left:9pt;mso-wrap-distance-right:9pt;mso-wrap-distance-top:3.6pt;z-index:251659264;mso-width-relative:page;mso-height-relative:page;" filled="f" stroked="t" coordsize="21600,21600">
            <v:path/>
            <v:fill on="f" focussize="0,0"/>
            <v:stroke color="#000000" joinstyle="miter"/>
            <v:imagedata o:title=""/>
            <o:lock v:ext="edit" aspectratio="f"/>
            <v:textbox>
              <w:txbxContent>
                <w:p>
                  <w:pPr>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cs="宋体"/>
                      <w:b/>
                      <w:spacing w:val="-2"/>
                      <w:szCs w:val="21"/>
                      <w:u w:val="single"/>
                    </w:rPr>
                    <w:t>本产品为</w:t>
                  </w:r>
                  <w:r>
                    <w:rPr>
                      <w:rFonts w:hint="eastAsia" w:ascii="楷体" w:hAnsi="楷体" w:eastAsia="楷体" w:cs="宋体"/>
                      <w:b/>
                      <w:spacing w:val="-2"/>
                      <w:szCs w:val="21"/>
                      <w:u w:val="single"/>
                      <w:lang w:val="en-US" w:eastAsia="zh-CN"/>
                    </w:rPr>
                    <w:t>按月</w:t>
                  </w:r>
                  <w:r>
                    <w:rPr>
                      <w:rFonts w:hint="eastAsia" w:ascii="楷体" w:hAnsi="楷体" w:eastAsia="楷体" w:cs="宋体"/>
                      <w:b/>
                      <w:spacing w:val="-2"/>
                      <w:szCs w:val="21"/>
                      <w:u w:val="single"/>
                    </w:rPr>
                    <w:t>定开理财产品，未到开放时间客户无法赎回，请客户根据自身资金使用需要在开放时间内发起赎回申请。</w:t>
                  </w:r>
                </w:p>
                <w:p>
                  <w:pPr>
                    <w:numPr>
                      <w:ilvl w:val="0"/>
                      <w:numId w:val="1"/>
                    </w:numPr>
                    <w:ind w:right="115" w:rightChars="55"/>
                    <w:rPr>
                      <w:rFonts w:hint="eastAsia" w:ascii="楷体" w:hAnsi="楷体" w:eastAsia="楷体" w:cs="宋体"/>
                      <w:b/>
                      <w:spacing w:val="-2"/>
                      <w:szCs w:val="21"/>
                      <w:u w:val="single"/>
                    </w:rPr>
                  </w:pPr>
                  <w:r>
                    <w:rPr>
                      <w:rFonts w:hint="eastAsia" w:ascii="楷体" w:hAnsi="楷体" w:eastAsia="楷体"/>
                      <w:b/>
                      <w:u w:val="single"/>
                    </w:rPr>
                    <w:t>本产品赎回申请受制于产品巨额赎回条款的限制，这可能影响您的资金使用安排。</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highlight w:val="none"/>
                      <w:u w:val="single"/>
                    </w:rPr>
                    <w:t>本产品设置有多个份额，</w:t>
                  </w:r>
                  <w:r>
                    <w:rPr>
                      <w:rFonts w:hint="eastAsia" w:ascii="楷体" w:hAnsi="楷体" w:eastAsia="楷体" w:cs="宋体"/>
                      <w:b/>
                      <w:spacing w:val="-2"/>
                      <w:szCs w:val="21"/>
                      <w:highlight w:val="none"/>
                      <w:u w:val="single"/>
                      <w:lang w:val="en-US" w:eastAsia="zh-CN"/>
                    </w:rPr>
                    <w:t>各份额开放期以销售机构设置为准，</w:t>
                  </w:r>
                  <w:r>
                    <w:rPr>
                      <w:rFonts w:hint="eastAsia" w:ascii="楷体" w:hAnsi="楷体" w:eastAsia="楷体" w:cs="宋体"/>
                      <w:b/>
                      <w:spacing w:val="-2"/>
                      <w:szCs w:val="21"/>
                      <w:highlight w:val="none"/>
                      <w:u w:val="single"/>
                    </w:rPr>
                    <w:t>各份额实际收取的销售服务费率、投资管理费率以及业绩比较基准存在差异，</w:t>
                  </w:r>
                  <w:r>
                    <w:rPr>
                      <w:rFonts w:hint="eastAsia" w:ascii="楷体" w:hAnsi="楷体" w:eastAsia="楷体" w:cs="宋体"/>
                      <w:b/>
                      <w:spacing w:val="-2"/>
                      <w:szCs w:val="21"/>
                      <w:highlight w:val="none"/>
                      <w:u w:val="single"/>
                      <w:lang w:eastAsia="zh-CN"/>
                    </w:rPr>
                    <w:t>各份额</w:t>
                  </w:r>
                  <w:r>
                    <w:rPr>
                      <w:rFonts w:hint="eastAsia" w:ascii="楷体" w:hAnsi="楷体" w:eastAsia="楷体" w:cs="宋体"/>
                      <w:b/>
                      <w:spacing w:val="-2"/>
                      <w:szCs w:val="21"/>
                      <w:highlight w:val="none"/>
                      <w:u w:val="single"/>
                    </w:rPr>
                    <w:t>按照设置的销售对象和销售起点进行销售，客户根据产品销售时设置的条件自主选择购买。</w:t>
                  </w:r>
                </w:p>
                <w:p>
                  <w:pPr>
                    <w:numPr>
                      <w:ilvl w:val="0"/>
                      <w:numId w:val="1"/>
                    </w:numPr>
                    <w:ind w:right="115" w:rightChars="55"/>
                    <w:rPr>
                      <w:rFonts w:ascii="楷体" w:hAnsi="楷体" w:eastAsia="楷体" w:cs="宋体"/>
                      <w:b/>
                      <w:spacing w:val="-2"/>
                      <w:szCs w:val="21"/>
                      <w:u w:val="single"/>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rPr>
                      <w:rFonts w:hint="eastAsia" w:ascii="楷体" w:hAnsi="楷体" w:eastAsia="楷体" w:cs="宋体"/>
                      <w:b/>
                      <w:spacing w:val="-2"/>
                      <w:szCs w:val="21"/>
                      <w:highlight w:val="none"/>
                      <w:u w:val="single"/>
                    </w:rPr>
                  </w:pPr>
                  <w:r>
                    <w:rPr>
                      <w:rFonts w:hint="eastAsia" w:ascii="楷体" w:hAnsi="楷体" w:eastAsia="楷体" w:cs="宋体"/>
                      <w:b/>
                      <w:spacing w:val="-2"/>
                      <w:szCs w:val="21"/>
                      <w:highlight w:val="none"/>
                      <w:u w:val="single"/>
                    </w:rPr>
                    <w:t>客户服务热线：95319-</w:t>
                  </w:r>
                  <w:r>
                    <w:rPr>
                      <w:rFonts w:hint="eastAsia" w:ascii="楷体" w:hAnsi="楷体" w:eastAsia="楷体" w:cs="宋体"/>
                      <w:b/>
                      <w:spacing w:val="-2"/>
                      <w:szCs w:val="21"/>
                      <w:highlight w:val="none"/>
                      <w:u w:val="single"/>
                      <w:lang w:val="en-US" w:eastAsia="zh-CN"/>
                    </w:rPr>
                    <w:t>8-2</w:t>
                  </w:r>
                  <w:r>
                    <w:rPr>
                      <w:rFonts w:hint="eastAsia" w:ascii="楷体" w:hAnsi="楷体" w:eastAsia="楷体" w:cs="宋体"/>
                      <w:b/>
                      <w:spacing w:val="-2"/>
                      <w:szCs w:val="21"/>
                      <w:highlight w:val="none"/>
                      <w:u w:val="single"/>
                    </w:rPr>
                    <w:t>。</w:t>
                  </w:r>
                </w:p>
                <w:p>
                  <w:pPr>
                    <w:jc w:val="left"/>
                    <w:rPr>
                      <w:rFonts w:hint="eastAsia" w:ascii="楷体" w:hAnsi="楷体" w:eastAsia="楷体"/>
                    </w:rPr>
                  </w:pPr>
                  <w:r>
                    <w:rPr>
                      <w:rFonts w:hint="eastAsia" w:ascii="楷体" w:hAnsi="楷体" w:eastAsia="楷体"/>
                    </w:rPr>
                    <w:t>以上为本产品的特别提示，详细内容请仔细阅读理财产品合同。</w:t>
                  </w:r>
                </w:p>
                <w:p>
                  <w:pPr>
                    <w:jc w:val="left"/>
                    <w:rPr>
                      <w:rFonts w:hint="eastAsia" w:ascii="楷体" w:hAnsi="楷体" w:eastAsia="楷体"/>
                    </w:rPr>
                  </w:pPr>
                </w:p>
              </w:txbxContent>
            </v:textbox>
            <w10:wrap type="square"/>
          </v:shape>
        </w:pict>
      </w:r>
      <w:r>
        <w:rPr>
          <w:rFonts w:hint="eastAsia" w:ascii="楷体" w:hAnsi="楷体" w:eastAsia="楷体"/>
          <w:b/>
          <w:sz w:val="36"/>
          <w:szCs w:val="36"/>
        </w:rPr>
        <w:t>“苏银理财恒源</w:t>
      </w:r>
      <w:r>
        <w:rPr>
          <w:rFonts w:hint="eastAsia" w:ascii="楷体" w:hAnsi="楷体" w:eastAsia="楷体"/>
          <w:b/>
          <w:sz w:val="36"/>
          <w:szCs w:val="36"/>
          <w:lang w:eastAsia="zh-CN"/>
        </w:rPr>
        <w:t>月开放2号</w:t>
      </w:r>
      <w:r>
        <w:rPr>
          <w:rFonts w:hint="eastAsia" w:ascii="楷体" w:hAnsi="楷体" w:eastAsia="楷体"/>
          <w:b/>
          <w:sz w:val="36"/>
          <w:szCs w:val="36"/>
        </w:rPr>
        <w:t>”</w:t>
      </w:r>
    </w:p>
    <w:p>
      <w:pPr>
        <w:pStyle w:val="12"/>
        <w:spacing w:before="0" w:beforeAutospacing="0" w:after="0" w:afterAutospacing="0" w:line="360" w:lineRule="auto"/>
        <w:jc w:val="center"/>
        <w:outlineLvl w:val="0"/>
        <w:rPr>
          <w:rFonts w:hint="eastAsia" w:ascii="楷体" w:hAnsi="楷体" w:eastAsia="楷体"/>
          <w:b/>
          <w:sz w:val="36"/>
          <w:szCs w:val="36"/>
          <w:lang w:val="en-US" w:eastAsia="zh-CN"/>
        </w:rPr>
      </w:pPr>
      <w:r>
        <w:rPr>
          <w:rFonts w:hint="eastAsia" w:ascii="楷体" w:hAnsi="楷体" w:eastAsia="楷体"/>
          <w:b/>
          <w:sz w:val="36"/>
          <w:szCs w:val="36"/>
        </w:rPr>
        <w:t>理财产品合同</w:t>
      </w:r>
    </w:p>
    <w:p>
      <w:pPr>
        <w:pStyle w:val="12"/>
        <w:spacing w:before="0" w:beforeAutospacing="0" w:after="0" w:afterAutospacing="0" w:line="360" w:lineRule="auto"/>
        <w:jc w:val="center"/>
        <w:outlineLvl w:val="1"/>
        <w:rPr>
          <w:rFonts w:hint="eastAsia" w:ascii="楷体" w:hAnsi="楷体" w:eastAsia="楷体"/>
          <w:b/>
        </w:rPr>
      </w:pPr>
      <w:r>
        <w:rPr>
          <w:rFonts w:hint="eastAsia" w:ascii="楷体" w:hAnsi="楷体" w:eastAsia="楷体"/>
          <w:b/>
          <w:sz w:val="32"/>
          <w:szCs w:val="32"/>
        </w:rPr>
        <w:t>理财非存款、产品有风险、投资须谨慎</w:t>
      </w:r>
    </w:p>
    <w:p>
      <w:pPr>
        <w:pStyle w:val="12"/>
        <w:spacing w:before="0" w:beforeAutospacing="0" w:after="156" w:afterLines="50" w:afterAutospacing="0" w:line="360" w:lineRule="auto"/>
        <w:jc w:val="center"/>
        <w:rPr>
          <w:rFonts w:hint="eastAsia" w:ascii="楷体" w:hAnsi="楷体" w:eastAsia="楷体"/>
          <w:b/>
        </w:rPr>
      </w:pPr>
      <w:r>
        <w:rPr>
          <w:rFonts w:hint="eastAsia" w:ascii="楷体" w:hAnsi="楷体" w:eastAsia="楷体"/>
          <w:b/>
        </w:rPr>
        <w:t>（202</w:t>
      </w:r>
      <w:r>
        <w:rPr>
          <w:rFonts w:hint="eastAsia" w:ascii="楷体" w:hAnsi="楷体" w:eastAsia="楷体"/>
          <w:b/>
          <w:lang w:val="en-US" w:eastAsia="zh-CN"/>
        </w:rPr>
        <w:t>4</w:t>
      </w:r>
      <w:r>
        <w:rPr>
          <w:rFonts w:hint="eastAsia" w:ascii="楷体" w:hAnsi="楷体" w:eastAsia="楷体"/>
          <w:b/>
        </w:rPr>
        <w:t>年</w:t>
      </w:r>
      <w:r>
        <w:rPr>
          <w:rFonts w:hint="eastAsia" w:ascii="楷体" w:hAnsi="楷体" w:eastAsia="楷体"/>
          <w:b/>
          <w:lang w:val="en-US" w:eastAsia="zh-CN"/>
        </w:rPr>
        <w:t>8</w:t>
      </w:r>
      <w:r>
        <w:rPr>
          <w:rFonts w:hint="eastAsia" w:ascii="楷体" w:hAnsi="楷体" w:eastAsia="楷体"/>
          <w:b/>
        </w:rPr>
        <w:t>月版）</w:t>
      </w:r>
    </w:p>
    <w:tbl>
      <w:tblPr>
        <w:tblStyle w:val="14"/>
        <w:tblW w:w="9108"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3"/>
        <w:gridCol w:w="5590"/>
        <w:gridCol w:w="25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3" w:type="dxa"/>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sz w:val="18"/>
                <w:szCs w:val="18"/>
              </w:rPr>
              <w:t>序号</w:t>
            </w:r>
          </w:p>
        </w:tc>
        <w:tc>
          <w:tcPr>
            <w:tcW w:w="5590" w:type="dxa"/>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sz w:val="18"/>
                <w:szCs w:val="18"/>
              </w:rPr>
              <w:t>理财产品合同中的具体文件名称</w:t>
            </w:r>
          </w:p>
        </w:tc>
        <w:tc>
          <w:tcPr>
            <w:tcW w:w="2525" w:type="dxa"/>
            <w:vAlign w:val="top"/>
          </w:tcPr>
          <w:p>
            <w:pPr>
              <w:pStyle w:val="12"/>
              <w:spacing w:before="0" w:beforeAutospacing="0" w:after="0" w:afterAutospacing="0" w:line="360" w:lineRule="auto"/>
              <w:jc w:val="center"/>
              <w:rPr>
                <w:rFonts w:ascii="楷体" w:hAnsi="楷体" w:eastAsia="楷体"/>
                <w:sz w:val="18"/>
                <w:szCs w:val="18"/>
              </w:rPr>
            </w:pPr>
            <w:r>
              <w:rPr>
                <w:rStyle w:val="17"/>
                <w:rFonts w:hint="eastAsia" w:ascii="楷体" w:hAnsi="楷体" w:eastAsia="楷体"/>
                <w:bCs w:val="0"/>
                <w:sz w:val="18"/>
                <w:szCs w:val="18"/>
              </w:rPr>
              <w:t>文件简称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3"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1</w:t>
            </w:r>
          </w:p>
        </w:tc>
        <w:tc>
          <w:tcPr>
            <w:tcW w:w="5590"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“苏银理财恒源</w:t>
            </w:r>
            <w:r>
              <w:rPr>
                <w:rFonts w:hint="eastAsia" w:ascii="楷体" w:hAnsi="楷体" w:eastAsia="楷体"/>
                <w:sz w:val="18"/>
                <w:szCs w:val="18"/>
                <w:lang w:eastAsia="zh-CN"/>
              </w:rPr>
              <w:t>月开放2号</w:t>
            </w:r>
            <w:r>
              <w:rPr>
                <w:rFonts w:hint="eastAsia" w:ascii="楷体" w:hAnsi="楷体" w:eastAsia="楷体"/>
                <w:sz w:val="18"/>
                <w:szCs w:val="18"/>
              </w:rPr>
              <w:t>”理财产品风险揭示书</w:t>
            </w:r>
          </w:p>
        </w:tc>
        <w:tc>
          <w:tcPr>
            <w:tcW w:w="2525"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3"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2</w:t>
            </w:r>
          </w:p>
        </w:tc>
        <w:tc>
          <w:tcPr>
            <w:tcW w:w="5590"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“苏银理财恒源</w:t>
            </w:r>
            <w:r>
              <w:rPr>
                <w:rFonts w:hint="eastAsia" w:ascii="楷体" w:hAnsi="楷体" w:eastAsia="楷体"/>
                <w:sz w:val="18"/>
                <w:szCs w:val="18"/>
                <w:lang w:eastAsia="zh-CN"/>
              </w:rPr>
              <w:t>月开放2号</w:t>
            </w:r>
            <w:r>
              <w:rPr>
                <w:rFonts w:hint="eastAsia" w:ascii="楷体" w:hAnsi="楷体" w:eastAsia="楷体"/>
                <w:sz w:val="18"/>
                <w:szCs w:val="18"/>
              </w:rPr>
              <w:t>”理财产品说明书</w:t>
            </w:r>
          </w:p>
        </w:tc>
        <w:tc>
          <w:tcPr>
            <w:tcW w:w="2525"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3"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3</w:t>
            </w:r>
          </w:p>
        </w:tc>
        <w:tc>
          <w:tcPr>
            <w:tcW w:w="5590"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25"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993"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4</w:t>
            </w:r>
          </w:p>
        </w:tc>
        <w:tc>
          <w:tcPr>
            <w:tcW w:w="5590"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投资者权益须知</w:t>
            </w:r>
            <w:r>
              <w:rPr>
                <w:rStyle w:val="20"/>
                <w:rFonts w:hint="eastAsia" w:ascii="楷体" w:hAnsi="楷体" w:eastAsia="楷体"/>
                <w:sz w:val="18"/>
                <w:szCs w:val="18"/>
              </w:rPr>
              <w:footnoteReference w:id="0"/>
            </w:r>
          </w:p>
        </w:tc>
        <w:tc>
          <w:tcPr>
            <w:tcW w:w="2525" w:type="dxa"/>
            <w:vAlign w:val="top"/>
          </w:tcPr>
          <w:p>
            <w:pPr>
              <w:pStyle w:val="12"/>
              <w:spacing w:before="0" w:beforeAutospacing="0" w:after="0" w:afterAutospacing="0" w:line="360" w:lineRule="auto"/>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993" w:type="dxa"/>
            <w:vAlign w:val="top"/>
          </w:tcPr>
          <w:p>
            <w:pPr>
              <w:pStyle w:val="12"/>
              <w:spacing w:before="0" w:beforeAutospacing="0" w:after="0" w:afterAutospacing="0" w:line="360" w:lineRule="auto"/>
              <w:jc w:val="center"/>
              <w:rPr>
                <w:rFonts w:hint="eastAsia" w:ascii="楷体" w:hAnsi="楷体" w:eastAsia="楷体"/>
                <w:sz w:val="18"/>
                <w:szCs w:val="18"/>
              </w:rPr>
            </w:pPr>
            <w:r>
              <w:rPr>
                <w:rFonts w:hint="eastAsia" w:ascii="楷体" w:hAnsi="楷体" w:eastAsia="楷体"/>
                <w:sz w:val="18"/>
                <w:szCs w:val="18"/>
              </w:rPr>
              <w:t>5</w:t>
            </w:r>
          </w:p>
        </w:tc>
        <w:tc>
          <w:tcPr>
            <w:tcW w:w="5590" w:type="dxa"/>
            <w:vAlign w:val="top"/>
          </w:tcPr>
          <w:p>
            <w:pPr>
              <w:pStyle w:val="12"/>
              <w:spacing w:before="0" w:beforeAutospacing="0" w:after="0" w:afterAutospacing="0" w:line="360" w:lineRule="auto"/>
              <w:jc w:val="center"/>
              <w:rPr>
                <w:rFonts w:hint="eastAsia" w:ascii="楷体" w:hAnsi="楷体" w:eastAsia="楷体"/>
                <w:sz w:val="18"/>
                <w:szCs w:val="18"/>
              </w:rPr>
            </w:pPr>
            <w:r>
              <w:rPr>
                <w:rFonts w:hint="eastAsia" w:ascii="楷体" w:hAnsi="楷体" w:eastAsia="楷体"/>
                <w:sz w:val="18"/>
                <w:szCs w:val="18"/>
              </w:rPr>
              <w:t>理财产品</w:t>
            </w:r>
            <w:r>
              <w:rPr>
                <w:rFonts w:hint="eastAsia" w:ascii="楷体" w:hAnsi="楷体" w:eastAsia="楷体"/>
                <w:sz w:val="18"/>
                <w:szCs w:val="18"/>
                <w:lang w:eastAsia="zh-CN"/>
              </w:rPr>
              <w:t>（代理）销售协议</w:t>
            </w:r>
            <w:r>
              <w:rPr>
                <w:rFonts w:hint="eastAsia" w:ascii="楷体" w:hAnsi="楷体" w:eastAsia="楷体"/>
                <w:sz w:val="18"/>
                <w:szCs w:val="18"/>
              </w:rPr>
              <w:t>书</w:t>
            </w:r>
            <w:r>
              <w:rPr>
                <w:rStyle w:val="20"/>
                <w:rFonts w:ascii="楷体" w:hAnsi="楷体" w:eastAsia="楷体"/>
                <w:sz w:val="18"/>
                <w:szCs w:val="18"/>
              </w:rPr>
              <w:footnoteReference w:id="1"/>
            </w:r>
          </w:p>
        </w:tc>
        <w:tc>
          <w:tcPr>
            <w:tcW w:w="2525" w:type="dxa"/>
            <w:vAlign w:val="top"/>
          </w:tcPr>
          <w:p>
            <w:pPr>
              <w:pStyle w:val="12"/>
              <w:spacing w:before="0" w:beforeAutospacing="0" w:after="0" w:afterAutospacing="0" w:line="360" w:lineRule="auto"/>
              <w:jc w:val="center"/>
              <w:rPr>
                <w:rFonts w:hint="eastAsia" w:ascii="楷体" w:hAnsi="楷体" w:eastAsia="楷体"/>
                <w:sz w:val="18"/>
                <w:szCs w:val="18"/>
              </w:rPr>
            </w:pPr>
            <w:r>
              <w:rPr>
                <w:rFonts w:hint="eastAsia" w:ascii="楷体" w:hAnsi="楷体" w:eastAsia="楷体"/>
                <w:sz w:val="18"/>
                <w:szCs w:val="18"/>
              </w:rPr>
              <w:t>理财产品</w:t>
            </w:r>
            <w:r>
              <w:rPr>
                <w:rFonts w:hint="eastAsia" w:ascii="楷体" w:hAnsi="楷体" w:eastAsia="楷体"/>
                <w:sz w:val="18"/>
                <w:szCs w:val="18"/>
                <w:lang w:eastAsia="zh-CN"/>
              </w:rPr>
              <w:t>（代理）销售协议</w:t>
            </w:r>
            <w:r>
              <w:rPr>
                <w:rFonts w:hint="eastAsia" w:ascii="楷体" w:hAnsi="楷体" w:eastAsia="楷体"/>
                <w:sz w:val="18"/>
                <w:szCs w:val="18"/>
              </w:rPr>
              <w:t>书</w:t>
            </w:r>
          </w:p>
        </w:tc>
      </w:tr>
    </w:tbl>
    <w:p>
      <w:pPr>
        <w:pStyle w:val="12"/>
        <w:spacing w:before="312" w:beforeLines="100" w:beforeAutospacing="0" w:after="0" w:afterAutospacing="0" w:line="280" w:lineRule="atLeast"/>
        <w:rPr>
          <w:rFonts w:hint="eastAsia" w:ascii="楷体" w:hAnsi="楷体" w:eastAsia="楷体"/>
        </w:rPr>
      </w:pPr>
      <w:r>
        <w:rPr>
          <w:rStyle w:val="17"/>
          <w:rFonts w:hint="eastAsia" w:ascii="楷体" w:hAnsi="楷体" w:eastAsia="楷体"/>
          <w:bCs w:val="0"/>
        </w:rPr>
        <w:t>郑重提示：</w:t>
      </w:r>
    </w:p>
    <w:p>
      <w:pPr>
        <w:pStyle w:val="12"/>
        <w:spacing w:before="0" w:beforeAutospacing="0" w:after="0" w:afterAutospacing="0"/>
        <w:rPr>
          <w:rFonts w:hint="eastAsia" w:ascii="楷体" w:hAnsi="楷体" w:eastAsia="楷体" w:cs="Times New Roman"/>
        </w:rPr>
      </w:pPr>
    </w:p>
    <w:p>
      <w:pPr>
        <w:pStyle w:val="12"/>
        <w:spacing w:before="0" w:beforeAutospacing="0" w:after="0" w:afterAutospacing="0"/>
        <w:ind w:firstLine="480" w:firstLineChars="200"/>
        <w:jc w:val="both"/>
        <w:rPr>
          <w:rFonts w:hint="eastAsia" w:ascii="楷体" w:hAnsi="楷体" w:eastAsia="楷体"/>
        </w:rPr>
      </w:pPr>
      <w:r>
        <w:rPr>
          <w:rFonts w:hint="eastAsia" w:ascii="楷体" w:hAnsi="楷体" w:eastAsia="楷体" w:cs="Times New Roman"/>
        </w:rPr>
        <w:t>《风险揭示书》、《理财产品说明书》、《</w:t>
      </w:r>
      <w:r>
        <w:rPr>
          <w:rFonts w:hint="eastAsia" w:ascii="楷体" w:hAnsi="楷体" w:eastAsia="楷体" w:cs="Times New Roman"/>
          <w:lang w:eastAsia="zh-CN"/>
        </w:rPr>
        <w:t>理财产品（代理）销售协议书</w:t>
      </w:r>
      <w:r>
        <w:rPr>
          <w:rFonts w:hint="eastAsia" w:ascii="楷体" w:hAnsi="楷体" w:eastAsia="楷体" w:cs="Times New Roman"/>
        </w:rPr>
        <w:t>》、《理财产品投资协议书》、《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2"/>
        <w:spacing w:before="0" w:beforeAutospacing="0" w:after="0" w:afterAutospacing="0"/>
        <w:ind w:firstLine="480" w:firstLineChars="200"/>
        <w:jc w:val="both"/>
        <w:rPr>
          <w:rFonts w:hint="eastAsia" w:ascii="楷体" w:hAnsi="楷体" w:eastAsia="楷体" w:cs="Times New Roman"/>
        </w:rPr>
      </w:pPr>
    </w:p>
    <w:p>
      <w:pPr>
        <w:pStyle w:val="12"/>
        <w:spacing w:before="0" w:beforeAutospacing="0" w:after="0" w:afterAutospacing="0"/>
        <w:ind w:firstLine="480" w:firstLineChars="200"/>
        <w:jc w:val="both"/>
        <w:rPr>
          <w:rFonts w:hint="eastAsia" w:ascii="楷体" w:hAnsi="楷体" w:eastAsia="楷体" w:cs="Times New Roman"/>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ind w:firstLine="360" w:firstLineChars="150"/>
        <w:jc w:val="right"/>
        <w:rPr>
          <w:rFonts w:hint="eastAsia" w:ascii="楷体" w:hAnsi="楷体" w:eastAsia="楷体"/>
          <w:sz w:val="24"/>
          <w:szCs w:val="24"/>
        </w:rPr>
      </w:pPr>
    </w:p>
    <w:p>
      <w:pPr>
        <w:autoSpaceDE w:val="0"/>
        <w:autoSpaceDN w:val="0"/>
        <w:adjustRightInd w:val="0"/>
        <w:rPr>
          <w:rFonts w:hint="eastAsia" w:ascii="楷体" w:hAnsi="楷体" w:eastAsia="楷体"/>
          <w:sz w:val="24"/>
          <w:szCs w:val="24"/>
        </w:rPr>
      </w:pPr>
    </w:p>
    <w:p>
      <w:pPr>
        <w:pStyle w:val="12"/>
        <w:pageBreakBefore/>
        <w:tabs>
          <w:tab w:val="left" w:pos="426"/>
        </w:tabs>
        <w:spacing w:before="0" w:beforeAutospacing="0" w:after="0" w:afterAutospacing="0" w:line="360" w:lineRule="auto"/>
        <w:jc w:val="center"/>
        <w:outlineLvl w:val="1"/>
        <w:rPr>
          <w:rFonts w:hint="eastAsia" w:ascii="楷体" w:hAnsi="楷体" w:eastAsia="楷体"/>
          <w:b/>
          <w:sz w:val="32"/>
          <w:szCs w:val="32"/>
        </w:rPr>
      </w:pPr>
      <w:r>
        <w:rPr>
          <w:rFonts w:hint="eastAsia" w:ascii="楷体" w:hAnsi="楷体" w:eastAsia="楷体"/>
          <w:b/>
          <w:sz w:val="32"/>
          <w:szCs w:val="32"/>
        </w:rPr>
        <w:t>“苏银理财恒源</w:t>
      </w:r>
      <w:r>
        <w:rPr>
          <w:rFonts w:hint="eastAsia" w:ascii="楷体" w:hAnsi="楷体" w:eastAsia="楷体"/>
          <w:b/>
          <w:sz w:val="32"/>
          <w:szCs w:val="32"/>
          <w:lang w:eastAsia="zh-CN"/>
        </w:rPr>
        <w:t>月开放2号</w:t>
      </w:r>
      <w:r>
        <w:rPr>
          <w:rFonts w:hint="eastAsia" w:ascii="楷体" w:hAnsi="楷体" w:eastAsia="楷体"/>
          <w:b/>
          <w:sz w:val="32"/>
          <w:szCs w:val="32"/>
        </w:rPr>
        <w:t>”理财产品说明书</w:t>
      </w:r>
    </w:p>
    <w:p>
      <w:pPr>
        <w:jc w:val="center"/>
        <w:rPr>
          <w:rFonts w:hint="eastAsia" w:ascii="楷体" w:hAnsi="楷体" w:eastAsia="楷体"/>
          <w:b/>
          <w:sz w:val="28"/>
          <w:szCs w:val="28"/>
        </w:rPr>
      </w:pPr>
      <w:r>
        <w:rPr>
          <w:rFonts w:hint="eastAsia" w:ascii="楷体" w:hAnsi="楷体" w:eastAsia="楷体" w:cs="宋体"/>
          <w:b/>
          <w:kern w:val="0"/>
          <w:sz w:val="32"/>
          <w:szCs w:val="32"/>
        </w:rPr>
        <w:t>理财非存款、产品有风险、投资须谨慎</w:t>
      </w:r>
    </w:p>
    <w:p>
      <w:pPr>
        <w:outlineLvl w:val="0"/>
        <w:rPr>
          <w:rFonts w:hint="eastAsia" w:ascii="楷体" w:hAnsi="楷体" w:eastAsia="楷体"/>
          <w:b/>
          <w:sz w:val="28"/>
          <w:szCs w:val="28"/>
          <w:lang w:val="en-US" w:eastAsia="zh-CN"/>
        </w:rPr>
      </w:pPr>
      <w:r>
        <w:rPr>
          <w:rFonts w:hint="eastAsia" w:ascii="楷体" w:hAnsi="楷体" w:eastAsia="楷体"/>
          <w:b/>
          <w:sz w:val="28"/>
          <w:szCs w:val="28"/>
        </w:rPr>
        <w:t>重要须知</w:t>
      </w:r>
    </w:p>
    <w:p>
      <w:pPr>
        <w:numPr>
          <w:ilvl w:val="0"/>
          <w:numId w:val="2"/>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w:t>
      </w:r>
      <w:r>
        <w:rPr>
          <w:rFonts w:hint="eastAsia" w:ascii="楷体" w:hAnsi="楷体" w:eastAsia="楷体"/>
          <w:b/>
          <w:sz w:val="24"/>
          <w:szCs w:val="24"/>
          <w:u w:val="single"/>
          <w:lang w:val="en-US" w:eastAsia="zh-CN"/>
        </w:rPr>
        <w:t>或者交易违约等事项</w:t>
      </w:r>
      <w:r>
        <w:rPr>
          <w:rFonts w:hint="eastAsia" w:ascii="楷体" w:hAnsi="楷体" w:eastAsia="楷体"/>
          <w:b/>
          <w:sz w:val="24"/>
          <w:szCs w:val="24"/>
          <w:u w:val="single"/>
        </w:rPr>
        <w:t>而蒙受相应损失，投资者应充分认识投资风险，谨慎投资；本理财产品过往业绩不代表其未来表现，不等于理财产品实际收益，投资须谨慎；理财非存款、产品有风险、投资须谨慎。</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本理财产品的任何业绩比较区间、业绩比较基准类似表述均属不具有法律约束力的用语，业绩比较基准</w:t>
      </w:r>
      <w:r>
        <w:rPr>
          <w:rFonts w:hint="eastAsia" w:ascii="楷体" w:hAnsi="楷体" w:eastAsia="楷体"/>
          <w:b/>
          <w:sz w:val="24"/>
          <w:szCs w:val="24"/>
          <w:u w:val="single"/>
          <w:lang w:val="en-US" w:eastAsia="zh-CN"/>
        </w:rPr>
        <w:t>为管理人</w:t>
      </w:r>
      <w:r>
        <w:rPr>
          <w:rFonts w:hint="eastAsia" w:ascii="楷体" w:hAnsi="楷体" w:eastAsia="楷体"/>
          <w:b/>
          <w:sz w:val="24"/>
          <w:szCs w:val="24"/>
          <w:u w:val="single"/>
        </w:rPr>
        <w:t>对本产品所设定的投资目标</w:t>
      </w:r>
      <w:r>
        <w:rPr>
          <w:rFonts w:hint="eastAsia" w:ascii="楷体" w:hAnsi="楷体" w:eastAsia="楷体"/>
          <w:b/>
          <w:sz w:val="24"/>
          <w:szCs w:val="24"/>
          <w:u w:val="single"/>
          <w:lang w:eastAsia="zh-CN"/>
        </w:rPr>
        <w:t>，</w:t>
      </w:r>
      <w:r>
        <w:rPr>
          <w:rFonts w:hint="eastAsia" w:ascii="楷体" w:hAnsi="楷体" w:eastAsia="楷体"/>
          <w:b/>
          <w:sz w:val="24"/>
          <w:szCs w:val="24"/>
          <w:u w:val="single"/>
        </w:rPr>
        <w:t>不代表投资者可能获得的实际收益，亦不构成苏银理财有限责任公司（以下简称“苏银理财”）对本理财产品的任何收益承诺。</w:t>
      </w:r>
    </w:p>
    <w:p>
      <w:pPr>
        <w:numPr>
          <w:ilvl w:val="0"/>
          <w:numId w:val="2"/>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2"/>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、其他风险等。请仔细阅读《“苏银理财恒源</w:t>
      </w:r>
      <w:r>
        <w:rPr>
          <w:rFonts w:hint="eastAsia" w:ascii="楷体" w:hAnsi="楷体" w:eastAsia="楷体"/>
          <w:sz w:val="24"/>
          <w:szCs w:val="24"/>
          <w:lang w:eastAsia="zh-CN"/>
        </w:rPr>
        <w:t>月开放2号</w:t>
      </w:r>
      <w:r>
        <w:rPr>
          <w:rFonts w:hint="eastAsia" w:ascii="楷体" w:hAnsi="楷体" w:eastAsia="楷体"/>
          <w:sz w:val="24"/>
          <w:szCs w:val="24"/>
        </w:rPr>
        <w:t>”理财产品风险揭示书》的“风险揭示”部分。</w:t>
      </w:r>
    </w:p>
    <w:p>
      <w:pPr>
        <w:numPr>
          <w:ilvl w:val="0"/>
          <w:numId w:val="2"/>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2"/>
        </w:numPr>
        <w:rPr>
          <w:rFonts w:hint="eastAsia"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该调整事项将于生效前</w:t>
      </w:r>
      <w:r>
        <w:rPr>
          <w:rFonts w:ascii="楷体" w:hAnsi="楷体" w:eastAsia="楷体"/>
          <w:sz w:val="24"/>
          <w:szCs w:val="24"/>
        </w:rPr>
        <w:t>2</w:t>
      </w:r>
      <w:r>
        <w:rPr>
          <w:rFonts w:hint="eastAsia" w:ascii="楷体" w:hAnsi="楷体" w:eastAsia="楷体"/>
          <w:sz w:val="24"/>
          <w:szCs w:val="24"/>
        </w:rPr>
        <w:t>个工作日按本理财产品说明书约定的信息披露方式予以披露。</w:t>
      </w:r>
      <w:r>
        <w:rPr>
          <w:rFonts w:hint="eastAsia" w:ascii="楷体" w:hAnsi="楷体" w:eastAsia="楷体"/>
          <w:b/>
          <w:bCs/>
          <w:sz w:val="24"/>
          <w:szCs w:val="24"/>
          <w:u w:val="single"/>
          <w:lang w:val="en-US" w:eastAsia="zh-CN"/>
        </w:rPr>
        <w:t>产品管理人将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r>
        <w:rPr>
          <w:rFonts w:hint="eastAsia" w:ascii="楷体" w:hAnsi="楷体" w:eastAsia="楷体"/>
          <w:b/>
          <w:bCs/>
          <w:sz w:val="24"/>
          <w:szCs w:val="24"/>
          <w:u w:val="single"/>
        </w:rPr>
        <w:t>。</w:t>
      </w:r>
    </w:p>
    <w:p>
      <w:pPr>
        <w:numPr>
          <w:ilvl w:val="0"/>
          <w:numId w:val="2"/>
        </w:numPr>
        <w:rPr>
          <w:rFonts w:hint="eastAsia" w:ascii="楷体" w:hAnsi="楷体" w:eastAsia="楷体"/>
          <w:sz w:val="24"/>
          <w:szCs w:val="24"/>
        </w:rPr>
      </w:pPr>
      <w:r>
        <w:rPr>
          <w:rFonts w:hint="eastAsia" w:ascii="楷体" w:hAnsi="楷体" w:eastAsia="楷体"/>
          <w:sz w:val="24"/>
          <w:szCs w:val="24"/>
        </w:rPr>
        <w:t>为贯彻落实</w:t>
      </w:r>
      <w:r>
        <w:rPr>
          <w:rFonts w:hint="eastAsia" w:ascii="楷体" w:hAnsi="楷体" w:eastAsia="楷体"/>
          <w:sz w:val="24"/>
          <w:szCs w:val="24"/>
          <w:lang w:val="en-US" w:eastAsia="zh-CN"/>
        </w:rPr>
        <w:t>金融监管总局</w:t>
      </w:r>
      <w:r>
        <w:rPr>
          <w:rFonts w:hint="eastAsia" w:ascii="楷体" w:hAnsi="楷体" w:eastAsia="楷体"/>
          <w:sz w:val="24"/>
          <w:szCs w:val="24"/>
        </w:rPr>
        <w:t>和银行业理财登记托管中心的要求，苏银理财将向监管机构报送理财产品投资者身份信息、每日交易、持仓等信息。后续</w:t>
      </w:r>
      <w:r>
        <w:rPr>
          <w:rFonts w:hint="eastAsia" w:ascii="楷体" w:hAnsi="楷体" w:eastAsia="楷体"/>
          <w:sz w:val="24"/>
          <w:szCs w:val="24"/>
          <w:lang w:val="en-US" w:eastAsia="zh-CN"/>
        </w:rPr>
        <w:t>金融监管总局</w:t>
      </w:r>
      <w:r>
        <w:rPr>
          <w:rFonts w:hint="eastAsia" w:ascii="楷体" w:hAnsi="楷体" w:eastAsia="楷体"/>
          <w:sz w:val="24"/>
          <w:szCs w:val="24"/>
        </w:rPr>
        <w:t>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2"/>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w:t>
      </w:r>
      <w:r>
        <w:rPr>
          <w:rFonts w:hint="eastAsia" w:ascii="楷体" w:hAnsi="楷体" w:eastAsia="楷体"/>
          <w:sz w:val="24"/>
          <w:szCs w:val="24"/>
          <w:lang w:val="en-US" w:eastAsia="zh-CN"/>
        </w:rPr>
        <w:t>本理财产品</w:t>
      </w:r>
      <w:r>
        <w:rPr>
          <w:rFonts w:hint="eastAsia" w:ascii="楷体" w:hAnsi="楷体" w:eastAsia="楷体"/>
          <w:sz w:val="24"/>
          <w:szCs w:val="24"/>
        </w:rPr>
        <w:t>说明书约定的信息披露方式予以披露。</w:t>
      </w:r>
    </w:p>
    <w:p>
      <w:pPr>
        <w:numPr>
          <w:ilvl w:val="0"/>
          <w:numId w:val="2"/>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2"/>
        </w:numPr>
        <w:rPr>
          <w:rFonts w:hint="eastAsia" w:ascii="楷体" w:hAnsi="楷体" w:eastAsia="楷体"/>
          <w:sz w:val="24"/>
          <w:szCs w:val="24"/>
        </w:rPr>
      </w:pPr>
      <w:r>
        <w:rPr>
          <w:rFonts w:hint="eastAsia" w:ascii="楷体" w:hAnsi="楷体" w:eastAsia="楷体"/>
          <w:sz w:val="24"/>
          <w:szCs w:val="24"/>
        </w:rPr>
        <w:t>本理财产品说明书在法律许可的范围内由苏银理财负责解释。</w:t>
      </w:r>
    </w:p>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rPr>
        <w:t>产品要素</w:t>
      </w:r>
    </w:p>
    <w:p>
      <w:pPr>
        <w:ind w:firstLine="480" w:firstLineChars="200"/>
        <w:rPr>
          <w:rFonts w:ascii="楷体" w:hAnsi="楷体" w:eastAsia="楷体"/>
          <w:sz w:val="24"/>
          <w:szCs w:val="24"/>
        </w:rPr>
      </w:pPr>
      <w:r>
        <w:rPr>
          <w:rFonts w:hint="eastAsia" w:ascii="楷体" w:hAnsi="楷体" w:eastAsia="楷体"/>
          <w:sz w:val="24"/>
          <w:szCs w:val="24"/>
        </w:rPr>
        <w:t>为保护投资者合法权益，尊重投资者的知情权和自主选择权，现将本理财产品的基本要素说明如下：</w:t>
      </w:r>
    </w:p>
    <w:tbl>
      <w:tblPr>
        <w:tblStyle w:val="14"/>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exact"/>
          <w:jc w:val="center"/>
        </w:trPr>
        <w:tc>
          <w:tcPr>
            <w:tcW w:w="2278" w:type="dxa"/>
            <w:vAlign w:val="center"/>
          </w:tcPr>
          <w:p>
            <w:pPr>
              <w:pStyle w:val="24"/>
              <w:kinsoku w:val="0"/>
              <w:overflowPunct w:val="0"/>
              <w:spacing w:before="11"/>
              <w:ind w:left="2"/>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22" w:type="dxa"/>
            <w:vAlign w:val="center"/>
          </w:tcPr>
          <w:p>
            <w:pPr>
              <w:pStyle w:val="24"/>
              <w:kinsoku w:val="0"/>
              <w:overflowPunct w:val="0"/>
              <w:spacing w:before="13"/>
              <w:ind w:left="59" w:right="88" w:rightChars="42"/>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苏银理财恒源</w:t>
            </w:r>
            <w:r>
              <w:rPr>
                <w:rFonts w:hint="eastAsia" w:ascii="楷体" w:hAnsi="楷体" w:eastAsia="楷体" w:cs="宋体"/>
                <w:spacing w:val="-2"/>
                <w:sz w:val="21"/>
                <w:szCs w:val="21"/>
                <w:lang w:eastAsia="zh-CN"/>
              </w:rPr>
              <w:t>月开放2号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exact"/>
          <w:jc w:val="center"/>
        </w:trPr>
        <w:tc>
          <w:tcPr>
            <w:tcW w:w="2278" w:type="dxa"/>
            <w:vAlign w:val="center"/>
          </w:tcPr>
          <w:p>
            <w:pPr>
              <w:pStyle w:val="24"/>
              <w:kinsoku w:val="0"/>
              <w:overflowPunct w:val="0"/>
              <w:ind w:left="6"/>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22" w:type="dxa"/>
            <w:vAlign w:val="center"/>
          </w:tcPr>
          <w:p>
            <w:pPr>
              <w:pStyle w:val="24"/>
              <w:kinsoku w:val="0"/>
              <w:overflowPunct w:val="0"/>
              <w:spacing w:line="260" w:lineRule="exact"/>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Z7003120000002</w:t>
            </w:r>
          </w:p>
          <w:p>
            <w:pPr>
              <w:pStyle w:val="24"/>
              <w:kinsoku w:val="0"/>
              <w:overflowPunct w:val="0"/>
              <w:spacing w:line="260" w:lineRule="exact"/>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rPr>
                <w:rFonts w:ascii="楷体" w:hAnsi="楷体" w:eastAsia="楷体" w:cs="宋体"/>
                <w:spacing w:val="-2"/>
                <w:sz w:val="21"/>
                <w:szCs w:val="21"/>
              </w:rPr>
              <w:fldChar w:fldCharType="begin"/>
            </w:r>
            <w:r>
              <w:rPr>
                <w:rFonts w:ascii="楷体" w:hAnsi="楷体" w:eastAsia="楷体" w:cs="宋体"/>
                <w:spacing w:val="-2"/>
                <w:sz w:val="21"/>
                <w:szCs w:val="21"/>
              </w:rPr>
              <w:instrText xml:space="preserve"> HYPERLINK "http://www.chinawealth.com.cn/" </w:instrText>
            </w:r>
            <w:r>
              <w:rPr>
                <w:rFonts w:ascii="楷体" w:hAnsi="楷体" w:eastAsia="楷体" w:cs="宋体"/>
                <w:spacing w:val="-2"/>
                <w:sz w:val="21"/>
                <w:szCs w:val="21"/>
              </w:rP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查询产品信息，产品变更前原理财产品登记编码为</w:t>
            </w:r>
            <w:r>
              <w:rPr>
                <w:rFonts w:ascii="楷体" w:hAnsi="楷体" w:eastAsia="楷体" w:cs="宋体"/>
                <w:spacing w:val="-2"/>
                <w:sz w:val="21"/>
                <w:szCs w:val="21"/>
              </w:rPr>
              <w:t>C108681700010</w:t>
            </w:r>
            <w:r>
              <w:rPr>
                <w:rFonts w:hint="eastAsia" w:ascii="楷体" w:hAnsi="楷体" w:eastAsia="楷体" w:cs="宋体"/>
                <w:spacing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11" w:hRule="exact"/>
          <w:jc w:val="center"/>
        </w:trPr>
        <w:tc>
          <w:tcPr>
            <w:tcW w:w="2278" w:type="dxa"/>
            <w:vAlign w:val="center"/>
          </w:tcPr>
          <w:p>
            <w:pPr>
              <w:pStyle w:val="24"/>
              <w:kinsoku w:val="0"/>
              <w:overflowPunct w:val="0"/>
              <w:spacing w:before="13"/>
              <w:ind w:left="2"/>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22" w:type="dxa"/>
            <w:vAlign w:val="center"/>
          </w:tcPr>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苏银理财恒源月开放</w:t>
            </w:r>
            <w:r>
              <w:rPr>
                <w:rFonts w:ascii="楷体" w:hAnsi="楷体" w:eastAsia="楷体" w:cs="宋体"/>
                <w:spacing w:val="-2"/>
                <w:sz w:val="21"/>
                <w:szCs w:val="21"/>
              </w:rPr>
              <w:t>2号</w:t>
            </w:r>
            <w:r>
              <w:rPr>
                <w:rFonts w:hint="eastAsia" w:ascii="楷体" w:hAnsi="楷体" w:eastAsia="楷体" w:cs="宋体"/>
                <w:spacing w:val="-2"/>
                <w:sz w:val="21"/>
                <w:szCs w:val="21"/>
                <w:lang w:val="en-US" w:eastAsia="zh-CN"/>
              </w:rPr>
              <w:t>A</w:t>
            </w:r>
            <w:r>
              <w:rPr>
                <w:rFonts w:hint="eastAsia" w:ascii="楷体" w:hAnsi="楷体" w:eastAsia="楷体" w:cs="宋体"/>
                <w:spacing w:val="-2"/>
                <w:sz w:val="21"/>
                <w:szCs w:val="21"/>
              </w:rPr>
              <w:t>/</w:t>
            </w:r>
            <w:r>
              <w:rPr>
                <w:rFonts w:ascii="楷体" w:hAnsi="楷体" w:eastAsia="楷体" w:cs="宋体"/>
                <w:spacing w:val="-2"/>
                <w:sz w:val="21"/>
                <w:szCs w:val="21"/>
              </w:rPr>
              <w:t>J172411SA801</w:t>
            </w:r>
          </w:p>
          <w:p>
            <w:pPr>
              <w:pStyle w:val="24"/>
              <w:kinsoku w:val="0"/>
              <w:overflowPunct w:val="0"/>
              <w:spacing w:before="12"/>
              <w:ind w:left="59" w:right="88" w:rightChars="42"/>
              <w:rPr>
                <w:rFonts w:ascii="楷体" w:hAnsi="楷体" w:eastAsia="楷体" w:cs="宋体"/>
                <w:spacing w:val="-2"/>
                <w:sz w:val="21"/>
                <w:szCs w:val="21"/>
              </w:rPr>
            </w:pPr>
            <w:r>
              <w:rPr>
                <w:rFonts w:hint="eastAsia" w:ascii="楷体" w:hAnsi="楷体" w:eastAsia="楷体" w:cs="宋体"/>
                <w:spacing w:val="-2"/>
                <w:sz w:val="21"/>
                <w:szCs w:val="21"/>
              </w:rPr>
              <w:t>苏银理财恒源月开放</w:t>
            </w:r>
            <w:r>
              <w:rPr>
                <w:rFonts w:ascii="楷体" w:hAnsi="楷体" w:eastAsia="楷体" w:cs="宋体"/>
                <w:spacing w:val="-2"/>
                <w:sz w:val="21"/>
                <w:szCs w:val="21"/>
              </w:rPr>
              <w:t>2号</w:t>
            </w:r>
            <w:r>
              <w:rPr>
                <w:rFonts w:hint="eastAsia" w:ascii="楷体" w:hAnsi="楷体" w:eastAsia="楷体" w:cs="宋体"/>
                <w:spacing w:val="-2"/>
                <w:sz w:val="21"/>
                <w:szCs w:val="21"/>
                <w:lang w:eastAsia="zh-CN"/>
              </w:rPr>
              <w:t>DF</w:t>
            </w:r>
            <w:r>
              <w:rPr>
                <w:rFonts w:hint="eastAsia" w:ascii="楷体" w:hAnsi="楷体" w:eastAsia="楷体" w:cs="宋体"/>
                <w:spacing w:val="-2"/>
                <w:sz w:val="21"/>
                <w:szCs w:val="21"/>
              </w:rPr>
              <w:t>/</w:t>
            </w:r>
            <w:r>
              <w:rPr>
                <w:rFonts w:ascii="楷体" w:hAnsi="楷体" w:eastAsia="楷体" w:cs="宋体"/>
                <w:spacing w:val="-2"/>
                <w:sz w:val="21"/>
                <w:szCs w:val="21"/>
              </w:rPr>
              <w:t>J172411SA80B</w:t>
            </w:r>
          </w:p>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苏银理财恒源月开放2号C/</w:t>
            </w:r>
            <w:r>
              <w:rPr>
                <w:rFonts w:ascii="楷体" w:hAnsi="楷体" w:eastAsia="楷体" w:cs="宋体"/>
                <w:spacing w:val="-2"/>
                <w:sz w:val="21"/>
                <w:szCs w:val="21"/>
              </w:rPr>
              <w:t>J</w:t>
            </w:r>
            <w:r>
              <w:rPr>
                <w:rFonts w:hint="eastAsia" w:ascii="楷体" w:hAnsi="楷体" w:eastAsia="楷体" w:cs="宋体"/>
                <w:spacing w:val="-2"/>
                <w:sz w:val="21"/>
                <w:szCs w:val="21"/>
              </w:rPr>
              <w:t>00308</w:t>
            </w:r>
          </w:p>
          <w:p>
            <w:pPr>
              <w:pStyle w:val="24"/>
              <w:kinsoku w:val="0"/>
              <w:overflowPunct w:val="0"/>
              <w:spacing w:before="12"/>
              <w:ind w:left="59" w:right="88" w:rightChars="42"/>
              <w:rPr>
                <w:rFonts w:ascii="楷体" w:hAnsi="楷体" w:eastAsia="楷体" w:cs="宋体"/>
                <w:spacing w:val="-2"/>
                <w:sz w:val="21"/>
                <w:szCs w:val="21"/>
              </w:rPr>
            </w:pP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w:t>
            </w:r>
            <w:r>
              <w:rPr>
                <w:rFonts w:ascii="楷体" w:hAnsi="楷体" w:eastAsia="楷体" w:cs="宋体"/>
                <w:spacing w:val="-2"/>
                <w:sz w:val="21"/>
                <w:szCs w:val="21"/>
              </w:rPr>
              <w:t>J172411SA80C</w:t>
            </w:r>
          </w:p>
          <w:p>
            <w:pPr>
              <w:pStyle w:val="24"/>
              <w:kinsoku w:val="0"/>
              <w:overflowPunct w:val="0"/>
              <w:spacing w:before="12"/>
              <w:ind w:left="59" w:right="88" w:rightChars="42"/>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w:t>
            </w:r>
            <w:r>
              <w:rPr>
                <w:rFonts w:hint="eastAsia" w:ascii="楷体" w:hAnsi="楷体" w:eastAsia="楷体" w:cs="宋体"/>
                <w:spacing w:val="-2"/>
                <w:sz w:val="21"/>
                <w:szCs w:val="21"/>
                <w:lang w:val="en-US" w:eastAsia="zh-CN"/>
              </w:rPr>
              <w:t>J01997</w:t>
            </w:r>
          </w:p>
          <w:p>
            <w:pPr>
              <w:pStyle w:val="24"/>
              <w:kinsoku w:val="0"/>
              <w:overflowPunct w:val="0"/>
              <w:spacing w:before="12"/>
              <w:ind w:left="59" w:right="88" w:rightChars="42"/>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苏银理财恒源月开放2号W/J02826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278" w:type="dxa"/>
            <w:vAlign w:val="center"/>
          </w:tcPr>
          <w:p>
            <w:pPr>
              <w:pStyle w:val="24"/>
              <w:kinsoku w:val="0"/>
              <w:overflowPunct w:val="0"/>
              <w:spacing w:before="14"/>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22" w:type="dxa"/>
            <w:vAlign w:val="center"/>
          </w:tcPr>
          <w:p>
            <w:pPr>
              <w:pStyle w:val="24"/>
              <w:kinsoku w:val="0"/>
              <w:overflowPunct w:val="0"/>
              <w:spacing w:before="14"/>
              <w:ind w:left="59" w:right="88" w:rightChars="42"/>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278" w:type="dxa"/>
            <w:vAlign w:val="center"/>
          </w:tcPr>
          <w:p>
            <w:pPr>
              <w:pStyle w:val="24"/>
              <w:kinsoku w:val="0"/>
              <w:overflowPunct w:val="0"/>
              <w:spacing w:before="13"/>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22" w:type="dxa"/>
            <w:vAlign w:val="center"/>
          </w:tcPr>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江苏银行股份有限公司，详见下文“十</w:t>
            </w:r>
            <w:r>
              <w:rPr>
                <w:rFonts w:hint="eastAsia" w:ascii="楷体" w:hAnsi="楷体" w:eastAsia="楷体" w:cs="宋体"/>
                <w:spacing w:val="-2"/>
                <w:sz w:val="21"/>
                <w:szCs w:val="21"/>
                <w:lang w:val="en-US" w:eastAsia="zh-CN"/>
              </w:rPr>
              <w:t>四</w:t>
            </w:r>
            <w:r>
              <w:rPr>
                <w:rFonts w:hint="eastAsia" w:ascii="楷体" w:hAnsi="楷体" w:eastAsia="楷体" w:cs="宋体"/>
                <w:spacing w:val="-2"/>
                <w:sz w:val="21"/>
                <w:szCs w:val="21"/>
              </w:rPr>
              <w:t>、产品托管人”。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2278" w:type="dxa"/>
            <w:vAlign w:val="center"/>
          </w:tcPr>
          <w:p>
            <w:pPr>
              <w:pStyle w:val="24"/>
              <w:kinsoku w:val="0"/>
              <w:overflowPunct w:val="0"/>
              <w:spacing w:before="13"/>
              <w:rPr>
                <w:rFonts w:hint="eastAsia"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22" w:type="dxa"/>
            <w:vAlign w:val="center"/>
          </w:tcPr>
          <w:p>
            <w:pPr>
              <w:pStyle w:val="24"/>
              <w:kinsoku w:val="0"/>
              <w:overflowPunct w:val="0"/>
              <w:spacing w:before="13"/>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53" w:hRule="exact"/>
          <w:jc w:val="center"/>
        </w:trPr>
        <w:tc>
          <w:tcPr>
            <w:tcW w:w="2278" w:type="dxa"/>
            <w:vAlign w:val="center"/>
          </w:tcPr>
          <w:p>
            <w:pPr>
              <w:pStyle w:val="24"/>
              <w:kinsoku w:val="0"/>
              <w:overflowPunct w:val="0"/>
              <w:spacing w:before="13"/>
              <w:ind w:left="4"/>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22" w:type="dxa"/>
            <w:vAlign w:val="center"/>
          </w:tcPr>
          <w:p>
            <w:pPr>
              <w:pStyle w:val="24"/>
              <w:kinsoku w:val="0"/>
              <w:overflowPunct w:val="0"/>
              <w:spacing w:before="13"/>
              <w:ind w:left="59" w:right="88" w:rightChars="42"/>
              <w:jc w:val="both"/>
              <w:rPr>
                <w:rFonts w:hint="eastAsia"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24"/>
              <w:kinsoku w:val="0"/>
              <w:overflowPunct w:val="0"/>
              <w:spacing w:before="13"/>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2、</w:t>
            </w:r>
            <w:r>
              <w:rPr>
                <w:rFonts w:hint="eastAsia" w:ascii="楷体" w:hAnsi="楷体" w:eastAsia="楷体" w:cs="宋体"/>
                <w:spacing w:val="-2"/>
                <w:sz w:val="21"/>
                <w:szCs w:val="21"/>
                <w:highlight w:val="none"/>
                <w:lang w:val="en-US" w:eastAsia="zh-CN"/>
              </w:rPr>
              <w:t>如</w:t>
            </w:r>
            <w:r>
              <w:rPr>
                <w:rFonts w:hint="eastAsia" w:ascii="楷体" w:hAnsi="楷体" w:eastAsia="楷体" w:cs="宋体"/>
                <w:spacing w:val="-2"/>
                <w:sz w:val="21"/>
                <w:szCs w:val="21"/>
                <w:highlight w:val="none"/>
              </w:rPr>
              <w:t>本产品</w:t>
            </w:r>
            <w:r>
              <w:rPr>
                <w:rFonts w:hint="eastAsia" w:ascii="楷体" w:hAnsi="楷体" w:eastAsia="楷体" w:cs="宋体"/>
                <w:spacing w:val="-2"/>
                <w:sz w:val="21"/>
                <w:szCs w:val="21"/>
                <w:highlight w:val="none"/>
                <w:lang w:val="en-US" w:eastAsia="zh-CN"/>
              </w:rPr>
              <w:t>通过</w:t>
            </w:r>
            <w:r>
              <w:rPr>
                <w:rFonts w:hint="eastAsia" w:ascii="楷体" w:hAnsi="楷体" w:eastAsia="楷体" w:cs="宋体"/>
                <w:spacing w:val="-2"/>
                <w:sz w:val="21"/>
                <w:szCs w:val="21"/>
                <w:highlight w:val="none"/>
              </w:rPr>
              <w:t>代理销售机构渠道</w:t>
            </w:r>
            <w:r>
              <w:rPr>
                <w:rFonts w:hint="eastAsia" w:ascii="楷体" w:hAnsi="楷体" w:eastAsia="楷体" w:cs="宋体"/>
                <w:spacing w:val="-2"/>
                <w:sz w:val="21"/>
                <w:szCs w:val="21"/>
                <w:highlight w:val="none"/>
                <w:lang w:val="en-US" w:eastAsia="zh-CN"/>
              </w:rPr>
              <w:t>销售,</w:t>
            </w:r>
            <w:r>
              <w:rPr>
                <w:rFonts w:hint="eastAsia" w:ascii="楷体" w:hAnsi="楷体" w:eastAsia="楷体" w:cs="宋体"/>
                <w:spacing w:val="-2"/>
                <w:sz w:val="21"/>
                <w:szCs w:val="21"/>
              </w:rPr>
              <w:t>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24"/>
              <w:kinsoku w:val="0"/>
              <w:overflowPunct w:val="0"/>
              <w:spacing w:before="13"/>
              <w:ind w:left="59" w:right="88" w:rightChars="42"/>
              <w:jc w:val="both"/>
              <w:rPr>
                <w:rFonts w:ascii="楷体" w:hAnsi="楷体" w:eastAsia="楷体" w:cs="宋体"/>
                <w:spacing w:val="-2"/>
                <w:sz w:val="21"/>
                <w:szCs w:val="21"/>
              </w:rPr>
            </w:pPr>
            <w:r>
              <w:rPr>
                <w:rFonts w:hint="eastAsia" w:ascii="楷体" w:hAnsi="楷体" w:eastAsia="楷体" w:cs="宋体"/>
                <w:b/>
                <w:spacing w:val="-2"/>
                <w:sz w:val="21"/>
                <w:szCs w:val="21"/>
                <w:u w:val="single"/>
              </w:rPr>
              <w:t>3、</w:t>
            </w:r>
            <w:r>
              <w:rPr>
                <w:rFonts w:hint="eastAsia" w:ascii="楷体" w:hAnsi="楷体" w:eastAsia="楷体" w:cs="宋体"/>
                <w:b/>
                <w:spacing w:val="-2"/>
                <w:sz w:val="21"/>
                <w:szCs w:val="21"/>
                <w:highlight w:val="none"/>
                <w:u w:val="single"/>
                <w:lang w:val="en-US" w:eastAsia="zh-CN"/>
              </w:rPr>
              <w:t>如本</w:t>
            </w:r>
            <w:r>
              <w:rPr>
                <w:rFonts w:hint="eastAsia" w:ascii="楷体" w:hAnsi="楷体" w:eastAsia="楷体" w:cs="宋体"/>
                <w:b/>
                <w:spacing w:val="-2"/>
                <w:sz w:val="21"/>
                <w:szCs w:val="21"/>
                <w:highlight w:val="none"/>
                <w:u w:val="single"/>
              </w:rPr>
              <w:t>产品</w:t>
            </w:r>
            <w:r>
              <w:rPr>
                <w:rFonts w:ascii="楷体" w:hAnsi="楷体" w:eastAsia="楷体" w:cs="宋体"/>
                <w:b/>
                <w:spacing w:val="-2"/>
                <w:sz w:val="21"/>
                <w:szCs w:val="21"/>
                <w:highlight w:val="none"/>
                <w:u w:val="single"/>
              </w:rPr>
              <w:t>通过代理销售机构渠道销售</w:t>
            </w:r>
            <w:r>
              <w:rPr>
                <w:rFonts w:ascii="楷体" w:hAnsi="楷体" w:eastAsia="楷体" w:cs="宋体"/>
                <w:b/>
                <w:spacing w:val="-2"/>
                <w:sz w:val="21"/>
                <w:szCs w:val="21"/>
                <w:u w:val="single"/>
              </w:rPr>
              <w:t>，理财产品评级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5" w:hRule="exact"/>
          <w:jc w:val="center"/>
        </w:trPr>
        <w:tc>
          <w:tcPr>
            <w:tcW w:w="2278" w:type="dxa"/>
            <w:vAlign w:val="center"/>
          </w:tcPr>
          <w:p>
            <w:pPr>
              <w:pStyle w:val="24"/>
              <w:kinsoku w:val="0"/>
              <w:overflowPunct w:val="0"/>
              <w:spacing w:before="12"/>
              <w:ind w:left="2"/>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22" w:type="dxa"/>
            <w:vAlign w:val="center"/>
          </w:tcPr>
          <w:p>
            <w:pPr>
              <w:pStyle w:val="24"/>
              <w:kinsoku w:val="0"/>
              <w:overflowPunct w:val="0"/>
              <w:spacing w:before="12"/>
              <w:ind w:left="59" w:right="88" w:rightChars="42"/>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exact"/>
          <w:jc w:val="center"/>
        </w:trPr>
        <w:tc>
          <w:tcPr>
            <w:tcW w:w="2278" w:type="dxa"/>
            <w:vAlign w:val="center"/>
          </w:tcPr>
          <w:p>
            <w:pPr>
              <w:pStyle w:val="24"/>
              <w:kinsoku w:val="0"/>
              <w:overflowPunct w:val="0"/>
              <w:spacing w:before="13"/>
              <w:rPr>
                <w:rFonts w:hint="eastAsia"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22" w:type="dxa"/>
            <w:vAlign w:val="center"/>
          </w:tcPr>
          <w:p>
            <w:pPr>
              <w:pStyle w:val="24"/>
              <w:kinsoku w:val="0"/>
              <w:overflowPunct w:val="0"/>
              <w:spacing w:before="12"/>
              <w:ind w:left="59" w:right="88" w:rightChars="42"/>
              <w:rPr>
                <w:rFonts w:hint="eastAsia"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9" w:hRule="exact"/>
          <w:jc w:val="center"/>
        </w:trPr>
        <w:tc>
          <w:tcPr>
            <w:tcW w:w="2278" w:type="dxa"/>
            <w:vAlign w:val="center"/>
          </w:tcPr>
          <w:p>
            <w:pPr>
              <w:pStyle w:val="24"/>
              <w:kinsoku w:val="0"/>
              <w:overflowPunct w:val="0"/>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22" w:type="dxa"/>
            <w:vAlign w:val="center"/>
          </w:tcPr>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1、苏银理财恒源月开放</w:t>
            </w:r>
            <w:r>
              <w:rPr>
                <w:rFonts w:ascii="楷体" w:hAnsi="楷体" w:eastAsia="楷体" w:cs="宋体"/>
                <w:spacing w:val="-2"/>
                <w:sz w:val="21"/>
                <w:szCs w:val="21"/>
              </w:rPr>
              <w:t>2号</w:t>
            </w:r>
            <w:r>
              <w:rPr>
                <w:rFonts w:hint="eastAsia" w:ascii="楷体" w:hAnsi="楷体" w:eastAsia="楷体" w:cs="宋体"/>
                <w:spacing w:val="-2"/>
                <w:sz w:val="21"/>
                <w:szCs w:val="21"/>
                <w:lang w:val="en-US" w:eastAsia="zh-CN"/>
              </w:rPr>
              <w:t>A</w:t>
            </w:r>
            <w:r>
              <w:rPr>
                <w:rFonts w:hint="eastAsia" w:ascii="楷体" w:hAnsi="楷体" w:eastAsia="楷体" w:cs="宋体"/>
                <w:spacing w:val="-2"/>
                <w:sz w:val="21"/>
                <w:szCs w:val="21"/>
              </w:rPr>
              <w:t>（</w:t>
            </w:r>
            <w:r>
              <w:rPr>
                <w:rFonts w:ascii="楷体" w:hAnsi="楷体" w:eastAsia="楷体" w:cs="宋体"/>
                <w:spacing w:val="-2"/>
                <w:sz w:val="21"/>
                <w:szCs w:val="21"/>
              </w:rPr>
              <w:t>J172411SA801</w:t>
            </w:r>
            <w:r>
              <w:rPr>
                <w:rFonts w:hint="eastAsia" w:ascii="楷体" w:hAnsi="楷体" w:eastAsia="楷体" w:cs="宋体"/>
                <w:spacing w:val="-2"/>
                <w:sz w:val="21"/>
                <w:szCs w:val="21"/>
              </w:rPr>
              <w:t>）面向个人和机构投资者销售。</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2、苏银理财恒源月开放</w:t>
            </w:r>
            <w:r>
              <w:rPr>
                <w:rFonts w:ascii="楷体" w:hAnsi="楷体" w:eastAsia="楷体" w:cs="宋体"/>
                <w:spacing w:val="-2"/>
                <w:sz w:val="21"/>
                <w:szCs w:val="21"/>
              </w:rPr>
              <w:t>2号</w:t>
            </w:r>
            <w:r>
              <w:rPr>
                <w:rFonts w:hint="eastAsia" w:ascii="楷体" w:hAnsi="楷体" w:eastAsia="楷体" w:cs="宋体"/>
                <w:spacing w:val="-2"/>
                <w:sz w:val="21"/>
                <w:szCs w:val="21"/>
                <w:lang w:eastAsia="zh-CN"/>
              </w:rPr>
              <w:t>DF</w:t>
            </w:r>
            <w:r>
              <w:rPr>
                <w:rFonts w:hint="eastAsia" w:ascii="楷体" w:hAnsi="楷体" w:eastAsia="楷体" w:cs="宋体"/>
                <w:spacing w:val="-2"/>
                <w:sz w:val="21"/>
                <w:szCs w:val="21"/>
              </w:rPr>
              <w:t>（</w:t>
            </w:r>
            <w:r>
              <w:rPr>
                <w:rFonts w:ascii="楷体" w:hAnsi="楷体" w:eastAsia="楷体" w:cs="宋体"/>
                <w:spacing w:val="-2"/>
                <w:sz w:val="21"/>
                <w:szCs w:val="21"/>
              </w:rPr>
              <w:t>J172411SA80B</w:t>
            </w:r>
            <w:r>
              <w:rPr>
                <w:rFonts w:hint="eastAsia" w:ascii="楷体" w:hAnsi="楷体" w:eastAsia="楷体" w:cs="宋体"/>
                <w:spacing w:val="-2"/>
                <w:sz w:val="21"/>
                <w:szCs w:val="21"/>
              </w:rPr>
              <w:t>）面向个人投资者销售（</w:t>
            </w:r>
            <w:r>
              <w:rPr>
                <w:rFonts w:hint="eastAsia" w:ascii="楷体" w:hAnsi="楷体" w:eastAsia="楷体" w:cs="宋体"/>
                <w:spacing w:val="-2"/>
                <w:sz w:val="21"/>
                <w:szCs w:val="21"/>
                <w:highlight w:val="none"/>
              </w:rPr>
              <w:t>仅限</w:t>
            </w:r>
            <w:r>
              <w:rPr>
                <w:rFonts w:hint="eastAsia" w:ascii="楷体" w:hAnsi="楷体" w:eastAsia="楷体" w:cs="宋体"/>
                <w:spacing w:val="-2"/>
                <w:sz w:val="21"/>
                <w:szCs w:val="21"/>
                <w:highlight w:val="none"/>
                <w:lang w:val="en-US" w:eastAsia="zh-CN"/>
              </w:rPr>
              <w:t>销售</w:t>
            </w:r>
            <w:r>
              <w:rPr>
                <w:rFonts w:hint="eastAsia" w:ascii="楷体" w:hAnsi="楷体" w:eastAsia="楷体" w:cs="宋体"/>
                <w:spacing w:val="-2"/>
                <w:sz w:val="21"/>
                <w:szCs w:val="21"/>
                <w:highlight w:val="none"/>
              </w:rPr>
              <w:t>机构江苏银行代发工资客户</w:t>
            </w:r>
            <w:r>
              <w:rPr>
                <w:rFonts w:hint="eastAsia" w:ascii="楷体" w:hAnsi="楷体" w:eastAsia="楷体" w:cs="宋体"/>
                <w:spacing w:val="-2"/>
                <w:sz w:val="21"/>
                <w:szCs w:val="21"/>
              </w:rPr>
              <w:t>）。</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3、苏银理财恒源月开放2号C（J00308）面向个人投资者销售（</w:t>
            </w:r>
            <w:r>
              <w:rPr>
                <w:rFonts w:hint="eastAsia" w:ascii="楷体" w:hAnsi="楷体" w:eastAsia="楷体" w:cs="宋体"/>
                <w:spacing w:val="-2"/>
                <w:sz w:val="21"/>
                <w:szCs w:val="21"/>
                <w:lang w:val="en-US" w:eastAsia="zh-CN"/>
              </w:rPr>
              <w:t>销售</w:t>
            </w:r>
            <w:r>
              <w:rPr>
                <w:rFonts w:hint="eastAsia" w:ascii="楷体" w:hAnsi="楷体" w:eastAsia="楷体" w:cs="宋体"/>
                <w:spacing w:val="-2"/>
                <w:sz w:val="21"/>
                <w:szCs w:val="21"/>
              </w:rPr>
              <w:t>机构江苏银行仅限新资金客户，新资金的达标条件为“客户前一日资产时点余额”较“前一月末资产月日均余额”的新增额大于5万元）。</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4、苏银理财恒源月开放2号</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w:t>
            </w:r>
            <w:r>
              <w:rPr>
                <w:rFonts w:ascii="楷体" w:hAnsi="楷体" w:eastAsia="楷体" w:cs="宋体"/>
                <w:spacing w:val="-2"/>
                <w:sz w:val="21"/>
                <w:szCs w:val="21"/>
              </w:rPr>
              <w:t>J172411SA80C</w:t>
            </w:r>
            <w:r>
              <w:rPr>
                <w:rFonts w:hint="eastAsia" w:ascii="楷体" w:hAnsi="楷体" w:eastAsia="楷体" w:cs="宋体"/>
                <w:spacing w:val="-2"/>
                <w:sz w:val="21"/>
                <w:szCs w:val="21"/>
              </w:rPr>
              <w:t>）面向个人投资者销售（销售机构江苏银行仅限私行客户购买</w:t>
            </w:r>
            <w:r>
              <w:rPr>
                <w:rFonts w:hint="eastAsia" w:ascii="楷体" w:hAnsi="楷体" w:eastAsia="楷体" w:cs="宋体"/>
                <w:spacing w:val="-2"/>
                <w:sz w:val="21"/>
                <w:szCs w:val="21"/>
                <w:lang w:eastAsia="zh-CN"/>
              </w:rPr>
              <w:t>，</w:t>
            </w:r>
            <w:r>
              <w:rPr>
                <w:rFonts w:hint="eastAsia" w:ascii="楷体" w:hAnsi="楷体" w:eastAsia="楷体" w:cs="宋体"/>
                <w:spacing w:val="-2"/>
                <w:sz w:val="21"/>
                <w:szCs w:val="21"/>
              </w:rPr>
              <w:t>江苏银行私行客户指在江苏银行日均资产大于等于600万元的个人客户）。</w:t>
            </w:r>
          </w:p>
          <w:p>
            <w:pPr>
              <w:pStyle w:val="24"/>
              <w:kinsoku w:val="0"/>
              <w:overflowPunct w:val="0"/>
              <w:spacing w:before="12"/>
              <w:ind w:left="59" w:right="88" w:rightChars="42"/>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F（J01997）面向个人和机构投资者销售。</w:t>
            </w:r>
          </w:p>
          <w:p>
            <w:pPr>
              <w:pStyle w:val="24"/>
              <w:kinsoku w:val="0"/>
              <w:overflowPunct w:val="0"/>
              <w:spacing w:before="12"/>
              <w:ind w:left="59" w:right="88" w:rightChars="42"/>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W（J02826）面向个人和机构投资者销售。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exact"/>
          <w:jc w:val="center"/>
        </w:trPr>
        <w:tc>
          <w:tcPr>
            <w:tcW w:w="2278" w:type="dxa"/>
            <w:vAlign w:val="center"/>
          </w:tcPr>
          <w:p>
            <w:pPr>
              <w:pStyle w:val="24"/>
              <w:kinsoku w:val="0"/>
              <w:overflowPunct w:val="0"/>
              <w:spacing w:before="13"/>
              <w:ind w:left="2" w:leftChars="0"/>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rPr>
              <w:t>募集币种</w:t>
            </w:r>
          </w:p>
        </w:tc>
        <w:tc>
          <w:tcPr>
            <w:tcW w:w="6622" w:type="dxa"/>
            <w:vAlign w:val="center"/>
          </w:tcPr>
          <w:p>
            <w:pPr>
              <w:pStyle w:val="24"/>
              <w:kinsoku w:val="0"/>
              <w:overflowPunct w:val="0"/>
              <w:spacing w:before="13"/>
              <w:ind w:left="59" w:leftChars="0" w:right="88" w:rightChars="42"/>
              <w:rPr>
                <w:rFonts w:ascii="楷体" w:hAnsi="楷体" w:eastAsia="楷体" w:cs="宋体"/>
                <w:spacing w:val="-2"/>
                <w:kern w:val="0"/>
                <w:sz w:val="21"/>
                <w:szCs w:val="21"/>
                <w:lang w:val="en-US" w:eastAsia="zh-CN" w:bidi="ar-SA"/>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2278" w:type="dxa"/>
            <w:vAlign w:val="center"/>
          </w:tcPr>
          <w:p>
            <w:pPr>
              <w:pStyle w:val="24"/>
              <w:kinsoku w:val="0"/>
              <w:overflowPunct w:val="0"/>
              <w:spacing w:before="12"/>
              <w:ind w:left="2" w:leftChars="0"/>
              <w:rPr>
                <w:rFonts w:hint="default" w:ascii="楷体" w:hAnsi="楷体" w:eastAsia="楷体" w:cs="宋体"/>
                <w:spacing w:val="-2"/>
                <w:kern w:val="0"/>
                <w:sz w:val="21"/>
                <w:szCs w:val="21"/>
                <w:lang w:val="en-US" w:eastAsia="zh-CN" w:bidi="ar-SA"/>
              </w:rPr>
            </w:pPr>
            <w:r>
              <w:rPr>
                <w:rFonts w:hint="eastAsia" w:ascii="楷体" w:hAnsi="楷体" w:eastAsia="楷体" w:cs="宋体"/>
                <w:b/>
                <w:spacing w:val="-2"/>
                <w:sz w:val="21"/>
                <w:szCs w:val="21"/>
              </w:rPr>
              <w:t>投资周期</w:t>
            </w:r>
          </w:p>
        </w:tc>
        <w:tc>
          <w:tcPr>
            <w:tcW w:w="6622" w:type="dxa"/>
            <w:vAlign w:val="center"/>
          </w:tcPr>
          <w:p>
            <w:pPr>
              <w:pStyle w:val="24"/>
              <w:kinsoku w:val="0"/>
              <w:overflowPunct w:val="0"/>
              <w:spacing w:before="12"/>
              <w:ind w:left="59" w:leftChars="0" w:right="88" w:rightChars="42"/>
              <w:rPr>
                <w:rFonts w:hint="default" w:ascii="楷体" w:hAnsi="楷体" w:eastAsia="楷体" w:cs="宋体"/>
                <w:spacing w:val="-2"/>
                <w:kern w:val="0"/>
                <w:sz w:val="21"/>
                <w:szCs w:val="21"/>
                <w:lang w:val="en-US" w:eastAsia="zh-CN" w:bidi="ar-SA"/>
              </w:rPr>
            </w:pPr>
            <w:r>
              <w:rPr>
                <w:rFonts w:hint="eastAsia" w:ascii="楷体" w:hAnsi="楷体" w:eastAsia="楷体" w:cs="宋体"/>
                <w:spacing w:val="-2"/>
                <w:sz w:val="21"/>
                <w:szCs w:val="21"/>
              </w:rPr>
              <w:t>每月为一个投资周期，若每月10日</w:t>
            </w:r>
            <w:r>
              <w:rPr>
                <w:rFonts w:hint="eastAsia" w:ascii="楷体" w:hAnsi="楷体" w:eastAsia="楷体" w:cs="宋体"/>
                <w:spacing w:val="-2"/>
                <w:sz w:val="21"/>
                <w:szCs w:val="21"/>
                <w:lang w:val="en-US" w:eastAsia="zh-CN"/>
              </w:rPr>
              <w:t>或</w:t>
            </w:r>
            <w:r>
              <w:rPr>
                <w:rFonts w:hint="eastAsia" w:ascii="楷体" w:hAnsi="楷体" w:eastAsia="楷体" w:cs="宋体"/>
                <w:spacing w:val="-2"/>
                <w:sz w:val="21"/>
                <w:szCs w:val="21"/>
              </w:rPr>
              <w:t>11日为非工作日，投资周期将相应</w:t>
            </w:r>
            <w:r>
              <w:rPr>
                <w:rFonts w:hint="eastAsia" w:ascii="楷体" w:hAnsi="楷体" w:eastAsia="楷体" w:cs="宋体"/>
                <w:spacing w:val="-2"/>
                <w:sz w:val="21"/>
                <w:szCs w:val="21"/>
                <w:lang w:val="en-US" w:eastAsia="zh-CN"/>
              </w:rPr>
              <w:t>调整</w:t>
            </w:r>
            <w:r>
              <w:rPr>
                <w:rFonts w:hint="eastAsia" w:ascii="楷体" w:hAnsi="楷体" w:eastAsia="楷体" w:cs="宋体"/>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exact"/>
          <w:jc w:val="center"/>
        </w:trPr>
        <w:tc>
          <w:tcPr>
            <w:tcW w:w="2278" w:type="dxa"/>
            <w:vAlign w:val="center"/>
          </w:tcPr>
          <w:p>
            <w:pPr>
              <w:pStyle w:val="24"/>
              <w:kinsoku w:val="0"/>
              <w:overflowPunct w:val="0"/>
              <w:spacing w:before="13"/>
              <w:ind w:left="2" w:leftChars="0"/>
              <w:rPr>
                <w:rFonts w:hint="eastAsia" w:ascii="楷体" w:hAnsi="楷体" w:eastAsia="楷体" w:cs="宋体"/>
                <w:spacing w:val="-2"/>
                <w:kern w:val="0"/>
                <w:sz w:val="21"/>
                <w:szCs w:val="21"/>
                <w:lang w:val="en-US" w:eastAsia="zh-CN" w:bidi="ar-SA"/>
              </w:rPr>
            </w:pPr>
            <w:r>
              <w:rPr>
                <w:rFonts w:hint="eastAsia" w:ascii="楷体" w:hAnsi="楷体" w:eastAsia="楷体" w:cs="宋体"/>
                <w:b/>
                <w:spacing w:val="-2"/>
                <w:sz w:val="21"/>
                <w:szCs w:val="21"/>
              </w:rPr>
              <w:t>计划发行规模</w:t>
            </w:r>
          </w:p>
        </w:tc>
        <w:tc>
          <w:tcPr>
            <w:tcW w:w="6622" w:type="dxa"/>
            <w:vAlign w:val="center"/>
          </w:tcPr>
          <w:p>
            <w:pPr>
              <w:pStyle w:val="24"/>
              <w:kinsoku w:val="0"/>
              <w:overflowPunct w:val="0"/>
              <w:spacing w:before="12"/>
              <w:ind w:left="59" w:leftChars="0" w:right="88" w:rightChars="42"/>
              <w:rPr>
                <w:rFonts w:hint="eastAsia" w:ascii="楷体" w:hAnsi="楷体" w:eastAsia="楷体" w:cs="宋体"/>
                <w:spacing w:val="-2"/>
                <w:kern w:val="0"/>
                <w:sz w:val="21"/>
                <w:szCs w:val="21"/>
                <w:lang w:val="en-US" w:eastAsia="zh-CN" w:bidi="ar-SA"/>
              </w:rPr>
            </w:pPr>
            <w:r>
              <w:rPr>
                <w:rFonts w:hint="eastAsia" w:ascii="楷体" w:hAnsi="楷体" w:eastAsia="楷体" w:cs="宋体"/>
                <w:spacing w:val="-2"/>
                <w:sz w:val="21"/>
                <w:szCs w:val="21"/>
              </w:rPr>
              <w:t>本产品总规模</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00亿份，苏银理财有权根据投资运作情况调整总规模。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7" w:hRule="exact"/>
          <w:jc w:val="center"/>
        </w:trPr>
        <w:tc>
          <w:tcPr>
            <w:tcW w:w="2278" w:type="dxa"/>
            <w:vAlign w:val="center"/>
          </w:tcPr>
          <w:p>
            <w:pPr>
              <w:pStyle w:val="24"/>
              <w:kinsoku w:val="0"/>
              <w:overflowPunct w:val="0"/>
              <w:spacing w:before="18"/>
              <w:ind w:left="4"/>
              <w:rPr>
                <w:rFonts w:ascii="楷体" w:hAnsi="楷体" w:eastAsia="楷体" w:cs="宋体"/>
                <w:b/>
                <w:spacing w:val="-2"/>
                <w:sz w:val="21"/>
                <w:szCs w:val="21"/>
              </w:rPr>
            </w:pPr>
            <w:r>
              <w:rPr>
                <w:rFonts w:hint="eastAsia" w:ascii="楷体" w:hAnsi="楷体" w:eastAsia="楷体" w:cs="宋体"/>
                <w:b/>
                <w:spacing w:val="-2"/>
                <w:sz w:val="21"/>
                <w:szCs w:val="21"/>
              </w:rPr>
              <w:t>购买起点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22" w:type="dxa"/>
            <w:vAlign w:val="center"/>
          </w:tcPr>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A</w:t>
            </w:r>
            <w:r>
              <w:rPr>
                <w:rFonts w:hint="eastAsia" w:ascii="楷体" w:hAnsi="楷体" w:eastAsia="楷体" w:cs="宋体"/>
                <w:spacing w:val="-2"/>
                <w:sz w:val="21"/>
                <w:szCs w:val="21"/>
              </w:rPr>
              <w:t>（J172411SA801）</w:t>
            </w:r>
            <w:r>
              <w:rPr>
                <w:rFonts w:hint="eastAsia" w:ascii="楷体" w:hAnsi="楷体" w:eastAsia="楷体" w:cs="宋体"/>
                <w:spacing w:val="-2"/>
                <w:sz w:val="21"/>
                <w:szCs w:val="21"/>
                <w:lang w:eastAsia="zh-CN"/>
              </w:rPr>
              <w:t>、</w:t>
            </w: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F（J01997）、</w:t>
            </w: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W（J02826）</w:t>
            </w:r>
            <w:r>
              <w:rPr>
                <w:rFonts w:hint="eastAsia" w:ascii="楷体" w:hAnsi="楷体" w:eastAsia="楷体" w:cs="宋体"/>
                <w:spacing w:val="-2"/>
                <w:sz w:val="21"/>
                <w:szCs w:val="21"/>
              </w:rPr>
              <w:t>购买起点金额为1元，追加金额为1元的整数倍</w:t>
            </w:r>
            <w:r>
              <w:rPr>
                <w:rFonts w:hint="eastAsia" w:ascii="楷体" w:hAnsi="楷体" w:eastAsia="楷体" w:cs="宋体"/>
                <w:spacing w:val="-2"/>
                <w:sz w:val="21"/>
                <w:szCs w:val="21"/>
                <w:lang w:eastAsia="zh-CN"/>
              </w:rPr>
              <w:t>（</w:t>
            </w:r>
            <w:r>
              <w:rPr>
                <w:rFonts w:hint="eastAsia" w:ascii="楷体" w:hAnsi="楷体" w:eastAsia="楷体" w:cs="宋体"/>
                <w:spacing w:val="-2"/>
                <w:sz w:val="21"/>
                <w:szCs w:val="21"/>
                <w:lang w:val="en-US" w:eastAsia="zh-CN"/>
              </w:rPr>
              <w:t>以销售机构设置为准）</w:t>
            </w:r>
            <w:r>
              <w:rPr>
                <w:rFonts w:hint="eastAsia" w:ascii="楷体" w:hAnsi="楷体" w:eastAsia="楷体" w:cs="宋体"/>
                <w:spacing w:val="-2"/>
                <w:sz w:val="21"/>
                <w:szCs w:val="21"/>
              </w:rPr>
              <w:t>；</w:t>
            </w:r>
          </w:p>
          <w:p>
            <w:pPr>
              <w:pStyle w:val="24"/>
              <w:kinsoku w:val="0"/>
              <w:overflowPunct w:val="0"/>
              <w:spacing w:before="12"/>
              <w:ind w:left="59" w:right="88" w:rightChars="42"/>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苏银理财恒源月开放2号DF（J172411SA80B）购买起点金额为1000元，追加金额为0.01元的整数倍（以销售机构设置为准）；</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苏银理财恒源月开放2号C（J00308）购买起点金额为1万元，追加金额为1万元的整数倍</w:t>
            </w:r>
            <w:r>
              <w:rPr>
                <w:rFonts w:hint="eastAsia" w:ascii="楷体" w:hAnsi="楷体" w:eastAsia="楷体" w:cs="宋体"/>
                <w:spacing w:val="-2"/>
                <w:sz w:val="21"/>
                <w:szCs w:val="21"/>
                <w:lang w:eastAsia="zh-CN"/>
              </w:rPr>
              <w:t>（</w:t>
            </w:r>
            <w:r>
              <w:rPr>
                <w:rFonts w:hint="eastAsia" w:ascii="楷体" w:hAnsi="楷体" w:eastAsia="楷体" w:cs="宋体"/>
                <w:spacing w:val="-2"/>
                <w:sz w:val="21"/>
                <w:szCs w:val="21"/>
                <w:lang w:val="en-US" w:eastAsia="zh-CN"/>
              </w:rPr>
              <w:t>以销售机构设置为准）；</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苏银理财恒源月开放2号</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（J172411SA80C）购买起点金额为50万元，追加金额为1万元的整数倍</w:t>
            </w:r>
            <w:r>
              <w:rPr>
                <w:rFonts w:hint="eastAsia" w:ascii="楷体" w:hAnsi="楷体" w:eastAsia="楷体" w:cs="宋体"/>
                <w:spacing w:val="-2"/>
                <w:sz w:val="21"/>
                <w:szCs w:val="21"/>
                <w:lang w:eastAsia="zh-CN"/>
              </w:rPr>
              <w:t>（</w:t>
            </w:r>
            <w:r>
              <w:rPr>
                <w:rFonts w:hint="eastAsia" w:ascii="楷体" w:hAnsi="楷体" w:eastAsia="楷体" w:cs="宋体"/>
                <w:spacing w:val="-2"/>
                <w:sz w:val="21"/>
                <w:szCs w:val="21"/>
                <w:lang w:val="en-US" w:eastAsia="zh-CN"/>
              </w:rPr>
              <w:t>以销售机构设置为准）</w:t>
            </w:r>
            <w:r>
              <w:rPr>
                <w:rFonts w:hint="eastAsia" w:ascii="楷体" w:hAnsi="楷体" w:eastAsia="楷体" w:cs="宋体"/>
                <w:spacing w:val="-2"/>
                <w:sz w:val="21"/>
                <w:szCs w:val="21"/>
              </w:rPr>
              <w:t>。</w:t>
            </w:r>
          </w:p>
          <w:p>
            <w:pPr>
              <w:ind w:left="59" w:right="88" w:rightChars="42"/>
              <w:jc w:val="both"/>
              <w:rPr>
                <w:rFonts w:hint="eastAsia" w:ascii="楷体" w:hAnsi="楷体" w:eastAsia="楷体"/>
                <w:szCs w:val="21"/>
              </w:rPr>
            </w:pPr>
          </w:p>
          <w:p>
            <w:pPr>
              <w:pStyle w:val="24"/>
              <w:kinsoku w:val="0"/>
              <w:overflowPunct w:val="0"/>
              <w:spacing w:before="18"/>
              <w:ind w:left="59" w:right="88" w:rightChars="42"/>
              <w:jc w:val="both"/>
              <w:rPr>
                <w:rFonts w:ascii="楷体" w:hAnsi="楷体" w:eastAsia="楷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278" w:type="dxa"/>
            <w:vAlign w:val="center"/>
          </w:tcPr>
          <w:p>
            <w:pPr>
              <w:pStyle w:val="24"/>
              <w:kinsoku w:val="0"/>
              <w:overflowPunct w:val="0"/>
              <w:spacing w:before="13"/>
              <w:ind w:left="55" w:leftChars="0"/>
              <w:jc w:val="both"/>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highlight w:val="none"/>
              </w:rPr>
              <w:t>份额面值</w:t>
            </w:r>
          </w:p>
        </w:tc>
        <w:tc>
          <w:tcPr>
            <w:tcW w:w="6622" w:type="dxa"/>
            <w:vAlign w:val="center"/>
          </w:tcPr>
          <w:p>
            <w:pPr>
              <w:pStyle w:val="24"/>
              <w:kinsoku w:val="0"/>
              <w:overflowPunct w:val="0"/>
              <w:spacing w:before="12"/>
              <w:ind w:left="59" w:leftChars="0" w:right="73" w:rightChars="35"/>
              <w:jc w:val="both"/>
              <w:rPr>
                <w:rFonts w:hint="eastAsia" w:ascii="楷体" w:hAnsi="楷体" w:eastAsia="楷体" w:cs="Times New Roman"/>
                <w:kern w:val="0"/>
                <w:sz w:val="24"/>
                <w:szCs w:val="21"/>
                <w:lang w:val="en-US" w:eastAsia="zh-CN" w:bidi="ar-SA"/>
              </w:rPr>
            </w:pPr>
            <w:r>
              <w:rPr>
                <w:rFonts w:hint="eastAsia" w:ascii="楷体" w:hAnsi="楷体" w:eastAsia="楷体" w:cs="宋体"/>
                <w:spacing w:val="-2"/>
                <w:sz w:val="21"/>
                <w:szCs w:val="21"/>
                <w:highlight w:val="none"/>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1" w:hRule="exact"/>
          <w:jc w:val="center"/>
        </w:trPr>
        <w:tc>
          <w:tcPr>
            <w:tcW w:w="2278" w:type="dxa"/>
            <w:vAlign w:val="center"/>
          </w:tcPr>
          <w:p>
            <w:pPr>
              <w:pStyle w:val="24"/>
              <w:kinsoku w:val="0"/>
              <w:overflowPunct w:val="0"/>
              <w:spacing w:before="13"/>
              <w:ind w:left="2"/>
              <w:rPr>
                <w:rFonts w:hint="eastAsia" w:ascii="楷体" w:hAnsi="楷体" w:eastAsia="楷体" w:cs="宋体"/>
                <w:b/>
                <w:spacing w:val="-2"/>
                <w:sz w:val="21"/>
                <w:szCs w:val="21"/>
              </w:rPr>
            </w:pPr>
            <w:r>
              <w:rPr>
                <w:rFonts w:hint="eastAsia" w:ascii="楷体" w:hAnsi="楷体" w:eastAsia="楷体" w:cs="宋体"/>
                <w:b/>
                <w:spacing w:val="-2"/>
                <w:sz w:val="21"/>
                <w:szCs w:val="21"/>
              </w:rPr>
              <w:t>募集期</w:t>
            </w:r>
          </w:p>
        </w:tc>
        <w:tc>
          <w:tcPr>
            <w:tcW w:w="6622" w:type="dxa"/>
            <w:vAlign w:val="center"/>
          </w:tcPr>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2017年11月20日到2017年11月23日</w:t>
            </w:r>
          </w:p>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exact"/>
          <w:jc w:val="center"/>
        </w:trPr>
        <w:tc>
          <w:tcPr>
            <w:tcW w:w="2278" w:type="dxa"/>
            <w:vAlign w:val="center"/>
          </w:tcPr>
          <w:p>
            <w:pPr>
              <w:pStyle w:val="24"/>
              <w:kinsoku w:val="0"/>
              <w:overflowPunct w:val="0"/>
              <w:spacing w:before="12"/>
              <w:ind w:left="2" w:leftChars="0"/>
              <w:rPr>
                <w:rFonts w:hint="eastAsia" w:ascii="楷体" w:hAnsi="楷体" w:eastAsia="楷体" w:cs="宋体"/>
                <w:b/>
                <w:spacing w:val="-2"/>
                <w:sz w:val="21"/>
                <w:szCs w:val="21"/>
                <w:highlight w:val="none"/>
              </w:rPr>
            </w:pPr>
            <w:r>
              <w:rPr>
                <w:rFonts w:hint="eastAsia" w:ascii="楷体" w:hAnsi="楷体" w:eastAsia="楷体" w:cs="宋体"/>
                <w:b/>
                <w:spacing w:val="-2"/>
                <w:sz w:val="21"/>
                <w:szCs w:val="21"/>
                <w:highlight w:val="none"/>
              </w:rPr>
              <w:t>认购份额计算</w:t>
            </w:r>
          </w:p>
        </w:tc>
        <w:tc>
          <w:tcPr>
            <w:tcW w:w="6622" w:type="dxa"/>
            <w:vAlign w:val="center"/>
          </w:tcPr>
          <w:p>
            <w:pPr>
              <w:jc w:val="left"/>
              <w:rPr>
                <w:rFonts w:hint="eastAsia" w:ascii="楷体" w:hAnsi="楷体" w:eastAsia="楷体" w:cs="宋体"/>
                <w:spacing w:val="-2"/>
                <w:sz w:val="21"/>
                <w:szCs w:val="21"/>
                <w:highlight w:val="none"/>
              </w:rPr>
            </w:pPr>
            <w:r>
              <w:rPr>
                <w:rFonts w:hint="eastAsia" w:ascii="楷体" w:hAnsi="楷体" w:eastAsia="楷体" w:cs="宋体"/>
                <w:spacing w:val="-2"/>
                <w:szCs w:val="21"/>
                <w:highlight w:val="none"/>
              </w:rPr>
              <w:t>认购份额=认购金额/产品份额面值（1元/份）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6" w:hRule="exact"/>
          <w:jc w:val="center"/>
        </w:trPr>
        <w:tc>
          <w:tcPr>
            <w:tcW w:w="2278" w:type="dxa"/>
            <w:vAlign w:val="center"/>
          </w:tcPr>
          <w:p>
            <w:pPr>
              <w:pStyle w:val="24"/>
              <w:kinsoku w:val="0"/>
              <w:overflowPunct w:val="0"/>
              <w:spacing w:before="13"/>
              <w:ind w:left="2"/>
              <w:rPr>
                <w:rFonts w:hint="eastAsia"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22" w:type="dxa"/>
            <w:vAlign w:val="center"/>
          </w:tcPr>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2017年11月24日</w:t>
            </w:r>
          </w:p>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color w:val="auto"/>
                <w:spacing w:val="-2"/>
                <w:sz w:val="21"/>
                <w:szCs w:val="21"/>
                <w:highlight w:val="none"/>
              </w:rPr>
              <w:t>若产品认购份额未达到最低发行总规模</w:t>
            </w:r>
            <w:r>
              <w:rPr>
                <w:rFonts w:hint="eastAsia" w:ascii="楷体" w:hAnsi="楷体" w:eastAsia="楷体" w:cs="宋体"/>
                <w:color w:val="auto"/>
                <w:spacing w:val="-2"/>
                <w:sz w:val="21"/>
                <w:szCs w:val="21"/>
                <w:highlight w:val="none"/>
                <w:lang w:val="en-US" w:eastAsia="zh-CN"/>
              </w:rPr>
              <w:t>3</w:t>
            </w:r>
            <w:r>
              <w:rPr>
                <w:rFonts w:hint="eastAsia" w:ascii="楷体" w:hAnsi="楷体" w:eastAsia="楷体" w:cs="宋体"/>
                <w:color w:val="auto"/>
                <w:spacing w:val="-2"/>
                <w:sz w:val="21"/>
                <w:szCs w:val="21"/>
                <w:highlight w:val="none"/>
              </w:rPr>
              <w:t>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w:t>
            </w:r>
            <w:r>
              <w:rPr>
                <w:rFonts w:hint="eastAsia" w:ascii="楷体" w:hAnsi="楷体" w:eastAsia="楷体" w:cs="宋体"/>
                <w:color w:val="auto"/>
                <w:spacing w:val="-2"/>
                <w:sz w:val="21"/>
                <w:szCs w:val="21"/>
                <w:highlight w:val="none"/>
                <w:lang w:val="en-US" w:eastAsia="zh-CN"/>
              </w:rPr>
              <w:t>募集期及资金</w:t>
            </w:r>
            <w:r>
              <w:rPr>
                <w:rFonts w:hint="eastAsia" w:ascii="楷体" w:hAnsi="楷体" w:eastAsia="楷体" w:cs="宋体"/>
                <w:color w:val="auto"/>
                <w:spacing w:val="-2"/>
                <w:sz w:val="21"/>
                <w:szCs w:val="21"/>
                <w:highlight w:val="none"/>
              </w:rPr>
              <w:t>在途期间投资者投资本金不计息</w:t>
            </w:r>
            <w:r>
              <w:rPr>
                <w:rFonts w:hint="eastAsia" w:ascii="楷体" w:hAnsi="楷体" w:eastAsia="楷体" w:cs="宋体"/>
                <w:color w:val="auto"/>
                <w:spacing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278" w:type="dxa"/>
            <w:vAlign w:val="center"/>
          </w:tcPr>
          <w:p>
            <w:pPr>
              <w:pStyle w:val="24"/>
              <w:kinsoku w:val="0"/>
              <w:overflowPunct w:val="0"/>
              <w:spacing w:before="12"/>
              <w:ind w:left="2"/>
              <w:rPr>
                <w:rFonts w:hint="eastAsia" w:ascii="楷体" w:hAnsi="楷体" w:eastAsia="楷体" w:cs="宋体"/>
                <w:b/>
                <w:spacing w:val="-2"/>
                <w:sz w:val="21"/>
                <w:szCs w:val="21"/>
              </w:rPr>
            </w:pPr>
            <w:r>
              <w:rPr>
                <w:rFonts w:hint="eastAsia" w:ascii="楷体" w:hAnsi="楷体" w:eastAsia="楷体" w:cs="宋体"/>
                <w:b/>
                <w:spacing w:val="-2"/>
                <w:sz w:val="21"/>
                <w:szCs w:val="21"/>
              </w:rPr>
              <w:t>封闭运作期</w:t>
            </w:r>
          </w:p>
        </w:tc>
        <w:tc>
          <w:tcPr>
            <w:tcW w:w="6622" w:type="dxa"/>
            <w:vAlign w:val="center"/>
          </w:tcPr>
          <w:p>
            <w:pPr>
              <w:pStyle w:val="24"/>
              <w:kinsoku w:val="0"/>
              <w:overflowPunct w:val="0"/>
              <w:spacing w:before="12"/>
              <w:ind w:left="59" w:right="88" w:rightChars="42"/>
              <w:rPr>
                <w:rFonts w:hint="eastAsia" w:ascii="楷体" w:hAnsi="楷体" w:eastAsia="楷体" w:cs="宋体"/>
                <w:spacing w:val="-2"/>
                <w:sz w:val="21"/>
                <w:szCs w:val="21"/>
              </w:rPr>
            </w:pPr>
            <w:r>
              <w:rPr>
                <w:rFonts w:hint="eastAsia" w:ascii="楷体" w:hAnsi="楷体" w:eastAsia="楷体" w:cs="宋体"/>
                <w:spacing w:val="-2"/>
                <w:sz w:val="21"/>
                <w:szCs w:val="21"/>
              </w:rPr>
              <w:t>产品成立后封闭运作一个月（2017年11月24日-2018年1月11日）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8" w:hRule="exact"/>
          <w:jc w:val="center"/>
        </w:trPr>
        <w:tc>
          <w:tcPr>
            <w:tcW w:w="2278" w:type="dxa"/>
            <w:vAlign w:val="center"/>
          </w:tcPr>
          <w:p>
            <w:pPr>
              <w:pStyle w:val="24"/>
              <w:kinsoku w:val="0"/>
              <w:overflowPunct w:val="0"/>
              <w:spacing w:before="12"/>
              <w:ind w:left="2" w:leftChars="0"/>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highlight w:val="none"/>
              </w:rPr>
              <w:t>产品到期日</w:t>
            </w:r>
          </w:p>
        </w:tc>
        <w:tc>
          <w:tcPr>
            <w:tcW w:w="6622" w:type="dxa"/>
            <w:vAlign w:val="center"/>
          </w:tcPr>
          <w:p>
            <w:pPr>
              <w:pStyle w:val="24"/>
              <w:kinsoku w:val="0"/>
              <w:overflowPunct w:val="0"/>
              <w:spacing w:before="12"/>
              <w:ind w:left="59" w:leftChars="0" w:right="88" w:rightChars="42"/>
              <w:rPr>
                <w:rFonts w:hint="eastAsia" w:ascii="楷体" w:hAnsi="楷体" w:eastAsia="楷体" w:cs="宋体"/>
                <w:spacing w:val="-2"/>
                <w:sz w:val="21"/>
                <w:szCs w:val="21"/>
                <w:highlight w:val="none"/>
              </w:rPr>
            </w:pPr>
            <w:r>
              <w:rPr>
                <w:rFonts w:hint="eastAsia" w:ascii="楷体" w:hAnsi="楷体" w:eastAsia="楷体" w:cs="宋体"/>
                <w:spacing w:val="-2"/>
                <w:sz w:val="21"/>
                <w:szCs w:val="21"/>
              </w:rPr>
              <w:t>2040年11月2</w:t>
            </w:r>
            <w:r>
              <w:rPr>
                <w:rFonts w:hint="eastAsia" w:ascii="楷体" w:hAnsi="楷体" w:eastAsia="楷体" w:cs="宋体"/>
                <w:spacing w:val="-2"/>
                <w:sz w:val="21"/>
                <w:szCs w:val="21"/>
                <w:lang w:val="en-US" w:eastAsia="zh-CN"/>
              </w:rPr>
              <w:t>3</w:t>
            </w:r>
            <w:r>
              <w:rPr>
                <w:rFonts w:hint="eastAsia" w:ascii="楷体" w:hAnsi="楷体" w:eastAsia="楷体" w:cs="宋体"/>
                <w:spacing w:val="-2"/>
                <w:sz w:val="21"/>
                <w:szCs w:val="21"/>
              </w:rPr>
              <w:t>日</w:t>
            </w:r>
            <w:r>
              <w:rPr>
                <w:rFonts w:hint="eastAsia" w:ascii="楷体" w:hAnsi="楷体" w:eastAsia="楷体" w:cs="宋体"/>
                <w:spacing w:val="-2"/>
                <w:sz w:val="21"/>
                <w:szCs w:val="21"/>
                <w:highlight w:val="none"/>
              </w:rPr>
              <w:t>（如遇节假日，顺延至下一工作日）</w:t>
            </w:r>
          </w:p>
          <w:p>
            <w:pPr>
              <w:pStyle w:val="24"/>
              <w:kinsoku w:val="0"/>
              <w:overflowPunct w:val="0"/>
              <w:spacing w:before="12"/>
              <w:ind w:left="59" w:leftChars="0" w:right="88" w:rightChars="42"/>
              <w:rPr>
                <w:rFonts w:hint="eastAsia" w:ascii="楷体" w:hAnsi="楷体" w:eastAsia="楷体" w:cs="宋体"/>
                <w:spacing w:val="-2"/>
                <w:kern w:val="0"/>
                <w:sz w:val="21"/>
                <w:szCs w:val="21"/>
                <w:lang w:val="en-US" w:eastAsia="zh-CN" w:bidi="ar-SA"/>
              </w:rPr>
            </w:pPr>
            <w:r>
              <w:rPr>
                <w:rFonts w:hint="eastAsia" w:ascii="楷体" w:hAnsi="楷体" w:eastAsia="楷体" w:cs="宋体"/>
                <w:spacing w:val="-2"/>
                <w:sz w:val="21"/>
                <w:szCs w:val="21"/>
              </w:rPr>
              <w:t>在符合产品说明书约定的条件下，苏银理财有权提前终止本理财产品，产品到期日受制于提前终止条款。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7" w:hRule="exact"/>
          <w:jc w:val="center"/>
        </w:trPr>
        <w:tc>
          <w:tcPr>
            <w:tcW w:w="2278" w:type="dxa"/>
            <w:vAlign w:val="center"/>
          </w:tcPr>
          <w:p>
            <w:pPr>
              <w:pStyle w:val="24"/>
              <w:kinsoku w:val="0"/>
              <w:overflowPunct w:val="0"/>
              <w:spacing w:before="12"/>
              <w:ind w:left="2"/>
              <w:rPr>
                <w:rFonts w:hint="eastAsia" w:ascii="楷体" w:hAnsi="楷体" w:eastAsia="楷体" w:cs="宋体"/>
                <w:b/>
                <w:spacing w:val="-2"/>
                <w:sz w:val="21"/>
                <w:szCs w:val="21"/>
              </w:rPr>
            </w:pPr>
            <w:r>
              <w:rPr>
                <w:rFonts w:hint="eastAsia" w:ascii="楷体" w:hAnsi="楷体" w:eastAsia="楷体" w:cs="宋体"/>
                <w:b/>
                <w:spacing w:val="-2"/>
                <w:sz w:val="21"/>
                <w:szCs w:val="21"/>
              </w:rPr>
              <w:t>开放计划</w:t>
            </w:r>
          </w:p>
        </w:tc>
        <w:tc>
          <w:tcPr>
            <w:tcW w:w="6622" w:type="dxa"/>
            <w:vAlign w:val="center"/>
          </w:tcPr>
          <w:p>
            <w:pPr>
              <w:pStyle w:val="24"/>
              <w:kinsoku w:val="0"/>
              <w:overflowPunct w:val="0"/>
              <w:spacing w:before="12"/>
              <w:ind w:left="59" w:right="88" w:rightChars="42"/>
              <w:jc w:val="both"/>
              <w:rPr>
                <w:rFonts w:hint="eastAsia" w:ascii="楷体" w:hAnsi="楷体" w:eastAsia="楷体" w:cs="宋体"/>
                <w:b/>
                <w:spacing w:val="-2"/>
                <w:sz w:val="21"/>
                <w:szCs w:val="21"/>
              </w:rPr>
            </w:pPr>
            <w:r>
              <w:rPr>
                <w:rFonts w:hint="eastAsia" w:ascii="楷体" w:hAnsi="楷体" w:eastAsia="楷体" w:cs="宋体"/>
                <w:spacing w:val="-2"/>
                <w:sz w:val="21"/>
                <w:szCs w:val="21"/>
              </w:rPr>
              <w:t>本产品封闭运作期结束后按月开放申购与赎回，苏银理财可根据资产运作情况、节假日安排、客户需求</w:t>
            </w:r>
            <w:r>
              <w:rPr>
                <w:rFonts w:hint="eastAsia" w:ascii="楷体" w:hAnsi="楷体" w:eastAsia="楷体" w:cs="宋体"/>
                <w:spacing w:val="-2"/>
                <w:sz w:val="21"/>
                <w:szCs w:val="21"/>
                <w:lang w:val="en-US" w:eastAsia="zh-CN"/>
              </w:rPr>
              <w:t>等</w:t>
            </w:r>
            <w:r>
              <w:rPr>
                <w:rFonts w:hint="eastAsia" w:ascii="楷体" w:hAnsi="楷体" w:eastAsia="楷体" w:cs="宋体"/>
                <w:spacing w:val="-2"/>
                <w:sz w:val="21"/>
                <w:szCs w:val="21"/>
              </w:rPr>
              <w:t>调整开放频率，并在调整前通过苏银理财官方网站公告。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2" w:hRule="exact"/>
          <w:jc w:val="center"/>
        </w:trPr>
        <w:tc>
          <w:tcPr>
            <w:tcW w:w="2278" w:type="dxa"/>
            <w:vAlign w:val="center"/>
          </w:tcPr>
          <w:p>
            <w:pPr>
              <w:pStyle w:val="24"/>
              <w:kinsoku w:val="0"/>
              <w:overflowPunct w:val="0"/>
              <w:spacing w:before="12"/>
              <w:ind w:left="55" w:leftChars="0"/>
              <w:jc w:val="both"/>
              <w:rPr>
                <w:rFonts w:hint="eastAsia" w:ascii="楷体" w:hAnsi="楷体" w:eastAsia="楷体" w:cs="宋体"/>
                <w:b/>
                <w:spacing w:val="-2"/>
                <w:sz w:val="21"/>
                <w:szCs w:val="21"/>
                <w:lang w:val="en-US" w:eastAsia="zh-CN"/>
              </w:rPr>
            </w:pPr>
            <w:r>
              <w:rPr>
                <w:rFonts w:hint="eastAsia" w:ascii="楷体" w:hAnsi="楷体" w:eastAsia="楷体" w:cs="宋体"/>
                <w:b/>
                <w:spacing w:val="-2"/>
                <w:sz w:val="21"/>
                <w:szCs w:val="21"/>
                <w:highlight w:val="none"/>
              </w:rPr>
              <w:t>单一投资者认/申购</w:t>
            </w:r>
            <w:r>
              <w:rPr>
                <w:rFonts w:hint="eastAsia" w:ascii="楷体" w:hAnsi="楷体" w:eastAsia="楷体" w:cs="宋体"/>
                <w:b/>
                <w:spacing w:val="-2"/>
                <w:sz w:val="21"/>
                <w:szCs w:val="21"/>
                <w:highlight w:val="none"/>
                <w:lang w:val="en-US" w:eastAsia="zh-CN"/>
              </w:rPr>
              <w:t>上限</w:t>
            </w:r>
          </w:p>
        </w:tc>
        <w:tc>
          <w:tcPr>
            <w:tcW w:w="6622" w:type="dxa"/>
            <w:vAlign w:val="center"/>
          </w:tcPr>
          <w:p>
            <w:pPr>
              <w:ind w:left="59" w:leftChars="0" w:right="73" w:rightChars="35"/>
              <w:rPr>
                <w:rFonts w:hint="eastAsia" w:ascii="楷体" w:hAnsi="楷体" w:eastAsia="楷体" w:cs="宋体"/>
                <w:spacing w:val="-2"/>
                <w:kern w:val="0"/>
                <w:szCs w:val="21"/>
              </w:rPr>
            </w:pPr>
            <w:r>
              <w:rPr>
                <w:rFonts w:hint="eastAsia" w:ascii="楷体" w:hAnsi="楷体" w:eastAsia="楷体" w:cs="宋体"/>
                <w:spacing w:val="-2"/>
                <w:kern w:val="0"/>
                <w:szCs w:val="21"/>
              </w:rPr>
              <w:t>1亿元。</w:t>
            </w:r>
            <w:r>
              <w:rPr>
                <w:rFonts w:hint="eastAsia" w:ascii="楷体" w:hAnsi="楷体" w:eastAsia="楷体" w:cs="宋体"/>
                <w:spacing w:val="-2"/>
                <w:szCs w:val="21"/>
              </w:rPr>
              <w:t>超过单日累计认/申购上限时，管理人有权拒绝投资者的认/申购申请。产品存续期</w:t>
            </w:r>
            <w:r>
              <w:rPr>
                <w:rFonts w:ascii="楷体" w:hAnsi="楷体" w:eastAsia="楷体" w:cs="宋体"/>
                <w:spacing w:val="-2"/>
                <w:szCs w:val="21"/>
              </w:rPr>
              <w:t>内管理人有权根据实际情况调整</w:t>
            </w:r>
            <w:r>
              <w:rPr>
                <w:rFonts w:hint="eastAsia" w:ascii="楷体" w:hAnsi="楷体" w:eastAsia="楷体" w:cs="宋体"/>
                <w:spacing w:val="-2"/>
                <w:szCs w:val="21"/>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exact"/>
          <w:jc w:val="center"/>
        </w:trPr>
        <w:tc>
          <w:tcPr>
            <w:tcW w:w="2278" w:type="dxa"/>
            <w:vAlign w:val="center"/>
          </w:tcPr>
          <w:p>
            <w:pPr>
              <w:pStyle w:val="24"/>
              <w:kinsoku w:val="0"/>
              <w:overflowPunct w:val="0"/>
              <w:spacing w:before="14"/>
              <w:ind w:left="55" w:leftChars="0"/>
              <w:jc w:val="both"/>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rPr>
              <w:t>单个客户赎回限额</w:t>
            </w:r>
          </w:p>
        </w:tc>
        <w:tc>
          <w:tcPr>
            <w:tcW w:w="6622" w:type="dxa"/>
            <w:vAlign w:val="center"/>
          </w:tcPr>
          <w:p>
            <w:pPr>
              <w:pStyle w:val="24"/>
              <w:kinsoku w:val="0"/>
              <w:overflowPunct w:val="0"/>
              <w:spacing w:before="14"/>
              <w:ind w:left="59" w:leftChars="0" w:right="73" w:rightChars="35"/>
              <w:jc w:val="both"/>
              <w:rPr>
                <w:rFonts w:hint="eastAsia" w:ascii="楷体" w:hAnsi="楷体" w:eastAsia="楷体" w:cs="宋体"/>
                <w:spacing w:val="-2"/>
                <w:kern w:val="0"/>
                <w:sz w:val="24"/>
                <w:szCs w:val="21"/>
                <w:lang w:val="en-US" w:eastAsia="zh-CN" w:bidi="ar-SA"/>
              </w:rPr>
            </w:pPr>
            <w:r>
              <w:rPr>
                <w:rFonts w:hint="eastAsia" w:ascii="楷体" w:hAnsi="楷体" w:eastAsia="楷体" w:cs="宋体"/>
                <w:spacing w:val="-2"/>
                <w:kern w:val="0"/>
                <w:sz w:val="21"/>
                <w:szCs w:val="21"/>
                <w:lang w:val="en-US" w:eastAsia="zh-CN" w:bidi="ar-SA"/>
              </w:rPr>
              <w:t>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2" w:hRule="exact"/>
          <w:jc w:val="center"/>
        </w:trPr>
        <w:tc>
          <w:tcPr>
            <w:tcW w:w="2278" w:type="dxa"/>
            <w:vAlign w:val="center"/>
          </w:tcPr>
          <w:p>
            <w:pPr>
              <w:pStyle w:val="24"/>
              <w:kinsoku w:val="0"/>
              <w:overflowPunct w:val="0"/>
              <w:spacing w:before="12"/>
              <w:ind w:left="55" w:leftChars="0"/>
              <w:jc w:val="both"/>
              <w:rPr>
                <w:rFonts w:hint="eastAsia" w:ascii="楷体" w:hAnsi="楷体" w:eastAsia="楷体" w:cs="宋体"/>
                <w:b/>
                <w:spacing w:val="-2"/>
                <w:sz w:val="21"/>
                <w:szCs w:val="21"/>
                <w:lang w:val="en-US" w:eastAsia="zh-CN"/>
              </w:rPr>
            </w:pPr>
            <w:r>
              <w:rPr>
                <w:rFonts w:hint="eastAsia" w:ascii="楷体" w:hAnsi="楷体" w:eastAsia="楷体" w:cs="宋体"/>
                <w:b/>
                <w:spacing w:val="-2"/>
                <w:sz w:val="21"/>
                <w:szCs w:val="21"/>
              </w:rPr>
              <w:t>单个客户持有份额上限</w:t>
            </w:r>
          </w:p>
        </w:tc>
        <w:tc>
          <w:tcPr>
            <w:tcW w:w="6622" w:type="dxa"/>
            <w:vAlign w:val="center"/>
          </w:tcPr>
          <w:p>
            <w:pPr>
              <w:ind w:left="59" w:leftChars="0" w:right="73" w:rightChars="35"/>
              <w:rPr>
                <w:rFonts w:hint="eastAsia"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w:t>
            </w:r>
            <w:r>
              <w:rPr>
                <w:rFonts w:hint="eastAsia" w:ascii="楷体" w:hAnsi="楷体" w:eastAsia="楷体" w:cs="宋体"/>
                <w:spacing w:val="-2"/>
                <w:kern w:val="0"/>
                <w:szCs w:val="21"/>
                <w:lang w:val="en-US" w:eastAsia="zh-CN"/>
              </w:rPr>
              <w:t>管理人</w:t>
            </w:r>
            <w:r>
              <w:rPr>
                <w:rFonts w:hint="eastAsia" w:ascii="楷体" w:hAnsi="楷体" w:eastAsia="楷体" w:cs="宋体"/>
                <w:spacing w:val="-2"/>
                <w:kern w:val="0"/>
                <w:szCs w:val="21"/>
              </w:rPr>
              <w:t>主观因素导致突破前款规定比例限制的，在单一投资者持有份额占理财产品总份额比例降至50%以下之前，不再接受该单一投资者对理财产品的认</w:t>
            </w:r>
            <w:r>
              <w:rPr>
                <w:rFonts w:hint="eastAsia" w:ascii="楷体" w:hAnsi="楷体" w:eastAsia="楷体" w:cs="宋体"/>
                <w:spacing w:val="-2"/>
                <w:kern w:val="0"/>
                <w:szCs w:val="21"/>
                <w:lang w:val="en-US" w:eastAsia="zh-CN"/>
              </w:rPr>
              <w:t>/申</w:t>
            </w:r>
            <w:r>
              <w:rPr>
                <w:rFonts w:hint="eastAsia" w:ascii="楷体" w:hAnsi="楷体" w:eastAsia="楷体" w:cs="宋体"/>
                <w:spacing w:val="-2"/>
                <w:kern w:val="0"/>
                <w:szCs w:val="21"/>
              </w:rPr>
              <w:t>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3" w:hRule="exact"/>
          <w:jc w:val="center"/>
        </w:trPr>
        <w:tc>
          <w:tcPr>
            <w:tcW w:w="2278" w:type="dxa"/>
            <w:vAlign w:val="center"/>
          </w:tcPr>
          <w:p>
            <w:pPr>
              <w:pStyle w:val="24"/>
              <w:kinsoku w:val="0"/>
              <w:overflowPunct w:val="0"/>
              <w:spacing w:before="12"/>
              <w:ind w:left="2"/>
              <w:rPr>
                <w:rFonts w:hint="default" w:ascii="楷体" w:hAnsi="楷体" w:eastAsia="楷体" w:cs="宋体"/>
                <w:b/>
                <w:spacing w:val="-2"/>
                <w:sz w:val="21"/>
                <w:szCs w:val="21"/>
                <w:lang w:val="en-US" w:eastAsia="zh-CN"/>
              </w:rPr>
            </w:pPr>
            <w:r>
              <w:rPr>
                <w:rFonts w:hint="eastAsia" w:ascii="楷体" w:hAnsi="楷体" w:eastAsia="楷体" w:cs="宋体"/>
                <w:b/>
                <w:spacing w:val="-2"/>
                <w:sz w:val="21"/>
                <w:szCs w:val="21"/>
                <w:lang w:val="en-US" w:eastAsia="zh-CN"/>
              </w:rPr>
              <w:t>产品申购/赎回</w:t>
            </w:r>
          </w:p>
        </w:tc>
        <w:tc>
          <w:tcPr>
            <w:tcW w:w="6622" w:type="dxa"/>
            <w:vAlign w:val="center"/>
          </w:tcPr>
          <w:p>
            <w:pPr>
              <w:ind w:left="59" w:right="44" w:rightChars="21"/>
              <w:jc w:val="left"/>
              <w:rPr>
                <w:rFonts w:hint="eastAsia" w:ascii="楷体" w:hAnsi="楷体" w:eastAsia="楷体" w:cs="宋体"/>
                <w:spacing w:val="-2"/>
                <w:kern w:val="0"/>
                <w:szCs w:val="21"/>
                <w:highlight w:val="none"/>
              </w:rPr>
            </w:pPr>
            <w:r>
              <w:rPr>
                <w:rFonts w:hint="eastAsia" w:ascii="楷体" w:hAnsi="楷体" w:eastAsia="楷体" w:cs="宋体"/>
                <w:b/>
                <w:bCs/>
                <w:spacing w:val="-2"/>
                <w:kern w:val="0"/>
                <w:sz w:val="21"/>
                <w:szCs w:val="21"/>
                <w:highlight w:val="none"/>
                <w:u w:val="single"/>
                <w:lang w:val="en-US" w:eastAsia="zh-CN" w:bidi="ar-SA"/>
              </w:rPr>
              <w:t>1、本产品按月开放，若10日与11日为工作日，则10日为开放日、11日为确认日；若10日或11日为非工作日，则开放日、确认日、投资周期作相应调整，苏银理财将按说明书约定的信息披露方式予以披露，以相关披露内容为准。其他时间苏银理财不接受客户申购/赎回申请。</w:t>
            </w:r>
          </w:p>
          <w:p>
            <w:pPr>
              <w:ind w:left="59" w:right="44" w:rightChars="21"/>
              <w:jc w:val="left"/>
              <w:rPr>
                <w:rFonts w:hint="eastAsia" w:ascii="楷体" w:hAnsi="楷体" w:eastAsia="楷体" w:cs="宋体"/>
                <w:spacing w:val="-2"/>
                <w:kern w:val="0"/>
                <w:szCs w:val="21"/>
                <w:highlight w:val="none"/>
              </w:rPr>
            </w:pPr>
            <w:r>
              <w:rPr>
                <w:rFonts w:hint="eastAsia" w:ascii="楷体" w:hAnsi="楷体" w:eastAsia="楷体" w:cs="宋体"/>
                <w:spacing w:val="-2"/>
                <w:kern w:val="0"/>
                <w:szCs w:val="21"/>
                <w:highlight w:val="none"/>
                <w:lang w:val="en-US" w:eastAsia="zh-CN"/>
              </w:rPr>
              <w:t>2</w:t>
            </w:r>
            <w:r>
              <w:rPr>
                <w:rFonts w:hint="eastAsia" w:ascii="楷体" w:hAnsi="楷体" w:eastAsia="楷体" w:cs="宋体"/>
                <w:spacing w:val="-2"/>
                <w:kern w:val="0"/>
                <w:szCs w:val="21"/>
                <w:highlight w:val="none"/>
              </w:rPr>
              <w:t>、开放预约申购/赎回为投资周期终止日前</w:t>
            </w:r>
            <w:r>
              <w:rPr>
                <w:rFonts w:hint="eastAsia" w:ascii="楷体" w:hAnsi="楷体" w:eastAsia="楷体" w:cs="宋体"/>
                <w:spacing w:val="-2"/>
                <w:kern w:val="0"/>
                <w:szCs w:val="21"/>
                <w:highlight w:val="none"/>
                <w:lang w:val="en-US" w:eastAsia="zh-CN"/>
              </w:rPr>
              <w:t>5</w:t>
            </w:r>
            <w:r>
              <w:rPr>
                <w:rFonts w:hint="eastAsia" w:ascii="楷体" w:hAnsi="楷体" w:eastAsia="楷体" w:cs="宋体"/>
                <w:spacing w:val="-2"/>
                <w:kern w:val="0"/>
                <w:szCs w:val="21"/>
                <w:highlight w:val="none"/>
              </w:rPr>
              <w:t>个工作日（含投资周期终止日），投资者在非开放日的预约申购/赎回申请行为统一视为在产品开放日</w:t>
            </w:r>
            <w:r>
              <w:rPr>
                <w:rFonts w:hint="eastAsia" w:ascii="楷体" w:hAnsi="楷体" w:eastAsia="楷体" w:cs="宋体"/>
                <w:spacing w:val="-2"/>
                <w:kern w:val="0"/>
                <w:szCs w:val="21"/>
                <w:highlight w:val="none"/>
                <w:lang w:eastAsia="zh-CN"/>
              </w:rPr>
              <w:t>（</w:t>
            </w:r>
            <w:r>
              <w:rPr>
                <w:rFonts w:hint="eastAsia" w:ascii="楷体" w:hAnsi="楷体" w:eastAsia="楷体" w:cs="宋体"/>
                <w:spacing w:val="-2"/>
                <w:kern w:val="0"/>
                <w:szCs w:val="21"/>
                <w:highlight w:val="none"/>
                <w:lang w:val="en-US" w:eastAsia="zh-CN"/>
              </w:rPr>
              <w:t>即</w:t>
            </w:r>
            <w:r>
              <w:rPr>
                <w:rFonts w:hint="eastAsia" w:ascii="楷体" w:hAnsi="楷体" w:eastAsia="楷体" w:cs="宋体"/>
                <w:spacing w:val="-2"/>
                <w:kern w:val="0"/>
                <w:szCs w:val="21"/>
                <w:highlight w:val="none"/>
                <w:lang w:eastAsia="zh-CN"/>
              </w:rPr>
              <w:t>投资周期终止日）</w:t>
            </w:r>
            <w:r>
              <w:rPr>
                <w:rFonts w:hint="eastAsia" w:ascii="楷体" w:hAnsi="楷体" w:eastAsia="楷体" w:cs="宋体"/>
                <w:spacing w:val="-2"/>
                <w:kern w:val="0"/>
                <w:szCs w:val="21"/>
                <w:highlight w:val="none"/>
              </w:rPr>
              <w:t>提交申购/赎回申请。申购/赎回截止时间不晚于产品开放日17:00，开放日截止时间前客户提交的申购/赎回申请均可以申请撤单。（以各销售机构设置为准）</w:t>
            </w:r>
          </w:p>
          <w:p>
            <w:pPr>
              <w:ind w:left="59" w:right="88" w:rightChars="42"/>
              <w:rPr>
                <w:rFonts w:hint="eastAsia" w:ascii="楷体" w:hAnsi="楷体" w:eastAsia="楷体" w:cs="宋体"/>
                <w:spacing w:val="-2"/>
                <w:kern w:val="0"/>
                <w:szCs w:val="21"/>
                <w:lang w:val="en-US" w:eastAsia="zh-CN"/>
              </w:rPr>
            </w:pPr>
            <w:r>
              <w:rPr>
                <w:rFonts w:hint="eastAsia" w:ascii="楷体" w:hAnsi="楷体" w:eastAsia="楷体" w:cs="宋体"/>
                <w:spacing w:val="-2"/>
                <w:kern w:val="0"/>
                <w:szCs w:val="21"/>
                <w:highlight w:val="none"/>
                <w:lang w:val="en-US" w:eastAsia="zh-CN"/>
              </w:rPr>
              <w:t>3</w:t>
            </w:r>
            <w:r>
              <w:rPr>
                <w:rFonts w:hint="eastAsia" w:ascii="楷体" w:hAnsi="楷体" w:eastAsia="楷体" w:cs="宋体"/>
                <w:spacing w:val="-2"/>
                <w:kern w:val="0"/>
                <w:szCs w:val="21"/>
                <w:highlight w:val="none"/>
              </w:rPr>
              <w:t>、开放日受理的申购/赎回申请由管理人统一在</w:t>
            </w:r>
            <w:r>
              <w:rPr>
                <w:rFonts w:hint="eastAsia" w:ascii="楷体" w:hAnsi="楷体" w:eastAsia="楷体" w:cs="宋体"/>
                <w:spacing w:val="-2"/>
                <w:kern w:val="0"/>
                <w:szCs w:val="21"/>
                <w:highlight w:val="none"/>
                <w:lang w:val="en-US" w:eastAsia="zh-CN"/>
              </w:rPr>
              <w:t>下一确认日</w:t>
            </w:r>
            <w:r>
              <w:rPr>
                <w:rFonts w:hint="eastAsia" w:ascii="楷体" w:hAnsi="楷体" w:eastAsia="楷体" w:cs="宋体"/>
                <w:spacing w:val="-2"/>
                <w:kern w:val="0"/>
                <w:szCs w:val="21"/>
                <w:highlight w:val="none"/>
              </w:rPr>
              <w:t>予以确认（赎回触发巨额赎回条款除外）</w:t>
            </w:r>
            <w:r>
              <w:rPr>
                <w:rFonts w:hint="eastAsia" w:ascii="楷体" w:hAnsi="楷体" w:eastAsia="楷体" w:cs="宋体"/>
                <w:spacing w:val="-2"/>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8" w:hRule="exact"/>
          <w:jc w:val="center"/>
        </w:trPr>
        <w:tc>
          <w:tcPr>
            <w:tcW w:w="2278" w:type="dxa"/>
            <w:vAlign w:val="center"/>
          </w:tcPr>
          <w:p>
            <w:pPr>
              <w:pStyle w:val="24"/>
              <w:kinsoku w:val="0"/>
              <w:overflowPunct w:val="0"/>
              <w:spacing w:before="14"/>
              <w:ind w:left="55" w:leftChars="0"/>
              <w:jc w:val="both"/>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rPr>
              <w:t>巨额申购</w:t>
            </w:r>
          </w:p>
        </w:tc>
        <w:tc>
          <w:tcPr>
            <w:tcW w:w="6622" w:type="dxa"/>
            <w:vAlign w:val="center"/>
          </w:tcPr>
          <w:p>
            <w:pPr>
              <w:pStyle w:val="24"/>
              <w:kinsoku w:val="0"/>
              <w:overflowPunct w:val="0"/>
              <w:spacing w:before="14"/>
              <w:ind w:left="59" w:leftChars="0" w:right="73" w:rightChars="35"/>
              <w:jc w:val="both"/>
              <w:rPr>
                <w:rFonts w:hint="eastAsia" w:ascii="楷体" w:hAnsi="楷体" w:eastAsia="楷体" w:cs="宋体"/>
                <w:b/>
                <w:spacing w:val="-2"/>
                <w:kern w:val="0"/>
                <w:sz w:val="24"/>
                <w:szCs w:val="21"/>
                <w:u w:val="single"/>
                <w:lang w:val="en-US" w:eastAsia="zh-CN" w:bidi="ar-SA"/>
              </w:rPr>
            </w:pPr>
            <w:r>
              <w:rPr>
                <w:rFonts w:hint="eastAsia" w:ascii="楷体" w:hAnsi="楷体" w:eastAsia="楷体" w:cs="宋体"/>
                <w:spacing w:val="-2"/>
                <w:sz w:val="21"/>
                <w:szCs w:val="21"/>
              </w:rPr>
              <w:t>本产品单个开放日投资者净申购额（申购申请份额总数扣除赎回申请份额总数）超过上一日产品总份额20%时，即认为发生了巨额申购。</w:t>
            </w:r>
            <w:r>
              <w:rPr>
                <w:rFonts w:hint="eastAsia" w:ascii="楷体" w:hAnsi="楷体" w:eastAsia="楷体" w:cs="宋体"/>
                <w:b/>
                <w:bCs/>
                <w:spacing w:val="-2"/>
                <w:sz w:val="21"/>
                <w:szCs w:val="21"/>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exact"/>
          <w:jc w:val="center"/>
        </w:trPr>
        <w:tc>
          <w:tcPr>
            <w:tcW w:w="2278" w:type="dxa"/>
            <w:vAlign w:val="center"/>
          </w:tcPr>
          <w:p>
            <w:pPr>
              <w:pStyle w:val="24"/>
              <w:kinsoku w:val="0"/>
              <w:overflowPunct w:val="0"/>
              <w:spacing w:before="12"/>
              <w:rPr>
                <w:rFonts w:hint="eastAsia" w:ascii="楷体" w:hAnsi="楷体" w:eastAsia="楷体" w:cs="宋体"/>
                <w:b/>
                <w:spacing w:val="-2"/>
                <w:kern w:val="0"/>
                <w:sz w:val="21"/>
                <w:szCs w:val="21"/>
                <w:highlight w:val="none"/>
                <w:lang w:val="en-US" w:eastAsia="zh-CN" w:bidi="ar-SA"/>
              </w:rPr>
            </w:pPr>
            <w:r>
              <w:rPr>
                <w:rFonts w:hint="eastAsia" w:ascii="楷体" w:hAnsi="楷体" w:eastAsia="楷体" w:cs="宋体"/>
                <w:b/>
                <w:spacing w:val="-2"/>
                <w:sz w:val="21"/>
                <w:szCs w:val="21"/>
                <w:highlight w:val="none"/>
              </w:rPr>
              <w:t>申购</w:t>
            </w:r>
            <w:r>
              <w:rPr>
                <w:rFonts w:ascii="楷体" w:hAnsi="楷体" w:eastAsia="楷体" w:cs="宋体"/>
                <w:b/>
                <w:spacing w:val="-2"/>
                <w:sz w:val="21"/>
                <w:szCs w:val="21"/>
                <w:highlight w:val="none"/>
              </w:rPr>
              <w:t>份额计算</w:t>
            </w:r>
          </w:p>
        </w:tc>
        <w:tc>
          <w:tcPr>
            <w:tcW w:w="6622" w:type="dxa"/>
            <w:vAlign w:val="center"/>
          </w:tcPr>
          <w:p>
            <w:pPr>
              <w:jc w:val="left"/>
              <w:rPr>
                <w:rFonts w:hint="eastAsia" w:ascii="楷体" w:hAnsi="楷体" w:eastAsia="楷体" w:cs="宋体"/>
                <w:spacing w:val="-2"/>
                <w:kern w:val="0"/>
                <w:sz w:val="21"/>
                <w:szCs w:val="21"/>
                <w:highlight w:val="none"/>
                <w:lang w:val="en-US" w:eastAsia="zh-CN" w:bidi="ar-SA"/>
              </w:rPr>
            </w:pPr>
            <w:r>
              <w:rPr>
                <w:rFonts w:hint="eastAsia" w:ascii="楷体" w:hAnsi="楷体" w:eastAsia="楷体" w:cs="宋体"/>
                <w:spacing w:val="-2"/>
                <w:kern w:val="0"/>
                <w:szCs w:val="21"/>
                <w:highlight w:val="none"/>
              </w:rPr>
              <w:t>申购份额=申购金额/开放日产品单位净值（四舍五入</w:t>
            </w:r>
            <w:r>
              <w:rPr>
                <w:rFonts w:ascii="楷体" w:hAnsi="楷体" w:eastAsia="楷体" w:cs="宋体"/>
                <w:spacing w:val="-2"/>
                <w:kern w:val="0"/>
                <w:szCs w:val="21"/>
                <w:highlight w:val="none"/>
              </w:rPr>
              <w:t>保留</w:t>
            </w:r>
            <w:r>
              <w:rPr>
                <w:rFonts w:hint="eastAsia" w:ascii="楷体" w:hAnsi="楷体" w:eastAsia="楷体" w:cs="宋体"/>
                <w:spacing w:val="-2"/>
                <w:kern w:val="0"/>
                <w:szCs w:val="21"/>
                <w:highlight w:val="none"/>
              </w:rPr>
              <w:t>2位</w:t>
            </w:r>
            <w:r>
              <w:rPr>
                <w:rFonts w:ascii="楷体" w:hAnsi="楷体" w:eastAsia="楷体" w:cs="宋体"/>
                <w:spacing w:val="-2"/>
                <w:kern w:val="0"/>
                <w:szCs w:val="21"/>
                <w:highlight w:val="none"/>
              </w:rPr>
              <w:t>小数</w:t>
            </w:r>
            <w:r>
              <w:rPr>
                <w:rFonts w:hint="eastAsia" w:ascii="楷体" w:hAnsi="楷体" w:eastAsia="楷体" w:cs="宋体"/>
                <w:spacing w:val="-2"/>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92" w:hRule="exact"/>
          <w:jc w:val="center"/>
        </w:trPr>
        <w:tc>
          <w:tcPr>
            <w:tcW w:w="2278" w:type="dxa"/>
            <w:vAlign w:val="center"/>
          </w:tcPr>
          <w:p>
            <w:pPr>
              <w:pStyle w:val="24"/>
              <w:kinsoku w:val="0"/>
              <w:overflowPunct w:val="0"/>
              <w:spacing w:before="12"/>
              <w:ind w:left="2" w:leftChars="0"/>
              <w:rPr>
                <w:rFonts w:hint="eastAsia" w:ascii="楷体" w:hAnsi="楷体" w:eastAsia="楷体" w:cs="宋体"/>
                <w:spacing w:val="-2"/>
                <w:sz w:val="21"/>
                <w:szCs w:val="21"/>
              </w:rPr>
            </w:pPr>
            <w:r>
              <w:rPr>
                <w:rFonts w:hint="eastAsia" w:ascii="楷体" w:hAnsi="楷体" w:eastAsia="楷体" w:cs="宋体"/>
                <w:b/>
                <w:spacing w:val="-2"/>
                <w:sz w:val="21"/>
                <w:szCs w:val="21"/>
                <w:highlight w:val="none"/>
              </w:rPr>
              <w:t>认购/申购资金的清算</w:t>
            </w:r>
          </w:p>
        </w:tc>
        <w:tc>
          <w:tcPr>
            <w:tcW w:w="6622" w:type="dxa"/>
            <w:vAlign w:val="center"/>
          </w:tcPr>
          <w:p>
            <w:pPr>
              <w:jc w:val="left"/>
              <w:rPr>
                <w:rFonts w:hint="eastAsia" w:ascii="楷体" w:hAnsi="楷体" w:eastAsia="楷体" w:cs="宋体"/>
                <w:spacing w:val="-2"/>
                <w:kern w:val="0"/>
                <w:szCs w:val="21"/>
                <w:highlight w:val="none"/>
              </w:rPr>
            </w:pPr>
            <w:r>
              <w:rPr>
                <w:rFonts w:hint="eastAsia" w:ascii="楷体" w:hAnsi="楷体" w:eastAsia="楷体" w:cs="宋体"/>
                <w:spacing w:val="-2"/>
                <w:kern w:val="0"/>
                <w:szCs w:val="21"/>
                <w:highlight w:val="none"/>
              </w:rPr>
              <w:t>1、投资者提出认购/申购申请后，投资者认购/申购资金将会冻结在投资者资金账户上。冻结期间资金利息根据《理财产品</w:t>
            </w:r>
            <w:r>
              <w:rPr>
                <w:rFonts w:hint="eastAsia" w:ascii="楷体" w:hAnsi="楷体" w:eastAsia="楷体" w:cs="宋体"/>
                <w:spacing w:val="-2"/>
                <w:kern w:val="0"/>
                <w:szCs w:val="21"/>
                <w:highlight w:val="none"/>
                <w:lang w:eastAsia="zh-CN"/>
              </w:rPr>
              <w:t>（代理）销售协议</w:t>
            </w:r>
            <w:r>
              <w:rPr>
                <w:rFonts w:hint="eastAsia" w:ascii="楷体" w:hAnsi="楷体" w:eastAsia="楷体" w:cs="宋体"/>
                <w:spacing w:val="-2"/>
                <w:kern w:val="0"/>
                <w:szCs w:val="21"/>
                <w:highlight w:val="none"/>
              </w:rPr>
              <w:t>书》相关条款确定。（以</w:t>
            </w:r>
            <w:r>
              <w:rPr>
                <w:rFonts w:hint="eastAsia" w:ascii="楷体" w:hAnsi="楷体" w:eastAsia="楷体" w:cs="宋体"/>
                <w:spacing w:val="-2"/>
                <w:kern w:val="0"/>
                <w:szCs w:val="21"/>
                <w:highlight w:val="none"/>
                <w:lang w:val="en-US" w:eastAsia="zh-CN"/>
              </w:rPr>
              <w:t>销售</w:t>
            </w:r>
            <w:r>
              <w:rPr>
                <w:rFonts w:ascii="楷体" w:hAnsi="楷体" w:eastAsia="楷体" w:cs="宋体"/>
                <w:spacing w:val="-2"/>
                <w:kern w:val="0"/>
                <w:szCs w:val="21"/>
                <w:highlight w:val="none"/>
              </w:rPr>
              <w:t>机构实际</w:t>
            </w:r>
            <w:r>
              <w:rPr>
                <w:rFonts w:hint="eastAsia" w:ascii="楷体" w:hAnsi="楷体" w:eastAsia="楷体" w:cs="宋体"/>
                <w:spacing w:val="-2"/>
                <w:kern w:val="0"/>
                <w:szCs w:val="21"/>
                <w:highlight w:val="none"/>
              </w:rPr>
              <w:t>设置</w:t>
            </w:r>
            <w:r>
              <w:rPr>
                <w:rFonts w:ascii="楷体" w:hAnsi="楷体" w:eastAsia="楷体" w:cs="宋体"/>
                <w:spacing w:val="-2"/>
                <w:kern w:val="0"/>
                <w:szCs w:val="21"/>
                <w:highlight w:val="none"/>
              </w:rPr>
              <w:t>的</w:t>
            </w:r>
            <w:r>
              <w:rPr>
                <w:rFonts w:hint="eastAsia" w:ascii="楷体" w:hAnsi="楷体" w:eastAsia="楷体" w:cs="宋体"/>
                <w:spacing w:val="-2"/>
                <w:kern w:val="0"/>
                <w:szCs w:val="21"/>
                <w:highlight w:val="none"/>
              </w:rPr>
              <w:t>规则</w:t>
            </w:r>
            <w:r>
              <w:rPr>
                <w:rFonts w:ascii="楷体" w:hAnsi="楷体" w:eastAsia="楷体" w:cs="宋体"/>
                <w:spacing w:val="-2"/>
                <w:kern w:val="0"/>
                <w:szCs w:val="21"/>
                <w:highlight w:val="none"/>
              </w:rPr>
              <w:t>为准</w:t>
            </w:r>
            <w:r>
              <w:rPr>
                <w:rFonts w:hint="eastAsia" w:ascii="楷体" w:hAnsi="楷体" w:eastAsia="楷体" w:cs="宋体"/>
                <w:spacing w:val="-2"/>
                <w:kern w:val="0"/>
                <w:szCs w:val="21"/>
                <w:highlight w:val="none"/>
              </w:rPr>
              <w:t>）</w:t>
            </w:r>
          </w:p>
          <w:p>
            <w:pPr>
              <w:ind w:right="115" w:rightChars="55"/>
              <w:rPr>
                <w:rFonts w:hint="eastAsia" w:ascii="楷体" w:hAnsi="楷体" w:eastAsia="楷体" w:cs="宋体"/>
                <w:spacing w:val="-2"/>
                <w:kern w:val="0"/>
                <w:szCs w:val="21"/>
              </w:rPr>
            </w:pPr>
            <w:r>
              <w:rPr>
                <w:rFonts w:hint="eastAsia" w:ascii="楷体" w:hAnsi="楷体" w:eastAsia="楷体" w:cs="宋体"/>
                <w:spacing w:val="-2"/>
                <w:kern w:val="0"/>
                <w:szCs w:val="21"/>
                <w:highlight w:val="none"/>
              </w:rPr>
              <w:t>2、管理人在份额确认日通知销售机构扣划投资者认购/申购资金，投资者应在扣款前保证资金账户中拥有足够可用余额。</w:t>
            </w:r>
            <w:r>
              <w:rPr>
                <w:rFonts w:hint="eastAsia" w:ascii="楷体" w:hAnsi="楷体" w:eastAsia="楷体" w:cs="宋体"/>
                <w:b/>
                <w:spacing w:val="-2"/>
                <w:kern w:val="0"/>
                <w:szCs w:val="21"/>
                <w:highlight w:val="none"/>
                <w:u w:val="single"/>
              </w:rPr>
              <w:t>因投资者资金账户余额不足、司法冻结、不可抗力因素或其他不可归责于苏银理财和销售机构的事由出现，造成扣款失败，认购/申购申请未被确认的，苏银理财和销售机构不承担</w:t>
            </w:r>
            <w:r>
              <w:rPr>
                <w:rFonts w:hint="eastAsia" w:ascii="楷体" w:hAnsi="楷体" w:eastAsia="楷体" w:cs="宋体"/>
                <w:b/>
                <w:spacing w:val="-2"/>
                <w:kern w:val="0"/>
                <w:szCs w:val="21"/>
                <w:highlight w:val="none"/>
                <w:u w:val="single"/>
                <w:lang w:val="en-US" w:eastAsia="zh-CN"/>
              </w:rPr>
              <w:t>相应</w:t>
            </w:r>
            <w:r>
              <w:rPr>
                <w:rFonts w:hint="eastAsia" w:ascii="楷体" w:hAnsi="楷体" w:eastAsia="楷体" w:cs="宋体"/>
                <w:b/>
                <w:spacing w:val="-2"/>
                <w:kern w:val="0"/>
                <w:szCs w:val="21"/>
                <w:highlight w:val="none"/>
                <w:u w:val="single"/>
              </w:rPr>
              <w:t>责任。苏银理财不计付在途资金从冻结日至份额确认日间的利息。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3" w:hRule="exact"/>
          <w:jc w:val="center"/>
        </w:trPr>
        <w:tc>
          <w:tcPr>
            <w:tcW w:w="2278" w:type="dxa"/>
            <w:vAlign w:val="center"/>
          </w:tcPr>
          <w:p>
            <w:pPr>
              <w:pStyle w:val="24"/>
              <w:kinsoku w:val="0"/>
              <w:overflowPunct w:val="0"/>
              <w:spacing w:before="18"/>
              <w:ind w:left="55" w:leftChars="0"/>
              <w:jc w:val="both"/>
              <w:rPr>
                <w:rFonts w:hint="eastAsia" w:ascii="楷体" w:hAnsi="楷体" w:eastAsia="楷体" w:cs="宋体"/>
                <w:b/>
                <w:spacing w:val="-2"/>
                <w:kern w:val="0"/>
                <w:sz w:val="21"/>
                <w:szCs w:val="21"/>
                <w:lang w:val="en-US" w:eastAsia="zh-CN" w:bidi="ar-SA"/>
              </w:rPr>
            </w:pPr>
            <w:r>
              <w:rPr>
                <w:rFonts w:hint="eastAsia" w:ascii="楷体" w:hAnsi="楷体" w:eastAsia="楷体" w:cs="宋体"/>
                <w:b/>
                <w:spacing w:val="-2"/>
                <w:sz w:val="21"/>
                <w:szCs w:val="21"/>
              </w:rPr>
              <w:t>巨额赎回</w:t>
            </w:r>
          </w:p>
        </w:tc>
        <w:tc>
          <w:tcPr>
            <w:tcW w:w="6622" w:type="dxa"/>
            <w:vAlign w:val="center"/>
          </w:tcPr>
          <w:p>
            <w:pPr>
              <w:ind w:right="115" w:rightChars="55"/>
              <w:rPr>
                <w:rFonts w:ascii="楷体" w:hAnsi="楷体" w:eastAsia="楷体" w:cs="宋体"/>
                <w:spacing w:val="-2"/>
                <w:szCs w:val="21"/>
              </w:rPr>
            </w:pPr>
            <w:r>
              <w:rPr>
                <w:rFonts w:hint="eastAsia" w:ascii="楷体" w:hAnsi="楷体" w:eastAsia="楷体" w:cs="宋体"/>
                <w:spacing w:val="-2"/>
                <w:szCs w:val="21"/>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Cs w:val="21"/>
              </w:rPr>
              <w:t>延期</w:t>
            </w:r>
            <w:r>
              <w:rPr>
                <w:rFonts w:hint="eastAsia" w:ascii="楷体" w:hAnsi="楷体" w:eastAsia="楷体" w:cs="宋体"/>
                <w:spacing w:val="-2"/>
                <w:szCs w:val="21"/>
              </w:rPr>
              <w:t>办理</w:t>
            </w:r>
            <w:r>
              <w:rPr>
                <w:rFonts w:ascii="楷体" w:hAnsi="楷体" w:eastAsia="楷体" w:cs="宋体"/>
                <w:spacing w:val="-2"/>
                <w:szCs w:val="21"/>
              </w:rPr>
              <w:t>巨额赎回</w:t>
            </w:r>
            <w:r>
              <w:rPr>
                <w:rFonts w:hint="eastAsia" w:ascii="楷体" w:hAnsi="楷体" w:eastAsia="楷体" w:cs="宋体"/>
                <w:spacing w:val="-2"/>
                <w:szCs w:val="21"/>
              </w:rPr>
              <w:t>等</w:t>
            </w:r>
            <w:r>
              <w:rPr>
                <w:rFonts w:ascii="楷体" w:hAnsi="楷体" w:eastAsia="楷体" w:cs="宋体"/>
                <w:spacing w:val="-2"/>
                <w:szCs w:val="21"/>
              </w:rPr>
              <w:t>措施</w:t>
            </w:r>
            <w:r>
              <w:rPr>
                <w:rFonts w:hint="eastAsia" w:ascii="楷体" w:hAnsi="楷体" w:eastAsia="楷体" w:cs="宋体"/>
                <w:spacing w:val="-2"/>
                <w:szCs w:val="21"/>
              </w:rPr>
              <w:t>，产品管理人将在采取</w:t>
            </w:r>
            <w:r>
              <w:rPr>
                <w:rFonts w:ascii="楷体" w:hAnsi="楷体" w:eastAsia="楷体" w:cs="宋体"/>
                <w:spacing w:val="-2"/>
                <w:szCs w:val="21"/>
              </w:rPr>
              <w:t>相关</w:t>
            </w:r>
            <w:r>
              <w:rPr>
                <w:rFonts w:hint="eastAsia" w:ascii="楷体" w:hAnsi="楷体" w:eastAsia="楷体" w:cs="宋体"/>
                <w:spacing w:val="-2"/>
                <w:szCs w:val="21"/>
              </w:rPr>
              <w:t>措施后3个工作日内进行信息披露。</w:t>
            </w:r>
          </w:p>
          <w:p>
            <w:pPr>
              <w:rPr>
                <w:rFonts w:ascii="楷体" w:hAnsi="楷体" w:eastAsia="楷体" w:cs="宋体"/>
                <w:b/>
                <w:spacing w:val="-2"/>
                <w:szCs w:val="21"/>
                <w:u w:val="single"/>
              </w:rPr>
            </w:pPr>
            <w:r>
              <w:rPr>
                <w:rFonts w:hint="eastAsia" w:ascii="楷体" w:hAnsi="楷体" w:eastAsia="楷体" w:cs="宋体"/>
                <w:b/>
                <w:spacing w:val="-2"/>
                <w:szCs w:val="21"/>
                <w:u w:val="single"/>
              </w:rPr>
              <w:t>1.全额赎回：当产品管理人有能力兑付投资者的全部赎回申请时，将在申请确认日按投资者申请赎回份额执行正常赎回程序。</w:t>
            </w:r>
          </w:p>
          <w:p>
            <w:pPr>
              <w:rPr>
                <w:rFonts w:ascii="楷体" w:hAnsi="楷体" w:eastAsia="楷体" w:cs="宋体"/>
                <w:b/>
                <w:spacing w:val="-2"/>
                <w:szCs w:val="21"/>
                <w:u w:val="single"/>
              </w:rPr>
            </w:pPr>
            <w:r>
              <w:rPr>
                <w:rFonts w:hint="eastAsia" w:ascii="楷体" w:hAnsi="楷体" w:eastAsia="楷体" w:cs="宋体"/>
                <w:b/>
                <w:spacing w:val="-2"/>
                <w:szCs w:val="21"/>
                <w:u w:val="single"/>
              </w:rPr>
              <w:t>2.部分赎回</w:t>
            </w:r>
            <w:r>
              <w:rPr>
                <w:rFonts w:ascii="楷体" w:hAnsi="楷体" w:eastAsia="楷体" w:cs="宋体"/>
                <w:b/>
                <w:spacing w:val="-2"/>
                <w:szCs w:val="21"/>
                <w:u w:val="single"/>
              </w:rPr>
              <w:t>：</w:t>
            </w:r>
            <w:r>
              <w:rPr>
                <w:rFonts w:hint="eastAsia" w:ascii="楷体" w:hAnsi="楷体" w:eastAsia="楷体" w:cs="宋体"/>
                <w:b/>
                <w:spacing w:val="-2"/>
                <w:szCs w:val="21"/>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hint="eastAsia" w:ascii="楷体" w:hAnsi="楷体" w:eastAsia="楷体" w:cs="宋体"/>
                <w:b/>
                <w:spacing w:val="-2"/>
                <w:kern w:val="2"/>
                <w:sz w:val="21"/>
                <w:szCs w:val="21"/>
                <w:u w:val="single"/>
                <w:lang w:val="en-US" w:eastAsia="zh-CN" w:bidi="ar-SA"/>
              </w:rPr>
            </w:pPr>
            <w:r>
              <w:rPr>
                <w:rFonts w:hint="eastAsia" w:ascii="楷体" w:hAnsi="楷体" w:eastAsia="楷体" w:cs="宋体"/>
                <w:b/>
                <w:spacing w:val="-2"/>
                <w:szCs w:val="21"/>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Cs w:val="21"/>
                <w:u w:val="single"/>
              </w:rPr>
              <w:t>可</w:t>
            </w:r>
            <w:r>
              <w:rPr>
                <w:rFonts w:hint="eastAsia" w:ascii="楷体" w:hAnsi="楷体" w:eastAsia="楷体" w:cs="宋体"/>
                <w:b/>
                <w:spacing w:val="-2"/>
                <w:szCs w:val="21"/>
                <w:u w:val="single"/>
              </w:rPr>
              <w:t>选择将当日未获受理部分予以撤销（巨额赎回处理方式具体以代销机构展示为准），未选择撤销的赎回申请，产品</w:t>
            </w:r>
            <w:r>
              <w:rPr>
                <w:rFonts w:ascii="楷体" w:hAnsi="楷体" w:eastAsia="楷体" w:cs="宋体"/>
                <w:b/>
                <w:spacing w:val="-2"/>
                <w:szCs w:val="21"/>
                <w:u w:val="single"/>
              </w:rPr>
              <w:t>管理人可以</w:t>
            </w:r>
            <w:r>
              <w:rPr>
                <w:rFonts w:hint="eastAsia" w:ascii="楷体" w:hAnsi="楷体" w:eastAsia="楷体" w:cs="宋体"/>
                <w:b/>
                <w:spacing w:val="-2"/>
                <w:szCs w:val="21"/>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exact"/>
          <w:jc w:val="center"/>
        </w:trPr>
        <w:tc>
          <w:tcPr>
            <w:tcW w:w="2278" w:type="dxa"/>
            <w:vAlign w:val="center"/>
          </w:tcPr>
          <w:p>
            <w:pPr>
              <w:pStyle w:val="24"/>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rPr>
              <w:t>连续巨额赎回</w:t>
            </w:r>
          </w:p>
        </w:tc>
        <w:tc>
          <w:tcPr>
            <w:tcW w:w="6622" w:type="dxa"/>
            <w:vAlign w:val="center"/>
          </w:tcPr>
          <w:p>
            <w:pPr>
              <w:ind w:right="53" w:rightChars="25"/>
              <w:rPr>
                <w:rFonts w:hint="eastAsia" w:ascii="楷体" w:hAnsi="楷体" w:eastAsia="楷体" w:cs="宋体"/>
                <w:b/>
                <w:spacing w:val="-2"/>
                <w:szCs w:val="21"/>
                <w:u w:val="single"/>
              </w:rPr>
            </w:pPr>
            <w:r>
              <w:rPr>
                <w:rFonts w:hint="eastAsia" w:ascii="楷体" w:hAnsi="楷体" w:eastAsia="楷体" w:cs="宋体"/>
                <w:spacing w:val="-2"/>
                <w:kern w:val="0"/>
                <w:szCs w:val="21"/>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exact"/>
          <w:jc w:val="center"/>
        </w:trPr>
        <w:tc>
          <w:tcPr>
            <w:tcW w:w="2278" w:type="dxa"/>
            <w:vAlign w:val="center"/>
          </w:tcPr>
          <w:p>
            <w:pPr>
              <w:pStyle w:val="24"/>
              <w:kinsoku w:val="0"/>
              <w:overflowPunct w:val="0"/>
              <w:spacing w:before="12"/>
              <w:ind w:left="2"/>
              <w:rPr>
                <w:rFonts w:hint="eastAsia" w:ascii="楷体" w:hAnsi="楷体" w:eastAsia="楷体" w:cs="宋体"/>
                <w:b/>
                <w:spacing w:val="-2"/>
                <w:sz w:val="21"/>
                <w:szCs w:val="21"/>
              </w:rPr>
            </w:pPr>
            <w:r>
              <w:rPr>
                <w:rFonts w:hint="eastAsia" w:ascii="楷体" w:hAnsi="楷体" w:eastAsia="楷体" w:cs="宋体"/>
                <w:b/>
                <w:spacing w:val="-2"/>
                <w:sz w:val="21"/>
                <w:szCs w:val="21"/>
              </w:rPr>
              <w:t>赎回资金的清算</w:t>
            </w:r>
          </w:p>
        </w:tc>
        <w:tc>
          <w:tcPr>
            <w:tcW w:w="6622" w:type="dxa"/>
            <w:vAlign w:val="center"/>
          </w:tcPr>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客户可全部或部分赎回所持有理财份额，由客户根据自身需要确定。未触发</w:t>
            </w:r>
            <w:r>
              <w:rPr>
                <w:rFonts w:hint="eastAsia" w:ascii="楷体" w:hAnsi="楷体" w:eastAsia="楷体" w:cs="宋体"/>
                <w:spacing w:val="-2"/>
                <w:sz w:val="21"/>
                <w:szCs w:val="21"/>
                <w:lang w:eastAsia="zh-CN"/>
              </w:rPr>
              <w:t>巨额赎回</w:t>
            </w:r>
            <w:r>
              <w:rPr>
                <w:rFonts w:hint="eastAsia" w:ascii="楷体" w:hAnsi="楷体" w:eastAsia="楷体" w:cs="宋体"/>
                <w:spacing w:val="-2"/>
                <w:sz w:val="21"/>
                <w:szCs w:val="21"/>
              </w:rPr>
              <w:t>条款情形下，投资者赎回申请将在确认日予以确认，投资者赎回资金将在确认日后2个工作日内到达投资者资金账户。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exact"/>
          <w:jc w:val="center"/>
        </w:trPr>
        <w:tc>
          <w:tcPr>
            <w:tcW w:w="2278" w:type="dxa"/>
            <w:vAlign w:val="center"/>
          </w:tcPr>
          <w:p>
            <w:pPr>
              <w:pStyle w:val="24"/>
              <w:kinsoku w:val="0"/>
              <w:overflowPunct w:val="0"/>
              <w:spacing w:before="12"/>
              <w:ind w:left="2"/>
              <w:rPr>
                <w:rFonts w:hint="eastAsia" w:ascii="楷体" w:hAnsi="楷体" w:eastAsia="楷体" w:cs="宋体"/>
                <w:b/>
                <w:spacing w:val="-2"/>
                <w:sz w:val="21"/>
                <w:szCs w:val="21"/>
              </w:rPr>
            </w:pPr>
            <w:r>
              <w:rPr>
                <w:rFonts w:hint="eastAsia" w:ascii="楷体" w:hAnsi="楷体" w:eastAsia="楷体" w:cs="宋体"/>
                <w:b/>
                <w:spacing w:val="-2"/>
                <w:sz w:val="21"/>
                <w:szCs w:val="21"/>
              </w:rPr>
              <w:t>赎回金额的计算</w:t>
            </w:r>
          </w:p>
        </w:tc>
        <w:tc>
          <w:tcPr>
            <w:tcW w:w="6622" w:type="dxa"/>
            <w:vAlign w:val="center"/>
          </w:tcPr>
          <w:p>
            <w:pPr>
              <w:pStyle w:val="24"/>
              <w:kinsoku w:val="0"/>
              <w:overflowPunct w:val="0"/>
              <w:spacing w:before="12"/>
              <w:ind w:left="59" w:right="88" w:rightChars="42"/>
              <w:jc w:val="both"/>
              <w:rPr>
                <w:rFonts w:hint="eastAsia" w:ascii="楷体" w:hAnsi="楷体" w:eastAsia="楷体" w:cs="宋体"/>
                <w:spacing w:val="-2"/>
                <w:sz w:val="21"/>
                <w:szCs w:val="21"/>
              </w:rPr>
            </w:pPr>
            <w:r>
              <w:rPr>
                <w:rFonts w:hint="eastAsia" w:ascii="楷体" w:hAnsi="楷体" w:eastAsia="楷体" w:cs="宋体"/>
                <w:spacing w:val="-2"/>
                <w:sz w:val="21"/>
                <w:szCs w:val="21"/>
              </w:rPr>
              <w:t>详见下文“九、产品运作”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06" w:hRule="exact"/>
          <w:jc w:val="center"/>
        </w:trPr>
        <w:tc>
          <w:tcPr>
            <w:tcW w:w="2278" w:type="dxa"/>
            <w:tcBorders>
              <w:bottom w:val="single" w:color="auto" w:sz="4" w:space="0"/>
            </w:tcBorders>
            <w:vAlign w:val="center"/>
          </w:tcPr>
          <w:p>
            <w:pPr>
              <w:pStyle w:val="24"/>
              <w:kinsoku w:val="0"/>
              <w:overflowPunct w:val="0"/>
              <w:spacing w:before="162"/>
              <w:rPr>
                <w:rFonts w:ascii="楷体" w:hAnsi="楷体" w:eastAsia="楷体" w:cs="宋体"/>
                <w:b/>
                <w:spacing w:val="-2"/>
                <w:sz w:val="21"/>
                <w:szCs w:val="21"/>
              </w:rPr>
            </w:pPr>
            <w:r>
              <w:rPr>
                <w:rFonts w:hint="eastAsia" w:ascii="楷体" w:hAnsi="楷体" w:eastAsia="楷体" w:cs="宋体"/>
                <w:b/>
                <w:spacing w:val="-2"/>
                <w:sz w:val="21"/>
                <w:szCs w:val="21"/>
              </w:rPr>
              <w:t>业绩比较基准</w:t>
            </w:r>
          </w:p>
          <w:p>
            <w:pPr>
              <w:pStyle w:val="24"/>
              <w:kinsoku w:val="0"/>
              <w:overflowPunct w:val="0"/>
              <w:spacing w:before="37"/>
              <w:ind w:left="2"/>
              <w:rPr>
                <w:rFonts w:ascii="楷体" w:hAnsi="楷体" w:eastAsia="楷体" w:cs="宋体"/>
                <w:b/>
                <w:spacing w:val="-2"/>
                <w:sz w:val="21"/>
                <w:szCs w:val="21"/>
              </w:rPr>
            </w:pPr>
            <w:r>
              <w:rPr>
                <w:rFonts w:hint="eastAsia" w:ascii="楷体" w:hAnsi="楷体" w:eastAsia="楷体" w:cs="宋体"/>
                <w:b/>
                <w:spacing w:val="-2"/>
                <w:sz w:val="21"/>
                <w:szCs w:val="21"/>
              </w:rPr>
              <w:t>（年化）</w:t>
            </w:r>
          </w:p>
        </w:tc>
        <w:tc>
          <w:tcPr>
            <w:tcW w:w="6622" w:type="dxa"/>
            <w:tcBorders>
              <w:bottom w:val="single" w:color="auto" w:sz="4" w:space="0"/>
            </w:tcBorders>
            <w:vAlign w:val="center"/>
          </w:tcPr>
          <w:p>
            <w:pPr>
              <w:pStyle w:val="24"/>
              <w:spacing w:before="37" w:line="273" w:lineRule="auto"/>
              <w:ind w:left="59" w:right="44" w:rightChars="21"/>
              <w:rPr>
                <w:rFonts w:hint="eastAsia" w:ascii="楷体" w:hAnsi="楷体" w:eastAsia="楷体" w:cs="宋体"/>
                <w:b/>
                <w:bCs/>
                <w:spacing w:val="-2"/>
                <w:sz w:val="21"/>
                <w:szCs w:val="21"/>
                <w:highlight w:val="none"/>
                <w:u w:val="single"/>
              </w:rPr>
            </w:pPr>
            <w:r>
              <w:rPr>
                <w:rFonts w:hint="eastAsia" w:ascii="楷体" w:hAnsi="楷体" w:eastAsia="楷体" w:cs="宋体"/>
                <w:b/>
                <w:bCs/>
                <w:spacing w:val="-2"/>
                <w:sz w:val="21"/>
                <w:szCs w:val="21"/>
                <w:highlight w:val="none"/>
                <w:u w:val="single"/>
              </w:rPr>
              <w:t>管理人</w:t>
            </w:r>
            <w:r>
              <w:rPr>
                <w:rFonts w:ascii="楷体" w:hAnsi="楷体" w:eastAsia="楷体" w:cs="宋体"/>
                <w:b/>
                <w:bCs/>
                <w:spacing w:val="-2"/>
                <w:sz w:val="21"/>
                <w:szCs w:val="21"/>
                <w:highlight w:val="none"/>
                <w:u w:val="single"/>
              </w:rPr>
              <w:t>参考过往投资经验，依据近期货币市场工具、债券等资产</w:t>
            </w:r>
            <w:r>
              <w:rPr>
                <w:rFonts w:hint="eastAsia" w:ascii="楷体" w:hAnsi="楷体" w:eastAsia="楷体" w:cs="宋体"/>
                <w:b/>
                <w:bCs/>
                <w:spacing w:val="-2"/>
                <w:sz w:val="21"/>
                <w:szCs w:val="21"/>
                <w:highlight w:val="none"/>
                <w:u w:val="single"/>
              </w:rPr>
              <w:t>投资</w:t>
            </w:r>
            <w:r>
              <w:rPr>
                <w:rFonts w:ascii="楷体" w:hAnsi="楷体" w:eastAsia="楷体" w:cs="宋体"/>
                <w:b/>
                <w:bCs/>
                <w:spacing w:val="-2"/>
                <w:sz w:val="21"/>
                <w:szCs w:val="21"/>
                <w:highlight w:val="none"/>
                <w:u w:val="single"/>
              </w:rPr>
              <w:t>收益水平，在产品说明书约定的投资范围和投资比例内</w:t>
            </w:r>
            <w:r>
              <w:rPr>
                <w:rFonts w:hint="eastAsia" w:ascii="楷体" w:hAnsi="楷体" w:eastAsia="楷体" w:cs="宋体"/>
                <w:b/>
                <w:bCs/>
                <w:spacing w:val="-2"/>
                <w:sz w:val="21"/>
                <w:szCs w:val="21"/>
                <w:highlight w:val="none"/>
                <w:u w:val="single"/>
                <w:lang w:eastAsia="zh-CN"/>
              </w:rPr>
              <w:t>，</w:t>
            </w:r>
            <w:r>
              <w:rPr>
                <w:rFonts w:hint="eastAsia" w:ascii="楷体" w:hAnsi="楷体" w:eastAsia="楷体" w:cs="宋体"/>
                <w:b/>
                <w:bCs/>
                <w:spacing w:val="-2"/>
                <w:sz w:val="21"/>
                <w:szCs w:val="21"/>
                <w:highlight w:val="none"/>
                <w:u w:val="single"/>
              </w:rPr>
              <w:t>综合考虑各份额收取的销售服务费和投资管理费的情况，模拟测算得出业绩比较基准。本产品各份额因收取的销售服务费和投资管理费存在差异，业绩比较基准设置将有所不同。各份额业绩比较基准如下：</w:t>
            </w:r>
          </w:p>
          <w:p>
            <w:pPr>
              <w:pStyle w:val="24"/>
              <w:kinsoku w:val="0"/>
              <w:overflowPunct w:val="0"/>
              <w:spacing w:before="37" w:line="273" w:lineRule="auto"/>
              <w:ind w:left="59" w:right="44" w:rightChars="21"/>
              <w:rPr>
                <w:rFonts w:hint="eastAsia" w:ascii="楷体" w:hAnsi="楷体" w:eastAsia="楷体" w:cs="宋体"/>
                <w:spacing w:val="-2"/>
                <w:sz w:val="21"/>
                <w:szCs w:val="21"/>
                <w:highlight w:val="none"/>
                <w:lang w:val="en-US" w:eastAsia="zh-CN"/>
              </w:rPr>
            </w:pPr>
            <w:r>
              <w:rPr>
                <w:rFonts w:hint="eastAsia" w:ascii="楷体" w:hAnsi="楷体" w:eastAsia="楷体" w:cs="宋体"/>
                <w:spacing w:val="-2"/>
                <w:sz w:val="21"/>
                <w:szCs w:val="21"/>
                <w:highlight w:val="none"/>
              </w:rPr>
              <w:t>苏银理财恒源月开放2号</w:t>
            </w:r>
            <w:r>
              <w:rPr>
                <w:rFonts w:hint="eastAsia" w:ascii="楷体" w:hAnsi="楷体" w:eastAsia="楷体" w:cs="宋体"/>
                <w:spacing w:val="-2"/>
                <w:sz w:val="21"/>
                <w:szCs w:val="21"/>
                <w:highlight w:val="none"/>
                <w:lang w:val="en-US" w:eastAsia="zh-CN"/>
              </w:rPr>
              <w:t>A：2.20%-3.20%</w:t>
            </w:r>
          </w:p>
          <w:p>
            <w:pPr>
              <w:pStyle w:val="24"/>
              <w:kinsoku w:val="0"/>
              <w:overflowPunct w:val="0"/>
              <w:spacing w:before="37" w:line="273" w:lineRule="auto"/>
              <w:ind w:left="59" w:right="44" w:rightChars="21"/>
              <w:rPr>
                <w:rFonts w:hint="eastAsia" w:ascii="楷体" w:hAnsi="楷体" w:eastAsia="楷体" w:cs="宋体"/>
                <w:spacing w:val="-2"/>
                <w:sz w:val="21"/>
                <w:szCs w:val="21"/>
                <w:highlight w:val="none"/>
                <w:lang w:val="en-US" w:eastAsia="zh-CN"/>
              </w:rPr>
            </w:pPr>
            <w:r>
              <w:rPr>
                <w:rFonts w:hint="eastAsia" w:ascii="楷体" w:hAnsi="楷体" w:eastAsia="楷体" w:cs="宋体"/>
                <w:spacing w:val="-2"/>
                <w:sz w:val="21"/>
                <w:szCs w:val="21"/>
                <w:highlight w:val="none"/>
                <w:lang w:val="en-US" w:eastAsia="zh-CN"/>
              </w:rPr>
              <w:t>苏银理财恒源月开放2号DF：2.25%-3.25%</w:t>
            </w:r>
          </w:p>
          <w:p>
            <w:pPr>
              <w:pStyle w:val="24"/>
              <w:kinsoku w:val="0"/>
              <w:overflowPunct w:val="0"/>
              <w:spacing w:before="37" w:line="273" w:lineRule="auto"/>
              <w:ind w:left="59" w:right="44" w:rightChars="21"/>
              <w:rPr>
                <w:rFonts w:hint="eastAsia"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苏银理财恒源月开放2号</w:t>
            </w:r>
            <w:r>
              <w:rPr>
                <w:rFonts w:hint="eastAsia" w:ascii="楷体" w:hAnsi="楷体" w:eastAsia="楷体" w:cs="宋体"/>
                <w:spacing w:val="-2"/>
                <w:sz w:val="21"/>
                <w:szCs w:val="21"/>
                <w:highlight w:val="none"/>
                <w:lang w:val="en-US" w:eastAsia="zh-CN"/>
              </w:rPr>
              <w:t>C</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2.25%-3.25%</w:t>
            </w:r>
          </w:p>
          <w:p>
            <w:pPr>
              <w:pStyle w:val="24"/>
              <w:kinsoku w:val="0"/>
              <w:overflowPunct w:val="0"/>
              <w:spacing w:before="37" w:line="273" w:lineRule="auto"/>
              <w:ind w:left="59" w:right="44" w:rightChars="21"/>
              <w:rPr>
                <w:rFonts w:hint="eastAsia"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苏银理财恒源月开放2号</w:t>
            </w:r>
            <w:r>
              <w:rPr>
                <w:rFonts w:hint="eastAsia" w:ascii="楷体" w:hAnsi="楷体" w:eastAsia="楷体" w:cs="宋体"/>
                <w:spacing w:val="-2"/>
                <w:sz w:val="21"/>
                <w:szCs w:val="21"/>
                <w:highlight w:val="none"/>
                <w:lang w:val="en-US" w:eastAsia="zh-CN"/>
              </w:rPr>
              <w:t>E</w:t>
            </w:r>
            <w:r>
              <w:rPr>
                <w:rFonts w:hint="eastAsia" w:ascii="楷体" w:hAnsi="楷体" w:eastAsia="楷体" w:cs="宋体"/>
                <w:spacing w:val="-2"/>
                <w:sz w:val="21"/>
                <w:szCs w:val="21"/>
                <w:highlight w:val="none"/>
                <w:lang w:eastAsia="zh-CN"/>
              </w:rPr>
              <w:t>：</w:t>
            </w:r>
            <w:r>
              <w:rPr>
                <w:rFonts w:hint="eastAsia" w:ascii="楷体" w:hAnsi="楷体" w:eastAsia="楷体" w:cs="宋体"/>
                <w:spacing w:val="-2"/>
                <w:sz w:val="21"/>
                <w:szCs w:val="21"/>
                <w:highlight w:val="none"/>
                <w:lang w:val="en-US" w:eastAsia="zh-CN"/>
              </w:rPr>
              <w:t>2.45%-3.45%</w:t>
            </w:r>
          </w:p>
          <w:p>
            <w:pPr>
              <w:pStyle w:val="24"/>
              <w:kinsoku w:val="0"/>
              <w:overflowPunct w:val="0"/>
              <w:spacing w:before="37" w:line="273" w:lineRule="auto"/>
              <w:ind w:left="59" w:right="44" w:rightChars="21"/>
              <w:rPr>
                <w:rFonts w:hint="default" w:ascii="楷体" w:hAnsi="楷体" w:eastAsia="楷体" w:cs="宋体"/>
                <w:spacing w:val="-2"/>
                <w:sz w:val="21"/>
                <w:szCs w:val="21"/>
                <w:highlight w:val="none"/>
                <w:lang w:eastAsia="zh-CN"/>
              </w:rPr>
            </w:pPr>
            <w:r>
              <w:rPr>
                <w:rFonts w:hint="eastAsia" w:ascii="楷体" w:hAnsi="楷体" w:eastAsia="楷体" w:cs="宋体"/>
                <w:spacing w:val="-2"/>
                <w:sz w:val="21"/>
                <w:szCs w:val="21"/>
                <w:highlight w:val="none"/>
              </w:rPr>
              <w:t>苏银理财恒源月开放2号</w:t>
            </w:r>
            <w:r>
              <w:rPr>
                <w:rFonts w:hint="eastAsia" w:ascii="楷体" w:hAnsi="楷体" w:eastAsia="楷体" w:cs="宋体"/>
                <w:spacing w:val="-2"/>
                <w:sz w:val="21"/>
                <w:szCs w:val="21"/>
                <w:highlight w:val="none"/>
                <w:lang w:val="en-US" w:eastAsia="zh-CN"/>
              </w:rPr>
              <w:t>F：2.20%-3.20%</w:t>
            </w:r>
          </w:p>
          <w:p>
            <w:pPr>
              <w:pStyle w:val="24"/>
              <w:kinsoku w:val="0"/>
              <w:overflowPunct w:val="0"/>
              <w:spacing w:before="37" w:line="273" w:lineRule="auto"/>
              <w:ind w:left="59" w:right="44" w:rightChars="21"/>
              <w:rPr>
                <w:rFonts w:hint="default" w:ascii="楷体" w:hAnsi="楷体" w:eastAsia="楷体" w:cs="宋体"/>
                <w:spacing w:val="-2"/>
                <w:sz w:val="21"/>
                <w:szCs w:val="21"/>
                <w:highlight w:val="none"/>
                <w:lang w:val="en-US" w:eastAsia="zh-CN"/>
              </w:rPr>
            </w:pPr>
            <w:r>
              <w:rPr>
                <w:rFonts w:hint="eastAsia" w:ascii="楷体" w:hAnsi="楷体" w:eastAsia="楷体" w:cs="宋体"/>
                <w:spacing w:val="-2"/>
                <w:sz w:val="21"/>
                <w:szCs w:val="21"/>
                <w:highlight w:val="none"/>
              </w:rPr>
              <w:t>苏银理财恒源月开放2号</w:t>
            </w:r>
            <w:r>
              <w:rPr>
                <w:rFonts w:hint="eastAsia" w:ascii="楷体" w:hAnsi="楷体" w:eastAsia="楷体" w:cs="宋体"/>
                <w:spacing w:val="-2"/>
                <w:sz w:val="21"/>
                <w:szCs w:val="21"/>
                <w:highlight w:val="none"/>
                <w:lang w:val="en-US" w:eastAsia="zh-CN"/>
              </w:rPr>
              <w:t>W：2.20%-3.20%</w:t>
            </w:r>
          </w:p>
          <w:p>
            <w:pPr>
              <w:pStyle w:val="24"/>
              <w:kinsoku w:val="0"/>
              <w:overflowPunct w:val="0"/>
              <w:spacing w:before="37"/>
              <w:ind w:left="57" w:right="88" w:rightChars="42"/>
              <w:rPr>
                <w:rFonts w:ascii="楷体" w:hAnsi="楷体" w:eastAsia="楷体" w:cs="宋体"/>
                <w:spacing w:val="-2"/>
                <w:sz w:val="21"/>
                <w:szCs w:val="21"/>
              </w:rPr>
            </w:pPr>
            <w:r>
              <w:rPr>
                <w:rFonts w:hint="eastAsia" w:ascii="楷体" w:hAnsi="楷体" w:eastAsia="楷体" w:cs="宋体"/>
                <w:b/>
                <w:spacing w:val="-2"/>
                <w:sz w:val="21"/>
                <w:szCs w:val="21"/>
                <w:highlight w:val="none"/>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9"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4"/>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22" w:type="dxa"/>
            <w:tcBorders>
              <w:top w:val="single" w:color="auto" w:sz="4" w:space="0"/>
              <w:left w:val="single" w:color="auto" w:sz="4" w:space="0"/>
              <w:bottom w:val="single" w:color="auto" w:sz="4" w:space="0"/>
              <w:right w:val="single" w:color="auto" w:sz="4" w:space="0"/>
            </w:tcBorders>
            <w:vAlign w:val="center"/>
          </w:tcPr>
          <w:p>
            <w:pPr>
              <w:ind w:left="59" w:right="88" w:rightChars="42"/>
              <w:jc w:val="both"/>
              <w:rPr>
                <w:rFonts w:hint="eastAsia" w:ascii="楷体" w:hAnsi="楷体" w:eastAsia="楷体" w:cs="宋体"/>
                <w:spacing w:val="-2"/>
                <w:szCs w:val="21"/>
                <w:lang w:val="en-US" w:eastAsia="zh-CN"/>
              </w:rPr>
            </w:pPr>
            <w:r>
              <w:rPr>
                <w:rFonts w:hint="eastAsia" w:ascii="楷体" w:hAnsi="楷体" w:eastAsia="楷体" w:cs="宋体"/>
                <w:spacing w:val="-2"/>
                <w:szCs w:val="21"/>
              </w:rPr>
              <w:t>本产品费用包括托管费、投资管理费、销售服务费以及产品运作和清算中产生的其他费用等。</w:t>
            </w:r>
            <w:r>
              <w:rPr>
                <w:rFonts w:hint="eastAsia" w:ascii="楷体" w:hAnsi="楷体" w:eastAsia="楷体" w:cs="宋体"/>
                <w:spacing w:val="-2"/>
                <w:szCs w:val="21"/>
                <w:lang w:val="en-US" w:eastAsia="zh-CN"/>
              </w:rPr>
              <w:t>各份额费用如下：</w:t>
            </w:r>
          </w:p>
          <w:p>
            <w:pPr>
              <w:ind w:left="59" w:right="88" w:rightChars="42"/>
              <w:jc w:val="both"/>
              <w:rPr>
                <w:rFonts w:hint="eastAsia" w:ascii="楷体" w:hAnsi="楷体" w:eastAsia="楷体" w:cs="宋体"/>
                <w:spacing w:val="-2"/>
                <w:szCs w:val="21"/>
              </w:rPr>
            </w:pPr>
            <w:r>
              <w:rPr>
                <w:rFonts w:hint="eastAsia" w:ascii="楷体" w:hAnsi="楷体" w:eastAsia="楷体" w:cs="宋体"/>
                <w:spacing w:val="-2"/>
                <w:szCs w:val="21"/>
              </w:rPr>
              <w:t>托管费率：0.02%/年；</w:t>
            </w:r>
          </w:p>
          <w:p>
            <w:pPr>
              <w:ind w:left="59" w:right="88" w:rightChars="42"/>
              <w:jc w:val="both"/>
              <w:rPr>
                <w:rFonts w:hint="eastAsia" w:ascii="楷体" w:hAnsi="楷体" w:eastAsia="楷体" w:cs="宋体"/>
                <w:spacing w:val="-2"/>
                <w:szCs w:val="21"/>
                <w:lang w:val="en-US" w:eastAsia="zh-CN"/>
              </w:rPr>
            </w:pPr>
            <w:r>
              <w:rPr>
                <w:rFonts w:hint="eastAsia" w:ascii="楷体" w:hAnsi="楷体" w:eastAsia="楷体" w:cs="宋体"/>
                <w:spacing w:val="-2"/>
                <w:szCs w:val="21"/>
              </w:rPr>
              <w:t>销售服务费率：</w:t>
            </w:r>
            <w:r>
              <w:rPr>
                <w:rFonts w:hint="eastAsia" w:ascii="楷体" w:hAnsi="楷体" w:eastAsia="楷体" w:cs="宋体"/>
                <w:spacing w:val="-2"/>
                <w:szCs w:val="21"/>
                <w:lang w:val="en-US" w:eastAsia="zh-CN"/>
              </w:rPr>
              <w:t>A/</w:t>
            </w:r>
            <w:r>
              <w:rPr>
                <w:rFonts w:hint="eastAsia" w:ascii="楷体" w:hAnsi="楷体" w:eastAsia="楷体" w:cs="宋体"/>
                <w:spacing w:val="-2"/>
                <w:sz w:val="21"/>
                <w:szCs w:val="21"/>
                <w:highlight w:val="none"/>
                <w:lang w:eastAsia="zh-CN"/>
              </w:rPr>
              <w:t>DF</w:t>
            </w:r>
            <w:r>
              <w:rPr>
                <w:rFonts w:hint="eastAsia" w:ascii="楷体" w:hAnsi="楷体" w:eastAsia="楷体" w:cs="宋体"/>
                <w:spacing w:val="-2"/>
                <w:sz w:val="21"/>
                <w:szCs w:val="21"/>
                <w:highlight w:val="none"/>
                <w:lang w:val="en-US" w:eastAsia="zh-CN"/>
              </w:rPr>
              <w:t>/C/E/F份额为</w:t>
            </w:r>
            <w:r>
              <w:rPr>
                <w:rFonts w:hint="eastAsia" w:ascii="楷体" w:hAnsi="楷体" w:eastAsia="楷体" w:cs="宋体"/>
                <w:spacing w:val="-2"/>
                <w:szCs w:val="21"/>
              </w:rPr>
              <w:t>0.2%/年；</w:t>
            </w:r>
            <w:r>
              <w:rPr>
                <w:rFonts w:hint="eastAsia" w:ascii="楷体" w:hAnsi="楷体" w:eastAsia="楷体" w:cs="宋体"/>
                <w:spacing w:val="-2"/>
                <w:szCs w:val="21"/>
                <w:lang w:val="en-US" w:eastAsia="zh-CN"/>
              </w:rPr>
              <w:t>W份额为0.30%/年；</w:t>
            </w:r>
          </w:p>
          <w:p>
            <w:pPr>
              <w:ind w:left="59" w:right="88" w:rightChars="42"/>
              <w:jc w:val="both"/>
              <w:rPr>
                <w:rFonts w:hint="default" w:ascii="楷体" w:hAnsi="楷体" w:eastAsia="楷体" w:cs="宋体"/>
                <w:spacing w:val="-2"/>
                <w:szCs w:val="21"/>
                <w:lang w:val="en-US" w:eastAsia="zh-CN"/>
              </w:rPr>
            </w:pPr>
            <w:r>
              <w:rPr>
                <w:rFonts w:hint="eastAsia" w:ascii="楷体" w:hAnsi="楷体" w:eastAsia="楷体" w:cs="宋体"/>
                <w:spacing w:val="-2"/>
                <w:szCs w:val="21"/>
              </w:rPr>
              <w:t>投资管理费率</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A/</w:t>
            </w:r>
            <w:r>
              <w:rPr>
                <w:rFonts w:hint="eastAsia" w:ascii="楷体" w:hAnsi="楷体" w:eastAsia="楷体" w:cs="宋体"/>
                <w:spacing w:val="-2"/>
                <w:sz w:val="21"/>
                <w:szCs w:val="21"/>
                <w:highlight w:val="none"/>
                <w:lang w:val="en-US" w:eastAsia="zh-CN"/>
              </w:rPr>
              <w:t>F份额为</w:t>
            </w:r>
            <w:r>
              <w:rPr>
                <w:rFonts w:hint="eastAsia" w:ascii="楷体" w:hAnsi="楷体" w:eastAsia="楷体" w:cs="宋体"/>
                <w:spacing w:val="-2"/>
                <w:szCs w:val="21"/>
              </w:rPr>
              <w:t>0.6</w:t>
            </w:r>
            <w:r>
              <w:rPr>
                <w:rFonts w:hint="eastAsia" w:ascii="楷体" w:hAnsi="楷体" w:eastAsia="楷体" w:cs="宋体"/>
                <w:spacing w:val="-2"/>
                <w:szCs w:val="21"/>
                <w:lang w:val="en-US" w:eastAsia="zh-CN"/>
              </w:rPr>
              <w:t>0</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 w:val="21"/>
                <w:szCs w:val="21"/>
                <w:highlight w:val="none"/>
                <w:lang w:eastAsia="zh-CN"/>
              </w:rPr>
              <w:t>DF</w:t>
            </w:r>
            <w:r>
              <w:rPr>
                <w:rFonts w:hint="eastAsia" w:ascii="楷体" w:hAnsi="楷体" w:eastAsia="楷体" w:cs="宋体"/>
                <w:spacing w:val="-2"/>
                <w:sz w:val="21"/>
                <w:szCs w:val="21"/>
                <w:highlight w:val="none"/>
                <w:lang w:val="en-US" w:eastAsia="zh-CN"/>
              </w:rPr>
              <w:t>/C份额为</w:t>
            </w:r>
            <w:r>
              <w:rPr>
                <w:rFonts w:hint="eastAsia" w:ascii="楷体" w:hAnsi="楷体" w:eastAsia="楷体" w:cs="宋体"/>
                <w:spacing w:val="-2"/>
                <w:szCs w:val="21"/>
              </w:rPr>
              <w:t>0.</w:t>
            </w:r>
            <w:r>
              <w:rPr>
                <w:rFonts w:hint="eastAsia" w:ascii="楷体" w:hAnsi="楷体" w:eastAsia="楷体" w:cs="宋体"/>
                <w:spacing w:val="-2"/>
                <w:szCs w:val="21"/>
                <w:lang w:val="en-US" w:eastAsia="zh-CN"/>
              </w:rPr>
              <w:t>55</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 w:val="21"/>
                <w:szCs w:val="21"/>
                <w:highlight w:val="none"/>
                <w:lang w:val="en-US" w:eastAsia="zh-CN"/>
              </w:rPr>
              <w:t>E份额为</w:t>
            </w:r>
            <w:r>
              <w:rPr>
                <w:rFonts w:hint="eastAsia" w:ascii="楷体" w:hAnsi="楷体" w:eastAsia="楷体" w:cs="宋体"/>
                <w:spacing w:val="-2"/>
                <w:szCs w:val="21"/>
              </w:rPr>
              <w:t>0.</w:t>
            </w:r>
            <w:r>
              <w:rPr>
                <w:rFonts w:hint="eastAsia" w:ascii="楷体" w:hAnsi="楷体" w:eastAsia="楷体" w:cs="宋体"/>
                <w:spacing w:val="-2"/>
                <w:szCs w:val="21"/>
                <w:lang w:val="en-US" w:eastAsia="zh-CN"/>
              </w:rPr>
              <w:t>35</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W份额为0.50%/年。</w:t>
            </w:r>
          </w:p>
          <w:p>
            <w:pPr>
              <w:ind w:left="59" w:right="88" w:rightChars="42"/>
              <w:jc w:val="both"/>
              <w:rPr>
                <w:rFonts w:ascii="楷体" w:hAnsi="楷体" w:eastAsia="楷体"/>
                <w:sz w:val="24"/>
                <w:szCs w:val="24"/>
              </w:rPr>
            </w:pPr>
            <w:r>
              <w:rPr>
                <w:rFonts w:hint="eastAsia" w:ascii="楷体" w:hAnsi="楷体" w:eastAsia="楷体" w:cs="宋体"/>
                <w:spacing w:val="-2"/>
                <w:szCs w:val="21"/>
              </w:rPr>
              <w:t>产品存续期内苏银理财可对</w:t>
            </w:r>
            <w:r>
              <w:rPr>
                <w:rFonts w:hint="eastAsia" w:ascii="楷体" w:hAnsi="楷体" w:eastAsia="楷体" w:cs="宋体"/>
                <w:spacing w:val="-2"/>
                <w:szCs w:val="21"/>
                <w:lang w:val="en-US" w:eastAsia="zh-CN"/>
              </w:rPr>
              <w:t>产品费用进行调整</w:t>
            </w:r>
            <w:r>
              <w:rPr>
                <w:rFonts w:hint="eastAsia" w:ascii="楷体" w:hAnsi="楷体" w:eastAsia="楷体" w:cs="宋体"/>
                <w:spacing w:val="-2"/>
                <w:szCs w:val="21"/>
              </w:rPr>
              <w:t>，</w:t>
            </w:r>
            <w:r>
              <w:rPr>
                <w:rFonts w:hint="eastAsia" w:ascii="楷体" w:hAnsi="楷体" w:eastAsia="楷体" w:cs="宋体"/>
                <w:spacing w:val="-2"/>
                <w:szCs w:val="21"/>
                <w:lang w:val="en-US" w:eastAsia="zh-CN"/>
              </w:rPr>
              <w:t>费用</w:t>
            </w:r>
            <w:r>
              <w:rPr>
                <w:rFonts w:hint="eastAsia" w:ascii="楷体" w:hAnsi="楷体" w:eastAsia="楷体" w:cs="宋体"/>
                <w:spacing w:val="-2"/>
                <w:szCs w:val="21"/>
              </w:rPr>
              <w:t>实际收取费率以管理人公告为准。</w:t>
            </w:r>
            <w:r>
              <w:rPr>
                <w:rFonts w:hint="eastAsia" w:ascii="楷体" w:hAnsi="楷体" w:eastAsia="楷体" w:cs="宋体"/>
                <w:b/>
                <w:bCs/>
                <w:spacing w:val="-2"/>
                <w:szCs w:val="21"/>
                <w:highlight w:val="none"/>
                <w:u w:val="single"/>
              </w:rPr>
              <w:t>本产品设置有多个份额，</w:t>
            </w:r>
            <w:r>
              <w:rPr>
                <w:rFonts w:hint="eastAsia" w:ascii="楷体" w:hAnsi="楷体" w:eastAsia="楷体" w:cs="宋体"/>
                <w:b/>
                <w:bCs/>
                <w:spacing w:val="-2"/>
                <w:szCs w:val="21"/>
                <w:highlight w:val="none"/>
                <w:u w:val="single"/>
                <w:lang w:eastAsia="zh-CN"/>
              </w:rPr>
              <w:t>各份额</w:t>
            </w:r>
            <w:r>
              <w:rPr>
                <w:rFonts w:hint="eastAsia" w:ascii="楷体" w:hAnsi="楷体" w:eastAsia="楷体" w:cs="宋体"/>
                <w:b/>
                <w:bCs/>
                <w:spacing w:val="-2"/>
                <w:szCs w:val="21"/>
                <w:highlight w:val="none"/>
                <w:u w:val="single"/>
              </w:rPr>
              <w:t>按照设置的销售对象和销售起点进行销售，</w:t>
            </w:r>
            <w:r>
              <w:rPr>
                <w:rFonts w:hint="eastAsia" w:ascii="楷体" w:hAnsi="楷体" w:eastAsia="楷体" w:cs="宋体"/>
                <w:b/>
                <w:bCs/>
                <w:spacing w:val="-2"/>
                <w:szCs w:val="21"/>
                <w:highlight w:val="none"/>
                <w:u w:val="single"/>
                <w:lang w:eastAsia="zh-CN"/>
              </w:rPr>
              <w:t>各份额</w:t>
            </w:r>
            <w:r>
              <w:rPr>
                <w:rFonts w:hint="eastAsia" w:ascii="楷体" w:hAnsi="楷体" w:eastAsia="楷体" w:cs="宋体"/>
                <w:b/>
                <w:bCs/>
                <w:spacing w:val="-2"/>
                <w:szCs w:val="21"/>
                <w:highlight w:val="none"/>
                <w:u w:val="single"/>
              </w:rPr>
              <w:t>实际收取的销售服务费率和投资管理费率可能存在差异，客户根据产品销售时设置的条件自主选择购买</w:t>
            </w:r>
            <w:r>
              <w:rPr>
                <w:rFonts w:hint="eastAsia" w:ascii="楷体" w:hAnsi="楷体" w:eastAsia="楷体" w:cs="宋体"/>
                <w:b/>
                <w:spacing w:val="-2"/>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估值日</w:t>
            </w:r>
          </w:p>
        </w:tc>
        <w:tc>
          <w:tcPr>
            <w:tcW w:w="6622" w:type="dxa"/>
            <w:tcBorders>
              <w:top w:val="single" w:color="auto" w:sz="4" w:space="0"/>
              <w:left w:val="single" w:color="auto" w:sz="4" w:space="0"/>
              <w:bottom w:val="single" w:color="auto" w:sz="4" w:space="0"/>
              <w:right w:val="single" w:color="auto" w:sz="4" w:space="0"/>
            </w:tcBorders>
            <w:vAlign w:val="center"/>
          </w:tcPr>
          <w:p>
            <w:pPr>
              <w:ind w:left="59" w:leftChars="0" w:right="73" w:rightChars="35"/>
              <w:rPr>
                <w:rFonts w:hint="eastAsia" w:ascii="楷体" w:hAnsi="楷体" w:eastAsia="楷体" w:cs="宋体"/>
                <w:spacing w:val="-2"/>
                <w:szCs w:val="21"/>
              </w:rPr>
            </w:pPr>
            <w:r>
              <w:rPr>
                <w:rFonts w:hint="eastAsia" w:ascii="楷体" w:hAnsi="楷体" w:eastAsia="楷体" w:cs="宋体"/>
                <w:spacing w:val="-2"/>
                <w:szCs w:val="21"/>
                <w:highlight w:val="none"/>
              </w:rPr>
              <w:t>本产品每日估值，每个开放日结束后2个工作日内通过本理财产品说明书约定方式披露上一投资周期终止日的单位净值、份额累计净值、</w:t>
            </w:r>
            <w:r>
              <w:rPr>
                <w:rFonts w:hint="eastAsia" w:ascii="楷体" w:hAnsi="楷体" w:eastAsia="楷体" w:cs="宋体"/>
                <w:spacing w:val="-2"/>
                <w:szCs w:val="21"/>
                <w:highlight w:val="none"/>
                <w:lang w:eastAsia="zh-CN"/>
              </w:rPr>
              <w:t>认/申购价格</w:t>
            </w:r>
            <w:r>
              <w:rPr>
                <w:rFonts w:hint="eastAsia" w:ascii="楷体" w:hAnsi="楷体" w:eastAsia="楷体" w:cs="宋体"/>
                <w:spacing w:val="-2"/>
                <w:szCs w:val="21"/>
                <w:highlight w:val="none"/>
              </w:rPr>
              <w:t>和赎回价格。详见下文“</w:t>
            </w:r>
            <w:r>
              <w:rPr>
                <w:rFonts w:hint="eastAsia" w:ascii="楷体" w:hAnsi="楷体" w:eastAsia="楷体" w:cs="宋体"/>
                <w:spacing w:val="-2"/>
                <w:szCs w:val="21"/>
                <w:highlight w:val="none"/>
                <w:lang w:val="en-US" w:eastAsia="zh-CN"/>
              </w:rPr>
              <w:t>十</w:t>
            </w:r>
            <w:r>
              <w:rPr>
                <w:rFonts w:hint="eastAsia" w:ascii="楷体" w:hAnsi="楷体" w:eastAsia="楷体" w:cs="宋体"/>
                <w:spacing w:val="-2"/>
                <w:szCs w:val="21"/>
                <w:highlight w:val="none"/>
              </w:rPr>
              <w:t>、产品估值”。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9"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4" w:leftChars="0"/>
              <w:jc w:val="left"/>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暂停估值</w:t>
            </w:r>
          </w:p>
        </w:tc>
        <w:tc>
          <w:tcPr>
            <w:tcW w:w="6622" w:type="dxa"/>
            <w:tcBorders>
              <w:top w:val="single" w:color="auto" w:sz="4" w:space="0"/>
              <w:left w:val="single" w:color="auto" w:sz="4" w:space="0"/>
              <w:bottom w:val="single" w:color="auto" w:sz="4" w:space="0"/>
              <w:right w:val="single" w:color="auto" w:sz="4" w:space="0"/>
            </w:tcBorders>
            <w:vAlign w:val="center"/>
          </w:tcPr>
          <w:p>
            <w:pPr>
              <w:ind w:right="115" w:rightChars="55"/>
              <w:rPr>
                <w:rFonts w:hint="eastAsia" w:ascii="楷体" w:hAnsi="楷体" w:eastAsia="楷体" w:cs="宋体"/>
                <w:spacing w:val="-2"/>
                <w:szCs w:val="21"/>
              </w:rPr>
            </w:pPr>
            <w:r>
              <w:rPr>
                <w:rFonts w:hint="eastAsia" w:ascii="楷体" w:hAnsi="楷体" w:eastAsia="楷体" w:cs="宋体"/>
                <w:spacing w:val="-2"/>
                <w:szCs w:val="21"/>
                <w:highlight w:val="none"/>
              </w:rPr>
              <w:t>本产品在前一估值日内，产品资产净值50%以上的资产不具备活跃交易市场或者在活跃市场中无报价，且不能采用估值技术可靠计量公允价值的，管理人将暂停本产品估值，并采取延缓支付赎回款项或暂停接受理财产品认购、赎回申请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4"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收益分配</w:t>
            </w:r>
          </w:p>
        </w:tc>
        <w:tc>
          <w:tcPr>
            <w:tcW w:w="6622" w:type="dxa"/>
            <w:tcBorders>
              <w:top w:val="single" w:color="auto" w:sz="4" w:space="0"/>
              <w:left w:val="single" w:color="auto" w:sz="4" w:space="0"/>
              <w:bottom w:val="single" w:color="auto" w:sz="4" w:space="0"/>
              <w:right w:val="single" w:color="auto" w:sz="4" w:space="0"/>
            </w:tcBorders>
            <w:vAlign w:val="center"/>
          </w:tcPr>
          <w:p>
            <w:pPr>
              <w:ind w:left="59" w:leftChars="0" w:right="73" w:rightChars="35"/>
              <w:rPr>
                <w:rFonts w:hint="eastAsia" w:ascii="楷体" w:hAnsi="楷体" w:eastAsia="楷体" w:cs="宋体"/>
                <w:spacing w:val="-2"/>
                <w:szCs w:val="21"/>
                <w:highlight w:val="none"/>
              </w:rPr>
            </w:pPr>
            <w:r>
              <w:rPr>
                <w:rFonts w:hint="eastAsia" w:ascii="楷体" w:hAnsi="楷体" w:eastAsia="楷体" w:cs="宋体"/>
                <w:spacing w:val="-2"/>
                <w:szCs w:val="21"/>
                <w:highlight w:val="none"/>
              </w:rPr>
              <w:t>本产品无分红机制，投资运作情况体现为产品净值变化。产品投资运作</w:t>
            </w:r>
          </w:p>
          <w:p>
            <w:pPr>
              <w:ind w:left="59" w:leftChars="0" w:right="73" w:rightChars="35"/>
              <w:rPr>
                <w:rFonts w:hint="eastAsia" w:ascii="楷体" w:hAnsi="楷体" w:eastAsia="楷体" w:cs="宋体"/>
                <w:spacing w:val="-2"/>
                <w:szCs w:val="21"/>
                <w:highlight w:val="none"/>
              </w:rPr>
            </w:pPr>
            <w:r>
              <w:rPr>
                <w:rFonts w:hint="eastAsia" w:ascii="楷体" w:hAnsi="楷体" w:eastAsia="楷体" w:cs="宋体"/>
                <w:spacing w:val="-2"/>
                <w:szCs w:val="21"/>
                <w:highlight w:val="none"/>
              </w:rPr>
              <w:t>到期，投资收益扣除相关费用后，全部分配给投资者。详见下文“</w:t>
            </w:r>
            <w:r>
              <w:rPr>
                <w:rFonts w:hint="eastAsia" w:ascii="楷体" w:hAnsi="楷体" w:eastAsia="楷体" w:cs="宋体"/>
                <w:spacing w:val="-2"/>
                <w:szCs w:val="21"/>
                <w:highlight w:val="none"/>
                <w:lang w:val="en-US" w:eastAsia="zh-CN"/>
              </w:rPr>
              <w:t>十一</w:t>
            </w:r>
            <w:r>
              <w:rPr>
                <w:rFonts w:hint="eastAsia" w:ascii="楷体" w:hAnsi="楷体" w:eastAsia="楷体" w:cs="宋体"/>
                <w:spacing w:val="-2"/>
                <w:szCs w:val="21"/>
                <w:highlight w:val="none"/>
              </w:rPr>
              <w:t>、</w:t>
            </w:r>
          </w:p>
          <w:p>
            <w:pPr>
              <w:ind w:left="59" w:leftChars="0" w:right="73" w:rightChars="35"/>
              <w:rPr>
                <w:rFonts w:hint="eastAsia" w:ascii="楷体" w:hAnsi="楷体" w:eastAsia="楷体" w:cs="宋体"/>
                <w:spacing w:val="-2"/>
                <w:szCs w:val="21"/>
              </w:rPr>
            </w:pPr>
            <w:r>
              <w:rPr>
                <w:rFonts w:hint="eastAsia" w:ascii="楷体" w:hAnsi="楷体" w:eastAsia="楷体" w:cs="宋体"/>
                <w:spacing w:val="-2"/>
                <w:szCs w:val="21"/>
                <w:highlight w:val="none"/>
              </w:rPr>
              <w:t>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信息披露</w:t>
            </w:r>
          </w:p>
        </w:tc>
        <w:tc>
          <w:tcPr>
            <w:tcW w:w="6622" w:type="dxa"/>
            <w:tcBorders>
              <w:top w:val="single" w:color="auto" w:sz="4" w:space="0"/>
              <w:left w:val="single" w:color="auto" w:sz="4" w:space="0"/>
              <w:bottom w:val="single" w:color="auto" w:sz="4" w:space="0"/>
              <w:right w:val="single" w:color="auto" w:sz="4" w:space="0"/>
            </w:tcBorders>
            <w:vAlign w:val="center"/>
          </w:tcPr>
          <w:p>
            <w:pPr>
              <w:ind w:left="59" w:leftChars="0" w:right="73" w:rightChars="35"/>
              <w:rPr>
                <w:rFonts w:hint="eastAsia" w:ascii="楷体" w:hAnsi="楷体" w:eastAsia="楷体" w:cs="宋体"/>
                <w:spacing w:val="-2"/>
                <w:szCs w:val="21"/>
              </w:rPr>
            </w:pPr>
            <w:r>
              <w:rPr>
                <w:rFonts w:hint="eastAsia" w:ascii="楷体" w:hAnsi="楷体" w:eastAsia="楷体" w:cs="宋体"/>
                <w:spacing w:val="-2"/>
                <w:szCs w:val="21"/>
                <w:highlight w:val="none"/>
              </w:rPr>
              <w:t>管理人将按照《理财产品说明书》中约定的方式进行信息披露，详见下文“十</w:t>
            </w:r>
            <w:r>
              <w:rPr>
                <w:rFonts w:hint="eastAsia" w:ascii="楷体" w:hAnsi="楷体" w:eastAsia="楷体" w:cs="宋体"/>
                <w:spacing w:val="-2"/>
                <w:szCs w:val="21"/>
                <w:highlight w:val="none"/>
                <w:lang w:val="en-US" w:eastAsia="zh-CN"/>
              </w:rPr>
              <w:t>五</w:t>
            </w:r>
            <w:r>
              <w:rPr>
                <w:rFonts w:hint="eastAsia" w:ascii="楷体" w:hAnsi="楷体" w:eastAsia="楷体" w:cs="宋体"/>
                <w:spacing w:val="-2"/>
                <w:szCs w:val="21"/>
                <w:highlight w:val="none"/>
              </w:rPr>
              <w:t>、信息披露”。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exact"/>
          <w:jc w:val="center"/>
        </w:trPr>
        <w:tc>
          <w:tcPr>
            <w:tcW w:w="2278" w:type="dxa"/>
            <w:tcBorders>
              <w:top w:val="single" w:color="auto" w:sz="4" w:space="0"/>
              <w:left w:val="single" w:color="auto" w:sz="4" w:space="0"/>
              <w:bottom w:val="single" w:color="auto" w:sz="4" w:space="0"/>
              <w:right w:val="single" w:color="auto" w:sz="4" w:space="0"/>
            </w:tcBorders>
            <w:vAlign w:val="center"/>
          </w:tcPr>
          <w:p>
            <w:pPr>
              <w:pStyle w:val="24"/>
              <w:kinsoku w:val="0"/>
              <w:overflowPunct w:val="0"/>
              <w:spacing w:before="18"/>
              <w:ind w:left="55" w:leftChars="0"/>
              <w:jc w:val="both"/>
              <w:rPr>
                <w:rFonts w:hint="eastAsia" w:ascii="楷体" w:hAnsi="楷体" w:eastAsia="楷体" w:cs="宋体"/>
                <w:b/>
                <w:spacing w:val="-2"/>
                <w:sz w:val="21"/>
                <w:szCs w:val="21"/>
              </w:rPr>
            </w:pPr>
            <w:r>
              <w:rPr>
                <w:rFonts w:hint="eastAsia" w:ascii="楷体" w:hAnsi="楷体" w:eastAsia="楷体" w:cs="宋体"/>
                <w:b/>
                <w:spacing w:val="-2"/>
                <w:sz w:val="21"/>
                <w:szCs w:val="21"/>
                <w:highlight w:val="none"/>
              </w:rPr>
              <w:t>税款</w:t>
            </w:r>
          </w:p>
        </w:tc>
        <w:tc>
          <w:tcPr>
            <w:tcW w:w="6622" w:type="dxa"/>
            <w:tcBorders>
              <w:top w:val="single" w:color="auto" w:sz="4" w:space="0"/>
              <w:left w:val="single" w:color="auto" w:sz="4" w:space="0"/>
              <w:bottom w:val="single" w:color="auto" w:sz="4" w:space="0"/>
              <w:right w:val="single" w:color="auto" w:sz="4" w:space="0"/>
            </w:tcBorders>
            <w:vAlign w:val="center"/>
          </w:tcPr>
          <w:p>
            <w:pPr>
              <w:ind w:left="59" w:leftChars="0" w:right="73" w:rightChars="35"/>
              <w:rPr>
                <w:rFonts w:hint="eastAsia" w:ascii="楷体" w:hAnsi="楷体" w:eastAsia="楷体" w:cs="宋体"/>
                <w:spacing w:val="-2"/>
                <w:szCs w:val="21"/>
              </w:rPr>
            </w:pPr>
            <w:r>
              <w:rPr>
                <w:rFonts w:hint="eastAsia" w:ascii="楷体" w:hAnsi="楷体" w:eastAsia="楷体" w:cs="宋体"/>
                <w:spacing w:val="-2"/>
                <w:szCs w:val="21"/>
                <w:highlight w:val="none"/>
              </w:rPr>
              <w:t>本产品运作过程中涉及的各纳税主体，其纳税义务按国家税收法律、法规执行。详见下文“十</w:t>
            </w:r>
            <w:r>
              <w:rPr>
                <w:rFonts w:hint="eastAsia" w:ascii="楷体" w:hAnsi="楷体" w:eastAsia="楷体" w:cs="宋体"/>
                <w:spacing w:val="-2"/>
                <w:szCs w:val="21"/>
                <w:highlight w:val="none"/>
                <w:lang w:val="en-US" w:eastAsia="zh-CN"/>
              </w:rPr>
              <w:t>三</w:t>
            </w:r>
            <w:r>
              <w:rPr>
                <w:rFonts w:hint="eastAsia" w:ascii="楷体" w:hAnsi="楷体" w:eastAsia="楷体" w:cs="宋体"/>
                <w:spacing w:val="-2"/>
                <w:szCs w:val="21"/>
                <w:highlight w:val="none"/>
              </w:rPr>
              <w:t>、税收规定”。</w:t>
            </w:r>
          </w:p>
        </w:tc>
      </w:tr>
    </w:tbl>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rPr>
        <w:t>产品管理人</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投资</w:t>
      </w:r>
      <w:r>
        <w:rPr>
          <w:rFonts w:ascii="楷体" w:hAnsi="楷体" w:eastAsia="楷体"/>
          <w:sz w:val="24"/>
          <w:szCs w:val="24"/>
          <w:highlight w:val="none"/>
        </w:rPr>
        <w:t>者</w:t>
      </w:r>
      <w:r>
        <w:rPr>
          <w:rFonts w:hint="eastAsia" w:ascii="楷体" w:hAnsi="楷体" w:eastAsia="楷体"/>
          <w:sz w:val="24"/>
          <w:szCs w:val="24"/>
          <w:highlight w:val="none"/>
        </w:rPr>
        <w:t>在此</w:t>
      </w:r>
      <w:r>
        <w:rPr>
          <w:rFonts w:ascii="楷体" w:hAnsi="楷体" w:eastAsia="楷体"/>
          <w:sz w:val="24"/>
          <w:szCs w:val="24"/>
          <w:highlight w:val="none"/>
        </w:rPr>
        <w:t>授权并同意苏银理财享有以下权利：</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按照</w:t>
      </w:r>
      <w:r>
        <w:rPr>
          <w:rFonts w:ascii="楷体" w:hAnsi="楷体" w:eastAsia="楷体" w:cs="Calibri"/>
          <w:sz w:val="24"/>
          <w:szCs w:val="24"/>
          <w:highlight w:val="none"/>
        </w:rPr>
        <w:t>本理财产品合同</w:t>
      </w:r>
      <w:r>
        <w:rPr>
          <w:rFonts w:hint="eastAsia" w:ascii="楷体" w:hAnsi="楷体" w:eastAsia="楷体" w:cs="Calibri"/>
          <w:sz w:val="24"/>
          <w:szCs w:val="24"/>
          <w:highlight w:val="none"/>
        </w:rPr>
        <w:t>的</w:t>
      </w:r>
      <w:r>
        <w:rPr>
          <w:rFonts w:ascii="楷体" w:hAnsi="楷体" w:eastAsia="楷体" w:cs="Calibri"/>
          <w:sz w:val="24"/>
          <w:szCs w:val="24"/>
          <w:highlight w:val="none"/>
        </w:rPr>
        <w:t>约定，管理、运用和处分理财计划资金。</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按照</w:t>
      </w:r>
      <w:r>
        <w:rPr>
          <w:rFonts w:ascii="楷体" w:hAnsi="楷体" w:eastAsia="楷体" w:cs="Calibri"/>
          <w:sz w:val="24"/>
          <w:szCs w:val="24"/>
          <w:highlight w:val="none"/>
        </w:rPr>
        <w:t>本理财</w:t>
      </w:r>
      <w:r>
        <w:rPr>
          <w:rFonts w:hint="eastAsia" w:ascii="楷体" w:hAnsi="楷体" w:eastAsia="楷体" w:cs="Calibri"/>
          <w:sz w:val="24"/>
          <w:szCs w:val="24"/>
          <w:highlight w:val="none"/>
        </w:rPr>
        <w:t>产品</w:t>
      </w:r>
      <w:r>
        <w:rPr>
          <w:rFonts w:ascii="楷体" w:hAnsi="楷体" w:eastAsia="楷体" w:cs="Calibri"/>
          <w:sz w:val="24"/>
          <w:szCs w:val="24"/>
          <w:highlight w:val="none"/>
        </w:rPr>
        <w:t>合同的约定，及时、足额获得投资管理费。</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有权根据本理财产品合同的约定提前终止</w:t>
      </w:r>
      <w:r>
        <w:rPr>
          <w:rFonts w:hint="eastAsia" w:ascii="楷体" w:hAnsi="楷体" w:eastAsia="楷体" w:cs="Calibri"/>
          <w:sz w:val="24"/>
          <w:szCs w:val="24"/>
          <w:highlight w:val="none"/>
        </w:rPr>
        <w:t>或</w:t>
      </w:r>
      <w:r>
        <w:rPr>
          <w:rFonts w:ascii="楷体" w:hAnsi="楷体" w:eastAsia="楷体" w:cs="Calibri"/>
          <w:sz w:val="24"/>
          <w:szCs w:val="24"/>
          <w:highlight w:val="none"/>
        </w:rPr>
        <w:t>延长</w:t>
      </w:r>
      <w:r>
        <w:rPr>
          <w:rFonts w:hint="eastAsia" w:ascii="楷体" w:hAnsi="楷体" w:eastAsia="楷体" w:cs="Calibri"/>
          <w:sz w:val="24"/>
          <w:szCs w:val="24"/>
          <w:highlight w:val="none"/>
        </w:rPr>
        <w:t>本</w:t>
      </w:r>
      <w:r>
        <w:rPr>
          <w:rFonts w:ascii="楷体" w:hAnsi="楷体" w:eastAsia="楷体" w:cs="Calibri"/>
          <w:sz w:val="24"/>
          <w:szCs w:val="24"/>
          <w:highlight w:val="none"/>
        </w:rPr>
        <w:t>理财产品的期限。</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w:t>
      </w:r>
      <w:r>
        <w:rPr>
          <w:rFonts w:hint="eastAsia" w:ascii="楷体" w:hAnsi="楷体" w:eastAsia="楷体" w:cs="Calibri"/>
          <w:sz w:val="24"/>
          <w:szCs w:val="24"/>
          <w:highlight w:val="none"/>
        </w:rPr>
        <w:t>调整</w:t>
      </w:r>
      <w:r>
        <w:rPr>
          <w:rFonts w:ascii="楷体" w:hAnsi="楷体" w:eastAsia="楷体" w:cs="Calibri"/>
          <w:sz w:val="24"/>
          <w:szCs w:val="24"/>
          <w:highlight w:val="none"/>
        </w:rPr>
        <w:t>本</w:t>
      </w:r>
      <w:r>
        <w:rPr>
          <w:rFonts w:hint="eastAsia" w:ascii="楷体" w:hAnsi="楷体" w:eastAsia="楷体" w:cs="Calibri"/>
          <w:sz w:val="24"/>
          <w:szCs w:val="24"/>
          <w:highlight w:val="none"/>
        </w:rPr>
        <w:t>理财</w:t>
      </w:r>
      <w:r>
        <w:rPr>
          <w:rFonts w:ascii="楷体" w:hAnsi="楷体" w:eastAsia="楷体" w:cs="Calibri"/>
          <w:sz w:val="24"/>
          <w:szCs w:val="24"/>
          <w:highlight w:val="none"/>
        </w:rPr>
        <w:t>产品的认购规模</w:t>
      </w:r>
      <w:r>
        <w:rPr>
          <w:rFonts w:hint="eastAsia" w:ascii="楷体" w:hAnsi="楷体" w:eastAsia="楷体" w:cs="Calibri"/>
          <w:sz w:val="24"/>
          <w:szCs w:val="24"/>
          <w:highlight w:val="none"/>
        </w:rPr>
        <w:t>上限</w:t>
      </w:r>
      <w:r>
        <w:rPr>
          <w:rFonts w:ascii="楷体" w:hAnsi="楷体" w:eastAsia="楷体" w:cs="Calibri"/>
          <w:sz w:val="24"/>
          <w:szCs w:val="24"/>
          <w:highlight w:val="none"/>
        </w:rPr>
        <w:t>、认购起点、</w:t>
      </w:r>
      <w:r>
        <w:rPr>
          <w:rFonts w:hint="eastAsia" w:ascii="楷体" w:hAnsi="楷体" w:eastAsia="楷体" w:cs="Calibri"/>
          <w:sz w:val="24"/>
          <w:szCs w:val="24"/>
          <w:highlight w:val="none"/>
        </w:rPr>
        <w:t>认购</w:t>
      </w:r>
      <w:r>
        <w:rPr>
          <w:rFonts w:ascii="楷体" w:hAnsi="楷体" w:eastAsia="楷体" w:cs="Calibri"/>
          <w:sz w:val="24"/>
          <w:szCs w:val="24"/>
          <w:highlight w:val="none"/>
        </w:rPr>
        <w:t>金额上限、认购资金的</w:t>
      </w:r>
      <w:r>
        <w:rPr>
          <w:rFonts w:hint="eastAsia" w:ascii="楷体" w:hAnsi="楷体" w:eastAsia="楷体" w:cs="Calibri"/>
          <w:sz w:val="24"/>
          <w:szCs w:val="24"/>
          <w:highlight w:val="none"/>
          <w:lang w:val="en-US" w:eastAsia="zh-CN"/>
        </w:rPr>
        <w:t>最低</w:t>
      </w:r>
      <w:r>
        <w:rPr>
          <w:rFonts w:ascii="楷体" w:hAnsi="楷体" w:eastAsia="楷体" w:cs="Calibri"/>
          <w:sz w:val="24"/>
          <w:szCs w:val="24"/>
          <w:highlight w:val="none"/>
        </w:rPr>
        <w:t>金额等</w:t>
      </w:r>
      <w:r>
        <w:rPr>
          <w:rFonts w:hint="eastAsia" w:ascii="楷体" w:hAnsi="楷体" w:eastAsia="楷体" w:cs="Calibri"/>
          <w:sz w:val="24"/>
          <w:szCs w:val="24"/>
          <w:highlight w:val="none"/>
        </w:rPr>
        <w:t>要素</w:t>
      </w:r>
      <w:r>
        <w:rPr>
          <w:rFonts w:ascii="楷体" w:hAnsi="楷体" w:eastAsia="楷体" w:cs="Calibri"/>
          <w:sz w:val="24"/>
          <w:szCs w:val="24"/>
          <w:highlight w:val="none"/>
        </w:rPr>
        <w:t>。</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管理人</w:t>
      </w:r>
      <w:r>
        <w:rPr>
          <w:rFonts w:ascii="楷体" w:hAnsi="楷体" w:eastAsia="楷体" w:cs="Calibri"/>
          <w:sz w:val="24"/>
          <w:szCs w:val="24"/>
          <w:highlight w:val="none"/>
        </w:rPr>
        <w:t>有权依照法律规定和监管机构的要求将投资者的信息向有权部门或相关机构披露。</w:t>
      </w:r>
    </w:p>
    <w:p>
      <w:pPr>
        <w:numPr>
          <w:ilvl w:val="0"/>
          <w:numId w:val="4"/>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以</w:t>
      </w:r>
      <w:r>
        <w:rPr>
          <w:rFonts w:ascii="楷体" w:hAnsi="楷体" w:eastAsia="楷体" w:cs="Calibri"/>
          <w:sz w:val="24"/>
          <w:szCs w:val="24"/>
          <w:highlight w:val="none"/>
        </w:rPr>
        <w:t>理财产品投资管理人的名义，依照法律法规相关规定以及为理财产品的利益，对被投资的各类基金、公司/</w:t>
      </w:r>
      <w:r>
        <w:rPr>
          <w:rFonts w:hint="eastAsia" w:ascii="楷体" w:hAnsi="楷体" w:eastAsia="楷体" w:cs="Calibri"/>
          <w:sz w:val="24"/>
          <w:szCs w:val="24"/>
          <w:highlight w:val="none"/>
        </w:rPr>
        <w:t>企业</w:t>
      </w:r>
      <w:r>
        <w:rPr>
          <w:rFonts w:ascii="楷体" w:hAnsi="楷体" w:eastAsia="楷体" w:cs="Calibri"/>
          <w:sz w:val="24"/>
          <w:szCs w:val="24"/>
          <w:highlight w:val="none"/>
        </w:rPr>
        <w:t>等</w:t>
      </w:r>
      <w:r>
        <w:rPr>
          <w:rFonts w:hint="eastAsia" w:ascii="楷体" w:hAnsi="楷体" w:eastAsia="楷体" w:cs="Calibri"/>
          <w:sz w:val="24"/>
          <w:szCs w:val="24"/>
          <w:highlight w:val="none"/>
        </w:rPr>
        <w:t>行使</w:t>
      </w:r>
      <w:r>
        <w:rPr>
          <w:rFonts w:ascii="楷体" w:hAnsi="楷体" w:eastAsia="楷体" w:cs="Calibri"/>
          <w:sz w:val="24"/>
          <w:szCs w:val="24"/>
          <w:highlight w:val="none"/>
        </w:rPr>
        <w:t>出资人</w:t>
      </w:r>
      <w:r>
        <w:rPr>
          <w:rFonts w:hint="eastAsia" w:ascii="楷体" w:hAnsi="楷体" w:eastAsia="楷体" w:cs="Calibri"/>
          <w:sz w:val="24"/>
          <w:szCs w:val="24"/>
          <w:highlight w:val="none"/>
        </w:rPr>
        <w:t>/投资者</w:t>
      </w:r>
      <w:r>
        <w:rPr>
          <w:rFonts w:ascii="楷体" w:hAnsi="楷体" w:eastAsia="楷体" w:cs="Calibri"/>
          <w:sz w:val="24"/>
          <w:szCs w:val="24"/>
          <w:highlight w:val="none"/>
        </w:rPr>
        <w:t>权利（</w:t>
      </w:r>
      <w:r>
        <w:rPr>
          <w:rFonts w:hint="eastAsia" w:ascii="楷体" w:hAnsi="楷体" w:eastAsia="楷体" w:cs="Calibri"/>
          <w:sz w:val="24"/>
          <w:szCs w:val="24"/>
          <w:highlight w:val="none"/>
        </w:rPr>
        <w:t>包括</w:t>
      </w:r>
      <w:r>
        <w:rPr>
          <w:rFonts w:ascii="楷体" w:hAnsi="楷体" w:eastAsia="楷体" w:cs="Calibri"/>
          <w:sz w:val="24"/>
          <w:szCs w:val="24"/>
          <w:highlight w:val="none"/>
        </w:rPr>
        <w:t>但不限于表决投票的权利）</w:t>
      </w:r>
      <w:r>
        <w:rPr>
          <w:rFonts w:hint="eastAsia" w:ascii="楷体" w:hAnsi="楷体" w:eastAsia="楷体" w:cs="Calibri"/>
          <w:sz w:val="24"/>
          <w:szCs w:val="24"/>
          <w:highlight w:val="none"/>
        </w:rPr>
        <w:t>以及行使</w:t>
      </w:r>
      <w:r>
        <w:rPr>
          <w:rFonts w:ascii="楷体" w:hAnsi="楷体" w:eastAsia="楷体" w:cs="Calibri"/>
          <w:sz w:val="24"/>
          <w:szCs w:val="24"/>
          <w:highlight w:val="none"/>
        </w:rPr>
        <w:t>因理财产品投资于证券类基础资产（</w:t>
      </w:r>
      <w:r>
        <w:rPr>
          <w:rFonts w:hint="eastAsia" w:ascii="楷体" w:hAnsi="楷体" w:eastAsia="楷体" w:cs="Calibri"/>
          <w:sz w:val="24"/>
          <w:szCs w:val="24"/>
          <w:highlight w:val="none"/>
        </w:rPr>
        <w:t>含</w:t>
      </w:r>
      <w:r>
        <w:rPr>
          <w:rFonts w:ascii="楷体" w:hAnsi="楷体" w:eastAsia="楷体" w:cs="Calibri"/>
          <w:sz w:val="24"/>
          <w:szCs w:val="24"/>
          <w:highlight w:val="none"/>
        </w:rPr>
        <w:t>债券）</w:t>
      </w:r>
      <w:r>
        <w:rPr>
          <w:rFonts w:hint="eastAsia" w:ascii="楷体" w:hAnsi="楷体" w:eastAsia="楷体" w:cs="Calibri"/>
          <w:sz w:val="24"/>
          <w:szCs w:val="24"/>
          <w:highlight w:val="none"/>
        </w:rPr>
        <w:t>或</w:t>
      </w:r>
      <w:r>
        <w:rPr>
          <w:rFonts w:ascii="楷体" w:hAnsi="楷体" w:eastAsia="楷体" w:cs="Calibri"/>
          <w:sz w:val="24"/>
          <w:szCs w:val="24"/>
          <w:highlight w:val="none"/>
        </w:rPr>
        <w:t>其他基础资产（</w:t>
      </w:r>
      <w:r>
        <w:rPr>
          <w:rFonts w:hint="eastAsia" w:ascii="楷体" w:hAnsi="楷体" w:eastAsia="楷体" w:cs="Calibri"/>
          <w:sz w:val="24"/>
          <w:szCs w:val="24"/>
          <w:highlight w:val="none"/>
        </w:rPr>
        <w:t>包括</w:t>
      </w:r>
      <w:r>
        <w:rPr>
          <w:rFonts w:ascii="楷体" w:hAnsi="楷体" w:eastAsia="楷体" w:cs="Calibri"/>
          <w:sz w:val="24"/>
          <w:szCs w:val="24"/>
          <w:highlight w:val="none"/>
        </w:rPr>
        <w:t>但不限于债权类资产）</w:t>
      </w:r>
      <w:r>
        <w:rPr>
          <w:rFonts w:hint="eastAsia" w:ascii="楷体" w:hAnsi="楷体" w:eastAsia="楷体" w:cs="Calibri"/>
          <w:sz w:val="24"/>
          <w:szCs w:val="24"/>
          <w:highlight w:val="none"/>
        </w:rPr>
        <w:t>所产生</w:t>
      </w:r>
      <w:r>
        <w:rPr>
          <w:rFonts w:ascii="楷体" w:hAnsi="楷体" w:eastAsia="楷体" w:cs="Calibri"/>
          <w:sz w:val="24"/>
          <w:szCs w:val="24"/>
          <w:highlight w:val="none"/>
        </w:rPr>
        <w:t>的相关权利。</w:t>
      </w:r>
    </w:p>
    <w:p>
      <w:pPr>
        <w:numPr>
          <w:ilvl w:val="0"/>
          <w:numId w:val="4"/>
        </w:numPr>
        <w:tabs>
          <w:tab w:val="left" w:pos="728"/>
        </w:tabs>
        <w:ind w:left="0" w:firstLine="480" w:firstLineChars="200"/>
        <w:rPr>
          <w:rFonts w:hint="eastAsia" w:ascii="楷体" w:hAnsi="楷体" w:eastAsia="楷体"/>
          <w:sz w:val="24"/>
          <w:szCs w:val="24"/>
          <w:highlight w:val="none"/>
        </w:rPr>
      </w:pPr>
      <w:r>
        <w:rPr>
          <w:rFonts w:hint="eastAsia" w:ascii="楷体" w:hAnsi="楷体" w:eastAsia="楷体" w:cs="Calibri"/>
          <w:sz w:val="24"/>
          <w:szCs w:val="24"/>
          <w:highlight w:val="none"/>
        </w:rPr>
        <w:t>以</w:t>
      </w:r>
      <w:r>
        <w:rPr>
          <w:rFonts w:ascii="楷体" w:hAnsi="楷体" w:eastAsia="楷体" w:cs="Calibri"/>
          <w:sz w:val="24"/>
          <w:szCs w:val="24"/>
          <w:highlight w:val="none"/>
        </w:rPr>
        <w:t>理财产品投资管理人的名义，依照</w:t>
      </w:r>
      <w:r>
        <w:rPr>
          <w:rFonts w:hint="eastAsia" w:ascii="楷体" w:hAnsi="楷体" w:eastAsia="楷体" w:cs="Calibri"/>
          <w:sz w:val="24"/>
          <w:szCs w:val="24"/>
          <w:highlight w:val="none"/>
        </w:rPr>
        <w:t>法律法规相关规定以及代表理财产品份额持有人的利益行使代为追索的权利（包括但不限于提起诉讼/仲裁、申请保全/执行的权利）或者实施其他法律行为。</w:t>
      </w:r>
    </w:p>
    <w:p>
      <w:pPr>
        <w:numPr>
          <w:ilvl w:val="0"/>
          <w:numId w:val="4"/>
        </w:numPr>
        <w:tabs>
          <w:tab w:val="left" w:pos="728"/>
        </w:tabs>
        <w:ind w:left="0" w:firstLine="480" w:firstLineChars="200"/>
        <w:rPr>
          <w:rFonts w:hint="eastAsia" w:ascii="楷体" w:hAnsi="楷体" w:eastAsia="楷体"/>
          <w:sz w:val="24"/>
          <w:szCs w:val="24"/>
        </w:rPr>
      </w:pPr>
      <w:r>
        <w:rPr>
          <w:rFonts w:hint="eastAsia" w:ascii="楷体" w:hAnsi="楷体" w:eastAsia="楷体" w:cs="Calibri"/>
          <w:sz w:val="24"/>
          <w:szCs w:val="24"/>
          <w:highlight w:val="none"/>
        </w:rPr>
        <w:t>法律法规、监管政策和本理财计划文件约定的其他权利。</w:t>
      </w:r>
    </w:p>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rPr>
        <w:t>销售机构</w:t>
      </w:r>
    </w:p>
    <w:p>
      <w:pPr>
        <w:ind w:firstLine="480" w:firstLineChars="200"/>
        <w:rPr>
          <w:rFonts w:hint="eastAsia" w:ascii="楷体" w:hAnsi="楷体" w:eastAsia="楷体"/>
          <w:b w:val="0"/>
          <w:bCs w:val="0"/>
          <w:sz w:val="24"/>
          <w:szCs w:val="24"/>
          <w:highlight w:val="yellow"/>
          <w:u w:val="none"/>
          <w:lang w:val="en-US" w:eastAsia="zh-CN"/>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sz w:val="24"/>
          <w:szCs w:val="24"/>
          <w:u w:val="single"/>
        </w:rPr>
        <w:t>销售机构负责</w:t>
      </w:r>
      <w:r>
        <w:rPr>
          <w:rFonts w:ascii="楷体" w:hAnsi="楷体" w:eastAsia="楷体"/>
          <w:b/>
          <w:sz w:val="24"/>
          <w:szCs w:val="24"/>
          <w:u w:val="single"/>
        </w:rPr>
        <w:t>理财产品宣传推广、投资者风险承受能力评估和投资者适当性管理、理财产品客户身份识别及反洗钱</w:t>
      </w:r>
      <w:r>
        <w:rPr>
          <w:rFonts w:hint="eastAsia" w:ascii="楷体" w:hAnsi="楷体" w:eastAsia="楷体"/>
          <w:b/>
          <w:sz w:val="24"/>
          <w:szCs w:val="24"/>
          <w:u w:val="single"/>
        </w:rPr>
        <w:t>、反恐怖融资及非居民金融账户涉税信息</w:t>
      </w:r>
      <w:r>
        <w:rPr>
          <w:rFonts w:ascii="楷体" w:hAnsi="楷体" w:eastAsia="楷体"/>
          <w:b/>
          <w:sz w:val="24"/>
          <w:szCs w:val="24"/>
          <w:u w:val="single"/>
        </w:rPr>
        <w:t>调查、理财产品份额认购/申购/赎回、协助管理人与投资者订立理财产品合同、协助投资者与管理人沟通、接受投资者咨询和客户维护等销售服务</w:t>
      </w:r>
      <w:r>
        <w:rPr>
          <w:rFonts w:hint="eastAsia" w:ascii="楷体" w:hAnsi="楷体" w:eastAsia="楷体"/>
          <w:b/>
          <w:sz w:val="24"/>
          <w:szCs w:val="24"/>
          <w:u w:val="single"/>
        </w:rPr>
        <w:t>工作。销售机构不承担产品投资、兑付和风险管理责任，产品的投资、兑付和风险管理责任由管理人苏银理财承担。</w:t>
      </w:r>
      <w:r>
        <w:rPr>
          <w:rFonts w:hint="eastAsia" w:ascii="楷体" w:hAnsi="楷体" w:eastAsia="楷体"/>
          <w:b w:val="0"/>
          <w:bCs w:val="0"/>
          <w:sz w:val="24"/>
          <w:szCs w:val="24"/>
          <w:highlight w:val="none"/>
          <w:u w:val="none"/>
          <w:lang w:val="en-US" w:eastAsia="zh-CN"/>
        </w:rPr>
        <w:t>本产品各份额销售机构如下：</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2"/>
        <w:gridCol w:w="3473"/>
        <w:gridCol w:w="3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431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A份额</w:t>
            </w:r>
          </w:p>
        </w:tc>
        <w:tc>
          <w:tcPr>
            <w:tcW w:w="3473" w:type="dxa"/>
            <w:tcBorders>
              <w:top w:val="single" w:color="000000" w:sz="4" w:space="0"/>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江苏沭阳农村商业银行股份有限公司</w:t>
            </w:r>
          </w:p>
        </w:tc>
        <w:tc>
          <w:tcPr>
            <w:tcW w:w="3884" w:type="dxa"/>
            <w:tcBorders>
              <w:top w:val="single" w:color="000000" w:sz="4" w:space="0"/>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江苏海安农村商业银行股份有限公司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江苏泰兴农村商业银行股份有限公司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江苏如皋农村商业银行股份有限公司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江苏江都农村商业银行股份有限公司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江苏句容农村商业银行股份有限公司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无锡锡商银行股份有限公司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宁波东海银行股份有限公司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威海市商业银行股份有限公司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江苏宜兴农村商业银行股份有限公司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九江银行股份有限公司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江苏金湖农村商业银行股份有限公司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深圳前海微众银行股份有限公司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江苏民丰农村商业银行股份有限公司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江苏如东农村商业银行股份有限公司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江苏南通农村商业银行股份有限公司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江苏东台农村商业银行股份有限公司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江苏扬州农村商业银行股份有限公司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江苏盱眙农村商业银行股份有限公司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江苏新沂农村商业银行股份有限公司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苏银理财有限责任公司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徐州农村商业银行股份有限公司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江苏靖江农村商业银行股份有限公司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江苏淮安农村商业银行股份有限公司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江苏宝应农村商业银行股份有限公司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江苏苏州农村商业银行股份有限公司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江苏启东农村商业银行股份有限公司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齐鲁银行股份有限公司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中信百信银行股份有限公司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江苏丹阳农村商业银行股份有限公司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杭州银行股份有限公司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江苏洪泽农村商业银行股份有限公司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江苏高淳农村商业银行股份有限公司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江苏紫金农村商业银行股份有限公司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上海银行股份有限公司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江苏涟水农村商业银行股份有限公司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江苏江阴农村商业银行股份有限公司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c>
          <w:tcPr>
            <w:tcW w:w="3473" w:type="dxa"/>
            <w:tcBorders>
              <w:top w:val="nil"/>
              <w:left w:val="single" w:color="auto"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江苏溧水农村商业银行股份有限公司</w:t>
            </w:r>
          </w:p>
        </w:tc>
        <w:tc>
          <w:tcPr>
            <w:tcW w:w="388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江苏扬中农村商业银行股份有限公司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sz w:val="18"/>
                <w:szCs w:val="18"/>
                <w:u w:val="none"/>
                <w:lang w:val="en-US"/>
              </w:rPr>
            </w:pPr>
            <w:r>
              <w:rPr>
                <w:rFonts w:hint="eastAsia" w:ascii="楷体" w:hAnsi="楷体" w:eastAsia="楷体" w:cs="楷体"/>
                <w:i w:val="0"/>
                <w:iCs w:val="0"/>
                <w:color w:val="000000"/>
                <w:kern w:val="0"/>
                <w:sz w:val="18"/>
                <w:szCs w:val="18"/>
                <w:u w:val="none"/>
                <w:lang w:val="en-US" w:eastAsia="zh-CN" w:bidi="ar"/>
              </w:rPr>
              <w:t>DF份额</w:t>
            </w:r>
          </w:p>
        </w:tc>
        <w:tc>
          <w:tcPr>
            <w:tcW w:w="203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227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tcBorders>
              <w:top w:val="single" w:color="000000" w:sz="4" w:space="0"/>
              <w:left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C份额</w:t>
            </w:r>
          </w:p>
        </w:tc>
        <w:tc>
          <w:tcPr>
            <w:tcW w:w="2038" w:type="pct"/>
            <w:tcBorders>
              <w:top w:val="single" w:color="auto" w:sz="4" w:space="0"/>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2279" w:type="pct"/>
            <w:tcBorders>
              <w:top w:val="single" w:color="auto" w:sz="4" w:space="0"/>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E份额</w:t>
            </w:r>
          </w:p>
        </w:tc>
        <w:tc>
          <w:tcPr>
            <w:tcW w:w="203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江苏银行股份有限公司</w:t>
            </w:r>
          </w:p>
        </w:tc>
        <w:tc>
          <w:tcPr>
            <w:tcW w:w="227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江苏苏州农村商业银行股份有限公司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3473" w:type="dxa"/>
            <w:tcBorders>
              <w:top w:val="single" w:color="auto" w:sz="4" w:space="0"/>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浙江龙湾农村商业银行股份有限公司</w:t>
            </w:r>
          </w:p>
        </w:tc>
        <w:tc>
          <w:tcPr>
            <w:tcW w:w="3884" w:type="dxa"/>
            <w:tcBorders>
              <w:top w:val="single" w:color="auto" w:sz="4" w:space="0"/>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浙江衢州衢江农村商业银行股份有限公司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杭州联合农村商业银行股份有限公司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浙江海盐农村商业银行股份有限公司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auto"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中邮邮惠万家银行有限责任公司</w:t>
            </w:r>
          </w:p>
        </w:tc>
        <w:tc>
          <w:tcPr>
            <w:tcW w:w="3884" w:type="dxa"/>
            <w:tcBorders>
              <w:top w:val="nil"/>
              <w:left w:val="nil"/>
              <w:bottom w:val="nil"/>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宁波通商银行股份有限公司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兴业银行股份有限公司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浙江海宁农村商业银行股份有限公司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浙江平湖农村商业银行股份有限公司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浙江绍兴瑞丰农村商业银行股份有限公司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浙江永康农村商业银行股份有限公司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浙江富阳农村商业银行股份有限公司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上海银行股份有限公司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浙江永嘉农村商业银行股份有限公司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浙江上虞农村商业银行股份有限公司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深圳农村商业银行股份有限公司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浙江桐乡农村商业银行股份有限公司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浙江瑞安农村商业银行股份有限公司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浙江武义农村商业银行股份有限公司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苏银理财有限责任公司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浙江青田农村商业银行股份有限公司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华侨银行有限公司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广州农村商业银行股份有限公司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浙江乐清农村商业银行股份有限公司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交通银行股份有限公司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浙江江山农村商业银行股份有限公司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浙江嘉善农村商业银行股份有限公司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浙江淳安农村商业银行股份有限公司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浙江舟山定海海洋农村商业银行股份有限公司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北京农村商业银行股份有限公司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浙江长兴农村商业银行股份有限公司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山西银行股份有限公司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台州银行股份有限公司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九江银行股份有限公司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莱商银行股份有限公司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浙江萧山农村商业银行股份有限公司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浙江安吉农村商业银行股份有限公司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浙江禾城农村商业银行股份有限公司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浙江德清农村商业银行股份有限公司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浙江苍南农村商业银行股份有限公司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浙江温州鹿城农村商业银行股份有限公司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苏州银行股份有限公司</w:t>
            </w:r>
          </w:p>
        </w:tc>
        <w:tc>
          <w:tcPr>
            <w:tcW w:w="3884" w:type="dxa"/>
            <w:tcBorders>
              <w:top w:val="nil"/>
              <w:left w:val="nil"/>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广州银行股份有限公司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82" w:type="pct"/>
            <w:vMerge w:val="continue"/>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p>
        </w:tc>
        <w:tc>
          <w:tcPr>
            <w:tcW w:w="3473" w:type="dxa"/>
            <w:tcBorders>
              <w:top w:val="nil"/>
              <w:left w:val="single" w:color="000000"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default" w:ascii="楷体" w:hAnsi="楷体" w:eastAsia="楷体" w:cs="楷体"/>
                <w:i w:val="0"/>
                <w:iCs w:val="0"/>
                <w:color w:val="000000"/>
                <w:kern w:val="0"/>
                <w:sz w:val="18"/>
                <w:szCs w:val="18"/>
                <w:u w:val="none"/>
                <w:lang w:val="en-US" w:eastAsia="zh-CN" w:bidi="ar"/>
              </w:rPr>
              <w:t>浙江新昌农村商业银行股份有限公司</w:t>
            </w:r>
          </w:p>
        </w:tc>
        <w:tc>
          <w:tcPr>
            <w:tcW w:w="3884" w:type="dxa"/>
            <w:tcBorders>
              <w:top w:val="nil"/>
              <w:left w:val="nil"/>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82" w:type="pc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W份额</w:t>
            </w:r>
          </w:p>
        </w:tc>
        <w:tc>
          <w:tcPr>
            <w:tcW w:w="3473" w:type="dxa"/>
            <w:tcBorders>
              <w:top w:val="single" w:color="auto" w:sz="4" w:space="0"/>
              <w:left w:val="single" w:color="000000" w:sz="4" w:space="0"/>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浙江网商银行股份有限责任公司</w:t>
            </w:r>
          </w:p>
        </w:tc>
        <w:tc>
          <w:tcPr>
            <w:tcW w:w="38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p>
        </w:tc>
      </w:tr>
    </w:tbl>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rPr>
        <w:t>投资合作机构</w:t>
      </w:r>
    </w:p>
    <w:p>
      <w:pPr>
        <w:ind w:firstLine="480" w:firstLineChars="200"/>
        <w:rPr>
          <w:rFonts w:hint="eastAsia"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88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序号</w:t>
            </w:r>
          </w:p>
        </w:tc>
        <w:tc>
          <w:tcPr>
            <w:tcW w:w="1691"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投资合作机构</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bCs/>
                <w:sz w:val="20"/>
                <w:szCs w:val="20"/>
                <w:vertAlign w:val="baseline"/>
                <w:lang w:val="en-US" w:eastAsia="zh-CN"/>
              </w:rPr>
            </w:pPr>
            <w:r>
              <w:rPr>
                <w:rFonts w:hint="eastAsia" w:ascii="楷体" w:hAnsi="楷体" w:eastAsia="楷体"/>
                <w:b/>
                <w:bCs/>
                <w:sz w:val="20"/>
                <w:szCs w:val="20"/>
                <w:vertAlign w:val="baseli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弘业期货股份有限公司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2</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江苏省国际信托有限责任公司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hint="eastAsia" w:ascii="楷体" w:hAnsi="楷体" w:eastAsia="楷体"/>
                <w:b w:val="0"/>
                <w:bCs w:val="0"/>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3</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20"/>
                <w:vertAlign w:val="baseline"/>
              </w:rPr>
            </w:pPr>
            <w:r>
              <w:rPr>
                <w:rFonts w:ascii="楷体" w:hAnsi="楷体" w:eastAsia="楷体"/>
                <w:b w:val="0"/>
                <w:bCs w:val="0"/>
                <w:sz w:val="20"/>
                <w:szCs w:val="18"/>
              </w:rPr>
              <w:t>创金合信基金管理有限公司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b w:val="0"/>
                <w:bCs w:val="0"/>
                <w:sz w:val="20"/>
                <w:szCs w:val="20"/>
                <w:vertAlign w:val="baseline"/>
              </w:rPr>
            </w:pPr>
            <w:r>
              <w:rPr>
                <w:rFonts w:ascii="楷体" w:hAnsi="楷体" w:eastAsia="楷体"/>
                <w:b w:val="0"/>
                <w:bCs w:val="0"/>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4</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楷体" w:hAnsi="楷体" w:eastAsia="楷体"/>
                <w:b w:val="0"/>
                <w:bCs w:val="0"/>
                <w:sz w:val="20"/>
                <w:szCs w:val="18"/>
              </w:rPr>
            </w:pPr>
            <w:r>
              <w:rPr>
                <w:rFonts w:hint="eastAsia" w:ascii="楷体" w:hAnsi="楷体" w:eastAsia="楷体"/>
                <w:b w:val="0"/>
                <w:bCs w:val="0"/>
                <w:sz w:val="20"/>
                <w:szCs w:val="18"/>
              </w:rPr>
              <w:t>太平洋资产管理有限责任公司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楷体" w:hAnsi="楷体" w:eastAsia="楷体"/>
                <w:b w:val="0"/>
                <w:bCs w:val="0"/>
                <w:sz w:val="20"/>
                <w:szCs w:val="18"/>
              </w:rPr>
            </w:pPr>
            <w:r>
              <w:rPr>
                <w:rFonts w:hint="eastAsia" w:ascii="楷体" w:hAnsi="楷体" w:eastAsia="楷体"/>
                <w:b w:val="0"/>
                <w:bCs w:val="0"/>
                <w:sz w:val="20"/>
                <w:szCs w:val="18"/>
              </w:rPr>
              <w:t>太平洋资产管理有限责任公司（以下简称“太保资产”）于2006年6月经中国保监会批准成立，由中国太平洋保险（集团）股份有限公司控股，注册资本21亿元。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5</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中国人保资产管理有限公司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lang w:val="en-US" w:eastAsia="zh-CN"/>
              </w:rPr>
              <w:t>中国人保资产管理有限公司成立于2003年7月16日，是经国务院同意、原中国保监会批准设立的境内第一家保险资产管理公司，由中国人民保险集团股份有限公司发起。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6</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大家资产管理有限责任公司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 w:hAnsi="楷体" w:eastAsia="楷体"/>
                <w:b w:val="0"/>
                <w:bCs w:val="0"/>
                <w:sz w:val="20"/>
                <w:szCs w:val="18"/>
                <w:lang w:val="en-US" w:eastAsia="zh-CN"/>
              </w:rPr>
            </w:pPr>
            <w:r>
              <w:rPr>
                <w:rFonts w:hint="eastAsia" w:ascii="楷体" w:hAnsi="楷体" w:eastAsia="楷体"/>
                <w:b w:val="0"/>
                <w:bCs w:val="0"/>
                <w:sz w:val="20"/>
                <w:szCs w:val="18"/>
                <w:lang w:val="en-US" w:eastAsia="zh-CN"/>
              </w:rPr>
              <w:t>大家资产管理有限责任公司是大家保险集团旗下专业资产管理公司，公司于2011年5月经原中国保监会批准正式设立，注册资本6亿元人民币，2019年9月18日，经中国银行保险监督管理委员会批准，北京市西城区市场监督管理局核准，名称变更为“大家资产管理</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 w:hAnsi="楷体" w:eastAsia="楷体"/>
                <w:b w:val="0"/>
                <w:bCs w:val="0"/>
                <w:sz w:val="20"/>
                <w:szCs w:val="18"/>
                <w:lang w:val="en-US" w:eastAsia="zh-CN"/>
              </w:rPr>
            </w:pPr>
            <w:r>
              <w:rPr>
                <w:rFonts w:hint="eastAsia" w:ascii="楷体" w:hAnsi="楷体" w:eastAsia="楷体"/>
                <w:b w:val="0"/>
                <w:bCs w:val="0"/>
                <w:sz w:val="20"/>
                <w:szCs w:val="18"/>
                <w:lang w:val="en-US" w:eastAsia="zh-CN"/>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7</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泰康资产管理有限责任公司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lang w:val="en-US" w:eastAsia="zh-CN"/>
              </w:rPr>
            </w:pPr>
            <w:r>
              <w:rPr>
                <w:rFonts w:hint="eastAsia" w:ascii="楷体" w:hAnsi="楷体" w:eastAsia="楷体"/>
                <w:b w:val="0"/>
                <w:bCs w:val="0"/>
                <w:sz w:val="20"/>
                <w:szCs w:val="18"/>
                <w:lang w:val="en-US" w:eastAsia="zh-CN"/>
              </w:rPr>
              <w:t>泰康资产管理有限责任公司成立于2006年，注册资本10亿元，是泰康保险集团子公司。截至2021年12月31日，公司管理资产总规模超过27000亿元。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8</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南方基金管理股份有限公司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 w:hAnsi="楷体" w:eastAsia="楷体"/>
                <w:b w:val="0"/>
                <w:bCs w:val="0"/>
                <w:sz w:val="20"/>
                <w:szCs w:val="18"/>
                <w:lang w:val="en-US" w:eastAsia="zh-CN"/>
              </w:rPr>
            </w:pPr>
            <w:r>
              <w:rPr>
                <w:rFonts w:hint="eastAsia" w:ascii="楷体" w:hAnsi="楷体" w:eastAsia="楷体"/>
                <w:b w:val="0"/>
                <w:bCs w:val="0"/>
                <w:sz w:val="20"/>
                <w:szCs w:val="18"/>
              </w:rPr>
              <w:t>南方基金管理股份有限公司成立于1998年3月6日，是经中国证监会批准成立的国内首批规范的基金管理公司之一。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9</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华润深国投信托有限公司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rPr>
              <w:t>华润信托于1982年8月24日成立，原名为深圳市信托投资公司，注册资本人民币5,813万元。目前，公司注册资本人民币110亿元，华润金控投资有限公司持有公司51%股权，深圳市投资控股有限公司持有公司49%股权。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10</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安联保险资产管理有限公司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rPr>
              <w:t>安联保险资产管理有限公司（简称安联资管或公司）于2021年7月27日获得中国银行保险监督管理委员会的开业批复，成为中国获批开业的外资独资保险资产管理公司，注册资本为五亿元人民币，注册地北京。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11</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永诚保险资产管理有限公司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lang w:val="en-US" w:eastAsia="zh-CN"/>
              </w:rPr>
            </w:pPr>
            <w:r>
              <w:rPr>
                <w:rFonts w:hint="eastAsia" w:ascii="楷体" w:hAnsi="楷体" w:eastAsia="楷体"/>
                <w:b w:val="0"/>
                <w:bCs w:val="0"/>
                <w:sz w:val="20"/>
                <w:szCs w:val="18"/>
              </w:rPr>
              <w:t>永诚保险资产管理有限公司（简称“永诚资产”）是由永诚财产保险股份有限公司全资发起组建的保险资产管理公司，公司注册于浙江省宁波市，注册资本金为人民币3亿元</w:t>
            </w:r>
            <w:r>
              <w:rPr>
                <w:rFonts w:hint="eastAsia" w:ascii="楷体" w:hAnsi="楷体" w:eastAsia="楷体"/>
                <w:b w:val="0"/>
                <w:bCs w:val="0"/>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12</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英大保险资产管理有限公司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rPr>
              <w:t>英大保险资产管理有限公司，简称“英大资产”，公司2022年年末资产管理总规模1,447亿元，位居保险资管行业前20。英大资产由英大人寿、英大财险和英大集团共同发起设立，于2015年4月3日开业，注册资本金为5.2亿元，注册地为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13</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新华资产管理股份有限公司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rPr>
              <w:t>新华资产管理股份有限公司成立于2006年5月，是国内首批专业保险资产管理机构，前身为新华人寿保险股份有限公司投资管理中心，控股股东为新华人寿保险股份有限公司。2014年2月，经中国保险监督管理委员会批准，注册资本由1亿元增加至5亿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b w:val="0"/>
                <w:bCs w:val="0"/>
                <w:sz w:val="20"/>
                <w:szCs w:val="20"/>
                <w:vertAlign w:val="baseline"/>
                <w:lang w:val="en-US" w:eastAsia="zh-CN"/>
              </w:rPr>
            </w:pPr>
            <w:r>
              <w:rPr>
                <w:rFonts w:hint="eastAsia" w:ascii="楷体" w:hAnsi="楷体" w:eastAsia="楷体"/>
                <w:b w:val="0"/>
                <w:bCs w:val="0"/>
                <w:sz w:val="20"/>
                <w:szCs w:val="20"/>
                <w:vertAlign w:val="baseline"/>
                <w:lang w:val="en-US" w:eastAsia="zh-CN"/>
              </w:rPr>
              <w:t>14</w:t>
            </w:r>
          </w:p>
        </w:tc>
        <w:tc>
          <w:tcPr>
            <w:tcW w:w="1691" w:type="pc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b w:val="0"/>
                <w:bCs w:val="0"/>
                <w:sz w:val="20"/>
                <w:szCs w:val="18"/>
              </w:rPr>
            </w:pPr>
            <w:r>
              <w:rPr>
                <w:rFonts w:hint="eastAsia" w:ascii="楷体" w:hAnsi="楷体" w:eastAsia="楷体"/>
                <w:b w:val="0"/>
                <w:bCs w:val="0"/>
                <w:sz w:val="20"/>
                <w:szCs w:val="18"/>
              </w:rPr>
              <w:t>中粮信托有限责任公司</w:t>
            </w:r>
          </w:p>
        </w:tc>
        <w:tc>
          <w:tcPr>
            <w:tcW w:w="2918" w:type="pct"/>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楷体" w:hAnsi="楷体" w:eastAsia="楷体"/>
                <w:b w:val="0"/>
                <w:bCs w:val="0"/>
                <w:sz w:val="20"/>
                <w:szCs w:val="18"/>
              </w:rPr>
            </w:pPr>
            <w:r>
              <w:rPr>
                <w:rFonts w:hint="eastAsia" w:ascii="楷体" w:hAnsi="楷体" w:eastAsia="楷体"/>
                <w:b w:val="0"/>
                <w:bCs w:val="0"/>
                <w:sz w:val="20"/>
                <w:szCs w:val="18"/>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tabs>
          <w:tab w:val="left" w:pos="0"/>
        </w:tabs>
        <w:ind w:firstLine="480" w:firstLineChars="200"/>
        <w:rPr>
          <w:rFonts w:hint="eastAsia" w:ascii="楷体" w:hAnsi="楷体" w:eastAsia="楷体" w:cs="楷体"/>
          <w:sz w:val="24"/>
          <w:szCs w:val="24"/>
          <w:lang w:bidi="ar"/>
        </w:rPr>
      </w:pPr>
    </w:p>
    <w:p>
      <w:pPr>
        <w:tabs>
          <w:tab w:val="left" w:pos="1134"/>
        </w:tabs>
        <w:ind w:left="420" w:leftChars="200"/>
        <w:rPr>
          <w:rFonts w:hint="eastAsia" w:ascii="楷体" w:hAnsi="楷体" w:eastAsia="楷体"/>
          <w:sz w:val="24"/>
          <w:szCs w:val="24"/>
        </w:rPr>
      </w:pPr>
      <w:r>
        <w:rPr>
          <w:rFonts w:hint="eastAsia" w:ascii="楷体" w:hAnsi="楷体" w:eastAsia="楷体"/>
          <w:sz w:val="24"/>
          <w:szCs w:val="24"/>
        </w:rPr>
        <w:t>产品存续期内合作机构如有变化，管理人将按照监管规定和内部管理制度要</w:t>
      </w:r>
    </w:p>
    <w:p>
      <w:pPr>
        <w:tabs>
          <w:tab w:val="left" w:pos="1134"/>
        </w:tabs>
        <w:rPr>
          <w:rFonts w:hint="eastAsia" w:ascii="楷体" w:hAnsi="楷体" w:eastAsia="楷体"/>
          <w:sz w:val="28"/>
          <w:szCs w:val="28"/>
          <w:lang w:val="en-US" w:eastAsia="zh-CN"/>
        </w:rPr>
      </w:pPr>
      <w:r>
        <w:rPr>
          <w:rFonts w:hint="eastAsia" w:ascii="楷体" w:hAnsi="楷体" w:eastAsia="楷体"/>
          <w:sz w:val="24"/>
          <w:szCs w:val="24"/>
        </w:rPr>
        <w:t>求对合作机构进行准入，签署相关协议后，发布新增投资合作机构公告</w:t>
      </w:r>
      <w:r>
        <w:rPr>
          <w:rFonts w:hint="eastAsia" w:ascii="楷体" w:hAnsi="楷体" w:eastAsia="楷体"/>
          <w:sz w:val="24"/>
          <w:szCs w:val="24"/>
          <w:lang w:eastAsia="zh-CN"/>
        </w:rPr>
        <w:t>。</w:t>
      </w:r>
    </w:p>
    <w:p>
      <w:pPr>
        <w:numPr>
          <w:ilvl w:val="0"/>
          <w:numId w:val="3"/>
        </w:numPr>
        <w:tabs>
          <w:tab w:val="left" w:pos="1134"/>
        </w:tabs>
        <w:ind w:firstLine="562" w:firstLineChars="200"/>
        <w:outlineLvl w:val="1"/>
        <w:rPr>
          <w:rFonts w:ascii="楷体" w:hAnsi="楷体" w:eastAsia="楷体"/>
          <w:b/>
          <w:bCs/>
          <w:sz w:val="28"/>
          <w:szCs w:val="28"/>
        </w:rPr>
      </w:pPr>
      <w:r>
        <w:rPr>
          <w:rFonts w:hint="eastAsia" w:ascii="楷体" w:hAnsi="楷体" w:eastAsia="楷体"/>
          <w:b/>
          <w:bCs/>
          <w:sz w:val="28"/>
          <w:szCs w:val="28"/>
        </w:rPr>
        <w:t>名词释义</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在本理财产品说明书中，除非上下文另有明确约定，下列用词将具有如下含义：</w:t>
      </w:r>
    </w:p>
    <w:p>
      <w:pPr>
        <w:numPr>
          <w:ilvl w:val="0"/>
          <w:numId w:val="5"/>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参与主体用语</w:t>
      </w:r>
    </w:p>
    <w:p>
      <w:pPr>
        <w:numPr>
          <w:ilvl w:val="0"/>
          <w:numId w:val="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★管理人/产品管理人/理财产品管理人：指苏银理财有限责任公司（本文简称“苏银理财”）。</w:t>
      </w:r>
    </w:p>
    <w:p>
      <w:pPr>
        <w:numPr>
          <w:ilvl w:val="0"/>
          <w:numId w:val="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★代销机构/销售机构：指符合《关于规范金融机构资产管理业务的指导意见》、《商业银行理财业务监督管理办法》、《商业银行理财子公司管理办法》</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《理财公司理财产品销售管理暂行办法》和</w:t>
      </w:r>
      <w:r>
        <w:rPr>
          <w:rFonts w:hint="eastAsia" w:ascii="楷体" w:hAnsi="楷体" w:eastAsia="楷体"/>
          <w:sz w:val="24"/>
          <w:szCs w:val="24"/>
          <w:highlight w:val="none"/>
          <w:lang w:val="en-US" w:eastAsia="zh-CN"/>
        </w:rPr>
        <w:t>金融监管总局</w:t>
      </w:r>
      <w:r>
        <w:rPr>
          <w:rFonts w:hint="eastAsia" w:ascii="楷体" w:hAnsi="楷体" w:eastAsia="楷体" w:cs="Calibri"/>
          <w:sz w:val="24"/>
          <w:szCs w:val="24"/>
          <w:highlight w:val="none"/>
        </w:rPr>
        <w:t>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监管机构：指有权对本理财产品管理人及相关合作机构实施监督管理的机构，包括但不限于中国人民银行、金融监管总局、中国证券监督管理委员会、外汇管理局、银行业理财登记托管中心等</w:t>
      </w:r>
      <w:r>
        <w:rPr>
          <w:rFonts w:hint="eastAsia" w:ascii="楷体" w:hAnsi="楷体" w:eastAsia="楷体" w:cs="Calibri"/>
          <w:sz w:val="24"/>
          <w:szCs w:val="24"/>
          <w:highlight w:val="none"/>
          <w:lang w:eastAsia="zh-CN"/>
        </w:rPr>
        <w:t>。</w:t>
      </w:r>
    </w:p>
    <w:p>
      <w:pPr>
        <w:numPr>
          <w:ilvl w:val="0"/>
          <w:numId w:val="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6"/>
        </w:numPr>
        <w:tabs>
          <w:tab w:val="left" w:pos="728"/>
        </w:tabs>
        <w:ind w:left="0" w:firstLine="480" w:firstLineChars="200"/>
        <w:rPr>
          <w:rFonts w:hint="eastAsia" w:ascii="楷体" w:hAnsi="楷体" w:eastAsia="楷体"/>
          <w:sz w:val="24"/>
          <w:szCs w:val="24"/>
        </w:rPr>
      </w:pPr>
      <w:r>
        <w:rPr>
          <w:rFonts w:hint="eastAsia" w:ascii="楷体" w:hAnsi="楷体" w:eastAsia="楷体" w:cs="Calibri"/>
          <w:sz w:val="24"/>
          <w:szCs w:val="24"/>
          <w:highlight w:val="none"/>
        </w:rPr>
        <w:t>投资者：指符合相关法律法规、监管规定要求的，可以购买理财产品份额的自然人和法人。</w:t>
      </w:r>
    </w:p>
    <w:p>
      <w:pPr>
        <w:numPr>
          <w:ilvl w:val="0"/>
          <w:numId w:val="5"/>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理财产品用语</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理财产品</w:t>
      </w:r>
      <w:r>
        <w:rPr>
          <w:rFonts w:ascii="楷体" w:hAnsi="楷体" w:eastAsia="楷体" w:cs="Calibri"/>
          <w:sz w:val="24"/>
          <w:szCs w:val="24"/>
          <w:highlight w:val="none"/>
        </w:rPr>
        <w:t>/</w:t>
      </w:r>
      <w:r>
        <w:rPr>
          <w:rFonts w:hint="eastAsia" w:ascii="楷体" w:hAnsi="楷体" w:eastAsia="楷体" w:cs="Calibri"/>
          <w:sz w:val="24"/>
          <w:szCs w:val="24"/>
          <w:highlight w:val="none"/>
        </w:rPr>
        <w:t>产品：指苏银理财按照约定条件和实际投资收益情况向投资者支付收益、不保证本金支付和收益水平的非保本理财产品。</w:t>
      </w:r>
    </w:p>
    <w:p>
      <w:pPr>
        <w:numPr>
          <w:ilvl w:val="0"/>
          <w:numId w:val="7"/>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本理财产品</w:t>
      </w:r>
      <w:r>
        <w:rPr>
          <w:rFonts w:ascii="楷体" w:hAnsi="楷体" w:eastAsia="楷体" w:cs="Calibri"/>
          <w:sz w:val="24"/>
          <w:szCs w:val="24"/>
          <w:highlight w:val="none"/>
        </w:rPr>
        <w:t>/</w:t>
      </w:r>
      <w:r>
        <w:rPr>
          <w:rFonts w:hint="eastAsia" w:ascii="楷体" w:hAnsi="楷体" w:eastAsia="楷体" w:cs="Calibri"/>
          <w:sz w:val="24"/>
          <w:szCs w:val="24"/>
          <w:highlight w:val="none"/>
        </w:rPr>
        <w:t>本产品：指“苏银理财恒源</w:t>
      </w:r>
      <w:r>
        <w:rPr>
          <w:rFonts w:hint="eastAsia" w:ascii="楷体" w:hAnsi="楷体" w:eastAsia="楷体" w:cs="Calibri"/>
          <w:sz w:val="24"/>
          <w:szCs w:val="24"/>
          <w:highlight w:val="none"/>
          <w:lang w:val="en-US" w:eastAsia="zh-CN"/>
        </w:rPr>
        <w:t>月开放2号</w:t>
      </w:r>
      <w:r>
        <w:rPr>
          <w:rFonts w:hint="eastAsia" w:ascii="楷体" w:hAnsi="楷体" w:eastAsia="楷体" w:cs="Calibri"/>
          <w:sz w:val="24"/>
          <w:szCs w:val="24"/>
          <w:highlight w:val="none"/>
        </w:rPr>
        <w:t>”理财产品。</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理财产品登记编码：指本款理财产品在全国银行业理财信息登记系统中的编码，投资者可在中国理财网进行查询该编码。</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理财产品代码/产品代码：指本款理财产品在全国银行业理财信息登记系统中登记的内部识别码。</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理财产品份额：指投资者持有本理财产品的单位数额。投资者基于其所持有的理财产品单位数额享有理财产品利益、承担理财产品风险。</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理财产品资产净值/理财资产净值/产品资产净值：产品资产净值=产品资产总值-产品负债总值。</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产品资产总值</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指产品拥有的各类有价证券、银行存款、应收款项及其他资产的价值总和。</w:t>
      </w:r>
    </w:p>
    <w:p>
      <w:pPr>
        <w:numPr>
          <w:ilvl w:val="0"/>
          <w:numId w:val="7"/>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产品负债总值</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指产品运作及融资时形成的负债价值总和，包括融资资金本息、应付各项费用（包括托管费、销售服务费</w:t>
      </w:r>
      <w:r>
        <w:rPr>
          <w:rFonts w:ascii="楷体" w:hAnsi="楷体" w:eastAsia="楷体" w:cs="Calibri"/>
          <w:sz w:val="24"/>
          <w:szCs w:val="24"/>
          <w:highlight w:val="none"/>
        </w:rPr>
        <w:t>、</w:t>
      </w:r>
      <w:r>
        <w:rPr>
          <w:rFonts w:hint="eastAsia" w:ascii="楷体" w:hAnsi="楷体" w:eastAsia="楷体" w:cs="Calibri"/>
          <w:sz w:val="24"/>
          <w:szCs w:val="24"/>
          <w:highlight w:val="none"/>
        </w:rPr>
        <w:t>投资管理费、超额业绩报酬（如有）、其他费用等）、应付税金及其他应付款项等。</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理财产品份额单位净值/理财产品单位净值/单位净值：指理财产品份额的单位净值，即每1份理财产品份额以人民币计价的价格。理财产品单位净值=理财资产净值/产品总份额。投资者按该份额</w:t>
      </w:r>
      <w:r>
        <w:rPr>
          <w:rFonts w:hint="eastAsia" w:ascii="楷体" w:hAnsi="楷体" w:eastAsia="楷体" w:cs="Calibri"/>
          <w:sz w:val="24"/>
          <w:szCs w:val="24"/>
          <w:highlight w:val="none"/>
          <w:lang w:val="en-US" w:eastAsia="zh-CN"/>
        </w:rPr>
        <w:t>单位</w:t>
      </w:r>
      <w:r>
        <w:rPr>
          <w:rFonts w:hint="eastAsia" w:ascii="楷体" w:hAnsi="楷体" w:eastAsia="楷体" w:cs="Calibri"/>
          <w:sz w:val="24"/>
          <w:szCs w:val="24"/>
          <w:highlight w:val="none"/>
        </w:rPr>
        <w:t>净值进行理财产品申购、赎回和终止时分配。</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理财产品估值：指计算评估理财产品资产和负债以确定理财产品单位净值的过程。</w:t>
      </w:r>
    </w:p>
    <w:p>
      <w:pPr>
        <w:numPr>
          <w:ilvl w:val="0"/>
          <w:numId w:val="7"/>
        </w:numPr>
        <w:tabs>
          <w:tab w:val="left" w:pos="851"/>
        </w:tabs>
        <w:ind w:left="0" w:firstLine="482" w:firstLineChars="200"/>
        <w:rPr>
          <w:rFonts w:hint="eastAsia" w:ascii="楷体" w:hAnsi="楷体" w:eastAsia="楷体" w:cs="Calibri"/>
          <w:b/>
          <w:sz w:val="24"/>
          <w:szCs w:val="24"/>
          <w:highlight w:val="none"/>
        </w:rPr>
      </w:pPr>
      <w:r>
        <w:rPr>
          <w:rFonts w:hint="eastAsia" w:ascii="楷体" w:hAnsi="楷体" w:eastAsia="楷体" w:cs="Calibri"/>
          <w:b/>
          <w:sz w:val="24"/>
          <w:szCs w:val="24"/>
          <w:highlight w:val="none"/>
        </w:rPr>
        <w:t>★</w:t>
      </w:r>
      <w:r>
        <w:rPr>
          <w:rFonts w:hint="eastAsia" w:ascii="楷体" w:hAnsi="楷体" w:eastAsia="楷体" w:cs="Calibri"/>
          <w:b/>
          <w:bCs w:val="0"/>
          <w:sz w:val="24"/>
          <w:szCs w:val="24"/>
          <w:highlight w:val="none"/>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r>
        <w:rPr>
          <w:rFonts w:hint="eastAsia" w:ascii="楷体" w:hAnsi="楷体" w:eastAsia="楷体" w:cs="Calibri"/>
          <w:b/>
          <w:sz w:val="24"/>
          <w:szCs w:val="24"/>
          <w:highlight w:val="none"/>
        </w:rPr>
        <w:t>。</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★理财产品收益/理财收益：指投资者投资理财产品获得的投资收益，该收益为其获得分配的全部理财产品利益中扣除理财产品本金的部分。</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认购：指投资者根据</w:t>
      </w:r>
      <w:r>
        <w:rPr>
          <w:rFonts w:hint="eastAsia" w:ascii="楷体" w:hAnsi="楷体" w:eastAsia="楷体" w:cs="Calibri"/>
          <w:sz w:val="24"/>
          <w:szCs w:val="24"/>
          <w:highlight w:val="none"/>
          <w:lang w:val="en-US" w:eastAsia="zh-CN"/>
        </w:rPr>
        <w:t>理财</w:t>
      </w:r>
      <w:r>
        <w:rPr>
          <w:rFonts w:hint="eastAsia" w:ascii="楷体" w:hAnsi="楷体" w:eastAsia="楷体" w:cs="Calibri"/>
          <w:sz w:val="24"/>
          <w:szCs w:val="24"/>
          <w:highlight w:val="none"/>
        </w:rPr>
        <w:t>产品说明书约定在募集期内申请购买本产品理财产品份额的行为。</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投资者资金账户：指投资者开立的银行账户，理财产品投资交易的资金遵循同卡进出原则，通过银行卡A认购/申购理财产品的资金，赎回或到期资金只能划转至银行卡A</w:t>
      </w:r>
      <w:r>
        <w:rPr>
          <w:rFonts w:hint="eastAsia" w:ascii="楷体" w:hAnsi="楷体" w:eastAsia="楷体" w:cs="Calibri"/>
          <w:sz w:val="24"/>
          <w:szCs w:val="24"/>
          <w:highlight w:val="none"/>
          <w:lang w:eastAsia="zh-CN"/>
        </w:rPr>
        <w:t>。</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ascii="楷体" w:hAnsi="楷体" w:eastAsia="楷体" w:cs="Calibri"/>
          <w:sz w:val="24"/>
          <w:szCs w:val="24"/>
          <w:highlight w:val="none"/>
        </w:rPr>
        <w:t>申购、赎回申请</w:t>
      </w:r>
      <w:r>
        <w:rPr>
          <w:rFonts w:hint="eastAsia" w:ascii="楷体" w:hAnsi="楷体" w:eastAsia="楷体" w:cs="Calibri"/>
          <w:sz w:val="24"/>
          <w:szCs w:val="24"/>
          <w:highlight w:val="none"/>
        </w:rPr>
        <w:t>：</w:t>
      </w:r>
      <w:r>
        <w:rPr>
          <w:rFonts w:ascii="楷体" w:hAnsi="楷体" w:eastAsia="楷体" w:cs="Calibri"/>
          <w:sz w:val="24"/>
          <w:szCs w:val="24"/>
          <w:highlight w:val="none"/>
        </w:rPr>
        <w:t>指在</w:t>
      </w:r>
      <w:r>
        <w:rPr>
          <w:rFonts w:hint="eastAsia" w:ascii="楷体" w:hAnsi="楷体" w:eastAsia="楷体" w:cs="Calibri"/>
          <w:sz w:val="24"/>
          <w:szCs w:val="24"/>
          <w:highlight w:val="none"/>
        </w:rPr>
        <w:t>理财产品开放日</w:t>
      </w:r>
      <w:r>
        <w:rPr>
          <w:rFonts w:ascii="楷体" w:hAnsi="楷体" w:eastAsia="楷体" w:cs="Calibri"/>
          <w:sz w:val="24"/>
          <w:szCs w:val="24"/>
          <w:highlight w:val="none"/>
        </w:rPr>
        <w:t>投资者向</w:t>
      </w:r>
      <w:r>
        <w:rPr>
          <w:rFonts w:hint="eastAsia" w:ascii="楷体" w:hAnsi="楷体" w:eastAsia="楷体" w:cs="Calibri"/>
          <w:sz w:val="24"/>
          <w:szCs w:val="24"/>
          <w:highlight w:val="none"/>
        </w:rPr>
        <w:t>理财产品管理人</w:t>
      </w:r>
      <w:r>
        <w:rPr>
          <w:rFonts w:ascii="楷体" w:hAnsi="楷体" w:eastAsia="楷体" w:cs="Calibri"/>
          <w:sz w:val="24"/>
          <w:szCs w:val="24"/>
          <w:highlight w:val="none"/>
        </w:rPr>
        <w:t>提出申请对理财</w:t>
      </w:r>
      <w:r>
        <w:rPr>
          <w:rFonts w:hint="eastAsia" w:ascii="楷体" w:hAnsi="楷体" w:eastAsia="楷体" w:cs="Calibri"/>
          <w:sz w:val="24"/>
          <w:szCs w:val="24"/>
          <w:highlight w:val="none"/>
        </w:rPr>
        <w:t>产品</w:t>
      </w:r>
      <w:r>
        <w:rPr>
          <w:rFonts w:ascii="楷体" w:hAnsi="楷体" w:eastAsia="楷体" w:cs="Calibri"/>
          <w:sz w:val="24"/>
          <w:szCs w:val="24"/>
          <w:highlight w:val="none"/>
        </w:rPr>
        <w:t>份额进行购买或卖出的行为。</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巨额赎回：理财产品每个开放日投资者净赎回额（赎回申请份额总数扣除申购申请份额总数）超过本理财产品上一工作日日终份额10%时，即为发生巨额赎回。</w:t>
      </w:r>
    </w:p>
    <w:p>
      <w:pPr>
        <w:numPr>
          <w:ilvl w:val="0"/>
          <w:numId w:val="7"/>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r>
        <w:rPr>
          <w:rFonts w:hint="eastAsia" w:ascii="楷体" w:hAnsi="楷体" w:eastAsia="楷体" w:cs="Calibri"/>
          <w:sz w:val="24"/>
          <w:szCs w:val="24"/>
          <w:highlight w:val="none"/>
          <w:lang w:eastAsia="zh-CN"/>
        </w:rPr>
        <w:t>。</w:t>
      </w:r>
    </w:p>
    <w:p>
      <w:pPr>
        <w:numPr>
          <w:ilvl w:val="0"/>
          <w:numId w:val="0"/>
        </w:numPr>
        <w:tabs>
          <w:tab w:val="left" w:pos="851"/>
        </w:tabs>
        <w:ind w:firstLine="480" w:firstLineChars="200"/>
        <w:rPr>
          <w:rFonts w:hint="eastAsia" w:ascii="楷体" w:hAnsi="楷体" w:eastAsia="楷体"/>
          <w:sz w:val="24"/>
          <w:szCs w:val="24"/>
        </w:rPr>
      </w:pPr>
      <w:r>
        <w:rPr>
          <w:rFonts w:hint="eastAsia" w:ascii="楷体" w:hAnsi="楷体" w:eastAsia="楷体" w:cs="Calibri"/>
          <w:sz w:val="24"/>
          <w:szCs w:val="24"/>
          <w:highlight w:val="none"/>
          <w:lang w:val="en-US" w:eastAsia="zh-CN"/>
        </w:rPr>
        <w:t>21.</w:t>
      </w:r>
      <w:r>
        <w:rPr>
          <w:rFonts w:hint="eastAsia" w:ascii="楷体" w:hAnsi="楷体" w:eastAsia="楷体" w:cs="Calibri"/>
          <w:sz w:val="24"/>
          <w:szCs w:val="24"/>
          <w:highlight w:val="none"/>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ascii="楷体" w:hAnsi="楷体" w:eastAsia="楷体" w:cs="Calibri"/>
          <w:sz w:val="24"/>
          <w:szCs w:val="24"/>
          <w:highlight w:val="none"/>
          <w:lang w:eastAsia="zh-CN"/>
        </w:rPr>
        <w:t>。</w:t>
      </w:r>
    </w:p>
    <w:p>
      <w:pPr>
        <w:numPr>
          <w:ilvl w:val="0"/>
          <w:numId w:val="5"/>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期间与日期</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工作日：指国家法定工作日。</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交易日：</w:t>
      </w:r>
      <w:r>
        <w:rPr>
          <w:rFonts w:ascii="楷体" w:hAnsi="楷体" w:eastAsia="楷体" w:cs="Calibri"/>
          <w:sz w:val="24"/>
          <w:szCs w:val="24"/>
          <w:highlight w:val="none"/>
        </w:rPr>
        <w:t>指上海证券交易所和深圳证券交易所的正常开盘交易日</w:t>
      </w:r>
      <w:r>
        <w:rPr>
          <w:rFonts w:hint="eastAsia" w:ascii="楷体" w:hAnsi="楷体" w:eastAsia="楷体" w:cs="Calibri"/>
          <w:sz w:val="24"/>
          <w:szCs w:val="24"/>
          <w:highlight w:val="none"/>
        </w:rPr>
        <w:t>。</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成立日：指本产品开始运作的日期。</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份额登记日/份额确认日：指管理人对投资者提交的认购申请进行份额登记的日期</w:t>
      </w:r>
      <w:r>
        <w:rPr>
          <w:rFonts w:hint="eastAsia" w:ascii="楷体" w:hAnsi="楷体" w:eastAsia="楷体" w:cs="Calibri"/>
          <w:sz w:val="24"/>
          <w:szCs w:val="24"/>
          <w:highlight w:val="none"/>
          <w:lang w:eastAsia="zh-CN"/>
        </w:rPr>
        <w:t>。</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终止日/到期日：指本产品终止的日期。</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估值日：指产品管理人对理财产品项下资产进行估值的日期。</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兑付日：指</w:t>
      </w:r>
      <w:r>
        <w:rPr>
          <w:rFonts w:hint="eastAsia" w:ascii="楷体" w:hAnsi="楷体" w:eastAsia="楷体" w:cs="Calibri"/>
          <w:sz w:val="24"/>
          <w:szCs w:val="24"/>
          <w:highlight w:val="none"/>
          <w:lang w:val="en-US" w:eastAsia="zh-CN"/>
        </w:rPr>
        <w:t>投资者</w:t>
      </w:r>
      <w:r>
        <w:rPr>
          <w:rFonts w:hint="eastAsia" w:ascii="楷体" w:hAnsi="楷体" w:eastAsia="楷体" w:cs="Calibri"/>
          <w:sz w:val="24"/>
          <w:szCs w:val="24"/>
          <w:highlight w:val="none"/>
        </w:rPr>
        <w:t>理财资金到达</w:t>
      </w:r>
      <w:r>
        <w:rPr>
          <w:rFonts w:hint="eastAsia" w:ascii="楷体" w:hAnsi="楷体" w:eastAsia="楷体" w:cs="Calibri"/>
          <w:sz w:val="24"/>
          <w:szCs w:val="24"/>
          <w:highlight w:val="none"/>
          <w:lang w:val="en-US" w:eastAsia="zh-CN"/>
        </w:rPr>
        <w:t>投资者资金</w:t>
      </w:r>
      <w:r>
        <w:rPr>
          <w:rFonts w:hint="eastAsia" w:ascii="楷体" w:hAnsi="楷体" w:eastAsia="楷体" w:cs="Calibri"/>
          <w:sz w:val="24"/>
          <w:szCs w:val="24"/>
          <w:highlight w:val="none"/>
        </w:rPr>
        <w:t>账户的日期。</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募集期：指理财产品成立前，理财产品管理人接受理财产品认购的时间。</w:t>
      </w:r>
    </w:p>
    <w:p>
      <w:pPr>
        <w:numPr>
          <w:ilvl w:val="0"/>
          <w:numId w:val="8"/>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投资周期：投资周期指投资者持有理财产品份额所对应的理财资金由产品管理人进行投资运作的一段完整期间，每一个投资周期为该投资周期起始日至该投资周期终止日的理财期间。投资周期起始日：指每一个投资周期开始的日期。投资周期终止日：指每一个投资周期结束的日期。</w:t>
      </w:r>
    </w:p>
    <w:p>
      <w:pPr>
        <w:numPr>
          <w:ilvl w:val="0"/>
          <w:numId w:val="8"/>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开放日：指投资周期终止日。开放计划内的申购、赎回申请，将以开放日的净值进行确认。</w:t>
      </w:r>
    </w:p>
    <w:p>
      <w:pPr>
        <w:numPr>
          <w:ilvl w:val="0"/>
          <w:numId w:val="8"/>
        </w:numPr>
        <w:tabs>
          <w:tab w:val="left" w:pos="851"/>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产品存续期：指自理财产品成立日起，至理财产品终止日的期间。</w:t>
      </w:r>
    </w:p>
    <w:p>
      <w:pPr>
        <w:numPr>
          <w:ilvl w:val="0"/>
          <w:numId w:val="5"/>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其他</w:t>
      </w:r>
    </w:p>
    <w:p>
      <w:pPr>
        <w:numPr>
          <w:ilvl w:val="0"/>
          <w:numId w:val="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元：指人民币元。</w:t>
      </w:r>
    </w:p>
    <w:p>
      <w:pPr>
        <w:numPr>
          <w:ilvl w:val="0"/>
          <w:numId w:val="9"/>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9"/>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lang w:val="en-US" w:eastAsia="zh-CN"/>
        </w:rPr>
        <w:t>不可抗力：指理财产品合同各方当事人所不能预见、不能避免且不能克服的客观情况，使得任何一方当事人无法及时履行理财合同的全部或部分义务，该类事件包括但不限于：</w:t>
      </w:r>
    </w:p>
    <w:p>
      <w:pPr>
        <w:numPr>
          <w:ilvl w:val="0"/>
          <w:numId w:val="10"/>
        </w:numPr>
        <w:tabs>
          <w:tab w:val="left" w:pos="728"/>
        </w:tabs>
        <w:ind w:left="420" w:leftChars="200" w:firstLine="0" w:firstLineChars="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地震、海啸、台风、洪水、火灾、停电、严重传染病等；</w:t>
      </w:r>
    </w:p>
    <w:p>
      <w:pPr>
        <w:numPr>
          <w:ilvl w:val="0"/>
          <w:numId w:val="10"/>
        </w:numPr>
        <w:tabs>
          <w:tab w:val="left" w:pos="728"/>
        </w:tabs>
        <w:ind w:left="420" w:leftChars="200" w:firstLine="0" w:firstLineChars="0"/>
        <w:rPr>
          <w:rFonts w:hint="default"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战争、政变、恐怖主义、骚乱、罢工等；</w:t>
      </w:r>
    </w:p>
    <w:p>
      <w:pPr>
        <w:numPr>
          <w:ilvl w:val="0"/>
          <w:numId w:val="0"/>
        </w:numPr>
        <w:tabs>
          <w:tab w:val="left" w:pos="728"/>
        </w:tabs>
        <w:ind w:left="0" w:leftChars="0" w:firstLine="408" w:firstLineChars="17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（3）新的法律法规、国家政策颁布实施导致原适用的法律法规、国家政策失效；</w:t>
      </w:r>
    </w:p>
    <w:p>
      <w:pPr>
        <w:numPr>
          <w:ilvl w:val="0"/>
          <w:numId w:val="0"/>
        </w:numPr>
        <w:tabs>
          <w:tab w:val="left" w:pos="728"/>
        </w:tabs>
        <w:ind w:left="0" w:leftChars="0" w:firstLine="408" w:firstLineChars="17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（4）因不可归咎于理财产品合同当事人的事由，金融监管机构强制要求终止该理财产品；</w:t>
      </w:r>
    </w:p>
    <w:p>
      <w:pPr>
        <w:numPr>
          <w:ilvl w:val="0"/>
          <w:numId w:val="0"/>
        </w:numPr>
        <w:tabs>
          <w:tab w:val="left" w:pos="728"/>
        </w:tabs>
        <w:ind w:left="0" w:leftChars="0" w:firstLine="408" w:firstLineChars="170"/>
        <w:rPr>
          <w:rFonts w:hint="eastAsia" w:ascii="楷体" w:hAnsi="楷体" w:eastAsia="楷体" w:cs="Calibri"/>
          <w:sz w:val="24"/>
          <w:szCs w:val="24"/>
          <w:highlight w:val="none"/>
          <w:lang w:val="en-US" w:eastAsia="zh-CN"/>
        </w:rPr>
      </w:pPr>
      <w:r>
        <w:rPr>
          <w:rFonts w:hint="eastAsia" w:ascii="楷体" w:hAnsi="楷体" w:eastAsia="楷体" w:cs="Calibri"/>
          <w:sz w:val="24"/>
          <w:szCs w:val="24"/>
          <w:highlight w:val="none"/>
          <w:lang w:val="en-US" w:eastAsia="zh-CN"/>
        </w:rPr>
        <w:t>（5）网络系统遭受攻击、电信部门技术调整或故障等原因导致的服务中断和延迟等。</w:t>
      </w:r>
    </w:p>
    <w:p>
      <w:pPr>
        <w:numPr>
          <w:ilvl w:val="0"/>
          <w:numId w:val="3"/>
        </w:numPr>
        <w:tabs>
          <w:tab w:val="left" w:pos="1134"/>
        </w:tabs>
        <w:ind w:firstLine="562" w:firstLineChars="200"/>
        <w:outlineLvl w:val="1"/>
        <w:rPr>
          <w:rFonts w:ascii="楷体" w:hAnsi="楷体" w:eastAsia="楷体"/>
          <w:b/>
          <w:bCs/>
          <w:sz w:val="28"/>
          <w:szCs w:val="28"/>
        </w:rPr>
      </w:pPr>
      <w:r>
        <w:rPr>
          <w:rFonts w:hint="eastAsia" w:ascii="楷体" w:hAnsi="楷体" w:eastAsia="楷体"/>
          <w:b/>
          <w:bCs/>
          <w:sz w:val="28"/>
          <w:szCs w:val="28"/>
        </w:rPr>
        <w:t>风险评级</w:t>
      </w:r>
    </w:p>
    <w:p>
      <w:pPr>
        <w:ind w:firstLine="480" w:firstLineChars="200"/>
        <w:rPr>
          <w:rFonts w:hint="eastAsia"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w:t>
      </w:r>
      <w:r>
        <w:rPr>
          <w:rFonts w:hint="eastAsia" w:ascii="楷体" w:hAnsi="楷体" w:eastAsia="楷体"/>
          <w:b/>
          <w:sz w:val="24"/>
          <w:szCs w:val="24"/>
          <w:u w:val="single"/>
          <w:lang w:val="en-US" w:eastAsia="zh-CN"/>
        </w:rPr>
        <w:t>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如本产品通过代理销售机构渠道销售</w:t>
      </w:r>
      <w:r>
        <w:rPr>
          <w:rFonts w:hint="eastAsia" w:ascii="楷体" w:hAnsi="楷体" w:eastAsia="楷体"/>
          <w:sz w:val="24"/>
          <w:szCs w:val="24"/>
          <w:highlight w:val="none"/>
          <w:lang w:eastAsia="zh-CN"/>
        </w:rPr>
        <w:t>，</w:t>
      </w:r>
      <w:r>
        <w:rPr>
          <w:rFonts w:hint="eastAsia" w:ascii="楷体" w:hAnsi="楷体" w:eastAsia="楷体"/>
          <w:sz w:val="24"/>
          <w:szCs w:val="24"/>
        </w:rPr>
        <w:t>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highlight w:val="none"/>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hint="eastAsia"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4"/>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vAlign w:val="center"/>
          </w:tcPr>
          <w:p>
            <w:pPr>
              <w:autoSpaceDE w:val="0"/>
              <w:autoSpaceDN w:val="0"/>
              <w:adjustRightInd w:val="0"/>
              <w:jc w:val="center"/>
              <w:rPr>
                <w:rFonts w:hint="eastAsia" w:ascii="楷体" w:hAnsi="楷体" w:eastAsia="楷体" w:cs="浠垮畫"/>
                <w:kern w:val="0"/>
                <w:sz w:val="24"/>
                <w:szCs w:val="24"/>
                <w:lang w:val="en-US" w:eastAsia="zh-CN"/>
              </w:rPr>
            </w:pPr>
            <w:r>
              <w:rPr>
                <w:rFonts w:hint="eastAsia" w:ascii="楷体" w:hAnsi="楷体" w:eastAsia="楷体" w:cs="浠垮畫"/>
                <w:kern w:val="0"/>
                <w:sz w:val="24"/>
                <w:szCs w:val="24"/>
              </w:rPr>
              <w:t>低风险</w:t>
            </w:r>
            <w:r>
              <w:rPr>
                <w:rFonts w:hint="eastAsia" w:ascii="楷体" w:hAnsi="楷体" w:eastAsia="楷体" w:cs="浠垮畫"/>
                <w:kern w:val="0"/>
                <w:sz w:val="24"/>
                <w:szCs w:val="24"/>
                <w:lang w:val="en-US" w:eastAsia="zh-CN"/>
              </w:rPr>
              <w:t>型</w:t>
            </w:r>
          </w:p>
        </w:tc>
        <w:tc>
          <w:tcPr>
            <w:tcW w:w="2084" w:type="dxa"/>
            <w:tcBorders>
              <w:bottom w:val="single" w:color="auto" w:sz="4" w:space="0"/>
            </w:tcBorders>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rPr>
        <w:t>投资管理</w:t>
      </w:r>
    </w:p>
    <w:p>
      <w:pPr>
        <w:numPr>
          <w:ilvl w:val="0"/>
          <w:numId w:val="11"/>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投资范围和比例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理财产品直接或间接投资于货币市场工具类资产、债券类资产、债权类资产和监管机构允许投资的其他资产。具体资产投资比例为：货币市场工具、债券、以及符合监管要求的债权类资产占产品资产总值比例为80%</w:t>
      </w:r>
      <w:r>
        <w:rPr>
          <w:rFonts w:hint="eastAsia" w:ascii="楷体" w:hAnsi="楷体" w:eastAsia="楷体"/>
          <w:sz w:val="24"/>
          <w:szCs w:val="24"/>
          <w:highlight w:val="none"/>
          <w:lang w:val="en-US" w:eastAsia="zh-CN"/>
        </w:rPr>
        <w:t>-</w:t>
      </w:r>
      <w:r>
        <w:rPr>
          <w:rFonts w:hint="eastAsia" w:ascii="楷体" w:hAnsi="楷体" w:eastAsia="楷体"/>
          <w:sz w:val="24"/>
          <w:szCs w:val="24"/>
          <w:highlight w:val="none"/>
        </w:rPr>
        <w:t>100%；符合监管要求的其他资产占产品资产总值比例0%</w:t>
      </w:r>
      <w:r>
        <w:rPr>
          <w:rFonts w:hint="eastAsia" w:ascii="楷体" w:hAnsi="楷体" w:eastAsia="楷体"/>
          <w:sz w:val="24"/>
          <w:szCs w:val="24"/>
          <w:highlight w:val="none"/>
          <w:lang w:val="en-US" w:eastAsia="zh-CN"/>
        </w:rPr>
        <w:t>-</w:t>
      </w:r>
      <w:r>
        <w:rPr>
          <w:rFonts w:hint="eastAsia" w:ascii="楷体" w:hAnsi="楷体" w:eastAsia="楷体"/>
          <w:sz w:val="24"/>
          <w:szCs w:val="24"/>
          <w:highlight w:val="none"/>
        </w:rPr>
        <w:t>20%。</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其中现金或者到期日在一年以内的国债、中央银行票据和政策性金融债券不低于产品净资产的5%。流动性受限资产的市值在开放日不得超过该产品资产净值的15%。在开放日前一工作日内，7个工作日可变现资产的可变现价值不低于该产品资产净值的10%。每日确认且需当日支付的净赎回申请不超过前一工作日该理财产品7个工作日可变现资产的可变现价值。</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r>
        <w:rPr>
          <w:rFonts w:hint="eastAsia" w:ascii="楷体" w:hAnsi="楷体" w:eastAsia="楷体"/>
          <w:sz w:val="24"/>
          <w:szCs w:val="24"/>
        </w:rPr>
        <w:t>。</w:t>
      </w:r>
    </w:p>
    <w:p>
      <w:pPr>
        <w:numPr>
          <w:ilvl w:val="0"/>
          <w:numId w:val="11"/>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投资集中度限制</w:t>
      </w:r>
    </w:p>
    <w:p>
      <w:pPr>
        <w:numPr>
          <w:ilvl w:val="0"/>
          <w:numId w:val="12"/>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本产品持有单只证券或者单只公募证券投资基金的市值不得超过产品净资产的10%。</w:t>
      </w:r>
    </w:p>
    <w:p>
      <w:pPr>
        <w:numPr>
          <w:ilvl w:val="0"/>
          <w:numId w:val="12"/>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管理人全部公募产品持有单只证券或单只公募证券投资基金的市值，不得超过该证券市值或该公募证券投资基金市值的30%。</w:t>
      </w:r>
    </w:p>
    <w:p>
      <w:pPr>
        <w:numPr>
          <w:ilvl w:val="0"/>
          <w:numId w:val="12"/>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管理人全部产品持有单一上市公司发行的股票，不得超过该上市公司可流通股票的30%。</w:t>
      </w:r>
    </w:p>
    <w:p>
      <w:pPr>
        <w:ind w:firstLine="480" w:firstLineChars="200"/>
        <w:rPr>
          <w:rFonts w:hint="eastAsia"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hint="eastAsia"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非因管理人主观因素导致突破上述比例限制的，产品管理人在流动性受限资产可出售、可转让或者恢复交易的10个交易日内调整至符合要求。</w:t>
      </w:r>
    </w:p>
    <w:p>
      <w:pPr>
        <w:numPr>
          <w:ilvl w:val="0"/>
          <w:numId w:val="11"/>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杠杆水平限制</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本理财产品资产总值/理财产品资产净值不超过140%（如监管有最新规定的参照监管规定调整）。</w:t>
      </w:r>
    </w:p>
    <w:p>
      <w:pPr>
        <w:numPr>
          <w:ilvl w:val="0"/>
          <w:numId w:val="11"/>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投资范围调整</w:t>
      </w:r>
    </w:p>
    <w:p>
      <w:pPr>
        <w:ind w:firstLine="480" w:firstLineChars="200"/>
        <w:rPr>
          <w:rFonts w:hint="eastAsia" w:ascii="楷体" w:hAnsi="楷体" w:eastAsia="楷体"/>
          <w:b/>
          <w:bCs/>
          <w:sz w:val="24"/>
          <w:szCs w:val="24"/>
          <w:highlight w:val="none"/>
          <w:u w:val="single"/>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w:t>
      </w:r>
      <w:r>
        <w:rPr>
          <w:rFonts w:hint="eastAsia" w:ascii="楷体" w:hAnsi="楷体" w:eastAsia="楷体"/>
          <w:sz w:val="24"/>
          <w:szCs w:val="24"/>
          <w:lang w:eastAsia="zh-CN"/>
        </w:rPr>
        <w:t>，</w:t>
      </w:r>
      <w:r>
        <w:rPr>
          <w:rFonts w:hint="eastAsia" w:ascii="楷体" w:hAnsi="楷体" w:eastAsia="楷体"/>
          <w:sz w:val="24"/>
          <w:szCs w:val="24"/>
        </w:rPr>
        <w:t>该调整事项将于生效前</w:t>
      </w:r>
      <w:r>
        <w:rPr>
          <w:rFonts w:ascii="楷体" w:hAnsi="楷体" w:eastAsia="楷体"/>
          <w:sz w:val="24"/>
          <w:szCs w:val="24"/>
        </w:rPr>
        <w:t>2</w:t>
      </w:r>
      <w:r>
        <w:rPr>
          <w:rFonts w:hint="eastAsia" w:ascii="楷体" w:hAnsi="楷体" w:eastAsia="楷体"/>
          <w:sz w:val="24"/>
          <w:szCs w:val="24"/>
        </w:rPr>
        <w:t>个工作日按本理财产品说明书约定的信息披露方式予以披</w:t>
      </w:r>
      <w:r>
        <w:rPr>
          <w:rFonts w:hint="eastAsia" w:ascii="楷体" w:hAnsi="楷体" w:eastAsia="楷体"/>
          <w:b w:val="0"/>
          <w:bCs w:val="0"/>
          <w:sz w:val="24"/>
          <w:szCs w:val="24"/>
        </w:rPr>
        <w:t>露</w:t>
      </w:r>
      <w:r>
        <w:rPr>
          <w:rFonts w:hint="eastAsia" w:ascii="楷体" w:hAnsi="楷体" w:eastAsia="楷体"/>
          <w:b w:val="0"/>
          <w:bCs w:val="0"/>
          <w:sz w:val="24"/>
          <w:szCs w:val="24"/>
          <w:u w:val="none"/>
          <w:lang w:eastAsia="zh-CN"/>
        </w:rPr>
        <w:t>。产品管理人将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r>
        <w:rPr>
          <w:rFonts w:hint="eastAsia" w:ascii="楷体" w:hAnsi="楷体" w:eastAsia="楷体"/>
          <w:b w:val="0"/>
          <w:bCs w:val="0"/>
          <w:sz w:val="24"/>
          <w:szCs w:val="24"/>
          <w:highlight w:val="none"/>
          <w:u w:val="none"/>
        </w:rPr>
        <w:t>。</w:t>
      </w:r>
    </w:p>
    <w:p>
      <w:pPr>
        <w:numPr>
          <w:ilvl w:val="0"/>
          <w:numId w:val="3"/>
        </w:numPr>
        <w:tabs>
          <w:tab w:val="left" w:pos="1134"/>
        </w:tabs>
        <w:ind w:firstLine="562" w:firstLineChars="200"/>
        <w:outlineLvl w:val="1"/>
        <w:rPr>
          <w:rFonts w:ascii="楷体" w:hAnsi="楷体" w:eastAsia="楷体"/>
          <w:b/>
          <w:sz w:val="28"/>
          <w:szCs w:val="28"/>
          <w:highlight w:val="none"/>
        </w:rPr>
      </w:pPr>
      <w:r>
        <w:rPr>
          <w:rFonts w:hint="eastAsia" w:ascii="楷体" w:hAnsi="楷体" w:eastAsia="楷体"/>
          <w:b/>
          <w:sz w:val="28"/>
          <w:szCs w:val="28"/>
          <w:highlight w:val="none"/>
        </w:rPr>
        <w:t>产品认购</w:t>
      </w:r>
    </w:p>
    <w:p>
      <w:pPr>
        <w:numPr>
          <w:ilvl w:val="0"/>
          <w:numId w:val="13"/>
        </w:numPr>
        <w:tabs>
          <w:tab w:val="left" w:pos="993"/>
        </w:tabs>
        <w:ind w:left="0" w:firstLine="480" w:firstLineChars="200"/>
        <w:rPr>
          <w:rFonts w:hint="eastAsia" w:ascii="楷体" w:hAnsi="楷体" w:eastAsia="楷体"/>
          <w:sz w:val="24"/>
          <w:szCs w:val="24"/>
          <w:highlight w:val="none"/>
        </w:rPr>
      </w:pPr>
      <w:r>
        <w:rPr>
          <w:rFonts w:hint="eastAsia" w:ascii="楷体" w:hAnsi="楷体" w:eastAsia="楷体" w:cs="Calibri"/>
          <w:sz w:val="24"/>
          <w:szCs w:val="24"/>
          <w:highlight w:val="none"/>
        </w:rPr>
        <w:t>认购期间：</w:t>
      </w:r>
      <w:r>
        <w:rPr>
          <w:rFonts w:hint="eastAsia" w:ascii="楷体" w:hAnsi="楷体" w:eastAsia="楷体"/>
          <w:sz w:val="24"/>
          <w:szCs w:val="24"/>
          <w:highlight w:val="none"/>
          <w:lang w:eastAsia="zh-CN"/>
        </w:rPr>
        <w:t>20</w:t>
      </w:r>
      <w:r>
        <w:rPr>
          <w:rFonts w:hint="eastAsia" w:ascii="楷体" w:hAnsi="楷体" w:eastAsia="楷体"/>
          <w:sz w:val="24"/>
          <w:szCs w:val="24"/>
          <w:highlight w:val="none"/>
          <w:lang w:val="en-US" w:eastAsia="zh-CN"/>
        </w:rPr>
        <w:t>17</w:t>
      </w:r>
      <w:r>
        <w:rPr>
          <w:rFonts w:hint="eastAsia" w:ascii="楷体" w:hAnsi="楷体" w:eastAsia="楷体"/>
          <w:sz w:val="24"/>
          <w:szCs w:val="24"/>
          <w:highlight w:val="none"/>
          <w:lang w:eastAsia="zh-CN"/>
        </w:rPr>
        <w:t>年</w:t>
      </w:r>
      <w:r>
        <w:rPr>
          <w:rFonts w:hint="eastAsia" w:ascii="楷体" w:hAnsi="楷体" w:eastAsia="楷体"/>
          <w:sz w:val="24"/>
          <w:szCs w:val="24"/>
          <w:highlight w:val="none"/>
          <w:lang w:val="en-US" w:eastAsia="zh-CN"/>
        </w:rPr>
        <w:t>11</w:t>
      </w:r>
      <w:r>
        <w:rPr>
          <w:rFonts w:hint="eastAsia" w:ascii="楷体" w:hAnsi="楷体" w:eastAsia="楷体"/>
          <w:sz w:val="24"/>
          <w:szCs w:val="24"/>
          <w:highlight w:val="none"/>
          <w:lang w:eastAsia="zh-CN"/>
        </w:rPr>
        <w:t>月</w:t>
      </w:r>
      <w:r>
        <w:rPr>
          <w:rFonts w:hint="eastAsia" w:ascii="楷体" w:hAnsi="楷体" w:eastAsia="楷体"/>
          <w:sz w:val="24"/>
          <w:szCs w:val="24"/>
          <w:highlight w:val="none"/>
          <w:lang w:val="en-US" w:eastAsia="zh-CN"/>
        </w:rPr>
        <w:t>20</w:t>
      </w:r>
      <w:r>
        <w:rPr>
          <w:rFonts w:hint="eastAsia" w:ascii="楷体" w:hAnsi="楷体" w:eastAsia="楷体"/>
          <w:sz w:val="24"/>
          <w:szCs w:val="24"/>
          <w:highlight w:val="none"/>
          <w:lang w:eastAsia="zh-CN"/>
        </w:rPr>
        <w:t>日9:00至20</w:t>
      </w:r>
      <w:r>
        <w:rPr>
          <w:rFonts w:hint="eastAsia" w:ascii="楷体" w:hAnsi="楷体" w:eastAsia="楷体"/>
          <w:sz w:val="24"/>
          <w:szCs w:val="24"/>
          <w:highlight w:val="none"/>
          <w:lang w:val="en-US" w:eastAsia="zh-CN"/>
        </w:rPr>
        <w:t>17</w:t>
      </w:r>
      <w:r>
        <w:rPr>
          <w:rFonts w:hint="eastAsia" w:ascii="楷体" w:hAnsi="楷体" w:eastAsia="楷体"/>
          <w:sz w:val="24"/>
          <w:szCs w:val="24"/>
          <w:highlight w:val="none"/>
          <w:lang w:eastAsia="zh-CN"/>
        </w:rPr>
        <w:t>年</w:t>
      </w:r>
      <w:r>
        <w:rPr>
          <w:rFonts w:hint="eastAsia" w:ascii="楷体" w:hAnsi="楷体" w:eastAsia="楷体"/>
          <w:sz w:val="24"/>
          <w:szCs w:val="24"/>
          <w:highlight w:val="none"/>
          <w:lang w:val="en-US" w:eastAsia="zh-CN"/>
        </w:rPr>
        <w:t>11</w:t>
      </w:r>
      <w:r>
        <w:rPr>
          <w:rFonts w:hint="eastAsia" w:ascii="楷体" w:hAnsi="楷体" w:eastAsia="楷体"/>
          <w:sz w:val="24"/>
          <w:szCs w:val="24"/>
          <w:highlight w:val="none"/>
          <w:lang w:eastAsia="zh-CN"/>
        </w:rPr>
        <w:t>月</w:t>
      </w:r>
      <w:r>
        <w:rPr>
          <w:rFonts w:hint="eastAsia" w:ascii="楷体" w:hAnsi="楷体" w:eastAsia="楷体"/>
          <w:sz w:val="24"/>
          <w:szCs w:val="24"/>
          <w:highlight w:val="none"/>
          <w:lang w:val="en-US" w:eastAsia="zh-CN"/>
        </w:rPr>
        <w:t>23</w:t>
      </w:r>
      <w:r>
        <w:rPr>
          <w:rFonts w:hint="eastAsia" w:ascii="楷体" w:hAnsi="楷体" w:eastAsia="楷体"/>
          <w:sz w:val="24"/>
          <w:szCs w:val="24"/>
          <w:highlight w:val="none"/>
          <w:lang w:eastAsia="zh-CN"/>
        </w:rPr>
        <w:t>日17:00</w:t>
      </w:r>
      <w:r>
        <w:rPr>
          <w:rFonts w:hint="eastAsia" w:ascii="楷体" w:hAnsi="楷体" w:eastAsia="楷体" w:cs="Calibri"/>
          <w:sz w:val="24"/>
          <w:szCs w:val="24"/>
          <w:highlight w:val="none"/>
        </w:rPr>
        <w:t>。</w:t>
      </w:r>
      <w:r>
        <w:rPr>
          <w:rFonts w:hint="eastAsia" w:ascii="楷体" w:hAnsi="楷体" w:eastAsia="楷体"/>
          <w:sz w:val="24"/>
          <w:szCs w:val="24"/>
          <w:highlight w:val="none"/>
        </w:rPr>
        <w:t>（以各销售机构设置的认购时间为准）</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认购方式：本理财产品可在各销售机构指定渠道进行认购。</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lang w:val="en-US" w:eastAsia="zh-CN"/>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苏银理财恒源月开放2号</w:t>
      </w:r>
      <w:r>
        <w:rPr>
          <w:rFonts w:hint="eastAsia" w:ascii="楷体" w:hAnsi="楷体" w:eastAsia="楷体" w:cs="Calibri"/>
          <w:sz w:val="24"/>
          <w:szCs w:val="24"/>
          <w:highlight w:val="none"/>
          <w:lang w:val="en-US" w:eastAsia="zh-CN"/>
        </w:rPr>
        <w:t>A</w:t>
      </w:r>
      <w:r>
        <w:rPr>
          <w:rFonts w:hint="eastAsia" w:ascii="楷体" w:hAnsi="楷体" w:eastAsia="楷体" w:cs="Calibri"/>
          <w:sz w:val="24"/>
          <w:szCs w:val="24"/>
          <w:highlight w:val="none"/>
        </w:rPr>
        <w:t>（J172411SA801）、苏银理财恒源月开放2号F（J01997）</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苏银理财恒源月开放2号</w:t>
      </w:r>
      <w:r>
        <w:rPr>
          <w:rFonts w:hint="eastAsia" w:ascii="楷体" w:hAnsi="楷体" w:eastAsia="楷体" w:cs="Calibri"/>
          <w:sz w:val="24"/>
          <w:szCs w:val="24"/>
          <w:highlight w:val="none"/>
          <w:lang w:val="en-US" w:eastAsia="zh-CN"/>
        </w:rPr>
        <w:t>W（J02826）</w:t>
      </w:r>
      <w:r>
        <w:rPr>
          <w:rFonts w:hint="eastAsia" w:ascii="楷体" w:hAnsi="楷体" w:eastAsia="楷体" w:cs="Calibri"/>
          <w:sz w:val="24"/>
          <w:szCs w:val="24"/>
          <w:highlight w:val="none"/>
        </w:rPr>
        <w:t>购买起点金额为1元，追加金额为1元的整数倍（以销售机构设置为准）；苏银理财恒源月开放2号</w:t>
      </w:r>
      <w:r>
        <w:rPr>
          <w:rFonts w:hint="eastAsia" w:ascii="楷体" w:hAnsi="楷体" w:eastAsia="楷体" w:cs="Calibri"/>
          <w:sz w:val="24"/>
          <w:szCs w:val="24"/>
          <w:highlight w:val="none"/>
          <w:lang w:eastAsia="zh-CN"/>
        </w:rPr>
        <w:t>DF</w:t>
      </w:r>
      <w:r>
        <w:rPr>
          <w:rFonts w:hint="eastAsia" w:ascii="楷体" w:hAnsi="楷体" w:eastAsia="楷体" w:cs="Calibri"/>
          <w:sz w:val="24"/>
          <w:szCs w:val="24"/>
          <w:highlight w:val="none"/>
        </w:rPr>
        <w:t>（J172411SA80B）购买起点金额为1</w:t>
      </w:r>
      <w:r>
        <w:rPr>
          <w:rFonts w:hint="eastAsia" w:ascii="楷体" w:hAnsi="楷体" w:eastAsia="楷体" w:cs="Calibri"/>
          <w:sz w:val="24"/>
          <w:szCs w:val="24"/>
          <w:highlight w:val="none"/>
          <w:lang w:val="en-US" w:eastAsia="zh-CN"/>
        </w:rPr>
        <w:t>000</w:t>
      </w:r>
      <w:r>
        <w:rPr>
          <w:rFonts w:hint="eastAsia" w:ascii="楷体" w:hAnsi="楷体" w:eastAsia="楷体" w:cs="Calibri"/>
          <w:sz w:val="24"/>
          <w:szCs w:val="24"/>
          <w:highlight w:val="none"/>
        </w:rPr>
        <w:t>元，追加金额为</w:t>
      </w:r>
      <w:r>
        <w:rPr>
          <w:rFonts w:hint="eastAsia" w:ascii="楷体" w:hAnsi="楷体" w:eastAsia="楷体" w:cs="Calibri"/>
          <w:sz w:val="24"/>
          <w:szCs w:val="24"/>
          <w:highlight w:val="none"/>
          <w:lang w:val="en-US" w:eastAsia="zh-CN"/>
        </w:rPr>
        <w:t>0.01</w:t>
      </w:r>
      <w:r>
        <w:rPr>
          <w:rFonts w:hint="eastAsia" w:ascii="楷体" w:hAnsi="楷体" w:eastAsia="楷体" w:cs="Calibri"/>
          <w:sz w:val="24"/>
          <w:szCs w:val="24"/>
          <w:highlight w:val="none"/>
        </w:rPr>
        <w:t>元的整数倍（以销售机构设置为准）</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苏银理财恒源月开放2号C（J00308）购买起点金额为1万元，追加金额为1万元的整数倍（以销售机构设置为准）;苏银理财恒源月开放2号E（J172411SA80C）购买起点金额为50万元，追加金额为1万元的整数倍（以销售机构设置为准）。</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认购申请撤销时间：认购期间，投资者可于</w:t>
      </w:r>
      <w:r>
        <w:rPr>
          <w:rFonts w:hint="eastAsia" w:ascii="楷体" w:hAnsi="楷体" w:eastAsia="楷体"/>
          <w:sz w:val="24"/>
          <w:szCs w:val="24"/>
          <w:highlight w:val="none"/>
          <w:lang w:eastAsia="zh-CN"/>
        </w:rPr>
        <w:t>20</w:t>
      </w:r>
      <w:r>
        <w:rPr>
          <w:rFonts w:hint="eastAsia" w:ascii="楷体" w:hAnsi="楷体" w:eastAsia="楷体"/>
          <w:sz w:val="24"/>
          <w:szCs w:val="24"/>
          <w:highlight w:val="none"/>
          <w:lang w:val="en-US" w:eastAsia="zh-CN"/>
        </w:rPr>
        <w:t>17</w:t>
      </w:r>
      <w:r>
        <w:rPr>
          <w:rFonts w:hint="eastAsia" w:ascii="楷体" w:hAnsi="楷体" w:eastAsia="楷体"/>
          <w:sz w:val="24"/>
          <w:szCs w:val="24"/>
          <w:highlight w:val="none"/>
          <w:lang w:eastAsia="zh-CN"/>
        </w:rPr>
        <w:t>年</w:t>
      </w:r>
      <w:r>
        <w:rPr>
          <w:rFonts w:hint="eastAsia" w:ascii="楷体" w:hAnsi="楷体" w:eastAsia="楷体"/>
          <w:sz w:val="24"/>
          <w:szCs w:val="24"/>
          <w:highlight w:val="none"/>
          <w:lang w:val="en-US" w:eastAsia="zh-CN"/>
        </w:rPr>
        <w:t>11</w:t>
      </w:r>
      <w:r>
        <w:rPr>
          <w:rFonts w:hint="eastAsia" w:ascii="楷体" w:hAnsi="楷体" w:eastAsia="楷体"/>
          <w:sz w:val="24"/>
          <w:szCs w:val="24"/>
          <w:highlight w:val="none"/>
          <w:lang w:eastAsia="zh-CN"/>
        </w:rPr>
        <w:t>月</w:t>
      </w:r>
      <w:r>
        <w:rPr>
          <w:rFonts w:hint="eastAsia" w:ascii="楷体" w:hAnsi="楷体" w:eastAsia="楷体"/>
          <w:sz w:val="24"/>
          <w:szCs w:val="24"/>
          <w:highlight w:val="none"/>
          <w:lang w:val="en-US" w:eastAsia="zh-CN"/>
        </w:rPr>
        <w:t>23</w:t>
      </w:r>
      <w:r>
        <w:rPr>
          <w:rFonts w:hint="eastAsia" w:ascii="楷体" w:hAnsi="楷体" w:eastAsia="楷体"/>
          <w:sz w:val="24"/>
          <w:szCs w:val="24"/>
          <w:highlight w:val="none"/>
          <w:lang w:eastAsia="zh-CN"/>
        </w:rPr>
        <w:t>日</w:t>
      </w:r>
      <w:r>
        <w:rPr>
          <w:rFonts w:hint="eastAsia" w:ascii="楷体" w:hAnsi="楷体" w:eastAsia="楷体"/>
          <w:sz w:val="24"/>
          <w:szCs w:val="24"/>
          <w:highlight w:val="none"/>
        </w:rPr>
        <w:t>17:00</w:t>
      </w:r>
      <w:r>
        <w:rPr>
          <w:rFonts w:hint="eastAsia" w:ascii="楷体" w:hAnsi="楷体" w:eastAsia="楷体" w:cs="Calibri"/>
          <w:sz w:val="24"/>
          <w:szCs w:val="24"/>
          <w:highlight w:val="none"/>
        </w:rPr>
        <w:t>前撤销认购申请，该时点后不得撤销。（以各销售机构设置的撤销截止时间为准）</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认购资金的清算</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投资者提出认购申请时，须备足购买资金。如投资者通过代销渠道购买，管理人在份额确认日通知销售机构扣划投资者认购资金，投资者应在扣款前保证资金账户中拥有足够可用余额</w:t>
      </w:r>
      <w:r>
        <w:rPr>
          <w:rFonts w:hint="eastAsia" w:ascii="楷体" w:hAnsi="楷体" w:eastAsia="楷体"/>
          <w:sz w:val="24"/>
          <w:szCs w:val="24"/>
          <w:highlight w:val="none"/>
          <w:lang w:eastAsia="zh-CN"/>
        </w:rPr>
        <w:t>；</w:t>
      </w:r>
      <w:r>
        <w:rPr>
          <w:rFonts w:hint="eastAsia" w:ascii="楷体" w:hAnsi="楷体" w:eastAsia="楷体"/>
          <w:sz w:val="24"/>
          <w:szCs w:val="24"/>
          <w:highlight w:val="none"/>
        </w:rPr>
        <w:t>如投资者通过苏银</w:t>
      </w:r>
      <w:r>
        <w:rPr>
          <w:rFonts w:hint="eastAsia" w:ascii="楷体" w:hAnsi="楷体" w:eastAsia="楷体"/>
          <w:sz w:val="24"/>
          <w:szCs w:val="24"/>
          <w:highlight w:val="none"/>
          <w:lang w:val="en-US" w:eastAsia="zh-CN"/>
        </w:rPr>
        <w:t>理财</w:t>
      </w:r>
      <w:r>
        <w:rPr>
          <w:rFonts w:hint="eastAsia" w:ascii="楷体" w:hAnsi="楷体" w:eastAsia="楷体"/>
          <w:sz w:val="24"/>
          <w:szCs w:val="24"/>
          <w:highlight w:val="none"/>
        </w:rPr>
        <w:t>直营</w:t>
      </w:r>
      <w:r>
        <w:rPr>
          <w:rFonts w:hint="eastAsia" w:ascii="楷体" w:hAnsi="楷体" w:eastAsia="楷体"/>
          <w:sz w:val="24"/>
          <w:szCs w:val="24"/>
          <w:highlight w:val="none"/>
          <w:lang w:val="en-US" w:eastAsia="zh-CN"/>
        </w:rPr>
        <w:t>渠道</w:t>
      </w:r>
      <w:r>
        <w:rPr>
          <w:rFonts w:hint="eastAsia" w:ascii="楷体" w:hAnsi="楷体" w:eastAsia="楷体"/>
          <w:sz w:val="24"/>
          <w:szCs w:val="24"/>
          <w:highlight w:val="none"/>
        </w:rPr>
        <w:t>购买</w:t>
      </w:r>
      <w:r>
        <w:rPr>
          <w:rFonts w:hint="eastAsia" w:ascii="楷体" w:hAnsi="楷体" w:eastAsia="楷体"/>
          <w:sz w:val="24"/>
          <w:szCs w:val="24"/>
          <w:highlight w:val="none"/>
          <w:lang w:eastAsia="zh-CN"/>
        </w:rPr>
        <w:t>，</w:t>
      </w:r>
      <w:r>
        <w:rPr>
          <w:rFonts w:hint="eastAsia" w:ascii="楷体" w:hAnsi="楷体" w:eastAsia="楷体"/>
          <w:sz w:val="24"/>
          <w:szCs w:val="24"/>
          <w:highlight w:val="none"/>
        </w:rPr>
        <w:t>资金清算以《</w:t>
      </w:r>
      <w:r>
        <w:rPr>
          <w:rFonts w:hint="eastAsia" w:ascii="楷体" w:hAnsi="楷体" w:eastAsia="楷体"/>
          <w:sz w:val="24"/>
          <w:szCs w:val="24"/>
          <w:highlight w:val="none"/>
          <w:lang w:eastAsia="zh-CN"/>
        </w:rPr>
        <w:t>理财产品（代理）销售协议书</w:t>
      </w:r>
      <w:r>
        <w:rPr>
          <w:rFonts w:hint="eastAsia" w:ascii="楷体" w:hAnsi="楷体" w:eastAsia="楷体"/>
          <w:sz w:val="24"/>
          <w:szCs w:val="24"/>
          <w:highlight w:val="none"/>
        </w:rPr>
        <w:t>》约定为准。因投资者资金账户余额不足、司法冻结、不可抗力因素或其他不可归责于苏银理财和销售机构的事由出现，造成扣款失败，认购申请未被确认的，苏银理财和销售机构不承担任何责任。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认购份额登记日：本理财产品于</w:t>
      </w:r>
      <w:r>
        <w:rPr>
          <w:rFonts w:hint="eastAsia" w:ascii="楷体" w:hAnsi="楷体" w:eastAsia="楷体"/>
          <w:sz w:val="24"/>
          <w:szCs w:val="24"/>
          <w:highlight w:val="none"/>
          <w:lang w:eastAsia="zh-CN"/>
        </w:rPr>
        <w:t>20</w:t>
      </w:r>
      <w:r>
        <w:rPr>
          <w:rFonts w:hint="eastAsia" w:ascii="楷体" w:hAnsi="楷体" w:eastAsia="楷体"/>
          <w:sz w:val="24"/>
          <w:szCs w:val="24"/>
          <w:highlight w:val="none"/>
          <w:lang w:val="en-US" w:eastAsia="zh-CN"/>
        </w:rPr>
        <w:t>17</w:t>
      </w:r>
      <w:r>
        <w:rPr>
          <w:rFonts w:hint="eastAsia" w:ascii="楷体" w:hAnsi="楷体" w:eastAsia="楷体"/>
          <w:sz w:val="24"/>
          <w:szCs w:val="24"/>
          <w:highlight w:val="none"/>
          <w:lang w:eastAsia="zh-CN"/>
        </w:rPr>
        <w:t>年</w:t>
      </w:r>
      <w:r>
        <w:rPr>
          <w:rFonts w:hint="eastAsia" w:ascii="楷体" w:hAnsi="楷体" w:eastAsia="楷体"/>
          <w:sz w:val="24"/>
          <w:szCs w:val="24"/>
          <w:highlight w:val="none"/>
          <w:lang w:val="en-US" w:eastAsia="zh-CN"/>
        </w:rPr>
        <w:t>11</w:t>
      </w:r>
      <w:r>
        <w:rPr>
          <w:rFonts w:hint="eastAsia" w:ascii="楷体" w:hAnsi="楷体" w:eastAsia="楷体"/>
          <w:sz w:val="24"/>
          <w:szCs w:val="24"/>
          <w:highlight w:val="none"/>
          <w:lang w:eastAsia="zh-CN"/>
        </w:rPr>
        <w:t>月</w:t>
      </w:r>
      <w:r>
        <w:rPr>
          <w:rFonts w:hint="eastAsia" w:ascii="楷体" w:hAnsi="楷体" w:eastAsia="楷体"/>
          <w:sz w:val="24"/>
          <w:szCs w:val="24"/>
          <w:highlight w:val="none"/>
          <w:lang w:val="en-US" w:eastAsia="zh-CN"/>
        </w:rPr>
        <w:t>24</w:t>
      </w:r>
      <w:r>
        <w:rPr>
          <w:rFonts w:hint="eastAsia" w:ascii="楷体" w:hAnsi="楷体" w:eastAsia="楷体"/>
          <w:sz w:val="24"/>
          <w:szCs w:val="24"/>
          <w:highlight w:val="none"/>
          <w:lang w:eastAsia="zh-CN"/>
        </w:rPr>
        <w:t>日</w:t>
      </w:r>
      <w:r>
        <w:rPr>
          <w:rFonts w:hint="eastAsia" w:ascii="楷体" w:hAnsi="楷体" w:eastAsia="楷体" w:cs="Calibri"/>
          <w:sz w:val="24"/>
          <w:szCs w:val="24"/>
          <w:highlight w:val="none"/>
        </w:rPr>
        <w:t>进行份额登记</w:t>
      </w:r>
      <w:r>
        <w:rPr>
          <w:rFonts w:hint="eastAsia" w:ascii="楷体" w:hAnsi="楷体" w:eastAsia="楷体" w:cs="Calibri"/>
          <w:sz w:val="24"/>
          <w:szCs w:val="24"/>
          <w:highlight w:val="none"/>
          <w:lang w:val="en-US" w:eastAsia="zh-CN"/>
        </w:rPr>
        <w:t>。</w:t>
      </w:r>
    </w:p>
    <w:p>
      <w:pPr>
        <w:numPr>
          <w:ilvl w:val="0"/>
          <w:numId w:val="13"/>
        </w:numPr>
        <w:tabs>
          <w:tab w:val="left" w:pos="993"/>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认购份额的计算</w:t>
      </w:r>
    </w:p>
    <w:p>
      <w:pPr>
        <w:ind w:firstLine="480" w:firstLineChars="200"/>
        <w:rPr>
          <w:rFonts w:hint="eastAsia" w:ascii="楷体" w:hAnsi="楷体" w:eastAsia="楷体"/>
          <w:sz w:val="24"/>
          <w:szCs w:val="24"/>
          <w:highlight w:val="none"/>
        </w:rPr>
      </w:pPr>
      <w:r>
        <w:rPr>
          <w:rFonts w:ascii="楷体" w:hAnsi="楷体" w:eastAsia="楷体"/>
          <w:sz w:val="24"/>
          <w:szCs w:val="24"/>
          <w:highlight w:val="none"/>
        </w:rPr>
        <w:t>认购份额=</w:t>
      </w:r>
      <w:r>
        <w:rPr>
          <w:rFonts w:hint="eastAsia" w:ascii="楷体" w:hAnsi="楷体" w:eastAsia="楷体"/>
          <w:sz w:val="24"/>
          <w:szCs w:val="24"/>
          <w:highlight w:val="none"/>
        </w:rPr>
        <w:t>认购金额</w:t>
      </w:r>
      <w:r>
        <w:rPr>
          <w:rFonts w:ascii="楷体" w:hAnsi="楷体" w:eastAsia="楷体"/>
          <w:sz w:val="24"/>
          <w:szCs w:val="24"/>
          <w:highlight w:val="none"/>
        </w:rPr>
        <w:t>/</w:t>
      </w:r>
      <w:r>
        <w:rPr>
          <w:rFonts w:hint="eastAsia" w:ascii="楷体" w:hAnsi="楷体" w:eastAsia="楷体"/>
          <w:sz w:val="24"/>
          <w:szCs w:val="24"/>
          <w:highlight w:val="none"/>
        </w:rPr>
        <w:t>产品成立时单位净值</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产品成立时单位净值为1元/份，</w:t>
      </w:r>
      <w:r>
        <w:rPr>
          <w:rFonts w:ascii="楷体" w:hAnsi="楷体" w:eastAsia="楷体"/>
          <w:sz w:val="24"/>
          <w:szCs w:val="24"/>
          <w:highlight w:val="none"/>
        </w:rPr>
        <w:t>认购份额</w:t>
      </w:r>
      <w:r>
        <w:rPr>
          <w:rFonts w:hint="eastAsia" w:ascii="楷体" w:hAnsi="楷体" w:eastAsia="楷体"/>
          <w:sz w:val="24"/>
          <w:szCs w:val="24"/>
          <w:highlight w:val="none"/>
        </w:rPr>
        <w:t>以四舍五入的方法保留到小数点后两位。</w:t>
      </w:r>
    </w:p>
    <w:p>
      <w:pPr>
        <w:numPr>
          <w:ilvl w:val="0"/>
          <w:numId w:val="3"/>
        </w:numPr>
        <w:tabs>
          <w:tab w:val="left" w:pos="1134"/>
        </w:tabs>
        <w:ind w:firstLine="562" w:firstLineChars="200"/>
        <w:outlineLvl w:val="1"/>
        <w:rPr>
          <w:rFonts w:ascii="楷体" w:hAnsi="楷体" w:eastAsia="楷体"/>
          <w:b/>
          <w:bCs/>
          <w:sz w:val="28"/>
          <w:szCs w:val="28"/>
          <w:highlight w:val="none"/>
        </w:rPr>
      </w:pPr>
      <w:r>
        <w:rPr>
          <w:rFonts w:hint="eastAsia" w:ascii="楷体" w:hAnsi="楷体" w:eastAsia="楷体"/>
          <w:b/>
          <w:bCs/>
          <w:sz w:val="28"/>
          <w:szCs w:val="28"/>
          <w:highlight w:val="none"/>
        </w:rPr>
        <w:t>产品运作</w:t>
      </w:r>
    </w:p>
    <w:p>
      <w:pPr>
        <w:numPr>
          <w:ilvl w:val="0"/>
          <w:numId w:val="14"/>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申购份额的计算</w:t>
      </w:r>
    </w:p>
    <w:p>
      <w:pPr>
        <w:ind w:firstLine="480" w:firstLineChars="200"/>
        <w:rPr>
          <w:rFonts w:hint="eastAsia" w:ascii="楷体" w:hAnsi="楷体" w:eastAsia="楷体"/>
          <w:sz w:val="24"/>
          <w:szCs w:val="24"/>
        </w:rPr>
      </w:pPr>
      <w:r>
        <w:rPr>
          <w:rFonts w:hint="eastAsia" w:ascii="楷体" w:hAnsi="楷体" w:eastAsia="楷体"/>
          <w:sz w:val="24"/>
          <w:szCs w:val="24"/>
        </w:rPr>
        <w:t>申购份额=申购金额/开放日产品单位净值</w:t>
      </w:r>
    </w:p>
    <w:p>
      <w:pPr>
        <w:ind w:firstLine="480" w:firstLineChars="200"/>
        <w:rPr>
          <w:rFonts w:hint="eastAsia" w:ascii="楷体" w:hAnsi="楷体" w:eastAsia="楷体"/>
          <w:sz w:val="24"/>
          <w:szCs w:val="24"/>
        </w:rPr>
      </w:pPr>
      <w:r>
        <w:rPr>
          <w:rFonts w:hint="eastAsia" w:ascii="楷体" w:hAnsi="楷体" w:eastAsia="楷体"/>
          <w:sz w:val="24"/>
          <w:szCs w:val="24"/>
        </w:rPr>
        <w:t>申购份额以四舍五入的方法保留到小数点后两位</w:t>
      </w:r>
    </w:p>
    <w:p>
      <w:pPr>
        <w:numPr>
          <w:ilvl w:val="0"/>
          <w:numId w:val="14"/>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赎回金额的计算</w:t>
      </w:r>
    </w:p>
    <w:p>
      <w:pPr>
        <w:ind w:firstLine="480" w:firstLineChars="200"/>
        <w:rPr>
          <w:rFonts w:hint="eastAsia" w:ascii="楷体" w:hAnsi="楷体" w:eastAsia="楷体"/>
          <w:sz w:val="24"/>
          <w:szCs w:val="24"/>
        </w:rPr>
      </w:pPr>
      <w:r>
        <w:rPr>
          <w:rFonts w:hint="eastAsia" w:ascii="楷体" w:hAnsi="楷体" w:eastAsia="楷体"/>
          <w:sz w:val="24"/>
          <w:szCs w:val="24"/>
        </w:rPr>
        <w:t>赎回金额=赎回份额*开放日产品单位净值</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赎回金额</w:t>
      </w:r>
      <w:r>
        <w:rPr>
          <w:rFonts w:hint="eastAsia" w:ascii="楷体" w:hAnsi="楷体" w:eastAsia="楷体"/>
          <w:sz w:val="24"/>
          <w:szCs w:val="24"/>
        </w:rPr>
        <w:t>以四舍五入的方法保留到小数点后两位</w:t>
      </w:r>
    </w:p>
    <w:p>
      <w:pPr>
        <w:numPr>
          <w:ilvl w:val="0"/>
          <w:numId w:val="14"/>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计算示例</w:t>
      </w:r>
    </w:p>
    <w:p>
      <w:pPr>
        <w:tabs>
          <w:tab w:val="left" w:pos="993"/>
        </w:tabs>
        <w:ind w:left="480"/>
        <w:rPr>
          <w:rFonts w:hint="eastAsia"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numPr>
          <w:ilvl w:val="0"/>
          <w:numId w:val="15"/>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情景一</w:t>
      </w:r>
    </w:p>
    <w:p>
      <w:pPr>
        <w:ind w:firstLine="480" w:firstLineChars="200"/>
        <w:rPr>
          <w:rFonts w:hint="eastAsia" w:ascii="楷体" w:hAnsi="楷体" w:eastAsia="楷体"/>
          <w:sz w:val="24"/>
          <w:szCs w:val="24"/>
          <w:lang w:eastAsia="zh-CN"/>
        </w:rPr>
      </w:pPr>
      <w:r>
        <w:rPr>
          <w:rFonts w:ascii="楷体" w:hAnsi="楷体" w:eastAsia="楷体"/>
          <w:sz w:val="24"/>
          <w:szCs w:val="24"/>
        </w:rPr>
        <w:t>假定投资者</w:t>
      </w:r>
      <w:r>
        <w:rPr>
          <w:rFonts w:hint="eastAsia" w:ascii="楷体" w:hAnsi="楷体" w:eastAsia="楷体"/>
          <w:sz w:val="24"/>
          <w:szCs w:val="24"/>
        </w:rPr>
        <w:t>申购1</w:t>
      </w:r>
      <w:r>
        <w:rPr>
          <w:rFonts w:ascii="楷体" w:hAnsi="楷体" w:eastAsia="楷体"/>
          <w:sz w:val="24"/>
          <w:szCs w:val="24"/>
        </w:rPr>
        <w:t>0000元，</w:t>
      </w:r>
      <w:r>
        <w:rPr>
          <w:rFonts w:hint="eastAsia" w:ascii="楷体" w:hAnsi="楷体" w:eastAsia="楷体"/>
          <w:sz w:val="24"/>
          <w:szCs w:val="24"/>
        </w:rPr>
        <w:t>对应申购的开放日产品单位净值</w:t>
      </w:r>
      <w:r>
        <w:rPr>
          <w:rFonts w:ascii="楷体" w:hAnsi="楷体" w:eastAsia="楷体"/>
          <w:sz w:val="24"/>
          <w:szCs w:val="24"/>
        </w:rPr>
        <w:t>为1.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客户申购确认份额为9088.15份，投资者后续提交赎回申请，赎回其所持有全部份额，对应赎回开放日产品单位净值为1.120221</w:t>
      </w:r>
      <w:r>
        <w:rPr>
          <w:rFonts w:hint="eastAsia" w:ascii="楷体" w:hAnsi="楷体" w:eastAsia="楷体"/>
          <w:sz w:val="24"/>
          <w:szCs w:val="24"/>
          <w:lang w:eastAsia="zh-CN"/>
        </w:rPr>
        <w:t>。</w:t>
      </w:r>
    </w:p>
    <w:p>
      <w:pPr>
        <w:ind w:firstLine="480" w:firstLineChars="200"/>
        <w:rPr>
          <w:rFonts w:hint="eastAsia" w:ascii="楷体" w:hAnsi="楷体" w:eastAsia="楷体"/>
          <w:sz w:val="24"/>
          <w:szCs w:val="24"/>
        </w:rPr>
      </w:pPr>
      <w:r>
        <w:rPr>
          <w:rFonts w:hint="eastAsia" w:ascii="楷体" w:hAnsi="楷体" w:eastAsia="楷体"/>
          <w:sz w:val="24"/>
          <w:szCs w:val="24"/>
        </w:rPr>
        <w:t>投资者申购确认份额=1</w:t>
      </w:r>
      <w:r>
        <w:rPr>
          <w:rFonts w:ascii="楷体" w:hAnsi="楷体" w:eastAsia="楷体"/>
          <w:sz w:val="24"/>
          <w:szCs w:val="24"/>
        </w:rPr>
        <w:t>0000</w:t>
      </w: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=9088.15份</w:t>
      </w:r>
    </w:p>
    <w:p>
      <w:pPr>
        <w:ind w:firstLine="480" w:firstLineChars="200"/>
        <w:rPr>
          <w:rFonts w:hint="eastAsia" w:ascii="楷体" w:hAnsi="楷体" w:eastAsia="楷体"/>
          <w:sz w:val="24"/>
          <w:szCs w:val="24"/>
        </w:rPr>
      </w:pPr>
      <w:r>
        <w:rPr>
          <w:rFonts w:hint="eastAsia" w:ascii="楷体" w:hAnsi="楷体" w:eastAsia="楷体"/>
          <w:sz w:val="24"/>
          <w:szCs w:val="24"/>
        </w:rPr>
        <w:t>投资者赎回兑付金额=9088.15</w:t>
      </w:r>
      <w:r>
        <w:rPr>
          <w:rFonts w:ascii="楷体" w:hAnsi="楷体" w:eastAsia="楷体"/>
          <w:sz w:val="24"/>
          <w:szCs w:val="24"/>
        </w:rPr>
        <w:t>×</w:t>
      </w:r>
      <w:r>
        <w:rPr>
          <w:rFonts w:hint="eastAsia" w:ascii="楷体" w:hAnsi="楷体" w:eastAsia="楷体"/>
          <w:sz w:val="24"/>
          <w:szCs w:val="24"/>
        </w:rPr>
        <w:t>1.120221=10180.74元</w:t>
      </w:r>
    </w:p>
    <w:p>
      <w:pPr>
        <w:ind w:firstLine="480" w:firstLineChars="200"/>
        <w:rPr>
          <w:rFonts w:hint="eastAsia" w:ascii="楷体" w:hAnsi="楷体" w:eastAsia="楷体"/>
          <w:sz w:val="24"/>
          <w:szCs w:val="24"/>
        </w:rPr>
      </w:pPr>
      <w:r>
        <w:rPr>
          <w:rFonts w:hint="eastAsia" w:ascii="楷体" w:hAnsi="楷体" w:eastAsia="楷体"/>
          <w:sz w:val="24"/>
          <w:szCs w:val="24"/>
        </w:rPr>
        <w:t>投资者</w:t>
      </w:r>
      <w:r>
        <w:rPr>
          <w:rFonts w:ascii="楷体" w:hAnsi="楷体" w:eastAsia="楷体"/>
          <w:sz w:val="24"/>
          <w:szCs w:val="24"/>
        </w:rPr>
        <w:t>投资收益金额=</w:t>
      </w:r>
      <w:r>
        <w:rPr>
          <w:rFonts w:hint="eastAsia" w:ascii="楷体" w:hAnsi="楷体" w:eastAsia="楷体"/>
          <w:sz w:val="24"/>
          <w:szCs w:val="24"/>
        </w:rPr>
        <w:t>10180.74</w:t>
      </w:r>
      <w:r>
        <w:rPr>
          <w:rFonts w:ascii="楷体" w:hAnsi="楷体" w:eastAsia="楷体"/>
          <w:sz w:val="24"/>
          <w:szCs w:val="24"/>
        </w:rPr>
        <w:t>-</w:t>
      </w:r>
      <w:r>
        <w:rPr>
          <w:rFonts w:hint="eastAsia" w:ascii="楷体" w:hAnsi="楷体" w:eastAsia="楷体"/>
          <w:sz w:val="24"/>
          <w:szCs w:val="24"/>
        </w:rPr>
        <w:t>10000=180.74元</w:t>
      </w:r>
    </w:p>
    <w:p>
      <w:pPr>
        <w:numPr>
          <w:ilvl w:val="0"/>
          <w:numId w:val="15"/>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情景二</w:t>
      </w:r>
    </w:p>
    <w:p>
      <w:pPr>
        <w:ind w:firstLine="480" w:firstLineChars="200"/>
        <w:rPr>
          <w:rFonts w:hint="eastAsia" w:ascii="楷体" w:hAnsi="楷体" w:eastAsia="楷体"/>
          <w:sz w:val="24"/>
          <w:szCs w:val="24"/>
          <w:lang w:eastAsia="zh-CN"/>
        </w:rPr>
      </w:pPr>
      <w:r>
        <w:rPr>
          <w:rFonts w:hint="eastAsia" w:ascii="楷体" w:hAnsi="楷体" w:eastAsia="楷体"/>
          <w:sz w:val="24"/>
          <w:szCs w:val="24"/>
        </w:rPr>
        <w:t>假定投资者申购10000元，对应申购的开放日产品单位净值为1.100334，客户申购确认份额为9088.15份，投资者后续提交赎回申请，赎回其所持有本产品全部份额，对应赎回开放日产品单位净值为1.094231</w:t>
      </w:r>
      <w:r>
        <w:rPr>
          <w:rFonts w:hint="eastAsia" w:ascii="楷体" w:hAnsi="楷体" w:eastAsia="楷体"/>
          <w:sz w:val="24"/>
          <w:szCs w:val="24"/>
          <w:lang w:eastAsia="zh-CN"/>
        </w:rPr>
        <w:t>。</w:t>
      </w:r>
    </w:p>
    <w:p>
      <w:pPr>
        <w:ind w:firstLine="480" w:firstLineChars="200"/>
        <w:rPr>
          <w:rFonts w:hint="eastAsia" w:ascii="楷体" w:hAnsi="楷体" w:eastAsia="楷体"/>
          <w:sz w:val="24"/>
          <w:szCs w:val="24"/>
        </w:rPr>
      </w:pPr>
      <w:r>
        <w:rPr>
          <w:rFonts w:hint="eastAsia" w:ascii="楷体" w:hAnsi="楷体" w:eastAsia="楷体"/>
          <w:sz w:val="24"/>
          <w:szCs w:val="24"/>
        </w:rPr>
        <w:t>投资者申购确认份额=1</w:t>
      </w:r>
      <w:r>
        <w:rPr>
          <w:rFonts w:ascii="楷体" w:hAnsi="楷体" w:eastAsia="楷体"/>
          <w:sz w:val="24"/>
          <w:szCs w:val="24"/>
        </w:rPr>
        <w:t>0000</w:t>
      </w:r>
      <w:r>
        <w:rPr>
          <w:rFonts w:hint="eastAsia" w:ascii="楷体" w:hAnsi="楷体" w:eastAsia="楷体"/>
          <w:sz w:val="24"/>
          <w:szCs w:val="24"/>
        </w:rPr>
        <w:t>/</w:t>
      </w:r>
      <w:r>
        <w:rPr>
          <w:rFonts w:ascii="楷体" w:hAnsi="楷体" w:eastAsia="楷体"/>
          <w:sz w:val="24"/>
          <w:szCs w:val="24"/>
        </w:rPr>
        <w:t>1.</w:t>
      </w:r>
      <w:r>
        <w:rPr>
          <w:rFonts w:hint="eastAsia" w:ascii="楷体" w:hAnsi="楷体" w:eastAsia="楷体"/>
          <w:sz w:val="24"/>
          <w:szCs w:val="24"/>
        </w:rPr>
        <w:t>10</w:t>
      </w:r>
      <w:r>
        <w:rPr>
          <w:rFonts w:ascii="楷体" w:hAnsi="楷体" w:eastAsia="楷体"/>
          <w:sz w:val="24"/>
          <w:szCs w:val="24"/>
        </w:rPr>
        <w:t>0334</w:t>
      </w:r>
      <w:r>
        <w:rPr>
          <w:rFonts w:hint="eastAsia" w:ascii="楷体" w:hAnsi="楷体" w:eastAsia="楷体"/>
          <w:sz w:val="24"/>
          <w:szCs w:val="24"/>
        </w:rPr>
        <w:t>=9088.15份</w:t>
      </w:r>
    </w:p>
    <w:p>
      <w:pPr>
        <w:ind w:firstLine="480" w:firstLineChars="200"/>
        <w:rPr>
          <w:rFonts w:hint="eastAsia" w:ascii="楷体" w:hAnsi="楷体" w:eastAsia="楷体"/>
          <w:sz w:val="24"/>
          <w:szCs w:val="24"/>
        </w:rPr>
      </w:pPr>
      <w:r>
        <w:rPr>
          <w:rFonts w:hint="eastAsia" w:ascii="楷体" w:hAnsi="楷体" w:eastAsia="楷体"/>
          <w:sz w:val="24"/>
          <w:szCs w:val="24"/>
        </w:rPr>
        <w:t>投资者赎回兑付金额=9088.15×1.094231=9944.54元</w:t>
      </w:r>
    </w:p>
    <w:p>
      <w:pPr>
        <w:ind w:firstLine="480" w:firstLineChars="200"/>
        <w:rPr>
          <w:rFonts w:hint="eastAsia" w:ascii="楷体" w:hAnsi="楷体" w:eastAsia="楷体"/>
          <w:sz w:val="24"/>
          <w:szCs w:val="24"/>
        </w:rPr>
      </w:pPr>
      <w:r>
        <w:rPr>
          <w:rFonts w:hint="eastAsia" w:ascii="楷体" w:hAnsi="楷体" w:eastAsia="楷体"/>
          <w:sz w:val="24"/>
          <w:szCs w:val="24"/>
        </w:rPr>
        <w:t>投资者投资收益金额=9944.54-10000=-55.46元</w:t>
      </w:r>
    </w:p>
    <w:p>
      <w:pPr>
        <w:ind w:firstLine="480" w:firstLineChars="200"/>
        <w:rPr>
          <w:rFonts w:ascii="楷体" w:hAnsi="楷体" w:eastAsia="楷体"/>
          <w:sz w:val="24"/>
          <w:szCs w:val="24"/>
          <w:u w:val="single"/>
        </w:rPr>
      </w:pPr>
      <w:r>
        <w:rPr>
          <w:rFonts w:hint="eastAsia" w:ascii="楷体" w:hAnsi="楷体" w:eastAsia="楷体"/>
          <w:sz w:val="24"/>
          <w:szCs w:val="24"/>
        </w:rPr>
        <w:t>投资者投资本理财产品实际亏损55.46元，</w:t>
      </w:r>
      <w:r>
        <w:rPr>
          <w:rFonts w:hint="eastAsia" w:ascii="楷体" w:hAnsi="楷体" w:eastAsia="楷体"/>
          <w:b/>
          <w:sz w:val="24"/>
          <w:szCs w:val="24"/>
          <w:u w:val="single"/>
        </w:rPr>
        <w:t>在最不利的情况下，投资者可能损失</w:t>
      </w:r>
      <w:r>
        <w:rPr>
          <w:rFonts w:ascii="楷体" w:hAnsi="楷体" w:eastAsia="楷体"/>
          <w:b/>
          <w:sz w:val="24"/>
          <w:szCs w:val="24"/>
          <w:u w:val="single"/>
        </w:rPr>
        <w:t>100%</w:t>
      </w:r>
      <w:r>
        <w:rPr>
          <w:rFonts w:hint="eastAsia" w:ascii="楷体" w:hAnsi="楷体" w:eastAsia="楷体"/>
          <w:b/>
          <w:sz w:val="24"/>
          <w:szCs w:val="24"/>
          <w:u w:val="single"/>
        </w:rPr>
        <w:t>本金。</w:t>
      </w:r>
    </w:p>
    <w:p>
      <w:pPr>
        <w:ind w:firstLine="482" w:firstLineChars="200"/>
        <w:rPr>
          <w:rFonts w:hint="eastAsia" w:ascii="楷体" w:hAnsi="楷体" w:eastAsia="楷体"/>
          <w:b/>
          <w:sz w:val="24"/>
          <w:szCs w:val="24"/>
          <w:highlight w:val="none"/>
          <w:u w:val="single"/>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14"/>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巨额赎回的认定及处理</w:t>
      </w:r>
    </w:p>
    <w:p>
      <w:pPr>
        <w:numPr>
          <w:ilvl w:val="0"/>
          <w:numId w:val="1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巨额赎回的认定</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理财产品每个开放日投资者净赎回额（赎回申请份额总数扣除申购申请份额总数）超过本产品上一工作日日终份额10%时，即为发生巨额赎回。</w:t>
      </w:r>
    </w:p>
    <w:p>
      <w:pPr>
        <w:numPr>
          <w:ilvl w:val="0"/>
          <w:numId w:val="16"/>
        </w:numPr>
        <w:tabs>
          <w:tab w:val="left" w:pos="728"/>
        </w:tabs>
        <w:ind w:left="0" w:firstLine="480" w:firstLineChars="200"/>
        <w:rPr>
          <w:rFonts w:hint="eastAsia" w:ascii="楷体" w:hAnsi="楷体" w:eastAsia="楷体"/>
          <w:sz w:val="24"/>
          <w:szCs w:val="24"/>
          <w:highlight w:val="none"/>
        </w:rPr>
      </w:pPr>
      <w:r>
        <w:rPr>
          <w:rFonts w:hint="eastAsia" w:ascii="楷体" w:hAnsi="楷体" w:eastAsia="楷体" w:cs="Calibri"/>
          <w:sz w:val="24"/>
          <w:szCs w:val="24"/>
          <w:highlight w:val="none"/>
        </w:rPr>
        <w:t>巨额赎回的处理</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产品管理人可以根据本产品当时的资产组合状况决定采取全额赎回、部分赎回、延期办理巨额赎回等措施，产品管理人将在采取相关措施后3个工作日内进行信息披露。</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1）</w:t>
      </w:r>
      <w:r>
        <w:rPr>
          <w:rFonts w:hint="eastAsia" w:ascii="楷体" w:hAnsi="楷体" w:eastAsia="楷体"/>
          <w:sz w:val="24"/>
          <w:szCs w:val="24"/>
          <w:highlight w:val="none"/>
        </w:rPr>
        <w:t>全额赎回：当产品管理人有能力兑付投资者的全部赎回申请时，将在申请确认日按投资者申请赎回份额执行正常赎回程序。</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2）</w:t>
      </w:r>
      <w:r>
        <w:rPr>
          <w:rFonts w:hint="eastAsia" w:ascii="楷体" w:hAnsi="楷体" w:eastAsia="楷体"/>
          <w:sz w:val="24"/>
          <w:szCs w:val="24"/>
          <w:highlight w:val="none"/>
        </w:rPr>
        <w:t>部分赎回：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eastAsia="zh-CN"/>
        </w:rPr>
        <w:t>（</w:t>
      </w:r>
      <w:r>
        <w:rPr>
          <w:rFonts w:hint="eastAsia" w:ascii="楷体" w:hAnsi="楷体" w:eastAsia="楷体"/>
          <w:sz w:val="24"/>
          <w:szCs w:val="24"/>
          <w:highlight w:val="none"/>
          <w:lang w:val="en-US" w:eastAsia="zh-CN"/>
        </w:rPr>
        <w:t>3）</w:t>
      </w:r>
      <w:r>
        <w:rPr>
          <w:rFonts w:hint="eastAsia" w:ascii="楷体" w:hAnsi="楷体" w:eastAsia="楷体"/>
          <w:sz w:val="24"/>
          <w:szCs w:val="24"/>
          <w:highlight w:val="none"/>
        </w:rPr>
        <w:t>对于该开放日内净赎回额超过本产品上一工作日日终份额10%时，管理人有权拒绝超过10%以上部分的赎回申请。未确认受理的赎回申请份额，投资者可选择将当日未获受理部分予以撤销（巨额赎回处理方式具体以</w:t>
      </w:r>
      <w:r>
        <w:rPr>
          <w:rFonts w:hint="eastAsia" w:ascii="楷体" w:hAnsi="楷体" w:eastAsia="楷体"/>
          <w:sz w:val="24"/>
          <w:szCs w:val="24"/>
          <w:highlight w:val="none"/>
          <w:lang w:val="en-US" w:eastAsia="zh-CN"/>
        </w:rPr>
        <w:t>销售</w:t>
      </w:r>
      <w:r>
        <w:rPr>
          <w:rFonts w:hint="eastAsia" w:ascii="楷体" w:hAnsi="楷体" w:eastAsia="楷体"/>
          <w:sz w:val="24"/>
          <w:szCs w:val="24"/>
          <w:highlight w:val="none"/>
        </w:rPr>
        <w:t>机构展示为准），未选择撤销的赎回申请，产品管理人可以延迟至下一开放日处理，转入下一开放日的赎回申请不享有优先确认权。</w:t>
      </w:r>
    </w:p>
    <w:p>
      <w:pPr>
        <w:numPr>
          <w:ilvl w:val="0"/>
          <w:numId w:val="0"/>
        </w:numPr>
        <w:tabs>
          <w:tab w:val="left" w:pos="1092"/>
        </w:tabs>
        <w:ind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lang w:val="en-US" w:eastAsia="zh-CN"/>
        </w:rPr>
        <w:t>4</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连续2个以上开放日发生巨额赎回的，管理人除有权选择全额赎回或部分赎回等措施外，对于已经接受的赎回申请，管理人可以延缓支付赎回款项，但延缓期限不得超过20个工作日。</w:t>
      </w:r>
    </w:p>
    <w:p>
      <w:pPr>
        <w:numPr>
          <w:ilvl w:val="0"/>
          <w:numId w:val="0"/>
        </w:numPr>
        <w:tabs>
          <w:tab w:val="left" w:pos="1092"/>
        </w:tabs>
        <w:ind w:firstLine="480" w:firstLineChars="200"/>
        <w:rPr>
          <w:rFonts w:hint="eastAsia" w:ascii="楷体" w:hAnsi="楷体" w:eastAsia="楷体"/>
          <w:sz w:val="24"/>
          <w:szCs w:val="24"/>
          <w:highlight w:val="none"/>
        </w:rPr>
      </w:pP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lang w:val="en-US" w:eastAsia="zh-CN"/>
        </w:rPr>
        <w:t>5</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rPr>
        <w:t>赎回资金到账：未发生</w:t>
      </w:r>
      <w:r>
        <w:rPr>
          <w:rFonts w:ascii="楷体" w:hAnsi="楷体" w:eastAsia="楷体" w:cs="Calibri"/>
          <w:sz w:val="24"/>
          <w:szCs w:val="24"/>
          <w:highlight w:val="none"/>
        </w:rPr>
        <w:t>巨额赎回的情况下，</w:t>
      </w:r>
      <w:r>
        <w:rPr>
          <w:rFonts w:hint="eastAsia" w:ascii="楷体" w:hAnsi="楷体" w:eastAsia="楷体" w:cs="Calibri"/>
          <w:sz w:val="24"/>
          <w:szCs w:val="24"/>
          <w:highlight w:val="none"/>
        </w:rPr>
        <w:t>实际赎回确认日后</w:t>
      </w:r>
      <w:r>
        <w:rPr>
          <w:rFonts w:hint="eastAsia" w:ascii="楷体" w:hAnsi="楷体" w:eastAsia="楷体" w:cs="Calibri"/>
          <w:sz w:val="24"/>
          <w:szCs w:val="24"/>
          <w:highlight w:val="none"/>
          <w:lang w:val="en-US" w:eastAsia="zh-CN"/>
        </w:rPr>
        <w:t>2</w:t>
      </w:r>
      <w:r>
        <w:rPr>
          <w:rFonts w:hint="eastAsia" w:ascii="楷体" w:hAnsi="楷体" w:eastAsia="楷体" w:cs="Calibri"/>
          <w:sz w:val="24"/>
          <w:szCs w:val="24"/>
          <w:highlight w:val="none"/>
        </w:rPr>
        <w:t>个工作日内到达投资者资金账户。</w:t>
      </w:r>
    </w:p>
    <w:p>
      <w:pPr>
        <w:numPr>
          <w:ilvl w:val="0"/>
          <w:numId w:val="14"/>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特殊情形及处理</w:t>
      </w:r>
    </w:p>
    <w:p>
      <w:pPr>
        <w:ind w:firstLine="482" w:firstLineChars="200"/>
        <w:rPr>
          <w:rFonts w:ascii="楷体" w:hAnsi="楷体" w:eastAsia="楷体"/>
          <w:b/>
          <w:bCs/>
          <w:sz w:val="24"/>
          <w:szCs w:val="24"/>
          <w:highlight w:val="none"/>
        </w:rPr>
      </w:pPr>
      <w:r>
        <w:rPr>
          <w:rFonts w:ascii="楷体" w:hAnsi="楷体" w:eastAsia="楷体"/>
          <w:b/>
          <w:bCs/>
          <w:sz w:val="24"/>
          <w:szCs w:val="24"/>
          <w:highlight w:val="none"/>
        </w:rPr>
        <w:t>1.</w:t>
      </w:r>
      <w:r>
        <w:rPr>
          <w:rFonts w:hint="eastAsia" w:ascii="楷体" w:hAnsi="楷体" w:eastAsia="楷体"/>
          <w:b/>
          <w:bCs/>
          <w:sz w:val="24"/>
          <w:szCs w:val="24"/>
          <w:highlight w:val="none"/>
        </w:rPr>
        <w:t>除以下情形外，管理人不得拒绝接受或暂停接受投资者的申购申请：</w:t>
      </w:r>
    </w:p>
    <w:p>
      <w:pPr>
        <w:numPr>
          <w:ilvl w:val="0"/>
          <w:numId w:val="0"/>
        </w:numPr>
        <w:tabs>
          <w:tab w:val="left" w:pos="728"/>
        </w:tabs>
        <w:ind w:left="0" w:leftChars="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（1）不可抗力的原因导致产品无法正常运作；</w:t>
      </w:r>
    </w:p>
    <w:p>
      <w:pPr>
        <w:numPr>
          <w:ilvl w:val="0"/>
          <w:numId w:val="0"/>
        </w:numPr>
        <w:tabs>
          <w:tab w:val="left" w:pos="728"/>
        </w:tabs>
        <w:ind w:left="0" w:leftChars="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（2）超出产品单一投资者持有上限；</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w:t>
      </w:r>
      <w:r>
        <w:rPr>
          <w:rFonts w:hint="eastAsia" w:ascii="楷体" w:hAnsi="楷体" w:eastAsia="楷体" w:cs="Calibri"/>
          <w:sz w:val="24"/>
          <w:szCs w:val="24"/>
          <w:highlight w:val="none"/>
          <w:lang w:val="en-US" w:eastAsia="zh-CN"/>
        </w:rPr>
        <w:t>3</w:t>
      </w:r>
      <w:r>
        <w:rPr>
          <w:rFonts w:hint="eastAsia" w:ascii="楷体" w:hAnsi="楷体" w:eastAsia="楷体" w:cs="Calibri"/>
          <w:sz w:val="24"/>
          <w:szCs w:val="24"/>
          <w:highlight w:val="none"/>
        </w:rPr>
        <w:t>）发生《理财产品说明书》约定的暂停估值的情形</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w:t>
      </w:r>
      <w:r>
        <w:rPr>
          <w:rFonts w:hint="eastAsia" w:ascii="楷体" w:hAnsi="楷体" w:eastAsia="楷体" w:cs="Calibri"/>
          <w:sz w:val="24"/>
          <w:szCs w:val="24"/>
          <w:highlight w:val="none"/>
          <w:lang w:val="en-US" w:eastAsia="zh-CN"/>
        </w:rPr>
        <w:t>4</w:t>
      </w:r>
      <w:r>
        <w:rPr>
          <w:rFonts w:hint="eastAsia" w:ascii="楷体" w:hAnsi="楷体" w:eastAsia="楷体" w:cs="Calibri"/>
          <w:sz w:val="24"/>
          <w:szCs w:val="24"/>
          <w:highlight w:val="none"/>
        </w:rPr>
        <w:t>）管理人接受某笔或者某些申购申请有可能导致单一投资者持有理财计划份额的比例达到或者超过50%的情形</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w:t>
      </w:r>
      <w:r>
        <w:rPr>
          <w:rFonts w:hint="eastAsia" w:ascii="楷体" w:hAnsi="楷体" w:eastAsia="楷体" w:cs="Calibri"/>
          <w:sz w:val="24"/>
          <w:szCs w:val="24"/>
          <w:highlight w:val="none"/>
          <w:lang w:val="en-US" w:eastAsia="zh-CN"/>
        </w:rPr>
        <w:t>5</w:t>
      </w:r>
      <w:r>
        <w:rPr>
          <w:rFonts w:hint="eastAsia" w:ascii="楷体" w:hAnsi="楷体" w:eastAsia="楷体" w:cs="Calibri"/>
          <w:sz w:val="24"/>
          <w:szCs w:val="24"/>
          <w:highlight w:val="none"/>
        </w:rPr>
        <w:t>）当接受某笔或某些申购申请可能对存量理财计划份额持有人利益构成潜在重大不利影响时</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w:t>
      </w:r>
      <w:r>
        <w:rPr>
          <w:rFonts w:hint="eastAsia" w:ascii="楷体" w:hAnsi="楷体" w:eastAsia="楷体" w:cs="Calibri"/>
          <w:sz w:val="24"/>
          <w:szCs w:val="24"/>
          <w:highlight w:val="none"/>
          <w:lang w:val="en-US" w:eastAsia="zh-CN"/>
        </w:rPr>
        <w:t>6</w:t>
      </w:r>
      <w:r>
        <w:rPr>
          <w:rFonts w:hint="eastAsia" w:ascii="楷体" w:hAnsi="楷体" w:eastAsia="楷体" w:cs="Calibri"/>
          <w:sz w:val="24"/>
          <w:szCs w:val="24"/>
          <w:highlight w:val="none"/>
        </w:rPr>
        <w:t>）法律、法规规定认定的其他情形。</w:t>
      </w:r>
    </w:p>
    <w:p>
      <w:pPr>
        <w:numPr>
          <w:ilvl w:val="0"/>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82" w:firstLineChars="200"/>
        <w:rPr>
          <w:rFonts w:ascii="楷体" w:hAnsi="楷体" w:eastAsia="楷体"/>
          <w:b/>
          <w:bCs/>
          <w:sz w:val="24"/>
          <w:szCs w:val="24"/>
          <w:highlight w:val="none"/>
        </w:rPr>
      </w:pPr>
      <w:r>
        <w:rPr>
          <w:rFonts w:ascii="楷体" w:hAnsi="楷体" w:eastAsia="楷体"/>
          <w:b/>
          <w:bCs/>
          <w:sz w:val="24"/>
          <w:szCs w:val="24"/>
          <w:highlight w:val="none"/>
        </w:rPr>
        <w:t>2.</w:t>
      </w:r>
      <w:r>
        <w:rPr>
          <w:rFonts w:hint="eastAsia" w:ascii="楷体" w:hAnsi="楷体" w:eastAsia="楷体"/>
          <w:b/>
          <w:bCs/>
          <w:sz w:val="24"/>
          <w:szCs w:val="24"/>
          <w:highlight w:val="none"/>
        </w:rPr>
        <w:t>除以下情形外，管理人不得暂停接受投资者的赎回申请或延缓支付赎回款项：</w:t>
      </w:r>
    </w:p>
    <w:p>
      <w:pPr>
        <w:numPr>
          <w:ilvl w:val="0"/>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（1）不可抗力的原因导致管理人不能支付赎回款项；</w:t>
      </w:r>
    </w:p>
    <w:p>
      <w:pPr>
        <w:numPr>
          <w:ilvl w:val="0"/>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（2）触发巨额赎回条款；</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（3）发生《理财产品说明书》约定的暂停估值的情形</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（4）当接受某笔或某些赎回申请可能对存量理财计划份额持有人利益构成潜在重大不利影响时</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hint="eastAsia" w:ascii="楷体" w:hAnsi="楷体" w:eastAsia="楷体" w:cs="Calibri"/>
          <w:sz w:val="24"/>
          <w:szCs w:val="24"/>
          <w:highlight w:val="none"/>
          <w:lang w:eastAsia="zh-CN"/>
        </w:rPr>
      </w:pPr>
      <w:r>
        <w:rPr>
          <w:rFonts w:hint="eastAsia" w:ascii="楷体" w:hAnsi="楷体" w:eastAsia="楷体" w:cs="Calibri"/>
          <w:sz w:val="24"/>
          <w:szCs w:val="24"/>
          <w:highlight w:val="none"/>
        </w:rPr>
        <w:t>（5）发生单个投资者单个开放日申请赎回理财计划份额超过理财产品总份额10%的情形</w:t>
      </w:r>
      <w:r>
        <w:rPr>
          <w:rFonts w:hint="eastAsia" w:ascii="楷体" w:hAnsi="楷体" w:eastAsia="楷体" w:cs="Calibri"/>
          <w:sz w:val="24"/>
          <w:szCs w:val="24"/>
          <w:highlight w:val="none"/>
          <w:lang w:eastAsia="zh-CN"/>
        </w:rPr>
        <w:t>；</w:t>
      </w:r>
    </w:p>
    <w:p>
      <w:pPr>
        <w:numPr>
          <w:ilvl w:val="0"/>
          <w:numId w:val="0"/>
        </w:numPr>
        <w:tabs>
          <w:tab w:val="left" w:pos="728"/>
        </w:tabs>
        <w:ind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（6）法律、法规规定认定的其他情形。</w:t>
      </w:r>
    </w:p>
    <w:p>
      <w:pPr>
        <w:ind w:firstLine="480" w:firstLineChars="200"/>
        <w:rPr>
          <w:rFonts w:hint="eastAsia" w:ascii="楷体" w:hAnsi="楷体" w:eastAsia="楷体"/>
          <w:sz w:val="24"/>
          <w:szCs w:val="24"/>
          <w:highlight w:val="none"/>
        </w:rPr>
      </w:pPr>
      <w:r>
        <w:rPr>
          <w:rFonts w:hint="eastAsia" w:ascii="楷体" w:hAnsi="楷体" w:eastAsia="楷体" w:cs="Calibri"/>
          <w:sz w:val="24"/>
          <w:szCs w:val="24"/>
          <w:highlight w:val="none"/>
        </w:rPr>
        <w:t>若管理人决定</w:t>
      </w:r>
      <w:r>
        <w:rPr>
          <w:rFonts w:hint="eastAsia" w:ascii="楷体" w:hAnsi="楷体" w:eastAsia="楷体"/>
          <w:sz w:val="24"/>
          <w:szCs w:val="24"/>
          <w:highlight w:val="none"/>
        </w:rPr>
        <w:t>暂停接受投资者的赎回申请或延缓支付赎回款项</w:t>
      </w:r>
      <w:r>
        <w:rPr>
          <w:rFonts w:hint="eastAsia" w:ascii="楷体" w:hAnsi="楷体" w:eastAsia="楷体" w:cs="Calibri"/>
          <w:sz w:val="24"/>
          <w:szCs w:val="24"/>
          <w:highlight w:val="none"/>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4"/>
          <w:szCs w:val="24"/>
          <w:highlight w:val="none"/>
        </w:rPr>
        <w:t>暂停接受投资者的赎回申请或延缓支付赎回款项的情况消除后</w:t>
      </w:r>
      <w:r>
        <w:rPr>
          <w:rFonts w:hint="eastAsia" w:ascii="楷体" w:hAnsi="楷体" w:eastAsia="楷体" w:cs="Calibri"/>
          <w:sz w:val="24"/>
          <w:szCs w:val="24"/>
          <w:highlight w:val="none"/>
        </w:rPr>
        <w:t>，管理人将及时恢复申购业务的办理。</w:t>
      </w:r>
    </w:p>
    <w:p>
      <w:pPr>
        <w:numPr>
          <w:ilvl w:val="0"/>
          <w:numId w:val="3"/>
        </w:numPr>
        <w:tabs>
          <w:tab w:val="left" w:pos="1134"/>
        </w:tabs>
        <w:ind w:firstLine="562" w:firstLineChars="200"/>
        <w:outlineLvl w:val="1"/>
        <w:rPr>
          <w:rFonts w:ascii="楷体" w:hAnsi="楷体" w:eastAsia="楷体"/>
          <w:b/>
          <w:bCs/>
          <w:sz w:val="28"/>
          <w:szCs w:val="28"/>
        </w:rPr>
      </w:pPr>
      <w:r>
        <w:rPr>
          <w:rFonts w:hint="eastAsia" w:ascii="楷体" w:hAnsi="楷体" w:eastAsia="楷体"/>
          <w:b/>
          <w:bCs/>
          <w:sz w:val="28"/>
          <w:szCs w:val="28"/>
        </w:rPr>
        <w:t>产品估值</w:t>
      </w:r>
    </w:p>
    <w:p>
      <w:pPr>
        <w:numPr>
          <w:ilvl w:val="0"/>
          <w:numId w:val="17"/>
        </w:numPr>
        <w:tabs>
          <w:tab w:val="left" w:pos="993"/>
        </w:tabs>
        <w:ind w:left="0" w:firstLine="482" w:firstLineChars="200"/>
        <w:outlineLvl w:val="2"/>
        <w:rPr>
          <w:rFonts w:hint="eastAsia" w:ascii="楷体" w:hAnsi="楷体" w:eastAsia="楷体"/>
          <w:b/>
          <w:bCs/>
          <w:sz w:val="24"/>
          <w:szCs w:val="24"/>
        </w:rPr>
      </w:pPr>
      <w:r>
        <w:rPr>
          <w:rFonts w:hint="eastAsia" w:ascii="楷体" w:hAnsi="楷体" w:eastAsia="楷体"/>
          <w:b/>
          <w:bCs/>
          <w:sz w:val="24"/>
          <w:szCs w:val="24"/>
        </w:rPr>
        <w:t>估值对象</w:t>
      </w:r>
    </w:p>
    <w:p>
      <w:pPr>
        <w:ind w:firstLine="424" w:firstLineChars="177"/>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1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估值要求</w:t>
      </w:r>
    </w:p>
    <w:p>
      <w:pPr>
        <w:numPr>
          <w:ilvl w:val="0"/>
          <w:numId w:val="1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本产品资产估值的目的是客观、准确的反映资产净值，确定理财产品资产净值，并为理财产品的认</w:t>
      </w:r>
      <w:r>
        <w:rPr>
          <w:rFonts w:ascii="楷体" w:hAnsi="楷体" w:eastAsia="楷体"/>
          <w:sz w:val="24"/>
          <w:szCs w:val="24"/>
        </w:rPr>
        <w:t>/</w:t>
      </w:r>
      <w:r>
        <w:rPr>
          <w:rFonts w:hint="eastAsia" w:ascii="楷体" w:hAnsi="楷体" w:eastAsia="楷体"/>
          <w:sz w:val="24"/>
          <w:szCs w:val="24"/>
        </w:rPr>
        <w:t>申购、赎回和兑付提供计价依据。</w:t>
      </w:r>
    </w:p>
    <w:p>
      <w:pPr>
        <w:numPr>
          <w:ilvl w:val="0"/>
          <w:numId w:val="1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本产品单位净值精确到小数点后</w:t>
      </w:r>
      <w:r>
        <w:rPr>
          <w:rFonts w:hint="eastAsia" w:ascii="楷体" w:hAnsi="楷体" w:eastAsia="楷体"/>
          <w:sz w:val="24"/>
          <w:szCs w:val="24"/>
          <w:lang w:val="en-US" w:eastAsia="zh-CN"/>
        </w:rPr>
        <w:t>6</w:t>
      </w:r>
      <w:r>
        <w:rPr>
          <w:rFonts w:hint="eastAsia" w:ascii="楷体" w:hAnsi="楷体" w:eastAsia="楷体"/>
          <w:sz w:val="24"/>
          <w:szCs w:val="24"/>
        </w:rPr>
        <w:t>位，小数点</w:t>
      </w:r>
      <w:r>
        <w:rPr>
          <w:rFonts w:hint="eastAsia" w:ascii="楷体" w:hAnsi="楷体" w:eastAsia="楷体"/>
          <w:sz w:val="24"/>
          <w:szCs w:val="24"/>
          <w:lang w:val="en-US" w:eastAsia="zh-CN"/>
        </w:rPr>
        <w:t>6</w:t>
      </w:r>
      <w:r>
        <w:rPr>
          <w:rFonts w:hint="eastAsia" w:ascii="楷体" w:hAnsi="楷体" w:eastAsia="楷体"/>
          <w:sz w:val="24"/>
          <w:szCs w:val="24"/>
        </w:rPr>
        <w:t>位后截位。</w:t>
      </w:r>
    </w:p>
    <w:p>
      <w:pPr>
        <w:numPr>
          <w:ilvl w:val="0"/>
          <w:numId w:val="1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本产品每日估值。</w:t>
      </w:r>
      <w:r>
        <w:rPr>
          <w:rFonts w:hint="eastAsia" w:ascii="楷体" w:hAnsi="楷体" w:eastAsia="楷体" w:cs="Calibri"/>
          <w:sz w:val="24"/>
          <w:szCs w:val="24"/>
          <w:highlight w:val="none"/>
        </w:rPr>
        <w:t>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4"/>
          <w:szCs w:val="24"/>
          <w:highlight w:val="none"/>
          <w:lang w:val="en-US" w:eastAsia="zh-CN"/>
        </w:rPr>
        <w:t>认/申购</w:t>
      </w:r>
      <w:r>
        <w:rPr>
          <w:rFonts w:hint="eastAsia" w:ascii="楷体" w:hAnsi="楷体" w:eastAsia="楷体" w:cs="Calibri"/>
          <w:sz w:val="24"/>
          <w:szCs w:val="24"/>
          <w:highlight w:val="none"/>
        </w:rPr>
        <w:t>价格和赎回价格。</w:t>
      </w:r>
    </w:p>
    <w:p>
      <w:pPr>
        <w:numPr>
          <w:ilvl w:val="0"/>
          <w:numId w:val="1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估值方法</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存款类资产、货币市场工具：以本金列示，逐日计提利息。</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货币市场基金：以估值截止时间点能够取得的最新每万份收益进行估值。</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债券类资产：按公允价值进行估值，采用市价、第三方估值机构提供的估值价格、合理的估值技术或监管机构认可的其他估值方法进行估值。</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债权类资产：</w:t>
      </w:r>
      <w:r>
        <w:rPr>
          <w:rFonts w:hint="eastAsia" w:ascii="楷体" w:hAnsi="楷体" w:eastAsia="楷体" w:cs="Calibri"/>
          <w:sz w:val="24"/>
          <w:szCs w:val="24"/>
        </w:rPr>
        <w:t>按公允价值进行估值，采用合理的估值技术或监管机构认可的估值方法进行估值。</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权益类资产：按公允价值进行估值，采用市价、第三方估值机构提供的估值价格、合理的估值技术或监管机构认可的其他估值方法进行估值。</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证券、基金、保险等资产管理计划和信托计划等资产（不含货币市场基金）：按照证券、基金、保险等资产管理计划和信托计划的管理人和托管人共同确认的最新净值或投资收益进行估值。</w:t>
      </w:r>
    </w:p>
    <w:p>
      <w:pPr>
        <w:numPr>
          <w:ilvl w:val="0"/>
          <w:numId w:val="19"/>
        </w:numPr>
        <w:tabs>
          <w:tab w:val="left" w:pos="728"/>
        </w:tabs>
        <w:ind w:left="0" w:firstLine="480" w:firstLineChars="200"/>
        <w:rPr>
          <w:rFonts w:hint="eastAsia" w:ascii="楷体" w:hAnsi="楷体" w:eastAsia="楷体"/>
          <w:sz w:val="24"/>
          <w:szCs w:val="24"/>
        </w:rPr>
      </w:pPr>
      <w:r>
        <w:rPr>
          <w:rFonts w:hint="eastAsia" w:ascii="楷体" w:hAnsi="楷体" w:eastAsia="楷体"/>
          <w:sz w:val="24"/>
          <w:szCs w:val="24"/>
        </w:rPr>
        <w:t>其他资产：按公允价值进行估值，采用合理的估值技术或监管机构认可的估值方法进行估值。</w:t>
      </w:r>
    </w:p>
    <w:p>
      <w:pPr>
        <w:ind w:firstLine="480" w:firstLineChars="200"/>
        <w:rPr>
          <w:rFonts w:hint="eastAsia" w:ascii="楷体" w:hAnsi="楷体" w:eastAsia="楷体"/>
          <w:sz w:val="24"/>
          <w:szCs w:val="24"/>
        </w:rPr>
      </w:pPr>
      <w:r>
        <w:rPr>
          <w:rFonts w:hint="eastAsia" w:ascii="楷体" w:hAnsi="楷体" w:eastAsia="楷体"/>
          <w:sz w:val="24"/>
          <w:szCs w:val="24"/>
        </w:rPr>
        <w:t>如有新增事项或变更事项，按国家最新规定或管理人最新约定进行估值。</w:t>
      </w:r>
    </w:p>
    <w:p>
      <w:pPr>
        <w:numPr>
          <w:ilvl w:val="0"/>
          <w:numId w:val="1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由于本理财产品估值所用的价格来源中出现错误，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消除由此造成的影响。</w:t>
      </w:r>
    </w:p>
    <w:p>
      <w:pPr>
        <w:numPr>
          <w:ilvl w:val="0"/>
          <w:numId w:val="1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暂停估值</w:t>
      </w:r>
    </w:p>
    <w:p>
      <w:pPr>
        <w:ind w:firstLine="480" w:firstLineChars="200"/>
        <w:rPr>
          <w:rFonts w:hint="eastAsia"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3"/>
        </w:numPr>
        <w:tabs>
          <w:tab w:val="left" w:pos="1134"/>
        </w:tabs>
        <w:ind w:firstLine="562" w:firstLineChars="200"/>
        <w:outlineLvl w:val="1"/>
        <w:rPr>
          <w:rFonts w:hint="eastAsia" w:ascii="楷体" w:hAnsi="楷体" w:eastAsia="楷体"/>
          <w:b/>
          <w:bCs/>
          <w:sz w:val="28"/>
          <w:szCs w:val="28"/>
        </w:rPr>
      </w:pPr>
      <w:r>
        <w:rPr>
          <w:rFonts w:hint="eastAsia" w:ascii="楷体" w:hAnsi="楷体" w:eastAsia="楷体"/>
          <w:b/>
          <w:bCs/>
          <w:sz w:val="28"/>
          <w:szCs w:val="28"/>
          <w:lang w:val="en-US" w:eastAsia="zh-CN"/>
        </w:rPr>
        <w:t>理财</w:t>
      </w:r>
      <w:r>
        <w:rPr>
          <w:rFonts w:hint="eastAsia" w:ascii="楷体" w:hAnsi="楷体" w:eastAsia="楷体"/>
          <w:b/>
          <w:bCs/>
          <w:sz w:val="28"/>
          <w:szCs w:val="28"/>
        </w:rPr>
        <w:t>产品的终止与清算</w:t>
      </w:r>
    </w:p>
    <w:p>
      <w:pPr>
        <w:numPr>
          <w:ilvl w:val="0"/>
          <w:numId w:val="20"/>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理财产品的终止</w:t>
      </w:r>
    </w:p>
    <w:p>
      <w:pPr>
        <w:numPr>
          <w:ilvl w:val="0"/>
          <w:numId w:val="2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提前终止</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在理财产品投资运作期间内，投资者无权要求提前终止该理财产品。在理财产品投资运作期间内，当出现下列情形之一时，产品管理人有权部分或全部终止本产品：</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因不可抗力原因导致理财产品无法继续运作。</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遇有市场出现剧烈波动、异常风险事件等情形导致理财产品收益出现大幅波动或严重影响理财产品的资产安全。</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因法律法规变化或国家金融政策调整、紧急措施出台影响产品继续正常运作。</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lang w:val="en-US" w:eastAsia="zh-CN"/>
        </w:rPr>
        <w:t>理财产品投资的信托计划、资管计划等提前终止。</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提前终止产品比维持产品运作更有利于保护投资者权益。</w:t>
      </w:r>
    </w:p>
    <w:p>
      <w:pPr>
        <w:numPr>
          <w:ilvl w:val="0"/>
          <w:numId w:val="22"/>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法律法规规定或监管部门认定的其他情形</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lang w:val="en-US" w:eastAsia="zh-CN"/>
        </w:rPr>
        <w:t>以及管理人有合理理由认为影响本理财产品正常运作的其他情形</w:t>
      </w:r>
      <w:r>
        <w:rPr>
          <w:rFonts w:hint="eastAsia" w:ascii="楷体" w:hAnsi="楷体" w:eastAsia="楷体" w:cs="Calibri"/>
          <w:sz w:val="24"/>
          <w:szCs w:val="24"/>
          <w:highlight w:val="none"/>
        </w:rPr>
        <w:t>。</w:t>
      </w:r>
    </w:p>
    <w:p>
      <w:pPr>
        <w:ind w:firstLine="480" w:firstLineChars="200"/>
        <w:rPr>
          <w:rFonts w:hint="eastAsia" w:ascii="楷体" w:hAnsi="楷体" w:eastAsia="楷体"/>
          <w:sz w:val="24"/>
          <w:szCs w:val="24"/>
          <w:highlight w:val="none"/>
          <w:lang w:eastAsia="zh-CN"/>
        </w:rPr>
      </w:pPr>
      <w:r>
        <w:rPr>
          <w:rFonts w:hint="eastAsia" w:ascii="楷体" w:hAnsi="楷体" w:eastAsia="楷体"/>
          <w:sz w:val="24"/>
          <w:szCs w:val="24"/>
          <w:highlight w:val="none"/>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r>
        <w:rPr>
          <w:rFonts w:hint="eastAsia" w:ascii="楷体" w:hAnsi="楷体" w:eastAsia="楷体"/>
          <w:sz w:val="24"/>
          <w:szCs w:val="24"/>
          <w:highlight w:val="none"/>
          <w:lang w:eastAsia="zh-CN"/>
        </w:rPr>
        <w:t>。</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如理财产品管理人提前终止本理财产品，将至少提前</w:t>
      </w:r>
      <w:r>
        <w:rPr>
          <w:rFonts w:ascii="楷体" w:hAnsi="楷体" w:eastAsia="楷体"/>
          <w:sz w:val="24"/>
          <w:szCs w:val="24"/>
          <w:highlight w:val="none"/>
        </w:rPr>
        <w:t>2</w:t>
      </w:r>
      <w:r>
        <w:rPr>
          <w:rFonts w:hint="eastAsia" w:ascii="楷体" w:hAnsi="楷体" w:eastAsia="楷体"/>
          <w:sz w:val="24"/>
          <w:szCs w:val="24"/>
          <w:highlight w:val="none"/>
        </w:rPr>
        <w:t>个工作日（含）按本理财产品说明书约定的信息披露方式予以披露。</w:t>
      </w:r>
    </w:p>
    <w:p>
      <w:pPr>
        <w:numPr>
          <w:ilvl w:val="0"/>
          <w:numId w:val="2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正常兑付</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lang w:val="en-US" w:eastAsia="zh-CN"/>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2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★延期兑付</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出现以下情况，产品管理人有权延长本理财产品的终止日：</w:t>
      </w:r>
    </w:p>
    <w:p>
      <w:pPr>
        <w:numPr>
          <w:ilvl w:val="0"/>
          <w:numId w:val="23"/>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产品终止日遇非工作日则顺延至下一工作日，投资者清算资金到账日将相应调整</w:t>
      </w:r>
      <w:r>
        <w:rPr>
          <w:rFonts w:hint="eastAsia" w:ascii="楷体" w:hAnsi="楷体" w:eastAsia="楷体" w:cs="Calibri"/>
          <w:sz w:val="24"/>
          <w:szCs w:val="24"/>
          <w:highlight w:val="none"/>
          <w:lang w:eastAsia="zh-CN"/>
        </w:rPr>
        <w:t>。</w:t>
      </w:r>
    </w:p>
    <w:p>
      <w:pPr>
        <w:numPr>
          <w:ilvl w:val="0"/>
          <w:numId w:val="23"/>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因市场成交量不足、资产限制赎回、暂停交易、缺乏意愿交易对手</w:t>
      </w:r>
      <w:r>
        <w:rPr>
          <w:rFonts w:hint="eastAsia" w:ascii="楷体" w:hAnsi="楷体" w:eastAsia="楷体" w:cs="Calibri"/>
          <w:sz w:val="24"/>
          <w:szCs w:val="24"/>
          <w:highlight w:val="none"/>
          <w:lang w:eastAsia="zh-CN"/>
        </w:rPr>
        <w:t>、</w:t>
      </w:r>
      <w:r>
        <w:rPr>
          <w:rFonts w:hint="eastAsia" w:ascii="楷体" w:hAnsi="楷体" w:eastAsia="楷体" w:cs="Calibri"/>
          <w:sz w:val="24"/>
          <w:szCs w:val="24"/>
          <w:highlight w:val="none"/>
          <w:lang w:val="en-US" w:eastAsia="zh-CN"/>
        </w:rPr>
        <w:t>底层资产违约</w:t>
      </w:r>
      <w:r>
        <w:rPr>
          <w:rFonts w:hint="eastAsia" w:ascii="楷体" w:hAnsi="楷体" w:eastAsia="楷体" w:cs="Calibri"/>
          <w:sz w:val="24"/>
          <w:szCs w:val="24"/>
          <w:highlight w:val="none"/>
        </w:rPr>
        <w:t>等原因，导致产品项下对应的投资标的无法及时变现</w:t>
      </w:r>
      <w:r>
        <w:rPr>
          <w:rFonts w:hint="eastAsia" w:ascii="楷体" w:hAnsi="楷体" w:eastAsia="楷体" w:cs="Calibri"/>
          <w:sz w:val="24"/>
          <w:szCs w:val="24"/>
          <w:highlight w:val="none"/>
          <w:lang w:eastAsia="zh-CN"/>
        </w:rPr>
        <w:t>。</w:t>
      </w:r>
    </w:p>
    <w:p>
      <w:pPr>
        <w:numPr>
          <w:ilvl w:val="0"/>
          <w:numId w:val="23"/>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因资金在途等原因，导致未能及时收回资金</w:t>
      </w:r>
      <w:r>
        <w:rPr>
          <w:rFonts w:hint="eastAsia" w:ascii="楷体" w:hAnsi="楷体" w:eastAsia="楷体" w:cs="Calibri"/>
          <w:sz w:val="24"/>
          <w:szCs w:val="24"/>
          <w:highlight w:val="none"/>
          <w:lang w:eastAsia="zh-CN"/>
        </w:rPr>
        <w:t>。</w:t>
      </w:r>
    </w:p>
    <w:p>
      <w:pPr>
        <w:numPr>
          <w:ilvl w:val="0"/>
          <w:numId w:val="23"/>
        </w:numPr>
        <w:tabs>
          <w:tab w:val="left" w:pos="1092"/>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其他产品管理人认为需要延期兑付的情形。</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产品管理人决定延期兑付的，将至少提前</w:t>
      </w:r>
      <w:r>
        <w:rPr>
          <w:rFonts w:ascii="楷体" w:hAnsi="楷体" w:eastAsia="楷体"/>
          <w:sz w:val="24"/>
          <w:szCs w:val="24"/>
          <w:highlight w:val="none"/>
        </w:rPr>
        <w:t>2</w:t>
      </w:r>
      <w:r>
        <w:rPr>
          <w:rFonts w:hint="eastAsia" w:ascii="楷体" w:hAnsi="楷体" w:eastAsia="楷体"/>
          <w:sz w:val="24"/>
          <w:szCs w:val="24"/>
          <w:highlight w:val="none"/>
        </w:rPr>
        <w:t>个工作日（含）按说明书约定的信息披露方式予以披露。</w:t>
      </w:r>
    </w:p>
    <w:p>
      <w:pPr>
        <w:numPr>
          <w:ilvl w:val="0"/>
          <w:numId w:val="20"/>
        </w:numPr>
        <w:tabs>
          <w:tab w:val="left" w:pos="993"/>
        </w:tabs>
        <w:ind w:left="0" w:firstLine="482" w:firstLineChars="200"/>
        <w:outlineLvl w:val="2"/>
        <w:rPr>
          <w:rFonts w:hint="eastAsia" w:ascii="楷体" w:hAnsi="楷体" w:eastAsia="楷体" w:cs="Calibri"/>
          <w:b/>
          <w:bCs/>
          <w:sz w:val="24"/>
          <w:szCs w:val="24"/>
          <w:highlight w:val="none"/>
        </w:rPr>
      </w:pPr>
      <w:r>
        <w:rPr>
          <w:rFonts w:hint="eastAsia" w:ascii="楷体" w:hAnsi="楷体" w:eastAsia="楷体" w:cs="Calibri"/>
          <w:b/>
          <w:bCs/>
          <w:sz w:val="24"/>
          <w:szCs w:val="24"/>
          <w:highlight w:val="none"/>
        </w:rPr>
        <w:t>理财产品的清算</w:t>
      </w:r>
    </w:p>
    <w:p>
      <w:pPr>
        <w:numPr>
          <w:ilvl w:val="0"/>
          <w:numId w:val="24"/>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4"/>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3"/>
        </w:numPr>
        <w:tabs>
          <w:tab w:val="left" w:pos="1134"/>
        </w:tabs>
        <w:ind w:firstLine="562" w:firstLineChars="200"/>
        <w:outlineLvl w:val="1"/>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产品费用</w:t>
      </w:r>
    </w:p>
    <w:p>
      <w:pPr>
        <w:numPr>
          <w:ilvl w:val="0"/>
          <w:numId w:val="25"/>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highlight w:val="none"/>
        </w:rPr>
        <w:t>本产品费用包括托管费、销售服务费、投资管理费、超额业绩报酬（如有）以及产品运作和清算中产生的其他费用等。</w:t>
      </w:r>
    </w:p>
    <w:p>
      <w:pPr>
        <w:numPr>
          <w:ilvl w:val="0"/>
          <w:numId w:val="25"/>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计提方法、计提标准和支付方式</w:t>
      </w:r>
    </w:p>
    <w:p>
      <w:pPr>
        <w:numPr>
          <w:ilvl w:val="0"/>
          <w:numId w:val="2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托管费：本产品的托管费每日计提，按季支付，由托管行收取。计算方法如下：</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每日应计提的托管费＝前一日的产品资产净值×托管费率÷</w:t>
      </w:r>
      <w:r>
        <w:rPr>
          <w:rFonts w:ascii="楷体" w:hAnsi="楷体" w:eastAsia="楷体"/>
          <w:sz w:val="24"/>
          <w:szCs w:val="24"/>
          <w:highlight w:val="none"/>
        </w:rPr>
        <w:t>365</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销售服务费：本产品的销售服务费每日计提，按季支付，由销售机构收取。计算方法如下：</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每日应计提的销售服务费＝∑前一日的产品资产净值×各份额销售服务费率÷</w:t>
      </w:r>
      <w:r>
        <w:rPr>
          <w:rFonts w:ascii="楷体" w:hAnsi="楷体" w:eastAsia="楷体"/>
          <w:sz w:val="24"/>
          <w:szCs w:val="24"/>
          <w:highlight w:val="none"/>
        </w:rPr>
        <w:t>365</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投资管理费：本产品的投资管理费每日计提，按</w:t>
      </w:r>
      <w:r>
        <w:rPr>
          <w:rFonts w:hint="eastAsia" w:ascii="楷体" w:hAnsi="楷体" w:eastAsia="楷体" w:cs="Calibri"/>
          <w:sz w:val="24"/>
          <w:szCs w:val="24"/>
          <w:highlight w:val="none"/>
          <w:lang w:val="en-US" w:eastAsia="zh-CN"/>
        </w:rPr>
        <w:t>月</w:t>
      </w:r>
      <w:r>
        <w:rPr>
          <w:rFonts w:hint="eastAsia" w:ascii="楷体" w:hAnsi="楷体" w:eastAsia="楷体" w:cs="Calibri"/>
          <w:sz w:val="24"/>
          <w:szCs w:val="24"/>
          <w:highlight w:val="none"/>
        </w:rPr>
        <w:t>支付，由管理人收取。计算方法如下：</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每日应计提的投资管理费＝∑前一日的产品资产净值×各份额投资管理费率÷</w:t>
      </w:r>
      <w:r>
        <w:rPr>
          <w:rFonts w:ascii="楷体" w:hAnsi="楷体" w:eastAsia="楷体"/>
          <w:sz w:val="24"/>
          <w:szCs w:val="24"/>
          <w:highlight w:val="none"/>
        </w:rPr>
        <w:t>365</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四舍五入保留至小数点后两位</w:t>
      </w:r>
    </w:p>
    <w:p>
      <w:pPr>
        <w:numPr>
          <w:ilvl w:val="0"/>
          <w:numId w:val="26"/>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rPr>
        <w:t>产品管理人有权根据市场情况等</w:t>
      </w:r>
      <w:r>
        <w:rPr>
          <w:rFonts w:hint="eastAsia" w:ascii="楷体" w:hAnsi="楷体" w:eastAsia="楷体"/>
          <w:sz w:val="24"/>
          <w:szCs w:val="24"/>
          <w:lang w:eastAsia="zh-CN"/>
        </w:rPr>
        <w:t>调整上述各项费用费率</w:t>
      </w:r>
      <w:r>
        <w:rPr>
          <w:rFonts w:hint="eastAsia" w:ascii="楷体" w:hAnsi="楷体" w:eastAsia="楷体"/>
          <w:sz w:val="24"/>
          <w:szCs w:val="24"/>
          <w:highlight w:val="none"/>
        </w:rPr>
        <w:t>和超额业绩报酬</w:t>
      </w:r>
      <w:r>
        <w:rPr>
          <w:rFonts w:hint="eastAsia" w:ascii="楷体" w:hAnsi="楷体" w:eastAsia="楷体"/>
          <w:sz w:val="24"/>
          <w:szCs w:val="24"/>
          <w:lang w:eastAsia="zh-CN"/>
        </w:rPr>
        <w:t>收取方式及比例</w:t>
      </w:r>
      <w:r>
        <w:rPr>
          <w:rFonts w:hint="eastAsia" w:ascii="楷体" w:hAnsi="楷体" w:eastAsia="楷体"/>
          <w:sz w:val="24"/>
          <w:szCs w:val="24"/>
        </w:rPr>
        <w:t>，并至少于调整日之前2个工作日进行公告</w:t>
      </w:r>
      <w:r>
        <w:rPr>
          <w:rFonts w:hint="eastAsia" w:ascii="楷体" w:hAnsi="楷体" w:eastAsia="楷体"/>
          <w:sz w:val="24"/>
          <w:szCs w:val="24"/>
          <w:lang w:eastAsia="zh-CN"/>
        </w:rPr>
        <w:t>，产品管理人将通过短信及苏银理财有限责任公司官方网站（www</w:t>
      </w:r>
      <w:r>
        <w:rPr>
          <w:rFonts w:hint="eastAsia" w:ascii="楷体" w:hAnsi="楷体" w:eastAsia="楷体"/>
          <w:sz w:val="24"/>
          <w:szCs w:val="24"/>
          <w:lang w:val="en-US" w:eastAsia="zh-CN"/>
        </w:rPr>
        <w:t>.</w:t>
      </w:r>
      <w:r>
        <w:rPr>
          <w:rFonts w:hint="eastAsia" w:ascii="楷体" w:hAnsi="楷体" w:eastAsia="楷体"/>
          <w:sz w:val="24"/>
          <w:szCs w:val="24"/>
          <w:lang w:eastAsia="zh-CN"/>
        </w:rPr>
        <w:t>suyinwealth</w:t>
      </w:r>
      <w:r>
        <w:rPr>
          <w:rFonts w:hint="eastAsia" w:ascii="楷体" w:hAnsi="楷体" w:eastAsia="楷体"/>
          <w:sz w:val="24"/>
          <w:szCs w:val="24"/>
          <w:lang w:val="en-US" w:eastAsia="zh-CN"/>
        </w:rPr>
        <w:t>.</w:t>
      </w:r>
      <w:r>
        <w:rPr>
          <w:rFonts w:hint="eastAsia" w:ascii="楷体" w:hAnsi="楷体" w:eastAsia="楷体"/>
          <w:sz w:val="24"/>
          <w:szCs w:val="24"/>
          <w:lang w:eastAsia="zh-CN"/>
        </w:rPr>
        <w:t>com）、销售机构电子渠道和营业网点等方式进行信息披露</w:t>
      </w:r>
      <w:r>
        <w:rPr>
          <w:rFonts w:hint="eastAsia" w:ascii="楷体" w:hAnsi="楷体" w:eastAsia="楷体"/>
          <w:sz w:val="24"/>
          <w:szCs w:val="24"/>
        </w:rPr>
        <w:t>。如投资者不接受的，可在公告约定的期限内赎回本产品，此种情况下产品管理人将可能开放赎回</w:t>
      </w:r>
      <w:r>
        <w:rPr>
          <w:rFonts w:hint="eastAsia" w:ascii="楷体" w:hAnsi="楷体" w:eastAsia="楷体"/>
          <w:sz w:val="24"/>
          <w:szCs w:val="24"/>
          <w:lang w:eastAsia="zh-CN"/>
        </w:rPr>
        <w:t>，</w:t>
      </w:r>
      <w:r>
        <w:rPr>
          <w:rFonts w:hint="eastAsia" w:ascii="楷体" w:hAnsi="楷体" w:eastAsia="楷体"/>
          <w:sz w:val="24"/>
          <w:szCs w:val="24"/>
        </w:rPr>
        <w:t>具体以届时产品管理人公告为准；如投资者未赎回本产品，则视为本理财产品投资者接受相关调整且同意在调整后继续持有本理财产品。本产品不收取认购费用、申购费用、赎回费用</w:t>
      </w:r>
      <w:r>
        <w:rPr>
          <w:rFonts w:hint="eastAsia" w:ascii="楷体" w:hAnsi="楷体" w:eastAsia="楷体"/>
          <w:sz w:val="24"/>
          <w:szCs w:val="24"/>
          <w:highlight w:val="none"/>
          <w:lang w:eastAsia="zh-CN"/>
        </w:rPr>
        <w:t>。</w:t>
      </w:r>
    </w:p>
    <w:p>
      <w:pPr>
        <w:numPr>
          <w:ilvl w:val="0"/>
          <w:numId w:val="3"/>
        </w:numPr>
        <w:tabs>
          <w:tab w:val="left" w:pos="1134"/>
        </w:tabs>
        <w:ind w:firstLine="562" w:firstLineChars="200"/>
        <w:outlineLvl w:val="1"/>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3"/>
        </w:numPr>
        <w:tabs>
          <w:tab w:val="left" w:pos="1134"/>
        </w:tabs>
        <w:ind w:firstLine="562" w:firstLineChars="200"/>
        <w:outlineLvl w:val="1"/>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产品托管人</w:t>
      </w:r>
    </w:p>
    <w:p>
      <w:pPr>
        <w:numPr>
          <w:ilvl w:val="0"/>
          <w:numId w:val="2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27"/>
        </w:numPr>
        <w:tabs>
          <w:tab w:val="left" w:pos="993"/>
        </w:tabs>
        <w:ind w:left="0" w:firstLine="482" w:firstLineChars="200"/>
        <w:outlineLvl w:val="2"/>
        <w:rPr>
          <w:rFonts w:ascii="楷体" w:hAnsi="楷体" w:eastAsia="楷体"/>
          <w:b/>
          <w:bCs/>
          <w:sz w:val="24"/>
          <w:szCs w:val="24"/>
        </w:rPr>
      </w:pPr>
      <w:r>
        <w:rPr>
          <w:rFonts w:hint="eastAsia" w:ascii="楷体" w:hAnsi="楷体" w:eastAsia="楷体"/>
          <w:b/>
          <w:bCs/>
          <w:sz w:val="24"/>
          <w:szCs w:val="24"/>
        </w:rPr>
        <w:t>托管人职责</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安全保管理财产品财产；</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为理财产品开立银行托管账户、证券账户等；</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确认与执行理财产品资金划拨指令，办理理财产品资金的收付，核对理财产品资金划拨记录；</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建立与理财产品管理人的对账机制，复核理财产品资产净值、理财产品份额申购、赎回价格，及时核查投资资金的支付和到账情况；</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监督理财产品投资运作；</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办理与理财产品托管业务活动相关的信息披露事项；</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保存理财产品托管业务活动的记录、账册、报表和其他相关材料；</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对理财产品投资信息和相关资料承担保密责任；</w:t>
      </w:r>
    </w:p>
    <w:p>
      <w:pPr>
        <w:numPr>
          <w:ilvl w:val="0"/>
          <w:numId w:val="28"/>
        </w:numPr>
        <w:tabs>
          <w:tab w:val="left" w:pos="728"/>
        </w:tabs>
        <w:ind w:left="0" w:firstLine="480" w:firstLineChars="200"/>
        <w:rPr>
          <w:rFonts w:ascii="楷体" w:hAnsi="楷体" w:eastAsia="楷体"/>
          <w:sz w:val="24"/>
          <w:szCs w:val="24"/>
        </w:rPr>
      </w:pPr>
      <w:r>
        <w:rPr>
          <w:rFonts w:hint="eastAsia" w:ascii="楷体" w:hAnsi="楷体" w:eastAsia="楷体"/>
          <w:sz w:val="24"/>
          <w:szCs w:val="24"/>
        </w:rPr>
        <w:t>国务院银行业监督管理机构规定的其他职责。</w:t>
      </w:r>
    </w:p>
    <w:p>
      <w:pPr>
        <w:numPr>
          <w:ilvl w:val="0"/>
          <w:numId w:val="3"/>
        </w:numPr>
        <w:tabs>
          <w:tab w:val="left" w:pos="1134"/>
        </w:tabs>
        <w:ind w:firstLine="562" w:firstLineChars="200"/>
        <w:outlineLvl w:val="1"/>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信息披露</w:t>
      </w:r>
    </w:p>
    <w:p>
      <w:pPr>
        <w:numPr>
          <w:ilvl w:val="0"/>
          <w:numId w:val="29"/>
        </w:numPr>
        <w:tabs>
          <w:tab w:val="left" w:pos="993"/>
        </w:tabs>
        <w:ind w:left="0" w:firstLine="482" w:firstLineChars="200"/>
        <w:outlineLvl w:val="2"/>
        <w:rPr>
          <w:rFonts w:ascii="楷体" w:hAnsi="楷体" w:eastAsia="楷体" w:cs="Calibri"/>
          <w:b/>
          <w:bCs w:val="0"/>
          <w:sz w:val="24"/>
          <w:szCs w:val="24"/>
          <w:highlight w:val="none"/>
        </w:rPr>
      </w:pPr>
      <w:r>
        <w:rPr>
          <w:rFonts w:hint="eastAsia" w:ascii="楷体" w:hAnsi="楷体" w:eastAsia="楷体" w:cs="Calibri"/>
          <w:b/>
          <w:bCs w:val="0"/>
          <w:sz w:val="24"/>
          <w:szCs w:val="24"/>
          <w:highlight w:val="none"/>
        </w:rPr>
        <w:t>信息披露内容</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产品类型、募集信息、产品净值、产品规模、托管安排、投资账户信息；</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产品投向、投资比例、持仓情况、杠杆水平以及主要投资风险；</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产品收益分配、各项费用情况；</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产品涉及关联交易；</w:t>
      </w:r>
    </w:p>
    <w:p>
      <w:pPr>
        <w:numPr>
          <w:ilvl w:val="0"/>
          <w:numId w:val="30"/>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其他影响本产品投资运作的重大事项、临时性信息披露等。</w:t>
      </w:r>
    </w:p>
    <w:p>
      <w:pPr>
        <w:numPr>
          <w:ilvl w:val="0"/>
          <w:numId w:val="29"/>
        </w:numPr>
        <w:tabs>
          <w:tab w:val="left" w:pos="993"/>
        </w:tabs>
        <w:ind w:left="0" w:firstLine="482" w:firstLineChars="200"/>
        <w:outlineLvl w:val="2"/>
        <w:rPr>
          <w:rFonts w:ascii="楷体" w:hAnsi="楷体" w:eastAsia="楷体" w:cs="Calibri"/>
          <w:b/>
          <w:bCs w:val="0"/>
          <w:sz w:val="24"/>
          <w:szCs w:val="24"/>
          <w:highlight w:val="none"/>
        </w:rPr>
      </w:pPr>
      <w:r>
        <w:rPr>
          <w:rFonts w:hint="eastAsia" w:ascii="楷体" w:hAnsi="楷体" w:eastAsia="楷体" w:cs="Calibri"/>
          <w:b/>
          <w:bCs w:val="0"/>
          <w:sz w:val="24"/>
          <w:szCs w:val="24"/>
          <w:highlight w:val="none"/>
        </w:rPr>
        <w:t>信息披露频率</w:t>
      </w:r>
    </w:p>
    <w:p>
      <w:pPr>
        <w:numPr>
          <w:ilvl w:val="0"/>
          <w:numId w:val="31"/>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发行公告：管理人在产品成立后5个工作日内，披露产品成立公告，内容包括理财产品成立日期和募集规模等信息。</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到期公告：管理人在产品终止后5个工作日内，披露产品到期公告，内容包括理财产品的存续期限、终止日期、收费情况和收益分配情况等信息。</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重大事项公告：管理人在发生可能对理财产品投资者或者理财产品收益产生重大事项的事件后2个工作日内发布重大事项公告。</w:t>
      </w:r>
    </w:p>
    <w:p>
      <w:pPr>
        <w:numPr>
          <w:ilvl w:val="0"/>
          <w:numId w:val="31"/>
        </w:numPr>
        <w:tabs>
          <w:tab w:val="left" w:pos="728"/>
        </w:tabs>
        <w:ind w:left="0" w:firstLine="480" w:firstLineChars="200"/>
        <w:rPr>
          <w:rFonts w:ascii="楷体" w:hAnsi="楷体" w:eastAsia="楷体" w:cs="Calibri"/>
          <w:sz w:val="24"/>
          <w:szCs w:val="24"/>
          <w:highlight w:val="none"/>
        </w:rPr>
      </w:pPr>
      <w:r>
        <w:rPr>
          <w:rFonts w:hint="eastAsia" w:ascii="楷体" w:hAnsi="楷体" w:eastAsia="楷体" w:cs="Calibri"/>
          <w:sz w:val="24"/>
          <w:szCs w:val="24"/>
          <w:highlight w:val="none"/>
        </w:rPr>
        <w:t>产品净值披露：本产品成立后至少按周公布净值；每周四（遇节假日顺延）公布上一估值日净值，或每月确认日公布上一开放日净值。</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临时性信息披露：管理人将及时披露国务院银行业监督管理机构规定的其他信息或除重大事项事件以外的其他信息。</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半年度整体报告：每半年披露从事理财业务活动的有关信息。</w:t>
      </w:r>
    </w:p>
    <w:p>
      <w:pPr>
        <w:numPr>
          <w:ilvl w:val="0"/>
          <w:numId w:val="31"/>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理财账单：管理人每月向投资者提供其所持有的理财产品账单，账单内容包括但不限于投资者持有的理财产品份额、认购金额、</w:t>
      </w:r>
      <w:r>
        <w:rPr>
          <w:rFonts w:hint="eastAsia" w:ascii="楷体" w:hAnsi="楷体" w:eastAsia="楷体" w:cs="Calibri"/>
          <w:sz w:val="24"/>
          <w:szCs w:val="24"/>
          <w:highlight w:val="none"/>
          <w:lang w:val="en-US" w:eastAsia="zh-CN"/>
        </w:rPr>
        <w:t>份额</w:t>
      </w:r>
      <w:r>
        <w:rPr>
          <w:rFonts w:hint="eastAsia" w:ascii="楷体" w:hAnsi="楷体" w:eastAsia="楷体" w:cs="Calibri"/>
          <w:sz w:val="24"/>
          <w:szCs w:val="24"/>
          <w:highlight w:val="none"/>
        </w:rPr>
        <w:t>单位净值、份额累计净值、资产净值、收益情况、投资者理财交易账户发生的交易明细记录等信息。</w:t>
      </w:r>
    </w:p>
    <w:p>
      <w:pPr>
        <w:numPr>
          <w:ilvl w:val="0"/>
          <w:numId w:val="29"/>
        </w:numPr>
        <w:tabs>
          <w:tab w:val="left" w:pos="993"/>
        </w:tabs>
        <w:ind w:left="0" w:firstLine="482" w:firstLineChars="200"/>
        <w:outlineLvl w:val="2"/>
        <w:rPr>
          <w:rFonts w:hint="eastAsia" w:ascii="楷体" w:hAnsi="楷体" w:eastAsia="楷体" w:cs="Calibri"/>
          <w:b/>
          <w:bCs w:val="0"/>
          <w:sz w:val="24"/>
          <w:szCs w:val="24"/>
          <w:highlight w:val="none"/>
        </w:rPr>
      </w:pPr>
      <w:r>
        <w:rPr>
          <w:rFonts w:hint="eastAsia" w:ascii="楷体" w:hAnsi="楷体" w:eastAsia="楷体" w:cs="Calibri"/>
          <w:b/>
          <w:bCs w:val="0"/>
          <w:sz w:val="24"/>
          <w:szCs w:val="24"/>
          <w:highlight w:val="none"/>
        </w:rPr>
        <w:t>信息披露方式</w:t>
      </w:r>
    </w:p>
    <w:p>
      <w:pPr>
        <w:ind w:firstLine="480" w:firstLineChars="200"/>
        <w:rPr>
          <w:rFonts w:hint="eastAsia" w:ascii="楷体" w:hAnsi="楷体" w:eastAsia="楷体"/>
          <w:sz w:val="24"/>
          <w:szCs w:val="24"/>
          <w:highlight w:val="none"/>
        </w:rPr>
      </w:pPr>
      <w:r>
        <w:rPr>
          <w:rFonts w:hint="eastAsia" w:ascii="楷体" w:hAnsi="楷体" w:eastAsia="楷体"/>
          <w:sz w:val="24"/>
          <w:szCs w:val="24"/>
          <w:highlight w:val="none"/>
        </w:rPr>
        <w:t>由苏银理财按监管要求和说明书的约定，同时通过以下方式向投资者进行信息披露，披露方式包括：</w:t>
      </w:r>
    </w:p>
    <w:p>
      <w:pPr>
        <w:numPr>
          <w:ilvl w:val="0"/>
          <w:numId w:val="32"/>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highlight w:val="none"/>
        </w:rPr>
        <w:t>苏银理财通过苏银理财有限责任公司官方网站（</w:t>
      </w:r>
      <w:r>
        <w:rPr>
          <w:rFonts w:ascii="楷体" w:hAnsi="楷体" w:eastAsia="楷体" w:cs="Calibri"/>
          <w:sz w:val="24"/>
          <w:szCs w:val="24"/>
          <w:highlight w:val="none"/>
        </w:rPr>
        <w:t>www．suyinwealth．com</w:t>
      </w:r>
      <w:r>
        <w:rPr>
          <w:rFonts w:hint="eastAsia" w:ascii="楷体" w:hAnsi="楷体" w:eastAsia="楷体" w:cs="Calibri"/>
          <w:sz w:val="24"/>
          <w:szCs w:val="24"/>
          <w:highlight w:val="none"/>
        </w:rPr>
        <w:t>）进行信息披露。</w:t>
      </w:r>
    </w:p>
    <w:p>
      <w:pPr>
        <w:numPr>
          <w:ilvl w:val="0"/>
          <w:numId w:val="32"/>
        </w:numPr>
        <w:tabs>
          <w:tab w:val="left" w:pos="728"/>
        </w:tabs>
        <w:ind w:left="0" w:firstLine="480" w:firstLineChars="200"/>
        <w:rPr>
          <w:rFonts w:hint="eastAsia" w:ascii="楷体" w:hAnsi="楷体" w:eastAsia="楷体" w:cs="Calibri"/>
          <w:sz w:val="24"/>
          <w:szCs w:val="24"/>
          <w:highlight w:val="none"/>
        </w:rPr>
      </w:pPr>
      <w:r>
        <w:rPr>
          <w:rFonts w:hint="eastAsia" w:ascii="楷体" w:hAnsi="楷体" w:eastAsia="楷体" w:cs="Calibri"/>
          <w:sz w:val="24"/>
          <w:szCs w:val="24"/>
        </w:rPr>
        <w:t>苏银理财将信息披露内容发送销售机构，由销售机构通过</w:t>
      </w:r>
      <w:r>
        <w:rPr>
          <w:rFonts w:hint="eastAsia" w:ascii="楷体" w:hAnsi="楷体" w:eastAsia="楷体" w:cs="Calibri"/>
          <w:sz w:val="24"/>
          <w:szCs w:val="24"/>
          <w:lang w:val="en-US" w:eastAsia="zh-CN"/>
        </w:rPr>
        <w:t>短信及</w:t>
      </w:r>
      <w:r>
        <w:rPr>
          <w:rFonts w:hint="eastAsia" w:ascii="楷体" w:hAnsi="楷体" w:eastAsia="楷体" w:cs="Calibri"/>
          <w:sz w:val="24"/>
          <w:szCs w:val="24"/>
        </w:rPr>
        <w:t>销售机构电子渠道和营业网点</w:t>
      </w:r>
      <w:r>
        <w:rPr>
          <w:rFonts w:hint="eastAsia" w:ascii="楷体" w:hAnsi="楷体" w:eastAsia="楷体" w:cs="Calibri"/>
          <w:sz w:val="24"/>
          <w:szCs w:val="24"/>
          <w:lang w:val="en-US" w:eastAsia="zh-CN"/>
        </w:rPr>
        <w:t>等方式</w:t>
      </w:r>
      <w:r>
        <w:rPr>
          <w:rFonts w:hint="eastAsia" w:ascii="楷体" w:hAnsi="楷体" w:eastAsia="楷体" w:cs="Calibri"/>
          <w:sz w:val="24"/>
          <w:szCs w:val="24"/>
        </w:rPr>
        <w:t>进行信息披露</w:t>
      </w:r>
      <w:r>
        <w:rPr>
          <w:rFonts w:hint="eastAsia" w:ascii="楷体" w:hAnsi="楷体" w:eastAsia="楷体" w:cs="Calibri"/>
          <w:sz w:val="24"/>
          <w:szCs w:val="24"/>
          <w:highlight w:val="none"/>
        </w:rPr>
        <w:t>。</w:t>
      </w:r>
    </w:p>
    <w:p>
      <w:pPr>
        <w:ind w:firstLine="480" w:firstLineChars="200"/>
        <w:rPr>
          <w:rFonts w:hint="eastAsia" w:ascii="楷体" w:hAnsi="楷体" w:eastAsia="楷体"/>
          <w:sz w:val="24"/>
          <w:szCs w:val="24"/>
        </w:rPr>
      </w:pPr>
      <w:r>
        <w:rPr>
          <w:rFonts w:hint="eastAsia" w:ascii="楷体" w:hAnsi="楷体" w:eastAsia="楷体"/>
          <w:sz w:val="24"/>
          <w:szCs w:val="24"/>
          <w:highlight w:val="none"/>
        </w:rPr>
        <w:t>相关信息在发布或发出之日视为通知已送达投资者并生效，</w:t>
      </w:r>
      <w:r>
        <w:rPr>
          <w:rFonts w:hint="eastAsia" w:ascii="楷体" w:hAnsi="楷体" w:eastAsia="楷体"/>
          <w:sz w:val="24"/>
          <w:szCs w:val="24"/>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4"/>
          <w:szCs w:val="24"/>
          <w:highlight w:val="none"/>
        </w:rPr>
        <w:t>请</w:t>
      </w:r>
      <w:r>
        <w:rPr>
          <w:rFonts w:hint="eastAsia" w:ascii="楷体" w:hAnsi="楷体" w:eastAsia="楷体"/>
          <w:sz w:val="24"/>
          <w:szCs w:val="24"/>
          <w:highlight w:val="none"/>
          <w:lang w:val="en-US" w:eastAsia="zh-CN"/>
        </w:rPr>
        <w:t>投资者</w:t>
      </w:r>
      <w:r>
        <w:rPr>
          <w:rFonts w:hint="eastAsia" w:ascii="楷体" w:hAnsi="楷体" w:eastAsia="楷体"/>
          <w:sz w:val="24"/>
          <w:szCs w:val="24"/>
          <w:highlight w:val="none"/>
        </w:rPr>
        <w:t>及时登陆苏银理财有限责任</w:t>
      </w:r>
      <w:r>
        <w:rPr>
          <w:rFonts w:hint="eastAsia" w:ascii="楷体" w:hAnsi="楷体" w:eastAsia="楷体"/>
          <w:sz w:val="24"/>
          <w:szCs w:val="24"/>
          <w:highlight w:val="none"/>
          <w:lang w:val="en-US" w:eastAsia="zh-CN"/>
        </w:rPr>
        <w:t>公司</w:t>
      </w:r>
      <w:r>
        <w:rPr>
          <w:rFonts w:hint="eastAsia" w:ascii="楷体" w:hAnsi="楷体" w:eastAsia="楷体"/>
          <w:sz w:val="24"/>
          <w:szCs w:val="24"/>
          <w:highlight w:val="none"/>
        </w:rPr>
        <w:t>官方网站或者向销售机构查询获取披露信息。</w:t>
      </w:r>
    </w:p>
    <w:p>
      <w:pPr>
        <w:numPr>
          <w:ilvl w:val="0"/>
          <w:numId w:val="3"/>
        </w:numPr>
        <w:tabs>
          <w:tab w:val="left" w:pos="1134"/>
        </w:tabs>
        <w:ind w:firstLine="562" w:firstLineChars="200"/>
        <w:outlineLvl w:val="1"/>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其他</w:t>
      </w:r>
    </w:p>
    <w:p>
      <w:pPr>
        <w:numPr>
          <w:ilvl w:val="0"/>
          <w:numId w:val="33"/>
        </w:numPr>
        <w:tabs>
          <w:tab w:val="left" w:pos="993"/>
        </w:tabs>
        <w:ind w:left="0" w:firstLine="482" w:firstLineChars="200"/>
        <w:outlineLvl w:val="2"/>
        <w:rPr>
          <w:rFonts w:ascii="楷体" w:hAnsi="楷体" w:eastAsia="楷体" w:cs="Calibri"/>
          <w:b/>
          <w:bCs w:val="0"/>
          <w:sz w:val="24"/>
          <w:szCs w:val="24"/>
          <w:highlight w:val="none"/>
        </w:rPr>
      </w:pPr>
      <w:r>
        <w:rPr>
          <w:rFonts w:hint="eastAsia" w:ascii="楷体" w:hAnsi="楷体" w:eastAsia="楷体" w:cs="Calibri"/>
          <w:b/>
          <w:bCs w:val="0"/>
          <w:sz w:val="24"/>
          <w:szCs w:val="24"/>
          <w:highlight w:val="none"/>
        </w:rPr>
        <w:t>追索条款</w:t>
      </w:r>
    </w:p>
    <w:p>
      <w:pPr>
        <w:ind w:firstLine="480" w:firstLineChars="200"/>
        <w:rPr>
          <w:rFonts w:ascii="楷体" w:hAnsi="楷体" w:eastAsia="楷体"/>
          <w:bCs/>
          <w:sz w:val="24"/>
          <w:szCs w:val="24"/>
          <w:highlight w:val="none"/>
        </w:rPr>
      </w:pPr>
      <w:r>
        <w:rPr>
          <w:rFonts w:hint="eastAsia" w:ascii="楷体" w:hAnsi="楷体" w:eastAsia="楷体"/>
          <w:bCs/>
          <w:sz w:val="24"/>
          <w:szCs w:val="24"/>
          <w:highlight w:val="none"/>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33"/>
        </w:numPr>
        <w:tabs>
          <w:tab w:val="left" w:pos="993"/>
        </w:tabs>
        <w:ind w:left="0" w:firstLine="482" w:firstLineChars="200"/>
        <w:outlineLvl w:val="2"/>
        <w:rPr>
          <w:rFonts w:ascii="楷体" w:hAnsi="楷体" w:eastAsia="楷体" w:cs="Calibri"/>
          <w:b/>
          <w:bCs w:val="0"/>
          <w:sz w:val="24"/>
          <w:szCs w:val="24"/>
          <w:highlight w:val="none"/>
        </w:rPr>
      </w:pPr>
      <w:r>
        <w:rPr>
          <w:rFonts w:hint="eastAsia" w:ascii="楷体" w:hAnsi="楷体" w:eastAsia="楷体" w:cs="Calibri"/>
          <w:b/>
          <w:bCs w:val="0"/>
          <w:sz w:val="24"/>
          <w:szCs w:val="24"/>
          <w:highlight w:val="none"/>
        </w:rPr>
        <w:t>信息安全</w:t>
      </w:r>
    </w:p>
    <w:p>
      <w:pPr>
        <w:ind w:firstLine="480" w:firstLineChars="200"/>
        <w:rPr>
          <w:rFonts w:hint="eastAsia" w:ascii="楷体" w:hAnsi="楷体" w:eastAsia="楷体"/>
          <w:bCs/>
          <w:sz w:val="24"/>
          <w:szCs w:val="24"/>
          <w:highlight w:val="none"/>
        </w:rPr>
      </w:pPr>
      <w:r>
        <w:rPr>
          <w:rFonts w:hint="eastAsia" w:ascii="楷体" w:hAnsi="楷体" w:eastAsia="楷体"/>
          <w:bCs/>
          <w:sz w:val="24"/>
          <w:szCs w:val="24"/>
          <w:highlight w:val="none"/>
        </w:rPr>
        <w:t>苏银理财及</w:t>
      </w:r>
      <w:r>
        <w:rPr>
          <w:rFonts w:hint="eastAsia" w:ascii="楷体" w:hAnsi="楷体" w:eastAsia="楷体"/>
          <w:bCs/>
          <w:sz w:val="24"/>
          <w:szCs w:val="24"/>
          <w:highlight w:val="none"/>
          <w:lang w:val="en-US" w:eastAsia="zh-CN"/>
        </w:rPr>
        <w:t>销售</w:t>
      </w:r>
      <w:r>
        <w:rPr>
          <w:rFonts w:hint="eastAsia" w:ascii="楷体" w:hAnsi="楷体" w:eastAsia="楷体"/>
          <w:bCs/>
          <w:sz w:val="24"/>
          <w:szCs w:val="24"/>
          <w:highlight w:val="none"/>
        </w:rPr>
        <w:t>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bCs/>
          <w:sz w:val="24"/>
          <w:szCs w:val="24"/>
          <w:highlight w:val="none"/>
        </w:rPr>
      </w:pPr>
      <w:r>
        <w:rPr>
          <w:rFonts w:hint="eastAsia" w:ascii="楷体" w:hAnsi="楷体" w:eastAsia="楷体"/>
          <w:bCs/>
          <w:sz w:val="24"/>
          <w:szCs w:val="24"/>
          <w:highlight w:val="none"/>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w:t>
      </w:r>
      <w:r>
        <w:rPr>
          <w:rFonts w:hint="eastAsia" w:ascii="楷体" w:hAnsi="楷体" w:eastAsia="楷体"/>
          <w:bCs/>
          <w:sz w:val="24"/>
          <w:szCs w:val="24"/>
          <w:highlight w:val="none"/>
          <w:lang w:val="en-US" w:eastAsia="zh-CN"/>
        </w:rPr>
        <w:t>接触</w:t>
      </w:r>
      <w:r>
        <w:rPr>
          <w:rFonts w:hint="eastAsia" w:ascii="楷体" w:hAnsi="楷体" w:eastAsia="楷体"/>
          <w:bCs/>
          <w:sz w:val="24"/>
          <w:szCs w:val="24"/>
          <w:highlight w:val="none"/>
        </w:rPr>
        <w:t>并按照苏银理财的业务要求以及“最少必须”原则使用投资人个人信息。苏银理财承诺将向有关第三方明确其保护投资人信息的职责并要求第三方承担相应的保密义务。</w:t>
      </w:r>
    </w:p>
    <w:p>
      <w:pPr>
        <w:numPr>
          <w:ilvl w:val="0"/>
          <w:numId w:val="33"/>
        </w:numPr>
        <w:tabs>
          <w:tab w:val="left" w:pos="993"/>
        </w:tabs>
        <w:ind w:left="0" w:firstLine="482" w:firstLineChars="200"/>
        <w:outlineLvl w:val="2"/>
        <w:rPr>
          <w:rFonts w:ascii="楷体" w:hAnsi="楷体" w:eastAsia="楷体" w:cs="Calibri"/>
          <w:b/>
          <w:bCs w:val="0"/>
          <w:sz w:val="24"/>
          <w:szCs w:val="24"/>
          <w:highlight w:val="none"/>
        </w:rPr>
      </w:pPr>
      <w:r>
        <w:rPr>
          <w:rFonts w:hint="eastAsia" w:ascii="楷体" w:hAnsi="楷体" w:eastAsia="楷体" w:cs="Calibri"/>
          <w:b/>
          <w:bCs w:val="0"/>
          <w:sz w:val="24"/>
          <w:szCs w:val="24"/>
          <w:highlight w:val="none"/>
        </w:rPr>
        <w:t>争议解决</w:t>
      </w:r>
    </w:p>
    <w:p>
      <w:pPr>
        <w:ind w:firstLine="480" w:firstLineChars="200"/>
        <w:rPr>
          <w:rFonts w:ascii="楷体" w:hAnsi="楷体" w:eastAsia="楷体"/>
          <w:sz w:val="24"/>
          <w:szCs w:val="24"/>
          <w:highlight w:val="none"/>
        </w:rPr>
      </w:pPr>
      <w:r>
        <w:rPr>
          <w:rFonts w:hint="eastAsia" w:ascii="楷体" w:hAnsi="楷体" w:eastAsia="楷体"/>
          <w:sz w:val="24"/>
          <w:szCs w:val="24"/>
          <w:highlight w:val="none"/>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pPr>
      <w:r>
        <w:rPr>
          <w:rFonts w:hint="eastAsia" w:ascii="楷体" w:hAnsi="楷体" w:eastAsia="楷体"/>
          <w:sz w:val="24"/>
          <w:szCs w:val="24"/>
          <w:highlight w:val="none"/>
        </w:rPr>
        <w:t>苏银理财有限责任公司将恪守勤勉尽责的原则，合理配置资产组合，为投资者提供专业化的理财服务。投资者应密切关注苏银理财有限责任公司与本产品有关的信息公告，以免造成不必要的损失。</w:t>
      </w:r>
      <w:bookmarkStart w:id="0" w:name="_GoBack"/>
      <w:bookmarkEnd w:id="0"/>
    </w:p>
    <w:sectPr>
      <w:headerReference r:id="rId6" w:type="first"/>
      <w:headerReference r:id="rId4" w:type="default"/>
      <w:footerReference r:id="rId7" w:type="default"/>
      <w:head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snapToGrid w:val="0"/>
      </w:pPr>
      <w:r>
        <w:rPr>
          <w:rStyle w:val="20"/>
        </w:rPr>
        <w:footnoteRef/>
      </w:r>
      <w:r>
        <w:t xml:space="preserve"> </w:t>
      </w:r>
      <w:r>
        <w:rPr>
          <w:rFonts w:hint="eastAsia" w:ascii="楷体" w:hAnsi="楷体" w:eastAsia="楷体" w:cs="楷体"/>
          <w:lang w:val="en-US" w:eastAsia="zh-CN"/>
        </w:rPr>
        <w:t>注：投资者权益须知的名称和内容以销售机构实际使用为准。</w:t>
      </w:r>
    </w:p>
  </w:footnote>
  <w:footnote w:id="1">
    <w:p>
      <w:pPr>
        <w:pStyle w:val="11"/>
        <w:rPr>
          <w:rFonts w:hint="eastAsia" w:ascii="楷体" w:hAnsi="楷体" w:eastAsia="楷体" w:cs="楷体"/>
        </w:rPr>
      </w:pPr>
      <w:r>
        <w:rPr>
          <w:rStyle w:val="20"/>
        </w:rPr>
        <w:t>2</w:t>
      </w:r>
      <w:r>
        <w:rPr>
          <w:rFonts w:hint="eastAsia"/>
          <w:lang w:val="en-US" w:eastAsia="zh-CN"/>
        </w:rPr>
        <w:t xml:space="preserve"> </w:t>
      </w:r>
      <w:r>
        <w:rPr>
          <w:rFonts w:hint="eastAsia" w:ascii="楷体" w:hAnsi="楷体" w:eastAsia="楷体" w:cs="楷体"/>
        </w:rPr>
        <w:t>注：理财产品</w:t>
      </w:r>
      <w:r>
        <w:rPr>
          <w:rFonts w:hint="eastAsia" w:ascii="楷体" w:hAnsi="楷体" w:eastAsia="楷体" w:cs="楷体"/>
          <w:lang w:eastAsia="zh-CN"/>
        </w:rPr>
        <w:t>（代理）销售协议</w:t>
      </w:r>
      <w:r>
        <w:rPr>
          <w:rFonts w:hint="eastAsia" w:ascii="楷体" w:hAnsi="楷体" w:eastAsia="楷体" w:cs="楷体"/>
        </w:rPr>
        <w:t>书的名称和内容以销售机构实际使用为准。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2050"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图片 1" o:spid="_x0000_s205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2049"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2052"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1177B91"/>
    <w:multiLevelType w:val="multilevel"/>
    <w:tmpl w:val="01177B9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F24CC2"/>
    <w:multiLevelType w:val="multilevel"/>
    <w:tmpl w:val="0CF24CC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593FC5"/>
    <w:multiLevelType w:val="multilevel"/>
    <w:tmpl w:val="0D593F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7367C"/>
    <w:multiLevelType w:val="multilevel"/>
    <w:tmpl w:val="0EB736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D4F1E79"/>
    <w:multiLevelType w:val="multilevel"/>
    <w:tmpl w:val="1D4F1E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49011C"/>
    <w:multiLevelType w:val="multilevel"/>
    <w:tmpl w:val="1E4901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832A92"/>
    <w:multiLevelType w:val="multilevel"/>
    <w:tmpl w:val="26832A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C765AA"/>
    <w:multiLevelType w:val="multilevel"/>
    <w:tmpl w:val="3FC765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9D1816"/>
    <w:multiLevelType w:val="multilevel"/>
    <w:tmpl w:val="4E9D18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BC30213"/>
    <w:multiLevelType w:val="multilevel"/>
    <w:tmpl w:val="5BC302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055B78"/>
    <w:multiLevelType w:val="multilevel"/>
    <w:tmpl w:val="5D055B7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595140"/>
    <w:multiLevelType w:val="multilevel"/>
    <w:tmpl w:val="6559514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822E77"/>
    <w:multiLevelType w:val="multilevel"/>
    <w:tmpl w:val="67822E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C82A25"/>
    <w:multiLevelType w:val="multilevel"/>
    <w:tmpl w:val="67C82A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C3373F8"/>
    <w:multiLevelType w:val="multilevel"/>
    <w:tmpl w:val="7C3373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5"/>
  </w:num>
  <w:num w:numId="3">
    <w:abstractNumId w:val="7"/>
  </w:num>
  <w:num w:numId="4">
    <w:abstractNumId w:val="13"/>
  </w:num>
  <w:num w:numId="5">
    <w:abstractNumId w:val="12"/>
  </w:num>
  <w:num w:numId="6">
    <w:abstractNumId w:val="21"/>
  </w:num>
  <w:num w:numId="7">
    <w:abstractNumId w:val="28"/>
  </w:num>
  <w:num w:numId="8">
    <w:abstractNumId w:val="11"/>
  </w:num>
  <w:num w:numId="9">
    <w:abstractNumId w:val="18"/>
  </w:num>
  <w:num w:numId="10">
    <w:abstractNumId w:val="0"/>
  </w:num>
  <w:num w:numId="11">
    <w:abstractNumId w:val="1"/>
  </w:num>
  <w:num w:numId="12">
    <w:abstractNumId w:val="10"/>
  </w:num>
  <w:num w:numId="13">
    <w:abstractNumId w:val="17"/>
  </w:num>
  <w:num w:numId="14">
    <w:abstractNumId w:val="9"/>
  </w:num>
  <w:num w:numId="15">
    <w:abstractNumId w:val="26"/>
  </w:num>
  <w:num w:numId="16">
    <w:abstractNumId w:val="22"/>
  </w:num>
  <w:num w:numId="17">
    <w:abstractNumId w:val="6"/>
  </w:num>
  <w:num w:numId="18">
    <w:abstractNumId w:val="25"/>
  </w:num>
  <w:num w:numId="19">
    <w:abstractNumId w:val="5"/>
  </w:num>
  <w:num w:numId="20">
    <w:abstractNumId w:val="20"/>
  </w:num>
  <w:num w:numId="21">
    <w:abstractNumId w:val="27"/>
  </w:num>
  <w:num w:numId="22">
    <w:abstractNumId w:val="3"/>
  </w:num>
  <w:num w:numId="23">
    <w:abstractNumId w:val="29"/>
  </w:num>
  <w:num w:numId="24">
    <w:abstractNumId w:val="19"/>
  </w:num>
  <w:num w:numId="25">
    <w:abstractNumId w:val="4"/>
  </w:num>
  <w:num w:numId="26">
    <w:abstractNumId w:val="32"/>
  </w:num>
  <w:num w:numId="27">
    <w:abstractNumId w:val="24"/>
  </w:num>
  <w:num w:numId="28">
    <w:abstractNumId w:val="8"/>
  </w:num>
  <w:num w:numId="29">
    <w:abstractNumId w:val="31"/>
  </w:num>
  <w:num w:numId="30">
    <w:abstractNumId w:val="16"/>
  </w:num>
  <w:num w:numId="31">
    <w:abstractNumId w:val="30"/>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D"/>
    <w:rsid w:val="00001531"/>
    <w:rsid w:val="000016B3"/>
    <w:rsid w:val="0000191C"/>
    <w:rsid w:val="00001E2F"/>
    <w:rsid w:val="00002389"/>
    <w:rsid w:val="00003606"/>
    <w:rsid w:val="00003EE9"/>
    <w:rsid w:val="000048B0"/>
    <w:rsid w:val="00005B01"/>
    <w:rsid w:val="00006E02"/>
    <w:rsid w:val="00006EAF"/>
    <w:rsid w:val="0000713B"/>
    <w:rsid w:val="000101E4"/>
    <w:rsid w:val="0001103A"/>
    <w:rsid w:val="000121E8"/>
    <w:rsid w:val="000131EF"/>
    <w:rsid w:val="00013628"/>
    <w:rsid w:val="00013690"/>
    <w:rsid w:val="00014334"/>
    <w:rsid w:val="0001466A"/>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6A8A"/>
    <w:rsid w:val="000279D8"/>
    <w:rsid w:val="00027E61"/>
    <w:rsid w:val="00027F48"/>
    <w:rsid w:val="0003072E"/>
    <w:rsid w:val="00030D69"/>
    <w:rsid w:val="000315E6"/>
    <w:rsid w:val="00031806"/>
    <w:rsid w:val="000318DB"/>
    <w:rsid w:val="00031BAC"/>
    <w:rsid w:val="00031F80"/>
    <w:rsid w:val="00033BCE"/>
    <w:rsid w:val="00034890"/>
    <w:rsid w:val="000349C5"/>
    <w:rsid w:val="00035A1C"/>
    <w:rsid w:val="000375C2"/>
    <w:rsid w:val="0003796E"/>
    <w:rsid w:val="000401BF"/>
    <w:rsid w:val="000405B1"/>
    <w:rsid w:val="00040BBE"/>
    <w:rsid w:val="000420FE"/>
    <w:rsid w:val="00043555"/>
    <w:rsid w:val="00043D5F"/>
    <w:rsid w:val="00044C70"/>
    <w:rsid w:val="000469D0"/>
    <w:rsid w:val="00046AAA"/>
    <w:rsid w:val="0004768E"/>
    <w:rsid w:val="00050975"/>
    <w:rsid w:val="00051BCE"/>
    <w:rsid w:val="00051D94"/>
    <w:rsid w:val="00051DB3"/>
    <w:rsid w:val="00052D94"/>
    <w:rsid w:val="00054158"/>
    <w:rsid w:val="00054854"/>
    <w:rsid w:val="00054919"/>
    <w:rsid w:val="000567FE"/>
    <w:rsid w:val="00056AC3"/>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2C2"/>
    <w:rsid w:val="00080568"/>
    <w:rsid w:val="00080B39"/>
    <w:rsid w:val="00080C2C"/>
    <w:rsid w:val="00081AD6"/>
    <w:rsid w:val="000820E2"/>
    <w:rsid w:val="000824D5"/>
    <w:rsid w:val="00083CB2"/>
    <w:rsid w:val="00084EE2"/>
    <w:rsid w:val="000853F6"/>
    <w:rsid w:val="000867A8"/>
    <w:rsid w:val="00086855"/>
    <w:rsid w:val="00087036"/>
    <w:rsid w:val="00087EDB"/>
    <w:rsid w:val="00090B55"/>
    <w:rsid w:val="00091208"/>
    <w:rsid w:val="00092375"/>
    <w:rsid w:val="00092843"/>
    <w:rsid w:val="000934F7"/>
    <w:rsid w:val="00093C11"/>
    <w:rsid w:val="00094631"/>
    <w:rsid w:val="0009573A"/>
    <w:rsid w:val="00095AC9"/>
    <w:rsid w:val="00096382"/>
    <w:rsid w:val="0009795C"/>
    <w:rsid w:val="00097F80"/>
    <w:rsid w:val="000A0B14"/>
    <w:rsid w:val="000A2D2D"/>
    <w:rsid w:val="000A2E68"/>
    <w:rsid w:val="000A348F"/>
    <w:rsid w:val="000A45AB"/>
    <w:rsid w:val="000A5B05"/>
    <w:rsid w:val="000A5BF4"/>
    <w:rsid w:val="000B0078"/>
    <w:rsid w:val="000B0690"/>
    <w:rsid w:val="000B1640"/>
    <w:rsid w:val="000B3B58"/>
    <w:rsid w:val="000B3EFD"/>
    <w:rsid w:val="000B4F1A"/>
    <w:rsid w:val="000B5006"/>
    <w:rsid w:val="000B659B"/>
    <w:rsid w:val="000B6E9F"/>
    <w:rsid w:val="000B7141"/>
    <w:rsid w:val="000C1F95"/>
    <w:rsid w:val="000C322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1B7"/>
    <w:rsid w:val="000F7D2C"/>
    <w:rsid w:val="00100F0C"/>
    <w:rsid w:val="001025A3"/>
    <w:rsid w:val="0010347F"/>
    <w:rsid w:val="001036A0"/>
    <w:rsid w:val="0010457E"/>
    <w:rsid w:val="00105BD7"/>
    <w:rsid w:val="001065F5"/>
    <w:rsid w:val="00110417"/>
    <w:rsid w:val="001107F1"/>
    <w:rsid w:val="00111E3E"/>
    <w:rsid w:val="001121A0"/>
    <w:rsid w:val="0011258E"/>
    <w:rsid w:val="001126F6"/>
    <w:rsid w:val="00112880"/>
    <w:rsid w:val="00112D64"/>
    <w:rsid w:val="00112F03"/>
    <w:rsid w:val="00112F3F"/>
    <w:rsid w:val="00114D9C"/>
    <w:rsid w:val="00115102"/>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834"/>
    <w:rsid w:val="00131F1B"/>
    <w:rsid w:val="0013364F"/>
    <w:rsid w:val="00133AAF"/>
    <w:rsid w:val="00133B98"/>
    <w:rsid w:val="0013472F"/>
    <w:rsid w:val="00134733"/>
    <w:rsid w:val="00134B7E"/>
    <w:rsid w:val="001359ED"/>
    <w:rsid w:val="00136921"/>
    <w:rsid w:val="00140B25"/>
    <w:rsid w:val="0014427A"/>
    <w:rsid w:val="001450DF"/>
    <w:rsid w:val="0014734D"/>
    <w:rsid w:val="001502D7"/>
    <w:rsid w:val="00151CC7"/>
    <w:rsid w:val="00151ED4"/>
    <w:rsid w:val="00152B36"/>
    <w:rsid w:val="001530B2"/>
    <w:rsid w:val="001542A4"/>
    <w:rsid w:val="001543E7"/>
    <w:rsid w:val="00154F7A"/>
    <w:rsid w:val="00155B77"/>
    <w:rsid w:val="00155C63"/>
    <w:rsid w:val="00160569"/>
    <w:rsid w:val="00160CEC"/>
    <w:rsid w:val="00161000"/>
    <w:rsid w:val="00161E2F"/>
    <w:rsid w:val="001624A3"/>
    <w:rsid w:val="001624DA"/>
    <w:rsid w:val="00162BF5"/>
    <w:rsid w:val="00165E23"/>
    <w:rsid w:val="00166B3A"/>
    <w:rsid w:val="001676A3"/>
    <w:rsid w:val="00170099"/>
    <w:rsid w:val="00170194"/>
    <w:rsid w:val="00170927"/>
    <w:rsid w:val="0017092A"/>
    <w:rsid w:val="00170A6E"/>
    <w:rsid w:val="00170D52"/>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6F0B"/>
    <w:rsid w:val="001A73F1"/>
    <w:rsid w:val="001B0F47"/>
    <w:rsid w:val="001B1D26"/>
    <w:rsid w:val="001B1E1E"/>
    <w:rsid w:val="001B25A3"/>
    <w:rsid w:val="001B272C"/>
    <w:rsid w:val="001B2F76"/>
    <w:rsid w:val="001B2F82"/>
    <w:rsid w:val="001B396B"/>
    <w:rsid w:val="001B4B9C"/>
    <w:rsid w:val="001B57A4"/>
    <w:rsid w:val="001B72EB"/>
    <w:rsid w:val="001B7D0D"/>
    <w:rsid w:val="001C03B1"/>
    <w:rsid w:val="001C0516"/>
    <w:rsid w:val="001C0CC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1DA3"/>
    <w:rsid w:val="001E223F"/>
    <w:rsid w:val="001E4374"/>
    <w:rsid w:val="001E4A82"/>
    <w:rsid w:val="001E4C0D"/>
    <w:rsid w:val="001E4E95"/>
    <w:rsid w:val="001E55CB"/>
    <w:rsid w:val="001E57B9"/>
    <w:rsid w:val="001E6078"/>
    <w:rsid w:val="001E631F"/>
    <w:rsid w:val="001E6A8F"/>
    <w:rsid w:val="001F0A69"/>
    <w:rsid w:val="001F12CA"/>
    <w:rsid w:val="001F1728"/>
    <w:rsid w:val="001F2658"/>
    <w:rsid w:val="001F3AD6"/>
    <w:rsid w:val="001F3CCB"/>
    <w:rsid w:val="001F63BD"/>
    <w:rsid w:val="001F6775"/>
    <w:rsid w:val="001F69BF"/>
    <w:rsid w:val="00200449"/>
    <w:rsid w:val="00200DF8"/>
    <w:rsid w:val="0020123C"/>
    <w:rsid w:val="00201311"/>
    <w:rsid w:val="0020196F"/>
    <w:rsid w:val="002024E9"/>
    <w:rsid w:val="0020590E"/>
    <w:rsid w:val="00205D02"/>
    <w:rsid w:val="0020639A"/>
    <w:rsid w:val="00206449"/>
    <w:rsid w:val="00210857"/>
    <w:rsid w:val="002119A2"/>
    <w:rsid w:val="00213632"/>
    <w:rsid w:val="00215F66"/>
    <w:rsid w:val="00220657"/>
    <w:rsid w:val="0022162D"/>
    <w:rsid w:val="002222A4"/>
    <w:rsid w:val="002239BC"/>
    <w:rsid w:val="00225FFF"/>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1FB3"/>
    <w:rsid w:val="0024212E"/>
    <w:rsid w:val="002436C1"/>
    <w:rsid w:val="00243DF5"/>
    <w:rsid w:val="002443B7"/>
    <w:rsid w:val="00244895"/>
    <w:rsid w:val="00245106"/>
    <w:rsid w:val="00245D03"/>
    <w:rsid w:val="002460E6"/>
    <w:rsid w:val="0024748B"/>
    <w:rsid w:val="002477F3"/>
    <w:rsid w:val="00247A7D"/>
    <w:rsid w:val="00250C6A"/>
    <w:rsid w:val="0025150E"/>
    <w:rsid w:val="0025159B"/>
    <w:rsid w:val="0025240A"/>
    <w:rsid w:val="00252B51"/>
    <w:rsid w:val="0025376C"/>
    <w:rsid w:val="00253997"/>
    <w:rsid w:val="0025423C"/>
    <w:rsid w:val="00254A3C"/>
    <w:rsid w:val="00254A8B"/>
    <w:rsid w:val="00256119"/>
    <w:rsid w:val="00256E57"/>
    <w:rsid w:val="0025744E"/>
    <w:rsid w:val="002579CC"/>
    <w:rsid w:val="00257E38"/>
    <w:rsid w:val="0026261B"/>
    <w:rsid w:val="00263007"/>
    <w:rsid w:val="002644DA"/>
    <w:rsid w:val="0026641B"/>
    <w:rsid w:val="00266A6A"/>
    <w:rsid w:val="00266AE6"/>
    <w:rsid w:val="00266E3B"/>
    <w:rsid w:val="002672C8"/>
    <w:rsid w:val="002673BF"/>
    <w:rsid w:val="00267465"/>
    <w:rsid w:val="00267A22"/>
    <w:rsid w:val="00270665"/>
    <w:rsid w:val="00271F27"/>
    <w:rsid w:val="00272261"/>
    <w:rsid w:val="00272C53"/>
    <w:rsid w:val="00272E20"/>
    <w:rsid w:val="00273681"/>
    <w:rsid w:val="00274FAF"/>
    <w:rsid w:val="0027510A"/>
    <w:rsid w:val="002752E5"/>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2B8A"/>
    <w:rsid w:val="002932FC"/>
    <w:rsid w:val="00294431"/>
    <w:rsid w:val="0029474A"/>
    <w:rsid w:val="00294B49"/>
    <w:rsid w:val="002953C1"/>
    <w:rsid w:val="00295538"/>
    <w:rsid w:val="00295E51"/>
    <w:rsid w:val="00296316"/>
    <w:rsid w:val="00296EB4"/>
    <w:rsid w:val="00297034"/>
    <w:rsid w:val="002A046A"/>
    <w:rsid w:val="002A23E0"/>
    <w:rsid w:val="002A2E20"/>
    <w:rsid w:val="002A2FFA"/>
    <w:rsid w:val="002A32DF"/>
    <w:rsid w:val="002A46D7"/>
    <w:rsid w:val="002A4ADF"/>
    <w:rsid w:val="002A6980"/>
    <w:rsid w:val="002A7DF5"/>
    <w:rsid w:val="002A7E94"/>
    <w:rsid w:val="002A7F0D"/>
    <w:rsid w:val="002B0795"/>
    <w:rsid w:val="002B2620"/>
    <w:rsid w:val="002B3225"/>
    <w:rsid w:val="002B5694"/>
    <w:rsid w:val="002C021F"/>
    <w:rsid w:val="002C0F82"/>
    <w:rsid w:val="002C1C54"/>
    <w:rsid w:val="002C1F6B"/>
    <w:rsid w:val="002C2056"/>
    <w:rsid w:val="002C23F7"/>
    <w:rsid w:val="002C3367"/>
    <w:rsid w:val="002C478A"/>
    <w:rsid w:val="002C513A"/>
    <w:rsid w:val="002C7117"/>
    <w:rsid w:val="002C793A"/>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2F7F7E"/>
    <w:rsid w:val="0030035F"/>
    <w:rsid w:val="00300C43"/>
    <w:rsid w:val="00300C69"/>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508"/>
    <w:rsid w:val="00313619"/>
    <w:rsid w:val="00313D52"/>
    <w:rsid w:val="00313E33"/>
    <w:rsid w:val="00314235"/>
    <w:rsid w:val="00321DFA"/>
    <w:rsid w:val="003222FC"/>
    <w:rsid w:val="00323E1E"/>
    <w:rsid w:val="00325665"/>
    <w:rsid w:val="00325D85"/>
    <w:rsid w:val="0032607C"/>
    <w:rsid w:val="00326E7B"/>
    <w:rsid w:val="00327C4F"/>
    <w:rsid w:val="00327D19"/>
    <w:rsid w:val="0033026A"/>
    <w:rsid w:val="0033166C"/>
    <w:rsid w:val="003316BD"/>
    <w:rsid w:val="0033271D"/>
    <w:rsid w:val="0033358A"/>
    <w:rsid w:val="00333937"/>
    <w:rsid w:val="003342B8"/>
    <w:rsid w:val="0033504B"/>
    <w:rsid w:val="003362C7"/>
    <w:rsid w:val="00336A5A"/>
    <w:rsid w:val="00337AA0"/>
    <w:rsid w:val="0034068D"/>
    <w:rsid w:val="00341B50"/>
    <w:rsid w:val="00342745"/>
    <w:rsid w:val="00342ADB"/>
    <w:rsid w:val="0034377F"/>
    <w:rsid w:val="00343B0F"/>
    <w:rsid w:val="00347006"/>
    <w:rsid w:val="003474E0"/>
    <w:rsid w:val="00347D0D"/>
    <w:rsid w:val="003503AE"/>
    <w:rsid w:val="00351D7D"/>
    <w:rsid w:val="00351D8C"/>
    <w:rsid w:val="0035213A"/>
    <w:rsid w:val="00352AF8"/>
    <w:rsid w:val="00353419"/>
    <w:rsid w:val="00353D23"/>
    <w:rsid w:val="003555D3"/>
    <w:rsid w:val="00355D35"/>
    <w:rsid w:val="00356BEA"/>
    <w:rsid w:val="00360094"/>
    <w:rsid w:val="003604A6"/>
    <w:rsid w:val="00361697"/>
    <w:rsid w:val="003627FB"/>
    <w:rsid w:val="00362826"/>
    <w:rsid w:val="00363C04"/>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36E"/>
    <w:rsid w:val="00376A78"/>
    <w:rsid w:val="00376D78"/>
    <w:rsid w:val="00376F24"/>
    <w:rsid w:val="00377A25"/>
    <w:rsid w:val="003800B4"/>
    <w:rsid w:val="003809E0"/>
    <w:rsid w:val="003814E2"/>
    <w:rsid w:val="00381E88"/>
    <w:rsid w:val="003821F9"/>
    <w:rsid w:val="00382408"/>
    <w:rsid w:val="00382548"/>
    <w:rsid w:val="003827CD"/>
    <w:rsid w:val="00383A99"/>
    <w:rsid w:val="00383D6D"/>
    <w:rsid w:val="0038488C"/>
    <w:rsid w:val="003852EF"/>
    <w:rsid w:val="003870EE"/>
    <w:rsid w:val="00387A01"/>
    <w:rsid w:val="00387FA9"/>
    <w:rsid w:val="00390078"/>
    <w:rsid w:val="00393452"/>
    <w:rsid w:val="00394C2C"/>
    <w:rsid w:val="00395441"/>
    <w:rsid w:val="00395B92"/>
    <w:rsid w:val="00396F85"/>
    <w:rsid w:val="0039723A"/>
    <w:rsid w:val="003A13C4"/>
    <w:rsid w:val="003A1CB9"/>
    <w:rsid w:val="003A22B2"/>
    <w:rsid w:val="003A254C"/>
    <w:rsid w:val="003A27B8"/>
    <w:rsid w:val="003A3D8C"/>
    <w:rsid w:val="003A463D"/>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C62"/>
    <w:rsid w:val="003D2F54"/>
    <w:rsid w:val="003D3735"/>
    <w:rsid w:val="003D5148"/>
    <w:rsid w:val="003D6081"/>
    <w:rsid w:val="003D6720"/>
    <w:rsid w:val="003D6B3F"/>
    <w:rsid w:val="003D7951"/>
    <w:rsid w:val="003E030F"/>
    <w:rsid w:val="003E1EFB"/>
    <w:rsid w:val="003E2107"/>
    <w:rsid w:val="003E263D"/>
    <w:rsid w:val="003E2B26"/>
    <w:rsid w:val="003E4299"/>
    <w:rsid w:val="003E6CF3"/>
    <w:rsid w:val="003E6D92"/>
    <w:rsid w:val="003E6F85"/>
    <w:rsid w:val="003E70B9"/>
    <w:rsid w:val="003E7812"/>
    <w:rsid w:val="003F182B"/>
    <w:rsid w:val="003F1FE7"/>
    <w:rsid w:val="003F2136"/>
    <w:rsid w:val="003F277A"/>
    <w:rsid w:val="003F31E6"/>
    <w:rsid w:val="003F40F9"/>
    <w:rsid w:val="003F4272"/>
    <w:rsid w:val="003F447E"/>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1049"/>
    <w:rsid w:val="00412823"/>
    <w:rsid w:val="0041382E"/>
    <w:rsid w:val="00413D00"/>
    <w:rsid w:val="00414410"/>
    <w:rsid w:val="00414992"/>
    <w:rsid w:val="00415186"/>
    <w:rsid w:val="00415386"/>
    <w:rsid w:val="00415413"/>
    <w:rsid w:val="00416045"/>
    <w:rsid w:val="00416ED0"/>
    <w:rsid w:val="004175B0"/>
    <w:rsid w:val="00421C9B"/>
    <w:rsid w:val="00422B8E"/>
    <w:rsid w:val="004233D8"/>
    <w:rsid w:val="004254D0"/>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6F86"/>
    <w:rsid w:val="00437272"/>
    <w:rsid w:val="00437DA0"/>
    <w:rsid w:val="00440ACF"/>
    <w:rsid w:val="004412CE"/>
    <w:rsid w:val="00442603"/>
    <w:rsid w:val="00442B95"/>
    <w:rsid w:val="00444898"/>
    <w:rsid w:val="004457E4"/>
    <w:rsid w:val="00445E88"/>
    <w:rsid w:val="0044781C"/>
    <w:rsid w:val="004509F6"/>
    <w:rsid w:val="00450B5D"/>
    <w:rsid w:val="004516E5"/>
    <w:rsid w:val="00453254"/>
    <w:rsid w:val="004532CC"/>
    <w:rsid w:val="0045366F"/>
    <w:rsid w:val="00453749"/>
    <w:rsid w:val="004539F0"/>
    <w:rsid w:val="00453F4D"/>
    <w:rsid w:val="00455D49"/>
    <w:rsid w:val="00455DF1"/>
    <w:rsid w:val="00456A0F"/>
    <w:rsid w:val="00460F22"/>
    <w:rsid w:val="004620AA"/>
    <w:rsid w:val="0046446A"/>
    <w:rsid w:val="004645D0"/>
    <w:rsid w:val="00464A97"/>
    <w:rsid w:val="00464FA6"/>
    <w:rsid w:val="004651E5"/>
    <w:rsid w:val="0046607F"/>
    <w:rsid w:val="00467543"/>
    <w:rsid w:val="004676E4"/>
    <w:rsid w:val="00467719"/>
    <w:rsid w:val="0046796E"/>
    <w:rsid w:val="00467E09"/>
    <w:rsid w:val="004707EC"/>
    <w:rsid w:val="00470F11"/>
    <w:rsid w:val="0047133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B50"/>
    <w:rsid w:val="00480ED0"/>
    <w:rsid w:val="004812AA"/>
    <w:rsid w:val="00481CB0"/>
    <w:rsid w:val="00482251"/>
    <w:rsid w:val="004823FC"/>
    <w:rsid w:val="00482CC2"/>
    <w:rsid w:val="004835E4"/>
    <w:rsid w:val="00483A00"/>
    <w:rsid w:val="00483D82"/>
    <w:rsid w:val="00484CF0"/>
    <w:rsid w:val="004854F2"/>
    <w:rsid w:val="004856F7"/>
    <w:rsid w:val="00485E98"/>
    <w:rsid w:val="00485EE5"/>
    <w:rsid w:val="004863E6"/>
    <w:rsid w:val="00487169"/>
    <w:rsid w:val="004879B5"/>
    <w:rsid w:val="00490539"/>
    <w:rsid w:val="00490732"/>
    <w:rsid w:val="004907EE"/>
    <w:rsid w:val="00490BAF"/>
    <w:rsid w:val="004910C2"/>
    <w:rsid w:val="00491342"/>
    <w:rsid w:val="00491B25"/>
    <w:rsid w:val="004923DC"/>
    <w:rsid w:val="004925DF"/>
    <w:rsid w:val="0049285A"/>
    <w:rsid w:val="004929D1"/>
    <w:rsid w:val="004939CA"/>
    <w:rsid w:val="004945C5"/>
    <w:rsid w:val="00494B07"/>
    <w:rsid w:val="0049607E"/>
    <w:rsid w:val="004974E1"/>
    <w:rsid w:val="00497D5C"/>
    <w:rsid w:val="004A114E"/>
    <w:rsid w:val="004A237A"/>
    <w:rsid w:val="004A243A"/>
    <w:rsid w:val="004A2756"/>
    <w:rsid w:val="004A3C1A"/>
    <w:rsid w:val="004A427A"/>
    <w:rsid w:val="004A49CD"/>
    <w:rsid w:val="004A4AED"/>
    <w:rsid w:val="004A58D1"/>
    <w:rsid w:val="004A5E88"/>
    <w:rsid w:val="004A65C0"/>
    <w:rsid w:val="004A6C11"/>
    <w:rsid w:val="004B1E66"/>
    <w:rsid w:val="004B279D"/>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60B"/>
    <w:rsid w:val="004D0A93"/>
    <w:rsid w:val="004D1134"/>
    <w:rsid w:val="004D20F5"/>
    <w:rsid w:val="004D34C0"/>
    <w:rsid w:val="004D34DD"/>
    <w:rsid w:val="004D382B"/>
    <w:rsid w:val="004D3B10"/>
    <w:rsid w:val="004D435C"/>
    <w:rsid w:val="004D49D8"/>
    <w:rsid w:val="004D6E8F"/>
    <w:rsid w:val="004D73A7"/>
    <w:rsid w:val="004D7BA3"/>
    <w:rsid w:val="004D7EE5"/>
    <w:rsid w:val="004E1BE8"/>
    <w:rsid w:val="004E3B6D"/>
    <w:rsid w:val="004E3C6A"/>
    <w:rsid w:val="004E46B0"/>
    <w:rsid w:val="004E5024"/>
    <w:rsid w:val="004E5512"/>
    <w:rsid w:val="004E645B"/>
    <w:rsid w:val="004E71DE"/>
    <w:rsid w:val="004F050C"/>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2B91"/>
    <w:rsid w:val="00515789"/>
    <w:rsid w:val="00516DA1"/>
    <w:rsid w:val="005173BF"/>
    <w:rsid w:val="005201F1"/>
    <w:rsid w:val="00520A4F"/>
    <w:rsid w:val="00520ACC"/>
    <w:rsid w:val="00520B0B"/>
    <w:rsid w:val="005212D4"/>
    <w:rsid w:val="005229FF"/>
    <w:rsid w:val="00522AA1"/>
    <w:rsid w:val="005230EF"/>
    <w:rsid w:val="0052415B"/>
    <w:rsid w:val="0052533C"/>
    <w:rsid w:val="00526313"/>
    <w:rsid w:val="005266CB"/>
    <w:rsid w:val="00526EBD"/>
    <w:rsid w:val="00527941"/>
    <w:rsid w:val="00527FBD"/>
    <w:rsid w:val="0053052D"/>
    <w:rsid w:val="0053069A"/>
    <w:rsid w:val="005308B0"/>
    <w:rsid w:val="00530E1F"/>
    <w:rsid w:val="00531307"/>
    <w:rsid w:val="00533FCE"/>
    <w:rsid w:val="0053444E"/>
    <w:rsid w:val="005350FA"/>
    <w:rsid w:val="0053510C"/>
    <w:rsid w:val="005352C6"/>
    <w:rsid w:val="00535BA0"/>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242"/>
    <w:rsid w:val="00562804"/>
    <w:rsid w:val="00562DC7"/>
    <w:rsid w:val="00564093"/>
    <w:rsid w:val="00564F46"/>
    <w:rsid w:val="005659B2"/>
    <w:rsid w:val="005661FE"/>
    <w:rsid w:val="00566CB6"/>
    <w:rsid w:val="00567AAC"/>
    <w:rsid w:val="00572A2F"/>
    <w:rsid w:val="00572C28"/>
    <w:rsid w:val="00572D91"/>
    <w:rsid w:val="0057345C"/>
    <w:rsid w:val="00574893"/>
    <w:rsid w:val="00574AC4"/>
    <w:rsid w:val="00575E03"/>
    <w:rsid w:val="00576834"/>
    <w:rsid w:val="00576B9E"/>
    <w:rsid w:val="005774E9"/>
    <w:rsid w:val="00577555"/>
    <w:rsid w:val="005803FA"/>
    <w:rsid w:val="00583A5E"/>
    <w:rsid w:val="005864BB"/>
    <w:rsid w:val="00590CD8"/>
    <w:rsid w:val="00593310"/>
    <w:rsid w:val="005939E4"/>
    <w:rsid w:val="0059593D"/>
    <w:rsid w:val="00595BCC"/>
    <w:rsid w:val="00595C4D"/>
    <w:rsid w:val="005960D5"/>
    <w:rsid w:val="00597142"/>
    <w:rsid w:val="00597498"/>
    <w:rsid w:val="0059767A"/>
    <w:rsid w:val="00597B28"/>
    <w:rsid w:val="005A0462"/>
    <w:rsid w:val="005A310C"/>
    <w:rsid w:val="005A43FC"/>
    <w:rsid w:val="005A5696"/>
    <w:rsid w:val="005A6007"/>
    <w:rsid w:val="005A6752"/>
    <w:rsid w:val="005A6DE4"/>
    <w:rsid w:val="005A7236"/>
    <w:rsid w:val="005A7777"/>
    <w:rsid w:val="005B08B3"/>
    <w:rsid w:val="005B0F07"/>
    <w:rsid w:val="005B16D7"/>
    <w:rsid w:val="005B1BB5"/>
    <w:rsid w:val="005B37DB"/>
    <w:rsid w:val="005B3AC2"/>
    <w:rsid w:val="005B439F"/>
    <w:rsid w:val="005B49CC"/>
    <w:rsid w:val="005B504E"/>
    <w:rsid w:val="005B52A5"/>
    <w:rsid w:val="005B5BFA"/>
    <w:rsid w:val="005B62FA"/>
    <w:rsid w:val="005B6576"/>
    <w:rsid w:val="005C0395"/>
    <w:rsid w:val="005C09F1"/>
    <w:rsid w:val="005C0B01"/>
    <w:rsid w:val="005C1934"/>
    <w:rsid w:val="005C1CF3"/>
    <w:rsid w:val="005C24A3"/>
    <w:rsid w:val="005C2FE8"/>
    <w:rsid w:val="005C37A8"/>
    <w:rsid w:val="005C3B0D"/>
    <w:rsid w:val="005C3F4C"/>
    <w:rsid w:val="005C42B0"/>
    <w:rsid w:val="005C4B2D"/>
    <w:rsid w:val="005C5BC2"/>
    <w:rsid w:val="005C72E9"/>
    <w:rsid w:val="005C79F4"/>
    <w:rsid w:val="005D0BFA"/>
    <w:rsid w:val="005D163E"/>
    <w:rsid w:val="005D2986"/>
    <w:rsid w:val="005D2D0B"/>
    <w:rsid w:val="005D33A6"/>
    <w:rsid w:val="005D3D8D"/>
    <w:rsid w:val="005D4199"/>
    <w:rsid w:val="005D4D03"/>
    <w:rsid w:val="005D5292"/>
    <w:rsid w:val="005D5470"/>
    <w:rsid w:val="005D637B"/>
    <w:rsid w:val="005E0829"/>
    <w:rsid w:val="005E0C6F"/>
    <w:rsid w:val="005E12B3"/>
    <w:rsid w:val="005E14F6"/>
    <w:rsid w:val="005E162C"/>
    <w:rsid w:val="005E26A1"/>
    <w:rsid w:val="005E2D33"/>
    <w:rsid w:val="005E33BC"/>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0627"/>
    <w:rsid w:val="00602477"/>
    <w:rsid w:val="00602794"/>
    <w:rsid w:val="00604135"/>
    <w:rsid w:val="006058CB"/>
    <w:rsid w:val="00605ED2"/>
    <w:rsid w:val="00606E54"/>
    <w:rsid w:val="0060733C"/>
    <w:rsid w:val="0061140B"/>
    <w:rsid w:val="00613453"/>
    <w:rsid w:val="0061470B"/>
    <w:rsid w:val="00615D22"/>
    <w:rsid w:val="00616AE1"/>
    <w:rsid w:val="00617189"/>
    <w:rsid w:val="00617F6B"/>
    <w:rsid w:val="0062067C"/>
    <w:rsid w:val="00620F0B"/>
    <w:rsid w:val="006214AD"/>
    <w:rsid w:val="0062541F"/>
    <w:rsid w:val="0062579B"/>
    <w:rsid w:val="00625863"/>
    <w:rsid w:val="006260E5"/>
    <w:rsid w:val="00627B69"/>
    <w:rsid w:val="006307BE"/>
    <w:rsid w:val="00631631"/>
    <w:rsid w:val="0063343E"/>
    <w:rsid w:val="00633754"/>
    <w:rsid w:val="00634FF7"/>
    <w:rsid w:val="00635E85"/>
    <w:rsid w:val="00636D8C"/>
    <w:rsid w:val="006371FF"/>
    <w:rsid w:val="00643DD9"/>
    <w:rsid w:val="0064466B"/>
    <w:rsid w:val="00644A75"/>
    <w:rsid w:val="00645B41"/>
    <w:rsid w:val="00646CF1"/>
    <w:rsid w:val="006472A0"/>
    <w:rsid w:val="00651512"/>
    <w:rsid w:val="006521F3"/>
    <w:rsid w:val="00653665"/>
    <w:rsid w:val="00653E27"/>
    <w:rsid w:val="00654956"/>
    <w:rsid w:val="00654DE7"/>
    <w:rsid w:val="0065533C"/>
    <w:rsid w:val="00656A9D"/>
    <w:rsid w:val="00656F5E"/>
    <w:rsid w:val="00660D19"/>
    <w:rsid w:val="00662CBC"/>
    <w:rsid w:val="006634A3"/>
    <w:rsid w:val="00663A09"/>
    <w:rsid w:val="006673B1"/>
    <w:rsid w:val="006673C9"/>
    <w:rsid w:val="0067038D"/>
    <w:rsid w:val="00671A6A"/>
    <w:rsid w:val="006729D2"/>
    <w:rsid w:val="00672BDB"/>
    <w:rsid w:val="00673F0C"/>
    <w:rsid w:val="00674AD7"/>
    <w:rsid w:val="00675531"/>
    <w:rsid w:val="00676223"/>
    <w:rsid w:val="00676A38"/>
    <w:rsid w:val="00680098"/>
    <w:rsid w:val="00680957"/>
    <w:rsid w:val="00682CFC"/>
    <w:rsid w:val="00683B13"/>
    <w:rsid w:val="00684C2D"/>
    <w:rsid w:val="00686325"/>
    <w:rsid w:val="00686EC4"/>
    <w:rsid w:val="00687063"/>
    <w:rsid w:val="00687E28"/>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463F"/>
    <w:rsid w:val="006C5486"/>
    <w:rsid w:val="006C592D"/>
    <w:rsid w:val="006C5D93"/>
    <w:rsid w:val="006C74B3"/>
    <w:rsid w:val="006C7F24"/>
    <w:rsid w:val="006D0796"/>
    <w:rsid w:val="006D17F4"/>
    <w:rsid w:val="006D1D67"/>
    <w:rsid w:val="006D209C"/>
    <w:rsid w:val="006D3791"/>
    <w:rsid w:val="006D3E49"/>
    <w:rsid w:val="006D465F"/>
    <w:rsid w:val="006D46A6"/>
    <w:rsid w:val="006D4B56"/>
    <w:rsid w:val="006D5027"/>
    <w:rsid w:val="006D606B"/>
    <w:rsid w:val="006D7209"/>
    <w:rsid w:val="006E0424"/>
    <w:rsid w:val="006E0637"/>
    <w:rsid w:val="006E11C9"/>
    <w:rsid w:val="006E17E3"/>
    <w:rsid w:val="006E1B25"/>
    <w:rsid w:val="006E22C5"/>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03A"/>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4B"/>
    <w:rsid w:val="0071587A"/>
    <w:rsid w:val="007159EB"/>
    <w:rsid w:val="007160E0"/>
    <w:rsid w:val="00716CDF"/>
    <w:rsid w:val="00716E3F"/>
    <w:rsid w:val="00717CB0"/>
    <w:rsid w:val="00717D4E"/>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5CA"/>
    <w:rsid w:val="007339DB"/>
    <w:rsid w:val="007356FC"/>
    <w:rsid w:val="00735A44"/>
    <w:rsid w:val="00735BFE"/>
    <w:rsid w:val="00735CE3"/>
    <w:rsid w:val="00736DD5"/>
    <w:rsid w:val="00737253"/>
    <w:rsid w:val="0074101E"/>
    <w:rsid w:val="0074150A"/>
    <w:rsid w:val="00741FEC"/>
    <w:rsid w:val="007433D3"/>
    <w:rsid w:val="00743939"/>
    <w:rsid w:val="00743A86"/>
    <w:rsid w:val="00743EAC"/>
    <w:rsid w:val="00743F1B"/>
    <w:rsid w:val="0074430F"/>
    <w:rsid w:val="007448B9"/>
    <w:rsid w:val="007468E9"/>
    <w:rsid w:val="00746BED"/>
    <w:rsid w:val="00747D71"/>
    <w:rsid w:val="00750288"/>
    <w:rsid w:val="00751B54"/>
    <w:rsid w:val="00751BF1"/>
    <w:rsid w:val="0075246A"/>
    <w:rsid w:val="00752F14"/>
    <w:rsid w:val="007537F1"/>
    <w:rsid w:val="00756643"/>
    <w:rsid w:val="007567FF"/>
    <w:rsid w:val="00756DA9"/>
    <w:rsid w:val="0075794D"/>
    <w:rsid w:val="007608C8"/>
    <w:rsid w:val="00761696"/>
    <w:rsid w:val="00761834"/>
    <w:rsid w:val="00761D56"/>
    <w:rsid w:val="007620D8"/>
    <w:rsid w:val="0076277D"/>
    <w:rsid w:val="00762A26"/>
    <w:rsid w:val="007631A8"/>
    <w:rsid w:val="007641E3"/>
    <w:rsid w:val="0076420A"/>
    <w:rsid w:val="0076492F"/>
    <w:rsid w:val="00764D0F"/>
    <w:rsid w:val="00764ED5"/>
    <w:rsid w:val="007665AE"/>
    <w:rsid w:val="007665E7"/>
    <w:rsid w:val="007674A2"/>
    <w:rsid w:val="00767809"/>
    <w:rsid w:val="007711DB"/>
    <w:rsid w:val="00773845"/>
    <w:rsid w:val="00773B6E"/>
    <w:rsid w:val="00773C88"/>
    <w:rsid w:val="0077605D"/>
    <w:rsid w:val="00776AC8"/>
    <w:rsid w:val="0077746C"/>
    <w:rsid w:val="007806D6"/>
    <w:rsid w:val="00780896"/>
    <w:rsid w:val="00780E48"/>
    <w:rsid w:val="00780FF2"/>
    <w:rsid w:val="007815A1"/>
    <w:rsid w:val="00783BF6"/>
    <w:rsid w:val="0078501F"/>
    <w:rsid w:val="00785229"/>
    <w:rsid w:val="00787063"/>
    <w:rsid w:val="0079186B"/>
    <w:rsid w:val="007919EE"/>
    <w:rsid w:val="00792525"/>
    <w:rsid w:val="00793312"/>
    <w:rsid w:val="0079391A"/>
    <w:rsid w:val="00794B5C"/>
    <w:rsid w:val="00796439"/>
    <w:rsid w:val="00796A9E"/>
    <w:rsid w:val="00796D05"/>
    <w:rsid w:val="00797687"/>
    <w:rsid w:val="00797AEB"/>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1BAB"/>
    <w:rsid w:val="007D334E"/>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100"/>
    <w:rsid w:val="007F0225"/>
    <w:rsid w:val="007F0AC8"/>
    <w:rsid w:val="007F10CE"/>
    <w:rsid w:val="007F167C"/>
    <w:rsid w:val="007F2054"/>
    <w:rsid w:val="007F2066"/>
    <w:rsid w:val="007F2B93"/>
    <w:rsid w:val="007F4005"/>
    <w:rsid w:val="007F4092"/>
    <w:rsid w:val="007F560D"/>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6B3"/>
    <w:rsid w:val="00814A29"/>
    <w:rsid w:val="00816305"/>
    <w:rsid w:val="0082042B"/>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1A17"/>
    <w:rsid w:val="00843CA3"/>
    <w:rsid w:val="00843EBB"/>
    <w:rsid w:val="008443EB"/>
    <w:rsid w:val="00844E1C"/>
    <w:rsid w:val="008469AB"/>
    <w:rsid w:val="00847A9C"/>
    <w:rsid w:val="00850D95"/>
    <w:rsid w:val="008523DB"/>
    <w:rsid w:val="00852DCB"/>
    <w:rsid w:val="00855674"/>
    <w:rsid w:val="00855ED4"/>
    <w:rsid w:val="008563C3"/>
    <w:rsid w:val="00857C9F"/>
    <w:rsid w:val="00861068"/>
    <w:rsid w:val="00861F9F"/>
    <w:rsid w:val="008627F8"/>
    <w:rsid w:val="0086291A"/>
    <w:rsid w:val="00862ABD"/>
    <w:rsid w:val="00862D4F"/>
    <w:rsid w:val="00863036"/>
    <w:rsid w:val="00864DB5"/>
    <w:rsid w:val="008657B6"/>
    <w:rsid w:val="00870338"/>
    <w:rsid w:val="00870D84"/>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48E8"/>
    <w:rsid w:val="008862BD"/>
    <w:rsid w:val="008863E8"/>
    <w:rsid w:val="00887A74"/>
    <w:rsid w:val="008917E7"/>
    <w:rsid w:val="00891802"/>
    <w:rsid w:val="00893E02"/>
    <w:rsid w:val="008954B0"/>
    <w:rsid w:val="008962E9"/>
    <w:rsid w:val="0089653C"/>
    <w:rsid w:val="00896CA9"/>
    <w:rsid w:val="00896DD8"/>
    <w:rsid w:val="008A0DE6"/>
    <w:rsid w:val="008A16A9"/>
    <w:rsid w:val="008A1FF5"/>
    <w:rsid w:val="008A233D"/>
    <w:rsid w:val="008A237E"/>
    <w:rsid w:val="008A3966"/>
    <w:rsid w:val="008A3ACE"/>
    <w:rsid w:val="008A3BD1"/>
    <w:rsid w:val="008A447D"/>
    <w:rsid w:val="008A4AF5"/>
    <w:rsid w:val="008A4EFA"/>
    <w:rsid w:val="008A62A5"/>
    <w:rsid w:val="008A7E2E"/>
    <w:rsid w:val="008B171C"/>
    <w:rsid w:val="008B266F"/>
    <w:rsid w:val="008B3124"/>
    <w:rsid w:val="008B5749"/>
    <w:rsid w:val="008B66B5"/>
    <w:rsid w:val="008B6744"/>
    <w:rsid w:val="008B72A5"/>
    <w:rsid w:val="008B7762"/>
    <w:rsid w:val="008B7E82"/>
    <w:rsid w:val="008C0421"/>
    <w:rsid w:val="008C1918"/>
    <w:rsid w:val="008C1A51"/>
    <w:rsid w:val="008C283D"/>
    <w:rsid w:val="008C2A4A"/>
    <w:rsid w:val="008C2F29"/>
    <w:rsid w:val="008C42DE"/>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9C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0BCD"/>
    <w:rsid w:val="008F1194"/>
    <w:rsid w:val="008F1884"/>
    <w:rsid w:val="008F237A"/>
    <w:rsid w:val="008F2796"/>
    <w:rsid w:val="008F34D3"/>
    <w:rsid w:val="008F3BD8"/>
    <w:rsid w:val="008F57EA"/>
    <w:rsid w:val="008F603A"/>
    <w:rsid w:val="008F6A2F"/>
    <w:rsid w:val="008F6B5E"/>
    <w:rsid w:val="008F755E"/>
    <w:rsid w:val="008F79D0"/>
    <w:rsid w:val="009008B1"/>
    <w:rsid w:val="00902015"/>
    <w:rsid w:val="00903531"/>
    <w:rsid w:val="00904A65"/>
    <w:rsid w:val="00904E2E"/>
    <w:rsid w:val="00905728"/>
    <w:rsid w:val="00905793"/>
    <w:rsid w:val="00907263"/>
    <w:rsid w:val="009100A5"/>
    <w:rsid w:val="009123F6"/>
    <w:rsid w:val="00913D32"/>
    <w:rsid w:val="00913E2A"/>
    <w:rsid w:val="0091468D"/>
    <w:rsid w:val="0091475E"/>
    <w:rsid w:val="009163B6"/>
    <w:rsid w:val="0091696B"/>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556F"/>
    <w:rsid w:val="00937ED6"/>
    <w:rsid w:val="00940636"/>
    <w:rsid w:val="009406E7"/>
    <w:rsid w:val="00940B04"/>
    <w:rsid w:val="00944242"/>
    <w:rsid w:val="00944AB3"/>
    <w:rsid w:val="009465F6"/>
    <w:rsid w:val="009469A2"/>
    <w:rsid w:val="00950141"/>
    <w:rsid w:val="00950FC7"/>
    <w:rsid w:val="00951D07"/>
    <w:rsid w:val="00952A3E"/>
    <w:rsid w:val="00953594"/>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BA"/>
    <w:rsid w:val="009703C9"/>
    <w:rsid w:val="00970A79"/>
    <w:rsid w:val="00973C9C"/>
    <w:rsid w:val="00974726"/>
    <w:rsid w:val="009752BD"/>
    <w:rsid w:val="009758CF"/>
    <w:rsid w:val="009763A5"/>
    <w:rsid w:val="00976D44"/>
    <w:rsid w:val="00976E79"/>
    <w:rsid w:val="009835C4"/>
    <w:rsid w:val="0098672A"/>
    <w:rsid w:val="00986AF8"/>
    <w:rsid w:val="00986DB7"/>
    <w:rsid w:val="00987E24"/>
    <w:rsid w:val="00990141"/>
    <w:rsid w:val="00990D6F"/>
    <w:rsid w:val="00990EAD"/>
    <w:rsid w:val="0099157D"/>
    <w:rsid w:val="009932DA"/>
    <w:rsid w:val="00993A67"/>
    <w:rsid w:val="009946F1"/>
    <w:rsid w:val="009949FB"/>
    <w:rsid w:val="00994D7F"/>
    <w:rsid w:val="009962A0"/>
    <w:rsid w:val="0099644E"/>
    <w:rsid w:val="009964F8"/>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2CF"/>
    <w:rsid w:val="009B19B4"/>
    <w:rsid w:val="009B2CF2"/>
    <w:rsid w:val="009B3178"/>
    <w:rsid w:val="009B45E7"/>
    <w:rsid w:val="009B493A"/>
    <w:rsid w:val="009B4DE3"/>
    <w:rsid w:val="009B62CB"/>
    <w:rsid w:val="009B6612"/>
    <w:rsid w:val="009B6A55"/>
    <w:rsid w:val="009B778D"/>
    <w:rsid w:val="009C0652"/>
    <w:rsid w:val="009C158C"/>
    <w:rsid w:val="009C196E"/>
    <w:rsid w:val="009C2D0F"/>
    <w:rsid w:val="009C364A"/>
    <w:rsid w:val="009C3B42"/>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AB9"/>
    <w:rsid w:val="009D4C48"/>
    <w:rsid w:val="009D5125"/>
    <w:rsid w:val="009D545D"/>
    <w:rsid w:val="009D65C9"/>
    <w:rsid w:val="009D705F"/>
    <w:rsid w:val="009D7772"/>
    <w:rsid w:val="009D7E79"/>
    <w:rsid w:val="009E0EA4"/>
    <w:rsid w:val="009E1143"/>
    <w:rsid w:val="009E165F"/>
    <w:rsid w:val="009E26F3"/>
    <w:rsid w:val="009E2925"/>
    <w:rsid w:val="009E409E"/>
    <w:rsid w:val="009E4434"/>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6E"/>
    <w:rsid w:val="00A02BF2"/>
    <w:rsid w:val="00A031F9"/>
    <w:rsid w:val="00A042BB"/>
    <w:rsid w:val="00A04A63"/>
    <w:rsid w:val="00A05A0B"/>
    <w:rsid w:val="00A05B85"/>
    <w:rsid w:val="00A05E0C"/>
    <w:rsid w:val="00A10299"/>
    <w:rsid w:val="00A116C9"/>
    <w:rsid w:val="00A12B43"/>
    <w:rsid w:val="00A12FE6"/>
    <w:rsid w:val="00A136C7"/>
    <w:rsid w:val="00A14857"/>
    <w:rsid w:val="00A14944"/>
    <w:rsid w:val="00A17F32"/>
    <w:rsid w:val="00A2017E"/>
    <w:rsid w:val="00A206E3"/>
    <w:rsid w:val="00A2337E"/>
    <w:rsid w:val="00A24A28"/>
    <w:rsid w:val="00A24FA6"/>
    <w:rsid w:val="00A2547A"/>
    <w:rsid w:val="00A261BA"/>
    <w:rsid w:val="00A3367C"/>
    <w:rsid w:val="00A343D4"/>
    <w:rsid w:val="00A34AD1"/>
    <w:rsid w:val="00A353D9"/>
    <w:rsid w:val="00A370F2"/>
    <w:rsid w:val="00A403A8"/>
    <w:rsid w:val="00A404B2"/>
    <w:rsid w:val="00A406CF"/>
    <w:rsid w:val="00A406D2"/>
    <w:rsid w:val="00A41901"/>
    <w:rsid w:val="00A41B44"/>
    <w:rsid w:val="00A428F3"/>
    <w:rsid w:val="00A431F8"/>
    <w:rsid w:val="00A433CC"/>
    <w:rsid w:val="00A43A7D"/>
    <w:rsid w:val="00A44630"/>
    <w:rsid w:val="00A446D4"/>
    <w:rsid w:val="00A4582E"/>
    <w:rsid w:val="00A466C5"/>
    <w:rsid w:val="00A46B24"/>
    <w:rsid w:val="00A46BAF"/>
    <w:rsid w:val="00A472C5"/>
    <w:rsid w:val="00A5050B"/>
    <w:rsid w:val="00A50A0F"/>
    <w:rsid w:val="00A50CD1"/>
    <w:rsid w:val="00A513F1"/>
    <w:rsid w:val="00A51902"/>
    <w:rsid w:val="00A528CC"/>
    <w:rsid w:val="00A52EF0"/>
    <w:rsid w:val="00A5380A"/>
    <w:rsid w:val="00A5472F"/>
    <w:rsid w:val="00A54C4F"/>
    <w:rsid w:val="00A560DE"/>
    <w:rsid w:val="00A565E9"/>
    <w:rsid w:val="00A56F02"/>
    <w:rsid w:val="00A57FD5"/>
    <w:rsid w:val="00A60463"/>
    <w:rsid w:val="00A60D31"/>
    <w:rsid w:val="00A60EB0"/>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7771C"/>
    <w:rsid w:val="00A80332"/>
    <w:rsid w:val="00A80D18"/>
    <w:rsid w:val="00A80EF4"/>
    <w:rsid w:val="00A83402"/>
    <w:rsid w:val="00A84413"/>
    <w:rsid w:val="00A848A6"/>
    <w:rsid w:val="00A85069"/>
    <w:rsid w:val="00A851D3"/>
    <w:rsid w:val="00A85C99"/>
    <w:rsid w:val="00A86059"/>
    <w:rsid w:val="00A8682A"/>
    <w:rsid w:val="00A877EA"/>
    <w:rsid w:val="00A90434"/>
    <w:rsid w:val="00A90848"/>
    <w:rsid w:val="00A90D5D"/>
    <w:rsid w:val="00A919A8"/>
    <w:rsid w:val="00A94817"/>
    <w:rsid w:val="00A9595A"/>
    <w:rsid w:val="00A95E04"/>
    <w:rsid w:val="00A9678F"/>
    <w:rsid w:val="00A9702D"/>
    <w:rsid w:val="00AA0847"/>
    <w:rsid w:val="00AA09CE"/>
    <w:rsid w:val="00AA109A"/>
    <w:rsid w:val="00AA184D"/>
    <w:rsid w:val="00AA1AF5"/>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4015"/>
    <w:rsid w:val="00AC56CE"/>
    <w:rsid w:val="00AC59CF"/>
    <w:rsid w:val="00AC604F"/>
    <w:rsid w:val="00AC71B2"/>
    <w:rsid w:val="00AC7414"/>
    <w:rsid w:val="00AC79C0"/>
    <w:rsid w:val="00AD2321"/>
    <w:rsid w:val="00AD240B"/>
    <w:rsid w:val="00AD2F15"/>
    <w:rsid w:val="00AD34FD"/>
    <w:rsid w:val="00AD4146"/>
    <w:rsid w:val="00AD4224"/>
    <w:rsid w:val="00AD4DB3"/>
    <w:rsid w:val="00AD4E75"/>
    <w:rsid w:val="00AD6DC7"/>
    <w:rsid w:val="00AD72EB"/>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0E42"/>
    <w:rsid w:val="00B00E54"/>
    <w:rsid w:val="00B0125E"/>
    <w:rsid w:val="00B01969"/>
    <w:rsid w:val="00B04BED"/>
    <w:rsid w:val="00B04C08"/>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4E19"/>
    <w:rsid w:val="00B45440"/>
    <w:rsid w:val="00B4580B"/>
    <w:rsid w:val="00B4724A"/>
    <w:rsid w:val="00B47DE4"/>
    <w:rsid w:val="00B53BE1"/>
    <w:rsid w:val="00B5466A"/>
    <w:rsid w:val="00B546E5"/>
    <w:rsid w:val="00B54E07"/>
    <w:rsid w:val="00B5566F"/>
    <w:rsid w:val="00B565C8"/>
    <w:rsid w:val="00B56CE1"/>
    <w:rsid w:val="00B575ED"/>
    <w:rsid w:val="00B5785B"/>
    <w:rsid w:val="00B57F78"/>
    <w:rsid w:val="00B625E0"/>
    <w:rsid w:val="00B62F9E"/>
    <w:rsid w:val="00B6326B"/>
    <w:rsid w:val="00B6487E"/>
    <w:rsid w:val="00B64B57"/>
    <w:rsid w:val="00B66F7A"/>
    <w:rsid w:val="00B67ED0"/>
    <w:rsid w:val="00B7010C"/>
    <w:rsid w:val="00B70ABC"/>
    <w:rsid w:val="00B70E53"/>
    <w:rsid w:val="00B71451"/>
    <w:rsid w:val="00B74095"/>
    <w:rsid w:val="00B74278"/>
    <w:rsid w:val="00B74705"/>
    <w:rsid w:val="00B74730"/>
    <w:rsid w:val="00B75149"/>
    <w:rsid w:val="00B75F1C"/>
    <w:rsid w:val="00B803D6"/>
    <w:rsid w:val="00B83257"/>
    <w:rsid w:val="00B83A93"/>
    <w:rsid w:val="00B86B21"/>
    <w:rsid w:val="00B87871"/>
    <w:rsid w:val="00B87C8F"/>
    <w:rsid w:val="00B903E3"/>
    <w:rsid w:val="00B90AFE"/>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2C8F"/>
    <w:rsid w:val="00BB57F4"/>
    <w:rsid w:val="00BB64DA"/>
    <w:rsid w:val="00BB7712"/>
    <w:rsid w:val="00BC08BA"/>
    <w:rsid w:val="00BC177D"/>
    <w:rsid w:val="00BC1A41"/>
    <w:rsid w:val="00BC2114"/>
    <w:rsid w:val="00BC2908"/>
    <w:rsid w:val="00BC3FC3"/>
    <w:rsid w:val="00BC49C9"/>
    <w:rsid w:val="00BC5052"/>
    <w:rsid w:val="00BC5224"/>
    <w:rsid w:val="00BC6BAB"/>
    <w:rsid w:val="00BC6FDF"/>
    <w:rsid w:val="00BC708A"/>
    <w:rsid w:val="00BC7725"/>
    <w:rsid w:val="00BC7AE4"/>
    <w:rsid w:val="00BC7D79"/>
    <w:rsid w:val="00BC7D81"/>
    <w:rsid w:val="00BD02DD"/>
    <w:rsid w:val="00BD09E2"/>
    <w:rsid w:val="00BD2234"/>
    <w:rsid w:val="00BD4A4B"/>
    <w:rsid w:val="00BD4C27"/>
    <w:rsid w:val="00BD626E"/>
    <w:rsid w:val="00BD6C2C"/>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3EE"/>
    <w:rsid w:val="00BF1E0A"/>
    <w:rsid w:val="00BF27E9"/>
    <w:rsid w:val="00BF2D62"/>
    <w:rsid w:val="00BF4212"/>
    <w:rsid w:val="00BF694E"/>
    <w:rsid w:val="00BF6F76"/>
    <w:rsid w:val="00C00ADE"/>
    <w:rsid w:val="00C021E9"/>
    <w:rsid w:val="00C02978"/>
    <w:rsid w:val="00C034A9"/>
    <w:rsid w:val="00C03859"/>
    <w:rsid w:val="00C03DBF"/>
    <w:rsid w:val="00C04E2C"/>
    <w:rsid w:val="00C04FA0"/>
    <w:rsid w:val="00C05E01"/>
    <w:rsid w:val="00C05E42"/>
    <w:rsid w:val="00C06075"/>
    <w:rsid w:val="00C063F1"/>
    <w:rsid w:val="00C078BD"/>
    <w:rsid w:val="00C13423"/>
    <w:rsid w:val="00C13805"/>
    <w:rsid w:val="00C13FCB"/>
    <w:rsid w:val="00C15CA6"/>
    <w:rsid w:val="00C16807"/>
    <w:rsid w:val="00C16EF1"/>
    <w:rsid w:val="00C1796A"/>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BCE"/>
    <w:rsid w:val="00C34C4A"/>
    <w:rsid w:val="00C3720B"/>
    <w:rsid w:val="00C41423"/>
    <w:rsid w:val="00C41D5D"/>
    <w:rsid w:val="00C43335"/>
    <w:rsid w:val="00C4334F"/>
    <w:rsid w:val="00C44253"/>
    <w:rsid w:val="00C4434A"/>
    <w:rsid w:val="00C44974"/>
    <w:rsid w:val="00C44E9E"/>
    <w:rsid w:val="00C45259"/>
    <w:rsid w:val="00C46098"/>
    <w:rsid w:val="00C4630D"/>
    <w:rsid w:val="00C46439"/>
    <w:rsid w:val="00C46750"/>
    <w:rsid w:val="00C46B32"/>
    <w:rsid w:val="00C47A26"/>
    <w:rsid w:val="00C5002F"/>
    <w:rsid w:val="00C50E1F"/>
    <w:rsid w:val="00C516EC"/>
    <w:rsid w:val="00C517E3"/>
    <w:rsid w:val="00C528A7"/>
    <w:rsid w:val="00C52DA5"/>
    <w:rsid w:val="00C53DC9"/>
    <w:rsid w:val="00C54100"/>
    <w:rsid w:val="00C563AB"/>
    <w:rsid w:val="00C569A6"/>
    <w:rsid w:val="00C571A9"/>
    <w:rsid w:val="00C57A73"/>
    <w:rsid w:val="00C615A7"/>
    <w:rsid w:val="00C616BF"/>
    <w:rsid w:val="00C62C5D"/>
    <w:rsid w:val="00C62FD6"/>
    <w:rsid w:val="00C6317D"/>
    <w:rsid w:val="00C64873"/>
    <w:rsid w:val="00C64A37"/>
    <w:rsid w:val="00C64E82"/>
    <w:rsid w:val="00C65374"/>
    <w:rsid w:val="00C65A0A"/>
    <w:rsid w:val="00C66628"/>
    <w:rsid w:val="00C71F84"/>
    <w:rsid w:val="00C734C0"/>
    <w:rsid w:val="00C73966"/>
    <w:rsid w:val="00C7422F"/>
    <w:rsid w:val="00C751BF"/>
    <w:rsid w:val="00C7651A"/>
    <w:rsid w:val="00C77280"/>
    <w:rsid w:val="00C7772C"/>
    <w:rsid w:val="00C812AA"/>
    <w:rsid w:val="00C81AD1"/>
    <w:rsid w:val="00C83111"/>
    <w:rsid w:val="00C84265"/>
    <w:rsid w:val="00C84ED5"/>
    <w:rsid w:val="00C9070B"/>
    <w:rsid w:val="00C9076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E2"/>
    <w:rsid w:val="00CB51FF"/>
    <w:rsid w:val="00CB6627"/>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17CC"/>
    <w:rsid w:val="00CE3521"/>
    <w:rsid w:val="00CE3BC2"/>
    <w:rsid w:val="00CE5723"/>
    <w:rsid w:val="00CE6ED8"/>
    <w:rsid w:val="00CE74C3"/>
    <w:rsid w:val="00CE789F"/>
    <w:rsid w:val="00CF0EFF"/>
    <w:rsid w:val="00CF1168"/>
    <w:rsid w:val="00CF1C88"/>
    <w:rsid w:val="00CF3FC7"/>
    <w:rsid w:val="00CF4077"/>
    <w:rsid w:val="00CF4841"/>
    <w:rsid w:val="00CF5186"/>
    <w:rsid w:val="00CF5493"/>
    <w:rsid w:val="00CF67D8"/>
    <w:rsid w:val="00CF694E"/>
    <w:rsid w:val="00CF6BF4"/>
    <w:rsid w:val="00CF7A23"/>
    <w:rsid w:val="00CF7DE9"/>
    <w:rsid w:val="00D01398"/>
    <w:rsid w:val="00D0189D"/>
    <w:rsid w:val="00D04255"/>
    <w:rsid w:val="00D04528"/>
    <w:rsid w:val="00D050BA"/>
    <w:rsid w:val="00D05E32"/>
    <w:rsid w:val="00D06FC6"/>
    <w:rsid w:val="00D106A3"/>
    <w:rsid w:val="00D107A4"/>
    <w:rsid w:val="00D11CE7"/>
    <w:rsid w:val="00D12281"/>
    <w:rsid w:val="00D14962"/>
    <w:rsid w:val="00D14D03"/>
    <w:rsid w:val="00D15CD5"/>
    <w:rsid w:val="00D15E15"/>
    <w:rsid w:val="00D160C0"/>
    <w:rsid w:val="00D174F0"/>
    <w:rsid w:val="00D175B7"/>
    <w:rsid w:val="00D17707"/>
    <w:rsid w:val="00D20BEA"/>
    <w:rsid w:val="00D20C87"/>
    <w:rsid w:val="00D21DD1"/>
    <w:rsid w:val="00D2772F"/>
    <w:rsid w:val="00D3079F"/>
    <w:rsid w:val="00D30C5E"/>
    <w:rsid w:val="00D3100A"/>
    <w:rsid w:val="00D312EB"/>
    <w:rsid w:val="00D3348F"/>
    <w:rsid w:val="00D3413F"/>
    <w:rsid w:val="00D3483B"/>
    <w:rsid w:val="00D3497A"/>
    <w:rsid w:val="00D373B0"/>
    <w:rsid w:val="00D3784F"/>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34C"/>
    <w:rsid w:val="00D605E5"/>
    <w:rsid w:val="00D62A8B"/>
    <w:rsid w:val="00D63043"/>
    <w:rsid w:val="00D63B87"/>
    <w:rsid w:val="00D65EC9"/>
    <w:rsid w:val="00D67843"/>
    <w:rsid w:val="00D7037D"/>
    <w:rsid w:val="00D71595"/>
    <w:rsid w:val="00D71B33"/>
    <w:rsid w:val="00D72122"/>
    <w:rsid w:val="00D72158"/>
    <w:rsid w:val="00D721A5"/>
    <w:rsid w:val="00D740F4"/>
    <w:rsid w:val="00D75943"/>
    <w:rsid w:val="00D802FD"/>
    <w:rsid w:val="00D833A1"/>
    <w:rsid w:val="00D847A7"/>
    <w:rsid w:val="00D84A02"/>
    <w:rsid w:val="00D851F8"/>
    <w:rsid w:val="00D8603D"/>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448D"/>
    <w:rsid w:val="00DA5B4D"/>
    <w:rsid w:val="00DA7075"/>
    <w:rsid w:val="00DA74A2"/>
    <w:rsid w:val="00DB1B33"/>
    <w:rsid w:val="00DB6650"/>
    <w:rsid w:val="00DB6664"/>
    <w:rsid w:val="00DB73FB"/>
    <w:rsid w:val="00DB7CD4"/>
    <w:rsid w:val="00DC0A6C"/>
    <w:rsid w:val="00DC0DBE"/>
    <w:rsid w:val="00DC2BD5"/>
    <w:rsid w:val="00DC3D61"/>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42D0"/>
    <w:rsid w:val="00DE505B"/>
    <w:rsid w:val="00DE5417"/>
    <w:rsid w:val="00DE5630"/>
    <w:rsid w:val="00DE7227"/>
    <w:rsid w:val="00DE76FC"/>
    <w:rsid w:val="00DF136E"/>
    <w:rsid w:val="00DF2934"/>
    <w:rsid w:val="00DF3789"/>
    <w:rsid w:val="00DF3F22"/>
    <w:rsid w:val="00DF4241"/>
    <w:rsid w:val="00DF45B4"/>
    <w:rsid w:val="00DF4BAB"/>
    <w:rsid w:val="00DF5715"/>
    <w:rsid w:val="00DF5D14"/>
    <w:rsid w:val="00DF5E0F"/>
    <w:rsid w:val="00DF608E"/>
    <w:rsid w:val="00DF6CC5"/>
    <w:rsid w:val="00DF6FF1"/>
    <w:rsid w:val="00DF76E0"/>
    <w:rsid w:val="00E0139A"/>
    <w:rsid w:val="00E015A9"/>
    <w:rsid w:val="00E0261D"/>
    <w:rsid w:val="00E02883"/>
    <w:rsid w:val="00E03889"/>
    <w:rsid w:val="00E04029"/>
    <w:rsid w:val="00E04242"/>
    <w:rsid w:val="00E06496"/>
    <w:rsid w:val="00E06F81"/>
    <w:rsid w:val="00E07555"/>
    <w:rsid w:val="00E0785F"/>
    <w:rsid w:val="00E07FFC"/>
    <w:rsid w:val="00E10861"/>
    <w:rsid w:val="00E10E63"/>
    <w:rsid w:val="00E120BC"/>
    <w:rsid w:val="00E1376C"/>
    <w:rsid w:val="00E15635"/>
    <w:rsid w:val="00E16BEE"/>
    <w:rsid w:val="00E17373"/>
    <w:rsid w:val="00E21B02"/>
    <w:rsid w:val="00E23869"/>
    <w:rsid w:val="00E24111"/>
    <w:rsid w:val="00E251B1"/>
    <w:rsid w:val="00E25414"/>
    <w:rsid w:val="00E26156"/>
    <w:rsid w:val="00E27323"/>
    <w:rsid w:val="00E274D4"/>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34AD"/>
    <w:rsid w:val="00E54533"/>
    <w:rsid w:val="00E55868"/>
    <w:rsid w:val="00E561EB"/>
    <w:rsid w:val="00E60B0E"/>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4653"/>
    <w:rsid w:val="00E850A3"/>
    <w:rsid w:val="00E8528B"/>
    <w:rsid w:val="00E859BA"/>
    <w:rsid w:val="00E86A15"/>
    <w:rsid w:val="00E86C41"/>
    <w:rsid w:val="00E87034"/>
    <w:rsid w:val="00E870B0"/>
    <w:rsid w:val="00E90733"/>
    <w:rsid w:val="00E90E46"/>
    <w:rsid w:val="00E90F26"/>
    <w:rsid w:val="00E92159"/>
    <w:rsid w:val="00E92A06"/>
    <w:rsid w:val="00E931A2"/>
    <w:rsid w:val="00E93D9A"/>
    <w:rsid w:val="00E93F41"/>
    <w:rsid w:val="00E94743"/>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42B2"/>
    <w:rsid w:val="00EB5A11"/>
    <w:rsid w:val="00EB5A57"/>
    <w:rsid w:val="00EB5AC1"/>
    <w:rsid w:val="00EB62A2"/>
    <w:rsid w:val="00EB64FC"/>
    <w:rsid w:val="00EB7B3E"/>
    <w:rsid w:val="00EC0FC7"/>
    <w:rsid w:val="00EC3466"/>
    <w:rsid w:val="00EC37C6"/>
    <w:rsid w:val="00EC38C9"/>
    <w:rsid w:val="00EC3CEA"/>
    <w:rsid w:val="00EC4F16"/>
    <w:rsid w:val="00EC5998"/>
    <w:rsid w:val="00EC614D"/>
    <w:rsid w:val="00EC6291"/>
    <w:rsid w:val="00EC744B"/>
    <w:rsid w:val="00EC778D"/>
    <w:rsid w:val="00EC7B5A"/>
    <w:rsid w:val="00ED1151"/>
    <w:rsid w:val="00ED1573"/>
    <w:rsid w:val="00ED1966"/>
    <w:rsid w:val="00ED1D0F"/>
    <w:rsid w:val="00ED419B"/>
    <w:rsid w:val="00ED430D"/>
    <w:rsid w:val="00ED4DA5"/>
    <w:rsid w:val="00ED5AAA"/>
    <w:rsid w:val="00ED5AF3"/>
    <w:rsid w:val="00ED6E55"/>
    <w:rsid w:val="00ED71E9"/>
    <w:rsid w:val="00ED7419"/>
    <w:rsid w:val="00EE050F"/>
    <w:rsid w:val="00EE081A"/>
    <w:rsid w:val="00EE1EB5"/>
    <w:rsid w:val="00EE243B"/>
    <w:rsid w:val="00EE366F"/>
    <w:rsid w:val="00EE60DB"/>
    <w:rsid w:val="00EE7E38"/>
    <w:rsid w:val="00EE7EEA"/>
    <w:rsid w:val="00EF0D46"/>
    <w:rsid w:val="00EF1D7E"/>
    <w:rsid w:val="00EF2533"/>
    <w:rsid w:val="00EF277C"/>
    <w:rsid w:val="00EF2D5D"/>
    <w:rsid w:val="00EF37C8"/>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1BAF"/>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60F7"/>
    <w:rsid w:val="00F37DBE"/>
    <w:rsid w:val="00F40203"/>
    <w:rsid w:val="00F40E32"/>
    <w:rsid w:val="00F421EA"/>
    <w:rsid w:val="00F430AC"/>
    <w:rsid w:val="00F44E9D"/>
    <w:rsid w:val="00F462D5"/>
    <w:rsid w:val="00F46975"/>
    <w:rsid w:val="00F477B9"/>
    <w:rsid w:val="00F50794"/>
    <w:rsid w:val="00F516B5"/>
    <w:rsid w:val="00F52733"/>
    <w:rsid w:val="00F53604"/>
    <w:rsid w:val="00F53B74"/>
    <w:rsid w:val="00F54A39"/>
    <w:rsid w:val="00F54B2D"/>
    <w:rsid w:val="00F54BBB"/>
    <w:rsid w:val="00F552C0"/>
    <w:rsid w:val="00F55625"/>
    <w:rsid w:val="00F55FAE"/>
    <w:rsid w:val="00F56157"/>
    <w:rsid w:val="00F571C3"/>
    <w:rsid w:val="00F60171"/>
    <w:rsid w:val="00F603C9"/>
    <w:rsid w:val="00F6086F"/>
    <w:rsid w:val="00F613FA"/>
    <w:rsid w:val="00F630A6"/>
    <w:rsid w:val="00F64B2B"/>
    <w:rsid w:val="00F6631F"/>
    <w:rsid w:val="00F6634B"/>
    <w:rsid w:val="00F7059C"/>
    <w:rsid w:val="00F72112"/>
    <w:rsid w:val="00F723D6"/>
    <w:rsid w:val="00F724AB"/>
    <w:rsid w:val="00F7325B"/>
    <w:rsid w:val="00F7338C"/>
    <w:rsid w:val="00F77E87"/>
    <w:rsid w:val="00F806A9"/>
    <w:rsid w:val="00F81620"/>
    <w:rsid w:val="00F8217F"/>
    <w:rsid w:val="00F82587"/>
    <w:rsid w:val="00F83113"/>
    <w:rsid w:val="00F83C22"/>
    <w:rsid w:val="00F84521"/>
    <w:rsid w:val="00F84BDC"/>
    <w:rsid w:val="00F86B61"/>
    <w:rsid w:val="00F86B6B"/>
    <w:rsid w:val="00F86CF5"/>
    <w:rsid w:val="00F87451"/>
    <w:rsid w:val="00F874EE"/>
    <w:rsid w:val="00F9055F"/>
    <w:rsid w:val="00F906AB"/>
    <w:rsid w:val="00F91766"/>
    <w:rsid w:val="00F91A6E"/>
    <w:rsid w:val="00F924B3"/>
    <w:rsid w:val="00F9355B"/>
    <w:rsid w:val="00F94E71"/>
    <w:rsid w:val="00F96B7D"/>
    <w:rsid w:val="00F96F74"/>
    <w:rsid w:val="00F975AB"/>
    <w:rsid w:val="00F97C96"/>
    <w:rsid w:val="00FA0537"/>
    <w:rsid w:val="00FA0F24"/>
    <w:rsid w:val="00FA1D08"/>
    <w:rsid w:val="00FA25EA"/>
    <w:rsid w:val="00FA2ECA"/>
    <w:rsid w:val="00FA2FA8"/>
    <w:rsid w:val="00FA5F04"/>
    <w:rsid w:val="00FA65E5"/>
    <w:rsid w:val="00FA65E6"/>
    <w:rsid w:val="00FA6A63"/>
    <w:rsid w:val="00FB1348"/>
    <w:rsid w:val="00FB1EA0"/>
    <w:rsid w:val="00FB2144"/>
    <w:rsid w:val="00FB26BB"/>
    <w:rsid w:val="00FB2DA4"/>
    <w:rsid w:val="00FB39B1"/>
    <w:rsid w:val="00FB45C2"/>
    <w:rsid w:val="00FB6B51"/>
    <w:rsid w:val="00FB7790"/>
    <w:rsid w:val="00FB7A2C"/>
    <w:rsid w:val="00FC1C91"/>
    <w:rsid w:val="00FC2786"/>
    <w:rsid w:val="00FC2EA5"/>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680B"/>
    <w:rsid w:val="00FD760A"/>
    <w:rsid w:val="00FD7787"/>
    <w:rsid w:val="00FD7C6C"/>
    <w:rsid w:val="00FE01F1"/>
    <w:rsid w:val="00FE1A5C"/>
    <w:rsid w:val="00FE1CB9"/>
    <w:rsid w:val="00FE4FE0"/>
    <w:rsid w:val="00FE5040"/>
    <w:rsid w:val="00FE5164"/>
    <w:rsid w:val="00FE54A8"/>
    <w:rsid w:val="00FE5703"/>
    <w:rsid w:val="00FE6741"/>
    <w:rsid w:val="00FE6B1A"/>
    <w:rsid w:val="00FE710F"/>
    <w:rsid w:val="00FF06F9"/>
    <w:rsid w:val="00FF0FB4"/>
    <w:rsid w:val="00FF1A88"/>
    <w:rsid w:val="00FF22A5"/>
    <w:rsid w:val="00FF260E"/>
    <w:rsid w:val="00FF2B2A"/>
    <w:rsid w:val="00FF2B97"/>
    <w:rsid w:val="00FF47D8"/>
    <w:rsid w:val="00FF4EE6"/>
    <w:rsid w:val="00FF5706"/>
    <w:rsid w:val="00FF683E"/>
    <w:rsid w:val="00FF7E53"/>
    <w:rsid w:val="01017C4C"/>
    <w:rsid w:val="01125275"/>
    <w:rsid w:val="014E277D"/>
    <w:rsid w:val="01881FCF"/>
    <w:rsid w:val="01BD44F5"/>
    <w:rsid w:val="01F6556F"/>
    <w:rsid w:val="02377893"/>
    <w:rsid w:val="02437D0C"/>
    <w:rsid w:val="03736735"/>
    <w:rsid w:val="0377314F"/>
    <w:rsid w:val="039E0B4E"/>
    <w:rsid w:val="04313670"/>
    <w:rsid w:val="044F5401"/>
    <w:rsid w:val="04825F32"/>
    <w:rsid w:val="048B3EF4"/>
    <w:rsid w:val="048C3744"/>
    <w:rsid w:val="04AD4C6B"/>
    <w:rsid w:val="04AD6172"/>
    <w:rsid w:val="04BF692A"/>
    <w:rsid w:val="04EB137D"/>
    <w:rsid w:val="04FA0F75"/>
    <w:rsid w:val="051E5CB0"/>
    <w:rsid w:val="05971F0D"/>
    <w:rsid w:val="05C24554"/>
    <w:rsid w:val="05E565EA"/>
    <w:rsid w:val="061606D5"/>
    <w:rsid w:val="0635236A"/>
    <w:rsid w:val="06590ABC"/>
    <w:rsid w:val="06630933"/>
    <w:rsid w:val="07264310"/>
    <w:rsid w:val="073A2F3E"/>
    <w:rsid w:val="07731EDA"/>
    <w:rsid w:val="07D9539A"/>
    <w:rsid w:val="084B6744"/>
    <w:rsid w:val="087B3C37"/>
    <w:rsid w:val="08B011A6"/>
    <w:rsid w:val="08EA2FAE"/>
    <w:rsid w:val="08F80683"/>
    <w:rsid w:val="090C1A6B"/>
    <w:rsid w:val="0A173570"/>
    <w:rsid w:val="0A4C0E12"/>
    <w:rsid w:val="0A854C0D"/>
    <w:rsid w:val="0AB428CB"/>
    <w:rsid w:val="0ACD4E72"/>
    <w:rsid w:val="0AEE5209"/>
    <w:rsid w:val="0B230861"/>
    <w:rsid w:val="0B707790"/>
    <w:rsid w:val="0B721E65"/>
    <w:rsid w:val="0C2B2187"/>
    <w:rsid w:val="0C45445B"/>
    <w:rsid w:val="0C61360A"/>
    <w:rsid w:val="0C653C8C"/>
    <w:rsid w:val="0C6C1956"/>
    <w:rsid w:val="0C944AE0"/>
    <w:rsid w:val="0C973E26"/>
    <w:rsid w:val="0CC5653C"/>
    <w:rsid w:val="0D175003"/>
    <w:rsid w:val="0DAF4280"/>
    <w:rsid w:val="0F654FB0"/>
    <w:rsid w:val="0F9D6186"/>
    <w:rsid w:val="0FB11D2F"/>
    <w:rsid w:val="100F298C"/>
    <w:rsid w:val="10820BBF"/>
    <w:rsid w:val="109B7D77"/>
    <w:rsid w:val="10CB4598"/>
    <w:rsid w:val="10E55ACF"/>
    <w:rsid w:val="1104129D"/>
    <w:rsid w:val="11901742"/>
    <w:rsid w:val="11975B50"/>
    <w:rsid w:val="11986B18"/>
    <w:rsid w:val="11EC350B"/>
    <w:rsid w:val="121B152D"/>
    <w:rsid w:val="12A2794B"/>
    <w:rsid w:val="135F26C8"/>
    <w:rsid w:val="136014BA"/>
    <w:rsid w:val="1366709F"/>
    <w:rsid w:val="139E2BE7"/>
    <w:rsid w:val="13A4655C"/>
    <w:rsid w:val="13AB784D"/>
    <w:rsid w:val="13CF43BF"/>
    <w:rsid w:val="13E1325A"/>
    <w:rsid w:val="13EB4DC2"/>
    <w:rsid w:val="141B2030"/>
    <w:rsid w:val="149E4339"/>
    <w:rsid w:val="149F6D63"/>
    <w:rsid w:val="158E7E44"/>
    <w:rsid w:val="15CF287D"/>
    <w:rsid w:val="160136AB"/>
    <w:rsid w:val="16356D58"/>
    <w:rsid w:val="16C935DB"/>
    <w:rsid w:val="16D34A53"/>
    <w:rsid w:val="16FA52AD"/>
    <w:rsid w:val="17252BCF"/>
    <w:rsid w:val="175F5C40"/>
    <w:rsid w:val="18485B9A"/>
    <w:rsid w:val="18594944"/>
    <w:rsid w:val="192B2CC4"/>
    <w:rsid w:val="1AB7734D"/>
    <w:rsid w:val="1B081AAC"/>
    <w:rsid w:val="1B1644A1"/>
    <w:rsid w:val="1B217E4A"/>
    <w:rsid w:val="1B5015DA"/>
    <w:rsid w:val="1E0A5BBC"/>
    <w:rsid w:val="1EAE1EFC"/>
    <w:rsid w:val="1F420EED"/>
    <w:rsid w:val="1F5778F2"/>
    <w:rsid w:val="1F5E32BF"/>
    <w:rsid w:val="1F71540D"/>
    <w:rsid w:val="1F804BC3"/>
    <w:rsid w:val="1F842CF0"/>
    <w:rsid w:val="20287484"/>
    <w:rsid w:val="208C27F0"/>
    <w:rsid w:val="20BD2B8E"/>
    <w:rsid w:val="20C604F8"/>
    <w:rsid w:val="21252A51"/>
    <w:rsid w:val="21994ACB"/>
    <w:rsid w:val="22036AA8"/>
    <w:rsid w:val="222502EF"/>
    <w:rsid w:val="224E1196"/>
    <w:rsid w:val="225459BF"/>
    <w:rsid w:val="2292020B"/>
    <w:rsid w:val="22D45010"/>
    <w:rsid w:val="230273D9"/>
    <w:rsid w:val="231B6987"/>
    <w:rsid w:val="23DE761C"/>
    <w:rsid w:val="246D5485"/>
    <w:rsid w:val="247058DA"/>
    <w:rsid w:val="247117C7"/>
    <w:rsid w:val="24AE36B3"/>
    <w:rsid w:val="25A2704B"/>
    <w:rsid w:val="25AB0BC2"/>
    <w:rsid w:val="268843AD"/>
    <w:rsid w:val="26930344"/>
    <w:rsid w:val="26CB09F1"/>
    <w:rsid w:val="26DA3C03"/>
    <w:rsid w:val="270717B6"/>
    <w:rsid w:val="271909D4"/>
    <w:rsid w:val="275D7321"/>
    <w:rsid w:val="284D27E8"/>
    <w:rsid w:val="28A904E4"/>
    <w:rsid w:val="290D7B8E"/>
    <w:rsid w:val="29374942"/>
    <w:rsid w:val="293A6F47"/>
    <w:rsid w:val="2993070E"/>
    <w:rsid w:val="29B34495"/>
    <w:rsid w:val="29ED630A"/>
    <w:rsid w:val="2AA579E2"/>
    <w:rsid w:val="2AF00508"/>
    <w:rsid w:val="2B604039"/>
    <w:rsid w:val="2C9F7A9F"/>
    <w:rsid w:val="2CA03B11"/>
    <w:rsid w:val="2CA704E8"/>
    <w:rsid w:val="2CDC617B"/>
    <w:rsid w:val="2D2C1113"/>
    <w:rsid w:val="2DB23EAD"/>
    <w:rsid w:val="2DBB1744"/>
    <w:rsid w:val="2E580FFE"/>
    <w:rsid w:val="2E7E2256"/>
    <w:rsid w:val="2F0D144E"/>
    <w:rsid w:val="2FBB522E"/>
    <w:rsid w:val="31251D00"/>
    <w:rsid w:val="313A5F04"/>
    <w:rsid w:val="31497852"/>
    <w:rsid w:val="31A326AD"/>
    <w:rsid w:val="32B6649A"/>
    <w:rsid w:val="32E06116"/>
    <w:rsid w:val="32E13316"/>
    <w:rsid w:val="3301632F"/>
    <w:rsid w:val="3302137C"/>
    <w:rsid w:val="3341424E"/>
    <w:rsid w:val="336B039B"/>
    <w:rsid w:val="340121F5"/>
    <w:rsid w:val="340308D5"/>
    <w:rsid w:val="341905EB"/>
    <w:rsid w:val="3444327E"/>
    <w:rsid w:val="344E110E"/>
    <w:rsid w:val="345B6DDA"/>
    <w:rsid w:val="348C6E26"/>
    <w:rsid w:val="34A623E5"/>
    <w:rsid w:val="34D85F1E"/>
    <w:rsid w:val="34F33587"/>
    <w:rsid w:val="351C08D6"/>
    <w:rsid w:val="353B7940"/>
    <w:rsid w:val="35410693"/>
    <w:rsid w:val="35AA0E18"/>
    <w:rsid w:val="35AD053F"/>
    <w:rsid w:val="35ED4303"/>
    <w:rsid w:val="35F27D22"/>
    <w:rsid w:val="360A17BF"/>
    <w:rsid w:val="36433849"/>
    <w:rsid w:val="365D339C"/>
    <w:rsid w:val="36771015"/>
    <w:rsid w:val="368A2ACE"/>
    <w:rsid w:val="36E9049D"/>
    <w:rsid w:val="37BC7C9B"/>
    <w:rsid w:val="38563E9E"/>
    <w:rsid w:val="386C1253"/>
    <w:rsid w:val="396E1E90"/>
    <w:rsid w:val="3A7007EE"/>
    <w:rsid w:val="3B464F37"/>
    <w:rsid w:val="3B9519DF"/>
    <w:rsid w:val="3BE57419"/>
    <w:rsid w:val="3CCD1A2E"/>
    <w:rsid w:val="3CCF16AF"/>
    <w:rsid w:val="3D153712"/>
    <w:rsid w:val="3D205CE9"/>
    <w:rsid w:val="3DFB2AA4"/>
    <w:rsid w:val="3E1F6CC3"/>
    <w:rsid w:val="3E2D678E"/>
    <w:rsid w:val="3E335F6C"/>
    <w:rsid w:val="3F050553"/>
    <w:rsid w:val="3F4C58E1"/>
    <w:rsid w:val="3FB349DB"/>
    <w:rsid w:val="3FBE4A8F"/>
    <w:rsid w:val="3FDD0FD4"/>
    <w:rsid w:val="407A451A"/>
    <w:rsid w:val="40A557DA"/>
    <w:rsid w:val="40B34396"/>
    <w:rsid w:val="40CE75B7"/>
    <w:rsid w:val="40D369EA"/>
    <w:rsid w:val="41183725"/>
    <w:rsid w:val="414E48FC"/>
    <w:rsid w:val="423D5AAE"/>
    <w:rsid w:val="429C5A7A"/>
    <w:rsid w:val="42CB59A5"/>
    <w:rsid w:val="43431991"/>
    <w:rsid w:val="44DF4FDA"/>
    <w:rsid w:val="45817D8E"/>
    <w:rsid w:val="459C6F06"/>
    <w:rsid w:val="45D637CB"/>
    <w:rsid w:val="46066FA4"/>
    <w:rsid w:val="465E26CD"/>
    <w:rsid w:val="46996AFD"/>
    <w:rsid w:val="46A42678"/>
    <w:rsid w:val="47575EF6"/>
    <w:rsid w:val="47665A62"/>
    <w:rsid w:val="479375CD"/>
    <w:rsid w:val="47C92703"/>
    <w:rsid w:val="4814220C"/>
    <w:rsid w:val="483D63D7"/>
    <w:rsid w:val="49311F04"/>
    <w:rsid w:val="499E3007"/>
    <w:rsid w:val="49D50371"/>
    <w:rsid w:val="49ED4E5A"/>
    <w:rsid w:val="49FD17E1"/>
    <w:rsid w:val="4A073BD3"/>
    <w:rsid w:val="4A120FE1"/>
    <w:rsid w:val="4A3E4993"/>
    <w:rsid w:val="4A9D0981"/>
    <w:rsid w:val="4AB00A3C"/>
    <w:rsid w:val="4B2A6D45"/>
    <w:rsid w:val="4B810B65"/>
    <w:rsid w:val="4B8D0C74"/>
    <w:rsid w:val="4BAE5616"/>
    <w:rsid w:val="4BE43C69"/>
    <w:rsid w:val="4BF93C71"/>
    <w:rsid w:val="4C904F77"/>
    <w:rsid w:val="4C910569"/>
    <w:rsid w:val="4D01297D"/>
    <w:rsid w:val="4D4F5EFE"/>
    <w:rsid w:val="4D8200EA"/>
    <w:rsid w:val="4DB908E0"/>
    <w:rsid w:val="4E67504E"/>
    <w:rsid w:val="4E96120B"/>
    <w:rsid w:val="4EB23DF4"/>
    <w:rsid w:val="4EB81CCF"/>
    <w:rsid w:val="4F576AF4"/>
    <w:rsid w:val="4FD53286"/>
    <w:rsid w:val="50062B08"/>
    <w:rsid w:val="502E27B1"/>
    <w:rsid w:val="50452481"/>
    <w:rsid w:val="504B2363"/>
    <w:rsid w:val="504D5427"/>
    <w:rsid w:val="50975EFF"/>
    <w:rsid w:val="51603484"/>
    <w:rsid w:val="518566CD"/>
    <w:rsid w:val="51DC5ED7"/>
    <w:rsid w:val="5271353A"/>
    <w:rsid w:val="52756E32"/>
    <w:rsid w:val="53231228"/>
    <w:rsid w:val="53242CF6"/>
    <w:rsid w:val="532E30B2"/>
    <w:rsid w:val="533439F5"/>
    <w:rsid w:val="53CF76BD"/>
    <w:rsid w:val="53D33621"/>
    <w:rsid w:val="53E64A5C"/>
    <w:rsid w:val="53F24649"/>
    <w:rsid w:val="53F520EF"/>
    <w:rsid w:val="53F9098C"/>
    <w:rsid w:val="54342845"/>
    <w:rsid w:val="5448565F"/>
    <w:rsid w:val="544B63EE"/>
    <w:rsid w:val="54DB7605"/>
    <w:rsid w:val="55221270"/>
    <w:rsid w:val="55875AED"/>
    <w:rsid w:val="55B56202"/>
    <w:rsid w:val="565E4E4C"/>
    <w:rsid w:val="565F0A3F"/>
    <w:rsid w:val="5662282D"/>
    <w:rsid w:val="56625010"/>
    <w:rsid w:val="577B3BA6"/>
    <w:rsid w:val="57F24C5E"/>
    <w:rsid w:val="582B1687"/>
    <w:rsid w:val="58A13954"/>
    <w:rsid w:val="59AB3818"/>
    <w:rsid w:val="59F8547C"/>
    <w:rsid w:val="5A594CC3"/>
    <w:rsid w:val="5AB27061"/>
    <w:rsid w:val="5AD13474"/>
    <w:rsid w:val="5B163CFE"/>
    <w:rsid w:val="5B494408"/>
    <w:rsid w:val="5C463FC0"/>
    <w:rsid w:val="5D7C0913"/>
    <w:rsid w:val="5E402061"/>
    <w:rsid w:val="5E892A3C"/>
    <w:rsid w:val="5EB66A31"/>
    <w:rsid w:val="5EF5708B"/>
    <w:rsid w:val="5EFB1580"/>
    <w:rsid w:val="5F3C75E2"/>
    <w:rsid w:val="5F4A0338"/>
    <w:rsid w:val="5F4B6306"/>
    <w:rsid w:val="5F675BBF"/>
    <w:rsid w:val="5F813FB4"/>
    <w:rsid w:val="60157F0E"/>
    <w:rsid w:val="605C0F55"/>
    <w:rsid w:val="60F67612"/>
    <w:rsid w:val="61186932"/>
    <w:rsid w:val="614D1BE1"/>
    <w:rsid w:val="615F53BD"/>
    <w:rsid w:val="619F25FB"/>
    <w:rsid w:val="62F63BA0"/>
    <w:rsid w:val="63095A45"/>
    <w:rsid w:val="632E2F02"/>
    <w:rsid w:val="641F5B3D"/>
    <w:rsid w:val="644E1C06"/>
    <w:rsid w:val="64874965"/>
    <w:rsid w:val="64DE5FDC"/>
    <w:rsid w:val="650202DD"/>
    <w:rsid w:val="650F0E93"/>
    <w:rsid w:val="65253C87"/>
    <w:rsid w:val="65843111"/>
    <w:rsid w:val="66076538"/>
    <w:rsid w:val="665A1AAA"/>
    <w:rsid w:val="66CA070A"/>
    <w:rsid w:val="66D00F62"/>
    <w:rsid w:val="6718485F"/>
    <w:rsid w:val="67861602"/>
    <w:rsid w:val="68103D21"/>
    <w:rsid w:val="68DA2287"/>
    <w:rsid w:val="695F7A8D"/>
    <w:rsid w:val="698719E7"/>
    <w:rsid w:val="699F3FEA"/>
    <w:rsid w:val="69C04ABB"/>
    <w:rsid w:val="69C17872"/>
    <w:rsid w:val="6A1914BA"/>
    <w:rsid w:val="6A2F5934"/>
    <w:rsid w:val="6A7D6AC8"/>
    <w:rsid w:val="6ACE4D37"/>
    <w:rsid w:val="6AEC7578"/>
    <w:rsid w:val="6B08046A"/>
    <w:rsid w:val="6B3539BB"/>
    <w:rsid w:val="6BFB1FEA"/>
    <w:rsid w:val="6C563CE0"/>
    <w:rsid w:val="6CCB4BD7"/>
    <w:rsid w:val="6D1F76C2"/>
    <w:rsid w:val="6D4B40C0"/>
    <w:rsid w:val="6DC6265F"/>
    <w:rsid w:val="6DF17E7C"/>
    <w:rsid w:val="6ED06D97"/>
    <w:rsid w:val="6FAE3061"/>
    <w:rsid w:val="703F6AB7"/>
    <w:rsid w:val="71084330"/>
    <w:rsid w:val="71652581"/>
    <w:rsid w:val="71FF78DB"/>
    <w:rsid w:val="72D967C4"/>
    <w:rsid w:val="73244059"/>
    <w:rsid w:val="7396760B"/>
    <w:rsid w:val="73A56C56"/>
    <w:rsid w:val="73D33EF5"/>
    <w:rsid w:val="74112B15"/>
    <w:rsid w:val="74561636"/>
    <w:rsid w:val="74966354"/>
    <w:rsid w:val="74D761ED"/>
    <w:rsid w:val="751B0501"/>
    <w:rsid w:val="755D7996"/>
    <w:rsid w:val="75626B88"/>
    <w:rsid w:val="75784475"/>
    <w:rsid w:val="75B708C9"/>
    <w:rsid w:val="763900A2"/>
    <w:rsid w:val="764723D1"/>
    <w:rsid w:val="766035C8"/>
    <w:rsid w:val="767D0683"/>
    <w:rsid w:val="767E6C03"/>
    <w:rsid w:val="76C64B67"/>
    <w:rsid w:val="76C90791"/>
    <w:rsid w:val="7731415F"/>
    <w:rsid w:val="77667C2A"/>
    <w:rsid w:val="778F0CD9"/>
    <w:rsid w:val="77EB19A5"/>
    <w:rsid w:val="78141D16"/>
    <w:rsid w:val="7843330F"/>
    <w:rsid w:val="786D6001"/>
    <w:rsid w:val="793B1497"/>
    <w:rsid w:val="794569C4"/>
    <w:rsid w:val="798F6294"/>
    <w:rsid w:val="79F43D5C"/>
    <w:rsid w:val="7A06574D"/>
    <w:rsid w:val="7A6215B6"/>
    <w:rsid w:val="7AFC4FA6"/>
    <w:rsid w:val="7B54390E"/>
    <w:rsid w:val="7B6C447C"/>
    <w:rsid w:val="7B921F55"/>
    <w:rsid w:val="7BD30EEC"/>
    <w:rsid w:val="7C020026"/>
    <w:rsid w:val="7C254D3D"/>
    <w:rsid w:val="7C622DD5"/>
    <w:rsid w:val="7CF144F9"/>
    <w:rsid w:val="7D454007"/>
    <w:rsid w:val="7DAB048D"/>
    <w:rsid w:val="7E3327EC"/>
    <w:rsid w:val="7E6D49E0"/>
    <w:rsid w:val="7E6E3815"/>
    <w:rsid w:val="7E9308C8"/>
    <w:rsid w:val="7EB12E6D"/>
    <w:rsid w:val="7EC0522F"/>
    <w:rsid w:val="7F2519AF"/>
    <w:rsid w:val="7FB4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9"/>
    <w:pPr>
      <w:autoSpaceDE w:val="0"/>
      <w:autoSpaceDN w:val="0"/>
      <w:adjustRightInd w:val="0"/>
      <w:spacing w:before="17"/>
      <w:ind w:left="1144"/>
      <w:jc w:val="left"/>
      <w:outlineLvl w:val="0"/>
    </w:pPr>
    <w:rPr>
      <w:rFonts w:ascii="黑体" w:hAnsi="Times New Roman" w:eastAsia="黑体" w:cs="Times New Roman"/>
      <w:b/>
      <w:bCs/>
      <w:kern w:val="0"/>
      <w:sz w:val="36"/>
      <w:szCs w:val="36"/>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5">
    <w:name w:val="heading 3"/>
    <w:basedOn w:val="1"/>
    <w:next w:val="1"/>
    <w:link w:val="26"/>
    <w:semiHidden/>
    <w:unhideWhenUsed/>
    <w:qFormat/>
    <w:uiPriority w:val="9"/>
    <w:pPr>
      <w:autoSpaceDE w:val="0"/>
      <w:autoSpaceDN w:val="0"/>
      <w:adjustRightInd w:val="0"/>
      <w:spacing w:before="34"/>
      <w:ind w:left="120"/>
      <w:jc w:val="left"/>
      <w:outlineLvl w:val="2"/>
    </w:pPr>
    <w:rPr>
      <w:rFonts w:ascii="宋体" w:hAnsi="Times New Roman" w:cs="Times New Roman"/>
      <w:b/>
      <w:bCs/>
      <w:kern w:val="0"/>
      <w:sz w:val="2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1"/>
    <w:pPr>
      <w:autoSpaceDE w:val="0"/>
      <w:autoSpaceDN w:val="0"/>
      <w:adjustRightInd w:val="0"/>
      <w:spacing w:before="162"/>
      <w:ind w:left="120"/>
      <w:jc w:val="left"/>
    </w:pPr>
    <w:rPr>
      <w:rFonts w:ascii="宋体" w:hAnsi="Times New Roman" w:cs="Times New Roman"/>
      <w:kern w:val="0"/>
      <w:sz w:val="20"/>
      <w:szCs w:val="21"/>
    </w:rPr>
  </w:style>
  <w:style w:type="paragraph" w:styleId="6">
    <w:name w:val="annotation text"/>
    <w:basedOn w:val="1"/>
    <w:link w:val="37"/>
    <w:unhideWhenUsed/>
    <w:qFormat/>
    <w:uiPriority w:val="99"/>
    <w:pPr>
      <w:jc w:val="left"/>
    </w:pPr>
    <w:rPr>
      <w:rFonts w:cs="Times New Roman"/>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31"/>
    <w:semiHidden/>
    <w:unhideWhenUsed/>
    <w:qFormat/>
    <w:uiPriority w:val="99"/>
    <w:rPr>
      <w:rFonts w:cs="Times New Roman"/>
      <w:kern w:val="0"/>
      <w:sz w:val="18"/>
      <w:szCs w:val="18"/>
    </w:rPr>
  </w:style>
  <w:style w:type="paragraph" w:styleId="9">
    <w:name w:val="footer"/>
    <w:basedOn w:val="1"/>
    <w:link w:val="30"/>
    <w:unhideWhenUsed/>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footnote text"/>
    <w:basedOn w:val="1"/>
    <w:link w:val="41"/>
    <w:semiHidden/>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rFonts w:cs="Times New Roman"/>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rFonts w:ascii="Times New Roman" w:hAnsi="Times New Roman" w:eastAsia="宋体" w:cs="Times New Roman"/>
      <w:b/>
      <w:bCs/>
    </w:rPr>
  </w:style>
  <w:style w:type="character" w:styleId="18">
    <w:name w:val="Hyperlink"/>
    <w:semiHidden/>
    <w:unhideWhenUsed/>
    <w:qFormat/>
    <w:uiPriority w:val="99"/>
    <w:rPr>
      <w:rFonts w:ascii="Times New Roman" w:hAnsi="Times New Roman" w:eastAsia="宋体" w:cs="Times New Roman"/>
      <w:color w:val="0000FF"/>
      <w:u w:val="single"/>
    </w:rPr>
  </w:style>
  <w:style w:type="character" w:styleId="19">
    <w:name w:val="annotation reference"/>
    <w:unhideWhenUsed/>
    <w:qFormat/>
    <w:uiPriority w:val="99"/>
    <w:rPr>
      <w:rFonts w:ascii="Times New Roman" w:hAnsi="Times New Roman" w:eastAsia="宋体" w:cs="Times New Roman"/>
      <w:sz w:val="21"/>
      <w:szCs w:val="21"/>
    </w:rPr>
  </w:style>
  <w:style w:type="character" w:styleId="20">
    <w:name w:val="footnote reference"/>
    <w:semiHidden/>
    <w:unhideWhenUsed/>
    <w:qFormat/>
    <w:uiPriority w:val="99"/>
    <w:rPr>
      <w:rFonts w:ascii="Times New Roman" w:hAnsi="Times New Roman" w:eastAsia="宋体" w:cs="Times New Roman"/>
      <w:vertAlign w:val="superscript"/>
    </w:rPr>
  </w:style>
  <w:style w:type="paragraph" w:styleId="21">
    <w:name w:val="List Paragraph"/>
    <w:basedOn w:val="1"/>
    <w:qFormat/>
    <w:uiPriority w:val="72"/>
    <w:pPr>
      <w:ind w:firstLine="420" w:firstLineChars="200"/>
    </w:p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25">
    <w:name w:val="标题 1 字符"/>
    <w:link w:val="3"/>
    <w:qFormat/>
    <w:uiPriority w:val="1"/>
    <w:rPr>
      <w:rFonts w:ascii="黑体" w:hAnsi="Times New Roman" w:eastAsia="黑体" w:cs="黑体"/>
      <w:b/>
      <w:bCs/>
      <w:kern w:val="0"/>
      <w:sz w:val="36"/>
      <w:szCs w:val="36"/>
    </w:rPr>
  </w:style>
  <w:style w:type="character" w:customStyle="1" w:styleId="26">
    <w:name w:val="标题 3 字符"/>
    <w:link w:val="5"/>
    <w:qFormat/>
    <w:uiPriority w:val="1"/>
    <w:rPr>
      <w:rFonts w:ascii="宋体" w:hAnsi="Times New Roman" w:eastAsia="宋体" w:cs="宋体"/>
      <w:b/>
      <w:bCs/>
      <w:kern w:val="0"/>
      <w:szCs w:val="21"/>
    </w:rPr>
  </w:style>
  <w:style w:type="character" w:customStyle="1" w:styleId="27">
    <w:name w:val="标题 2 字符"/>
    <w:link w:val="4"/>
    <w:qFormat/>
    <w:uiPriority w:val="9"/>
    <w:rPr>
      <w:rFonts w:ascii="Cambria" w:hAnsi="Cambria" w:eastAsia="宋体" w:cs="Times New Roman"/>
      <w:b/>
      <w:bCs/>
      <w:sz w:val="32"/>
      <w:szCs w:val="32"/>
    </w:rPr>
  </w:style>
  <w:style w:type="character" w:customStyle="1" w:styleId="28">
    <w:name w:val="页眉 字符"/>
    <w:link w:val="10"/>
    <w:qFormat/>
    <w:uiPriority w:val="99"/>
    <w:rPr>
      <w:rFonts w:ascii="Times New Roman" w:hAnsi="Times New Roman" w:eastAsia="宋体" w:cs="Times New Roman"/>
      <w:sz w:val="18"/>
      <w:szCs w:val="18"/>
    </w:rPr>
  </w:style>
  <w:style w:type="character" w:customStyle="1" w:styleId="29">
    <w:name w:val="正文文本 字符"/>
    <w:link w:val="2"/>
    <w:qFormat/>
    <w:uiPriority w:val="1"/>
    <w:rPr>
      <w:rFonts w:ascii="宋体" w:hAnsi="Times New Roman" w:eastAsia="宋体" w:cs="宋体"/>
      <w:kern w:val="0"/>
      <w:szCs w:val="21"/>
    </w:rPr>
  </w:style>
  <w:style w:type="character" w:customStyle="1" w:styleId="30">
    <w:name w:val="页脚 字符"/>
    <w:link w:val="9"/>
    <w:qFormat/>
    <w:uiPriority w:val="99"/>
    <w:rPr>
      <w:rFonts w:ascii="Times New Roman" w:hAnsi="Times New Roman" w:eastAsia="宋体" w:cs="Times New Roman"/>
      <w:sz w:val="18"/>
      <w:szCs w:val="18"/>
    </w:rPr>
  </w:style>
  <w:style w:type="character" w:customStyle="1" w:styleId="31">
    <w:name w:val="批注框文本 字符"/>
    <w:link w:val="8"/>
    <w:semiHidden/>
    <w:qFormat/>
    <w:uiPriority w:val="99"/>
    <w:rPr>
      <w:rFonts w:ascii="Times New Roman" w:hAnsi="Times New Roman" w:eastAsia="宋体" w:cs="Times New Roman"/>
      <w:sz w:val="18"/>
      <w:szCs w:val="18"/>
    </w:rPr>
  </w:style>
  <w:style w:type="character" w:customStyle="1" w:styleId="32">
    <w:name w:val="日期 字符"/>
    <w:basedOn w:val="16"/>
    <w:link w:val="7"/>
    <w:semiHidden/>
    <w:qFormat/>
    <w:uiPriority w:val="99"/>
    <w:rPr>
      <w:rFonts w:ascii="Times New Roman" w:hAnsi="Times New Roman" w:eastAsia="宋体" w:cs="Times New Roman"/>
    </w:rPr>
  </w:style>
  <w:style w:type="character" w:customStyle="1" w:styleId="33">
    <w:name w:val="批注主题 字符"/>
    <w:link w:val="13"/>
    <w:semiHidden/>
    <w:qFormat/>
    <w:uiPriority w:val="99"/>
    <w:rPr>
      <w:rFonts w:ascii="Times New Roman" w:hAnsi="Times New Roman" w:eastAsia="宋体" w:cs="Times New Roman"/>
      <w:b/>
      <w:bCs/>
      <w:kern w:val="2"/>
      <w:sz w:val="21"/>
      <w:szCs w:val="22"/>
    </w:rPr>
  </w:style>
  <w:style w:type="character" w:customStyle="1" w:styleId="34">
    <w:name w:val="_Style 33"/>
    <w:unhideWhenUsed/>
    <w:qFormat/>
    <w:uiPriority w:val="99"/>
    <w:rPr>
      <w:rFonts w:ascii="Times New Roman" w:hAnsi="Times New Roman" w:eastAsia="宋体" w:cs="Times New Roman"/>
      <w:color w:val="605E5C"/>
      <w:shd w:val="clear" w:color="auto" w:fill="E1DFDD"/>
    </w:rPr>
  </w:style>
  <w:style w:type="character" w:customStyle="1" w:styleId="35">
    <w:name w:val="脚注文本 字符"/>
    <w:link w:val="11"/>
    <w:semiHidden/>
    <w:qFormat/>
    <w:uiPriority w:val="99"/>
    <w:rPr>
      <w:rFonts w:ascii="Times New Roman" w:hAnsi="Times New Roman" w:eastAsia="宋体" w:cs="Times New Roman"/>
      <w:kern w:val="2"/>
      <w:sz w:val="18"/>
      <w:szCs w:val="18"/>
    </w:rPr>
  </w:style>
  <w:style w:type="character" w:customStyle="1" w:styleId="36">
    <w:name w:val="批注文字 字符"/>
    <w:basedOn w:val="16"/>
    <w:link w:val="6"/>
    <w:qFormat/>
    <w:uiPriority w:val="99"/>
    <w:rPr>
      <w:rFonts w:ascii="Times New Roman" w:hAnsi="Times New Roman" w:eastAsia="宋体" w:cs="Times New Roman"/>
      <w:kern w:val="2"/>
      <w:sz w:val="21"/>
      <w:szCs w:val="22"/>
    </w:rPr>
  </w:style>
  <w:style w:type="character" w:customStyle="1" w:styleId="37">
    <w:name w:val="批注文字 字符1"/>
    <w:link w:val="6"/>
    <w:qFormat/>
    <w:uiPriority w:val="99"/>
    <w:rPr>
      <w:rFonts w:ascii="Times New Roman" w:hAnsi="Times New Roman" w:eastAsia="宋体" w:cs="Times New Roman"/>
    </w:rPr>
  </w:style>
  <w:style w:type="character" w:customStyle="1" w:styleId="38">
    <w:name w:val="正文文本 字符1"/>
    <w:basedOn w:val="16"/>
    <w:semiHidden/>
    <w:qFormat/>
    <w:uiPriority w:val="99"/>
    <w:rPr>
      <w:rFonts w:ascii="Times New Roman" w:hAnsi="Times New Roman" w:eastAsia="宋体" w:cs="Times New Roman"/>
    </w:rPr>
  </w:style>
  <w:style w:type="character" w:customStyle="1" w:styleId="39">
    <w:name w:val="页脚 字符1"/>
    <w:basedOn w:val="16"/>
    <w:semiHidden/>
    <w:qFormat/>
    <w:uiPriority w:val="99"/>
    <w:rPr>
      <w:rFonts w:ascii="Times New Roman" w:hAnsi="Times New Roman" w:eastAsia="宋体" w:cs="Times New Roman"/>
      <w:sz w:val="18"/>
      <w:szCs w:val="18"/>
    </w:rPr>
  </w:style>
  <w:style w:type="character" w:customStyle="1" w:styleId="40">
    <w:name w:val="页眉 字符1"/>
    <w:basedOn w:val="16"/>
    <w:semiHidden/>
    <w:qFormat/>
    <w:uiPriority w:val="99"/>
    <w:rPr>
      <w:rFonts w:ascii="Times New Roman" w:hAnsi="Times New Roman" w:eastAsia="宋体" w:cs="Times New Roman"/>
      <w:sz w:val="18"/>
      <w:szCs w:val="18"/>
    </w:rPr>
  </w:style>
  <w:style w:type="character" w:customStyle="1" w:styleId="41">
    <w:name w:val="脚注文本 字符1"/>
    <w:link w:val="11"/>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8283</Characters>
  <Lines>69</Lines>
  <Paragraphs>19</Paragraphs>
  <TotalTime>0</TotalTime>
  <ScaleCrop>false</ScaleCrop>
  <LinksUpToDate>false</LinksUpToDate>
  <CharactersWithSpaces>9717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2022-05-15T02:23:00Z</dcterms:created>
  <dc:creator>略</dc:creator>
  <cp:lastModifiedBy>jsyh</cp:lastModifiedBy>
  <dcterms:modified xsi:type="dcterms:W3CDTF">2024-07-23T07:14:35Z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5B77E7CEEC58BC6AFAE8886BEB80DBEB">
    <vt:lpwstr>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</vt:lpwstr>
  </property>
  <property fmtid="{D5CDD505-2E9C-101B-9397-08002B2CF9AE}" pid="4" name="ICV">
    <vt:lpwstr>05DF8060FF37499EB143C96B4658D4E3</vt:lpwstr>
  </property>
</Properties>
</file>