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12.0 -->
  <w:body>
    <w:p>
      <w:pPr>
        <w:widowControl/>
        <w:shd w:val="clear" w:color="auto" w:fill="FFFFFF"/>
        <w:spacing w:line="837" w:lineRule="atLeast"/>
        <w:jc w:val="center"/>
        <w:outlineLvl w:val="1"/>
        <w:rPr>
          <w:rFonts w:ascii="微软雅黑" w:eastAsia="宋体" w:hAnsi="微软雅黑" w:cs="宋体" w:hint="eastAsia"/>
          <w:b/>
          <w:bCs/>
          <w:color w:val="004EA2"/>
          <w:kern w:val="0"/>
          <w:sz w:val="28"/>
          <w:szCs w:val="28"/>
        </w:rPr>
      </w:pPr>
      <w:r>
        <w:rPr>
          <w:rFonts w:ascii="微软雅黑" w:eastAsia="宋体" w:hAnsi="微软雅黑" w:cs="宋体" w:hint="eastAsia"/>
          <w:b/>
          <w:bCs/>
          <w:color w:val="004EA2"/>
          <w:kern w:val="0"/>
          <w:sz w:val="28"/>
          <w:szCs w:val="28"/>
        </w:rPr>
        <w:t>杭银理财幸福99丰裕固收23033期（稳利低波款）理财C款</w:t>
      </w:r>
    </w:p>
    <w:p>
      <w:pPr>
        <w:widowControl/>
        <w:shd w:val="clear" w:color="auto" w:fill="FFFFFF"/>
        <w:spacing w:line="837" w:lineRule="atLeast"/>
        <w:jc w:val="center"/>
        <w:outlineLvl w:val="1"/>
        <w:rPr>
          <w:rFonts w:ascii="微软雅黑" w:eastAsia="宋体" w:hAnsi="微软雅黑" w:cs="宋体" w:hint="eastAsia"/>
          <w:b/>
          <w:bCs/>
          <w:color w:val="004EA2"/>
          <w:kern w:val="0"/>
          <w:sz w:val="28"/>
          <w:szCs w:val="28"/>
        </w:rPr>
      </w:pPr>
      <w:r>
        <w:rPr>
          <w:rFonts w:ascii="微软雅黑" w:eastAsia="宋体" w:hAnsi="微软雅黑" w:cs="宋体" w:hint="eastAsia"/>
          <w:b/>
          <w:bCs/>
          <w:color w:val="004EA2"/>
          <w:kern w:val="0"/>
          <w:sz w:val="28"/>
          <w:szCs w:val="28"/>
        </w:rPr>
        <w:t>产品到期兑付公告</w:t>
      </w:r>
    </w:p>
    <w:p>
      <w:pPr>
        <w:rPr>
          <w:rFonts w:asciiTheme="minorEastAsia" w:hAnsiTheme="minorEastAsia" w:cstheme="minorEastAsia" w:hint="eastAsia"/>
          <w:sz w:val="28"/>
          <w:szCs w:val="28"/>
        </w:rPr>
      </w:pPr>
      <w:r>
        <w:rPr>
          <w:rFonts w:asciiTheme="minorEastAsia" w:hAnsiTheme="minorEastAsia" w:cstheme="minorEastAsia" w:hint="eastAsia"/>
          <w:sz w:val="28"/>
          <w:szCs w:val="28"/>
        </w:rPr>
        <w:t>尊敬的投资者：</w:t>
      </w:r>
    </w:p>
    <w:p>
      <w:pPr>
        <w:ind w:firstLine="480"/>
        <w:rPr>
          <w:rFonts w:asciiTheme="minorEastAsia" w:hAnsiTheme="minorEastAsia" w:cstheme="minorEastAsia" w:hint="eastAsia"/>
          <w:sz w:val="28"/>
          <w:szCs w:val="28"/>
        </w:rPr>
      </w:pPr>
      <w:r>
        <w:rPr>
          <w:rFonts w:asciiTheme="minorEastAsia" w:hAnsiTheme="minorEastAsia" w:cstheme="minorEastAsia" w:hint="eastAsia"/>
          <w:sz w:val="28"/>
          <w:szCs w:val="28"/>
        </w:rPr>
        <w:t>杭银理财幸福99丰裕固收23033期（稳利低波款）理财C款</w:t>
      </w:r>
      <w:r>
        <w:rPr>
          <w:sz w:val="28"/>
        </w:rPr>
        <w:t>产品已于</w:t>
      </w:r>
      <w:r>
        <w:rPr>
          <w:sz w:val="28"/>
        </w:rPr>
        <w:t>2024年8月12日</w:t>
      </w:r>
      <w:r>
        <w:rPr>
          <w:sz w:val="28"/>
        </w:rPr>
        <w:t>到期终止，现将相关信息公告如下：</w:t>
      </w:r>
    </w:p>
    <w:tbl>
      <w:tblPr>
        <w:tblStyle w:val="TableGrid"/>
        <w:tblW w:w="851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934"/>
        <w:gridCol w:w="4582"/>
      </w:tblGrid>
      <w:tr>
        <w:tblPrEx>
          <w:tblW w:w="851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产品名称</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杭银理财幸福99丰裕固收23033期（稳利低波款）理财C款</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理财产品代码</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FYG23033C</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产品登记编码</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Z7002223000037</w:t>
            </w:r>
            <w:r>
              <w:rPr>
                <w:sz w:val="24"/>
              </w:rPr>
              <w:t xml:space="preserve">（可在中国理财网 www.chinawealth.com.cn 查询产品信息） </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产品起始日期</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2023-02-16</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产品终止日期</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2024-08-12</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产品存续天数</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543</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highlight w:val="none"/>
              </w:rPr>
            </w:pPr>
            <w:r>
              <w:rPr>
                <w:rFonts w:asciiTheme="minorEastAsia" w:eastAsiaTheme="minorEastAsia" w:hAnsiTheme="minorEastAsia" w:cstheme="minorEastAsia" w:hint="eastAsia"/>
                <w:sz w:val="24"/>
                <w:szCs w:val="22"/>
                <w:highlight w:val="none"/>
              </w:rPr>
              <w:t>产品</w:t>
            </w:r>
            <w:r>
              <w:rPr>
                <w:rFonts w:asciiTheme="minorEastAsia" w:hAnsiTheme="minorEastAsia" w:cstheme="minorEastAsia" w:hint="eastAsia"/>
                <w:sz w:val="24"/>
                <w:szCs w:val="22"/>
                <w:highlight w:val="none"/>
                <w:lang w:val="en-US" w:eastAsia="zh-CN"/>
              </w:rPr>
              <w:t>累计</w:t>
            </w:r>
            <w:r>
              <w:rPr>
                <w:rFonts w:asciiTheme="minorEastAsia" w:eastAsiaTheme="minorEastAsia" w:hAnsiTheme="minorEastAsia" w:cstheme="minorEastAsia" w:hint="eastAsia"/>
                <w:sz w:val="24"/>
                <w:szCs w:val="22"/>
                <w:highlight w:val="none"/>
              </w:rPr>
              <w:t>净值</w:t>
            </w:r>
          </w:p>
        </w:tc>
        <w:tc>
          <w:tcPr>
            <w:tcW w:w="4582" w:type="dxa"/>
            <w:vAlign w:val="center"/>
          </w:tcPr>
          <w:p>
            <w:pPr>
              <w:rPr>
                <w:rFonts w:asciiTheme="minorEastAsia" w:eastAsiaTheme="minorEastAsia" w:hAnsiTheme="minorEastAsia" w:cstheme="minorEastAsia" w:hint="eastAsia"/>
                <w:sz w:val="24"/>
                <w:highlight w:val="none"/>
              </w:rPr>
            </w:pPr>
            <w:r>
              <w:rPr>
                <w:rFonts w:asciiTheme="minorEastAsia" w:eastAsiaTheme="minorEastAsia" w:hAnsiTheme="minorEastAsia" w:cstheme="minorEastAsia" w:hint="eastAsia"/>
                <w:sz w:val="24"/>
                <w:highlight w:val="none"/>
              </w:rPr>
              <w:t>1.0647</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default"/>
                <w:sz w:val="24"/>
                <w:szCs w:val="22"/>
                <w:highlight w:val="none"/>
                <w:lang w:val="en-US" w:eastAsia="zh-CN"/>
              </w:rPr>
            </w:pPr>
            <w:r>
              <w:rPr>
                <w:rFonts w:asciiTheme="minorEastAsia" w:eastAsiaTheme="minorEastAsia" w:hAnsiTheme="minorEastAsia" w:cstheme="minorEastAsia" w:hint="eastAsia"/>
                <w:sz w:val="24"/>
                <w:szCs w:val="22"/>
                <w:highlight w:val="none"/>
              </w:rPr>
              <w:t>产品到期兑付净值</w:t>
            </w:r>
          </w:p>
        </w:tc>
        <w:tc>
          <w:tcPr>
            <w:tcW w:w="4582" w:type="dxa"/>
            <w:vAlign w:val="center"/>
          </w:tcPr>
          <w:p>
            <w:pPr>
              <w:rPr>
                <w:rFonts w:asciiTheme="minorEastAsia" w:eastAsiaTheme="minorEastAsia" w:hAnsiTheme="minorEastAsia" w:cstheme="minorEastAsia" w:hint="eastAsia"/>
                <w:sz w:val="24"/>
                <w:highlight w:val="none"/>
              </w:rPr>
            </w:pPr>
            <w:r>
              <w:rPr>
                <w:rFonts w:asciiTheme="minorEastAsia" w:eastAsiaTheme="minorEastAsia" w:hAnsiTheme="minorEastAsia" w:cstheme="minorEastAsia" w:hint="eastAsia"/>
                <w:sz w:val="24"/>
                <w:highlight w:val="none"/>
              </w:rPr>
              <w:t>1.0647</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业绩比较基准</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4.30%</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折合年化收益率</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4.3490</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固定管理费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0.30%</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销售服务费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0.20%</w:t>
            </w:r>
            <w:bookmarkStart w:id="0" w:name="_GoBack"/>
            <w:bookmarkEnd w:id="0"/>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浮动管理费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80.00%</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托管费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0.025</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其他费用</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0.00%</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收益分配情况（单位：万元）</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4565.80</w:t>
            </w:r>
          </w:p>
        </w:tc>
      </w:tr>
    </w:tbl>
    <w:p>
      <w:pPr>
        <w:rPr>
          <w:rFonts w:asciiTheme="minorEastAsia" w:eastAsiaTheme="minorEastAsia" w:hAnsiTheme="minorEastAsia" w:cstheme="minorEastAsia" w:hint="eastAsia"/>
          <w:sz w:val="24"/>
          <w:szCs w:val="22"/>
        </w:rPr>
      </w:pPr>
    </w:p>
    <w:p>
      <w:pPr>
        <w:ind w:firstLine="560" w:firstLineChars="200"/>
        <w:rPr>
          <w:rFonts w:asciiTheme="minorEastAsia" w:hAnsiTheme="minorEastAsia" w:cstheme="minorEastAsia" w:hint="eastAsia"/>
          <w:sz w:val="28"/>
          <w:szCs w:val="24"/>
        </w:rPr>
      </w:pPr>
      <w:r>
        <w:rPr>
          <w:rFonts w:asciiTheme="minorEastAsia" w:hAnsiTheme="minorEastAsia" w:cstheme="minorEastAsia" w:hint="eastAsia"/>
          <w:sz w:val="28"/>
          <w:szCs w:val="24"/>
        </w:rPr>
        <w:t>特此公告。</w:t>
      </w:r>
    </w:p>
    <w:p>
      <w:pPr>
        <w:rPr>
          <w:rFonts w:asciiTheme="minorEastAsia" w:hAnsiTheme="minorEastAsia" w:cstheme="minorEastAsia" w:hint="eastAsia"/>
          <w:sz w:val="24"/>
        </w:rPr>
      </w:pPr>
    </w:p>
    <w:p>
      <w:pPr>
        <w:rPr>
          <w:rFonts w:asciiTheme="minorEastAsia" w:hAnsiTheme="minorEastAsia" w:cstheme="minorEastAsia" w:hint="eastAsia"/>
          <w:sz w:val="24"/>
        </w:rPr>
      </w:pPr>
      <w:r>
        <w:rPr>
          <w:rFonts w:asciiTheme="minorEastAsia" w:hAnsiTheme="minorEastAsia" w:cstheme="minorEastAsia" w:hint="eastAsia"/>
          <w:sz w:val="24"/>
        </w:rPr>
        <w:t>注：</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理财计划财产在管理、运用、处分过程中产生的税费（包括但不限于增值税及相应的附加税费等），由理财计划财产承担；产品管理人对该等税费无垫付义务。前述税费（包括但不限于增值税及相应附加税费）的计算、提取及缴纳，由产品管理人按照应税行为发生时有效的相关法律法规的规定执行。支付给客户的理财收益的应纳税款由客户自行申报及缴纳。</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托管费：原则上按日计提，逐日累计</w:t>
      </w:r>
      <w:r>
        <w:rPr>
          <w:rFonts w:asciiTheme="minorEastAsia" w:hAnsiTheme="minorEastAsia" w:cstheme="minorEastAsia" w:hint="eastAsia"/>
          <w:sz w:val="24"/>
          <w:lang w:val="en-US" w:eastAsia="zh-CN"/>
        </w:rPr>
        <w:t>至到期日</w:t>
      </w:r>
      <w:r>
        <w:rPr>
          <w:rFonts w:asciiTheme="minorEastAsia" w:hAnsiTheme="minorEastAsia" w:cstheme="minorEastAsia" w:hint="eastAsia"/>
          <w:sz w:val="24"/>
        </w:rPr>
        <w:t>从理财计划财产中扣除。</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固定管理费：原则上按日计提，逐日累计</w:t>
      </w:r>
      <w:r>
        <w:rPr>
          <w:rFonts w:asciiTheme="minorEastAsia" w:hAnsiTheme="minorEastAsia" w:cstheme="minorEastAsia" w:hint="eastAsia"/>
          <w:sz w:val="24"/>
          <w:lang w:val="en-US" w:eastAsia="zh-CN"/>
        </w:rPr>
        <w:t>至到期日</w:t>
      </w:r>
      <w:r>
        <w:rPr>
          <w:rFonts w:asciiTheme="minorEastAsia" w:hAnsiTheme="minorEastAsia" w:cstheme="minorEastAsia" w:hint="eastAsia"/>
          <w:sz w:val="24"/>
        </w:rPr>
        <w:t>从理财计划财产中扣除。</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固定管理费、销售服务费、托管费、其他费用为对应费用的收取费率。浮动管理费为产品实际业绩超出产品说明书中约定的提取标准后，管理人对超出部分收取的超额业绩报酬比例。</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各期理财产品详细信息可根据产品登记编码登陆中国理财网进行查询。</w:t>
      </w:r>
    </w:p>
    <w:p>
      <w:pPr>
        <w:ind w:left="360"/>
        <w:jc w:val="right"/>
        <w:rPr>
          <w:rFonts w:ascii="仿宋_GB2312" w:eastAsia="仿宋_GB2312" w:hAnsi="仿宋_GB2312" w:cs="仿宋_GB2312" w:hint="eastAsia"/>
          <w:sz w:val="24"/>
        </w:rPr>
      </w:pPr>
    </w:p>
    <w:p>
      <w:pPr>
        <w:ind w:left="360"/>
        <w:jc w:val="right"/>
        <w:rPr>
          <w:rFonts w:ascii="仿宋_GB2312" w:eastAsia="仿宋_GB2312" w:hAnsi="仿宋_GB2312" w:cs="仿宋_GB2312" w:hint="eastAsia"/>
          <w:sz w:val="28"/>
          <w:szCs w:val="28"/>
        </w:rPr>
      </w:pPr>
    </w:p>
    <w:p>
      <w:pPr>
        <w:ind w:left="360"/>
        <w:jc w:val="right"/>
        <w:rPr>
          <w:rFonts w:asciiTheme="minorEastAsia" w:hAnsiTheme="minorEastAsia" w:cstheme="minorEastAsia" w:hint="eastAsia"/>
          <w:sz w:val="28"/>
          <w:szCs w:val="28"/>
        </w:rPr>
      </w:pPr>
      <w:r>
        <w:rPr>
          <w:rFonts w:asciiTheme="minorEastAsia" w:hAnsiTheme="minorEastAsia" w:cstheme="minorEastAsia" w:hint="eastAsia"/>
          <w:sz w:val="28"/>
          <w:szCs w:val="28"/>
        </w:rPr>
        <w:t>杭银理财有限责任公司</w:t>
      </w:r>
    </w:p>
    <w:p>
      <w:pPr>
        <w:jc w:val="right"/>
        <w:rPr>
          <w:rFonts w:asciiTheme="minorEastAsia" w:hAnsiTheme="minorEastAsia" w:cstheme="minorEastAsia" w:hint="eastAsia"/>
          <w:sz w:val="28"/>
          <w:szCs w:val="28"/>
        </w:rPr>
      </w:pPr>
      <w:r>
        <w:rPr>
          <w:rFonts w:asciiTheme="minorEastAsia" w:hAnsiTheme="minorEastAsia" w:cstheme="minorEastAsia" w:hint="eastAsia"/>
          <w:sz w:val="28"/>
          <w:szCs w:val="28"/>
        </w:rPr>
        <w:t>2024年8月13日</w:t>
      </w:r>
    </w:p>
    <w:sectPr>
      <w:headerReference w:type="default" r:id="rId5"/>
      <w:pgSz w:w="11906" w:h="16838"/>
      <w:pgMar w:top="2551" w:right="1803" w:bottom="2551" w:left="1803" w:header="851" w:footer="992" w:gutter="0"/>
      <w:cols w:num="1" w:space="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Pr>
    <w: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71810"/>
          <wp:effectExtent l="0" t="0" r="0" b="15240"/>
          <wp:wrapNone/>
          <wp:docPr id="5" name="WordPictureWatermark140627" descr="微信图片_2022081714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40627" descr="微信图片_20220817144322"/>
                  <pic:cNvPicPr>
                    <a:picLocks noChangeAspect="1"/>
                  </pic:cNvPicPr>
                </pic:nvPicPr>
                <pic:blipFill>
                  <a:blip xmlns:r="http://schemas.openxmlformats.org/officeDocument/2006/relationships" r:embed="rId1"/>
                  <a:stretch>
                    <a:fillRect/>
                  </a:stretch>
                </pic:blipFill>
                <pic:spPr>
                  <a:xfrm>
                    <a:off x="0" y="0"/>
                    <a:ext cx="7543800" cy="106718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D3811CC"/>
    <w:multiLevelType w:val="multilevel"/>
    <w:tmpl w:val="1D3811C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doNotDisplayPageBoundaries/>
  <w:embedSystemFonts/>
  <w:bordersDoNotSurroundHeader/>
  <w:bordersDoNotSurroundFooter/>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87052B"/>
    <w:rsid w:val="001E34DE"/>
    <w:rsid w:val="00200A72"/>
    <w:rsid w:val="00603D57"/>
    <w:rsid w:val="00632F14"/>
    <w:rsid w:val="0073172D"/>
    <w:rsid w:val="00C47DF8"/>
    <w:rsid w:val="00D00D6A"/>
    <w:rsid w:val="050F5184"/>
    <w:rsid w:val="0AB0656E"/>
    <w:rsid w:val="0CB459D4"/>
    <w:rsid w:val="151D7E14"/>
    <w:rsid w:val="18462C74"/>
    <w:rsid w:val="190B63BC"/>
    <w:rsid w:val="1F0A0FE5"/>
    <w:rsid w:val="1F48553E"/>
    <w:rsid w:val="21F964F5"/>
    <w:rsid w:val="28362D7D"/>
    <w:rsid w:val="2AB67C98"/>
    <w:rsid w:val="3286081F"/>
    <w:rsid w:val="3BF50A6E"/>
    <w:rsid w:val="3C231661"/>
    <w:rsid w:val="3E174A3C"/>
    <w:rsid w:val="3ED86525"/>
    <w:rsid w:val="3F221A4C"/>
    <w:rsid w:val="3FC04F0B"/>
    <w:rsid w:val="447B660D"/>
    <w:rsid w:val="462266D9"/>
    <w:rsid w:val="4C4A04BD"/>
    <w:rsid w:val="50B7489E"/>
    <w:rsid w:val="50DC0E7A"/>
    <w:rsid w:val="548E4345"/>
    <w:rsid w:val="595715BE"/>
    <w:rsid w:val="5A7F5A78"/>
    <w:rsid w:val="600F7924"/>
    <w:rsid w:val="612B75BF"/>
    <w:rsid w:val="661D745C"/>
    <w:rsid w:val="6687052B"/>
    <w:rsid w:val="6B6670CE"/>
    <w:rsid w:val="6D5B6E8B"/>
    <w:rsid w:val="6D623B7E"/>
    <w:rsid w:val="6E683E61"/>
    <w:rsid w:val="78026722"/>
    <w:rsid w:val="79337090"/>
    <w:rsid w:val="7EA037DA"/>
    <w:rsid w:val="7EF7C949"/>
  </w:rsids>
  <w:docVars>
    <w:docVar w:name="commondata" w:val="eyJoZGlkIjoiMDZlY2ZiYmExOWJmOTY5NWFmNzQwOWFhNmE0ZjgxMT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paragraph" w:styleId="Heading1">
    <w:name w:val="heading 1"/>
    <w:basedOn w:val="Normal"/>
    <w:next w:val="Normal"/>
    <w:qFormat/>
    <w:pPr>
      <w:keepNext/>
      <w:keepLines/>
      <w:spacing w:line="400" w:lineRule="exact"/>
      <w:jc w:val="center"/>
      <w:outlineLvl w:val="0"/>
    </w:pPr>
    <w:rPr>
      <w:rFonts w:ascii="Times New Roman" w:eastAsia="宋体" w:hAnsi="Times New Roman"/>
      <w:b/>
      <w:kern w:val="44"/>
      <w:sz w:val="24"/>
    </w:rPr>
  </w:style>
  <w:style w:type="paragraph" w:styleId="Heading2">
    <w:name w:val="heading 2"/>
    <w:basedOn w:val="Normal"/>
    <w:next w:val="Normal"/>
    <w:unhideWhenUsed/>
    <w:qFormat/>
    <w:pPr>
      <w:keepNext/>
      <w:keepLines/>
      <w:spacing w:line="400" w:lineRule="exact"/>
      <w:jc w:val="left"/>
      <w:outlineLvl w:val="1"/>
    </w:pPr>
    <w:rPr>
      <w:rFonts w:ascii="Arial" w:eastAsia="宋体" w:hAnsi="Arial"/>
      <w:b/>
    </w:rPr>
  </w:style>
  <w:style w:type="paragraph" w:styleId="Heading3">
    <w:name w:val="heading 3"/>
    <w:basedOn w:val="Normal"/>
    <w:next w:val="Normal"/>
    <w:unhideWhenUsed/>
    <w:qFormat/>
    <w:pPr>
      <w:keepNext/>
      <w:keepLines/>
      <w:spacing w:line="400" w:lineRule="exact"/>
      <w:jc w:val="left"/>
      <w:outlineLvl w:val="2"/>
    </w:pPr>
    <w:rPr>
      <w:rFonts w:ascii="Times New Roman" w:eastAsia="宋体" w:hAnsi="Times New Roman"/>
      <w:b/>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CommentText">
    <w:name w:val="annotation text"/>
    <w:basedOn w:val="Normal"/>
    <w:qFormat/>
    <w:pPr>
      <w:jc w:val="left"/>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TableGrid">
    <w:name w:val="Table Grid"/>
    <w:basedOn w:val="TableNormal"/>
    <w:uiPriority w:val="9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kf1806</cp:lastModifiedBy>
  <cp:revision>3</cp:revision>
  <dcterms:created xsi:type="dcterms:W3CDTF">2022-08-17T14:47:00Z</dcterms:created>
  <dcterms:modified xsi:type="dcterms:W3CDTF">2023-11-14T11:54:57Z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156FBEF45315492997A928A82EDAEB25</vt:lpwstr>
  </property>
  <property fmtid="{D5CDD505-2E9C-101B-9397-08002B2CF9AE}" pid="3" name="KSOProductBuildVer">
    <vt:lpwstr>2052-11.8.2.8411</vt:lpwstr>
  </property>
</Properties>
</file>