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jc w:val="center"/>
        <w:rPr>
          <w:rFonts w:ascii="黑体" w:hAnsi="黑体" w:eastAsia="黑体"/>
          <w:b/>
          <w:sz w:val="28"/>
          <w:szCs w:val="28"/>
        </w:rPr>
      </w:pPr>
      <w:r>
        <w:rPr>
          <w:rFonts w:hint="eastAsia" w:ascii="黑体" w:hAnsi="黑体" w:eastAsia="黑体"/>
          <w:b/>
          <w:sz w:val="28"/>
          <w:szCs w:val="28"/>
        </w:rPr>
        <w:t>兴银理财</w:t>
      </w:r>
      <w:permStart w:id="0" w:edGrp="everyone"/>
      <w:r>
        <w:rPr>
          <w:rFonts w:hint="eastAsia" w:ascii="黑体" w:hAnsi="黑体" w:eastAsia="黑体"/>
          <w:b/>
          <w:sz w:val="28"/>
          <w:szCs w:val="28"/>
        </w:rPr>
        <w:t>【稳利丰收封闭式固收类】</w:t>
      </w:r>
      <w:permEnd w:id="0"/>
      <w:r>
        <w:rPr>
          <w:rFonts w:hint="eastAsia" w:ascii="黑体" w:hAnsi="黑体" w:eastAsia="黑体"/>
          <w:b/>
          <w:sz w:val="28"/>
          <w:szCs w:val="28"/>
        </w:rPr>
        <w:t>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8"/>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5"/>
              <w:spacing w:line="320" w:lineRule="exact"/>
              <w:rPr>
                <w:rFonts w:ascii="宋体" w:hAnsi="宋体"/>
                <w:b/>
                <w:bCs/>
                <w:sz w:val="28"/>
                <w:szCs w:val="28"/>
              </w:rPr>
            </w:pPr>
          </w:p>
        </w:tc>
      </w:tr>
      <w:tr>
        <w:trPr>
          <w:cantSplit/>
          <w:trHeight w:val="170" w:hRule="exact"/>
          <w:jc w:val="center"/>
        </w:trPr>
        <w:tc>
          <w:tcPr>
            <w:tcW w:w="7598" w:type="dxa"/>
            <w:gridSpan w:val="6"/>
            <w:shd w:val="pct10" w:color="A5A5A5" w:themeColor="background1" w:themeShade="A6" w:fill="A5A5A5" w:themeFill="background1" w:themeFillShade="A6"/>
            <w:vAlign w:val="center"/>
          </w:tcPr>
          <w:p>
            <w:pPr>
              <w:pStyle w:val="5"/>
              <w:spacing w:line="320" w:lineRule="exact"/>
              <w:rPr>
                <w:rFonts w:ascii="宋体" w:hAnsi="宋体"/>
                <w:b/>
                <w:bCs/>
                <w:sz w:val="28"/>
                <w:szCs w:val="28"/>
              </w:rPr>
            </w:pPr>
          </w:p>
        </w:tc>
      </w:tr>
      <w:tr>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permStart w:id="1" w:edGrp="everyone" w:colFirst="3" w:colLast="3"/>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permEnd w:id="1"/>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2" w:edGrp="everyone" w:colFirst="3" w:colLast="3"/>
            <w:permStart w:id="3" w:edGrp="everyone" w:colFirst="5" w:colLast="5"/>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permEnd w:id="2"/>
      <w:permEnd w:id="3"/>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4" w:edGrp="everyone" w:colFirst="3" w:colLast="3"/>
            <w:permStart w:id="5" w:edGrp="everyone" w:colFirst="5" w:colLast="5"/>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permEnd w:id="4"/>
      <w:permEnd w:id="5"/>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6" w:edGrp="everyone" w:colFirst="3" w:colLast="3"/>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permEnd w:id="6"/>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7" w:edGrp="everyone" w:colFirst="3" w:colLast="3"/>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permEnd w:id="7"/>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8" w:edGrp="everyone" w:colFirst="3" w:colLast="3"/>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8"/>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9" w:edGrp="everyone" w:colFirst="3" w:colLast="3"/>
            <w:permStart w:id="10" w:edGrp="everyone" w:colFirst="5" w:colLast="5"/>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9"/>
      <w:permEnd w:id="10"/>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1" w:edGrp="everyone" w:colFirst="3" w:colLast="3"/>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1"/>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2" w:edGrp="everyone" w:colFirst="3" w:colLast="3"/>
            <w:permStart w:id="13" w:edGrp="everyone" w:colFirst="5" w:colLast="5"/>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2"/>
      <w:permEnd w:id="13"/>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4" w:edGrp="everyone" w:colFirst="3" w:colLast="3"/>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4"/>
      <w:tr>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ermStart w:id="15" w:edGrp="everyone" w:colFirst="3" w:colLast="3"/>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5"/>
      <w:tr>
        <w:trPr>
          <w:trHeight w:val="170" w:hRule="exact"/>
          <w:jc w:val="center"/>
        </w:trPr>
        <w:tc>
          <w:tcPr>
            <w:tcW w:w="7598" w:type="dxa"/>
            <w:gridSpan w:val="6"/>
            <w:shd w:val="pct10" w:color="FFFFFF" w:fill="A5A5A5" w:themeFill="background1" w:themeFillShade="A6"/>
            <w:vAlign w:val="center"/>
          </w:tcPr>
          <w:p>
            <w:pPr>
              <w:pStyle w:val="5"/>
              <w:pBdr>
                <w:bottom w:val="none" w:color="auto" w:sz="0" w:space="0"/>
              </w:pBdr>
              <w:spacing w:line="320" w:lineRule="exact"/>
              <w:rPr>
                <w:rFonts w:ascii="宋体" w:hAnsi="宋体"/>
                <w:b/>
                <w:bCs/>
                <w:sz w:val="28"/>
                <w:szCs w:val="28"/>
              </w:rPr>
            </w:pPr>
          </w:p>
        </w:tc>
      </w:tr>
      <w:tr>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permStart w:id="16" w:edGrp="everyone"/>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ermEnd w:id="16"/>
          </w:p>
        </w:tc>
      </w:tr>
      <w:tr>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permStart w:id="17" w:edGrp="everyone"/>
            <w:r>
              <w:rPr>
                <w:rFonts w:hint="eastAsia" w:ascii="宋体" w:hAnsi="宋体"/>
                <w:bCs/>
                <w:sz w:val="18"/>
                <w:szCs w:val="18"/>
              </w:rPr>
              <w:t>【</w:t>
            </w:r>
            <w:r>
              <w:rPr>
                <w:rFonts w:hint="eastAsia" w:ascii="宋体" w:hAnsi="宋体"/>
                <w:bCs/>
                <w:color w:val="FF0000"/>
                <w:sz w:val="18"/>
                <w:szCs w:val="18"/>
              </w:rPr>
              <w:t>浙江新昌农村商业银行股份有限公司</w:t>
            </w:r>
            <w:r>
              <w:rPr>
                <w:rFonts w:hint="eastAsia" w:ascii="宋体" w:hAnsi="宋体"/>
                <w:bCs/>
                <w:sz w:val="18"/>
                <w:szCs w:val="18"/>
              </w:rPr>
              <w:t>】</w:t>
            </w:r>
            <w:permEnd w:id="17"/>
          </w:p>
        </w:tc>
      </w:tr>
      <w:tr>
        <w:trPr>
          <w:trHeight w:val="375" w:hRule="atLeas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1720" w:type="dxa"/>
            <w:gridSpan w:val="2"/>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tcBorders>
              <w:bottom w:val="single" w:color="auto" w:sz="12" w:space="0"/>
            </w:tcBorders>
            <w:shd w:val="solid" w:color="FFFFFF" w:fill="FFFFFF"/>
            <w:vAlign w:val="center"/>
          </w:tcPr>
          <w:p>
            <w:pPr>
              <w:pStyle w:val="15"/>
              <w:jc w:val="both"/>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FF0000"/>
                <w:sz w:val="18"/>
                <w:szCs w:val="18"/>
                <w:highlight w:val="none"/>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hint="eastAsia" w:asciiTheme="majorEastAsia" w:hAnsiTheme="majorEastAsia" w:eastAsiaTheme="majorEastAsia"/>
                <w:bCs/>
                <w:sz w:val="18"/>
                <w:szCs w:val="18"/>
              </w:rPr>
              <w:t>】</w:t>
            </w:r>
            <w:permEnd w:id="18"/>
          </w:p>
        </w:tc>
      </w:tr>
      <w:tr>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rPr>
          <w:trHeight w:val="402" w:hRule="atLeast"/>
          <w:jc w:val="center"/>
        </w:trPr>
        <w:tc>
          <w:tcPr>
            <w:tcW w:w="817" w:type="dxa"/>
            <w:shd w:val="solid" w:color="FFFFFF" w:fill="FFFFFF"/>
            <w:vAlign w:val="center"/>
          </w:tcPr>
          <w:p>
            <w:pPr>
              <w:pStyle w:val="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permStart w:id="19" w:edGrp="everyone"/>
            <w:r>
              <w:rPr>
                <w:rFonts w:ascii="宋体" w:hAnsi="宋体"/>
                <w:u w:val="single"/>
              </w:rPr>
              <w:t xml:space="preserve">　                     </w:t>
            </w:r>
            <w:permEnd w:id="19"/>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乙方销售性质</w:t>
      </w:r>
    </w:p>
    <w:p>
      <w:pPr>
        <w:widowControl/>
        <w:spacing w:line="360" w:lineRule="auto"/>
        <w:jc w:val="left"/>
        <w:rPr>
          <w:rFonts w:ascii="黑体" w:hAnsi="黑体" w:eastAsia="黑体" w:cs="仿宋_GB2312"/>
          <w:kern w:val="0"/>
          <w:sz w:val="18"/>
          <w:szCs w:val="18"/>
        </w:rPr>
      </w:pPr>
      <w:permStart w:id="20"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直销适用</w:t>
      </w:r>
    </w:p>
    <w:permEnd w:id="20"/>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pPr>
        <w:widowControl/>
        <w:spacing w:line="360" w:lineRule="auto"/>
        <w:jc w:val="left"/>
        <w:rPr>
          <w:rFonts w:ascii="黑体" w:hAnsi="黑体" w:eastAsia="黑体" w:cs="仿宋_GB2312"/>
          <w:kern w:val="0"/>
          <w:sz w:val="18"/>
          <w:szCs w:val="18"/>
        </w:rPr>
      </w:pPr>
      <w:permStart w:id="21"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代销适用</w:t>
      </w:r>
    </w:p>
    <w:permEnd w:id="21"/>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permStart w:id="22"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5</w:t>
      </w:r>
      <w:r>
        <w:rPr>
          <w:rFonts w:hint="eastAsia" w:ascii="宋体" w:hAnsi="宋体" w:cs="仿宋_GB2312"/>
          <w:kern w:val="0"/>
          <w:sz w:val="18"/>
          <w:szCs w:val="18"/>
        </w:rPr>
        <w:t>】</w:t>
      </w:r>
      <w:permEnd w:id="22"/>
      <w:r>
        <w:rPr>
          <w:rFonts w:hint="eastAsia" w:ascii="宋体" w:hAnsi="宋体" w:cs="仿宋_GB2312"/>
          <w:kern w:val="0"/>
          <w:sz w:val="18"/>
          <w:szCs w:val="18"/>
        </w:rPr>
        <w:t>个风险等级</w:t>
      </w:r>
      <w:r>
        <w:rPr>
          <w:rFonts w:ascii="宋体" w:hAnsi="宋体" w:cs="仿宋_GB2312"/>
          <w:kern w:val="0"/>
          <w:sz w:val="18"/>
          <w:szCs w:val="18"/>
        </w:rPr>
        <w:t>：</w:t>
      </w:r>
      <w:permStart w:id="23" w:edGrp="everyone"/>
      <w:r>
        <w:rPr>
          <w:rFonts w:hint="eastAsia" w:ascii="宋体" w:hAnsi="宋体" w:cs="仿宋_GB2312"/>
          <w:kern w:val="0"/>
          <w:sz w:val="18"/>
          <w:szCs w:val="18"/>
        </w:rPr>
        <w:t>【</w:t>
      </w:r>
      <w:r>
        <w:rPr>
          <w:rFonts w:hint="eastAsia" w:ascii="宋体" w:hAnsi="宋体" w:cs="仿宋_GB2312"/>
          <w:color w:val="FF0000"/>
          <w:kern w:val="0"/>
          <w:sz w:val="18"/>
          <w:szCs w:val="18"/>
        </w:rPr>
        <w:t>低风险、中低风险、中风险、中高风险、高风险</w:t>
      </w:r>
      <w:r>
        <w:rPr>
          <w:rFonts w:hint="eastAsia" w:ascii="宋体" w:hAnsi="宋体" w:cs="仿宋_GB2312"/>
          <w:kern w:val="0"/>
          <w:sz w:val="18"/>
          <w:szCs w:val="18"/>
        </w:rPr>
        <w:t>】</w:t>
      </w:r>
      <w:permEnd w:id="23"/>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乙方将投资者风险承受能力分为若干</w:t>
      </w:r>
      <w:r>
        <w:rPr>
          <w:rFonts w:hint="eastAsia" w:ascii="宋体" w:hAnsi="宋体" w:cs="仿宋_GB2312"/>
          <w:kern w:val="0"/>
          <w:sz w:val="18"/>
          <w:szCs w:val="18"/>
        </w:rPr>
        <w:t>等级。</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15"/>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pPr>
        <w:widowControl/>
        <w:spacing w:line="360" w:lineRule="auto"/>
        <w:jc w:val="left"/>
        <w:rPr>
          <w:rFonts w:asciiTheme="majorEastAsia" w:hAnsiTheme="majorEastAsia" w:eastAsiaTheme="majorEastAsia"/>
          <w:sz w:val="18"/>
          <w:szCs w:val="18"/>
        </w:rPr>
      </w:pPr>
      <w:permStart w:id="24" w:edGrp="everyone"/>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w:t>
      </w:r>
      <w:permEnd w:id="24"/>
      <w:r>
        <w:rPr>
          <w:rFonts w:hint="eastAsia" w:asciiTheme="majorEastAsia" w:hAnsiTheme="majorEastAsia" w:eastAsiaTheme="majorEastAsia"/>
          <w:sz w:val="18"/>
          <w:szCs w:val="18"/>
        </w:rPr>
        <w:t>参照本条第（1）款非机构投资者要求执行；</w:t>
      </w:r>
    </w:p>
    <w:p>
      <w:pPr>
        <w:widowControl/>
        <w:spacing w:line="360" w:lineRule="auto"/>
        <w:jc w:val="left"/>
        <w:rPr>
          <w:rFonts w:asciiTheme="majorEastAsia" w:hAnsiTheme="majorEastAsia" w:eastAsiaTheme="majorEastAsia"/>
          <w:sz w:val="18"/>
          <w:szCs w:val="18"/>
        </w:rPr>
      </w:pPr>
      <w:bookmarkStart w:id="0" w:name="_GoBack"/>
      <w:bookmarkEnd w:id="0"/>
      <w:permStart w:id="25" w:edGrp="everyone"/>
      <w:r>
        <w:rPr>
          <w:rFonts w:hint="eastAsia" w:asciiTheme="majorEastAsia" w:hAnsiTheme="majorEastAsia" w:eastAsiaTheme="majorEastAsia"/>
          <w:sz w:val="18"/>
          <w:szCs w:val="18"/>
        </w:rPr>
        <w:sym w:font="Wingdings 2" w:char="0052"/>
      </w:r>
      <w:r>
        <w:rPr>
          <w:rFonts w:hint="eastAsia" w:asciiTheme="majorEastAsia" w:hAnsiTheme="majorEastAsia" w:eastAsiaTheme="majorEastAsia"/>
          <w:sz w:val="18"/>
          <w:szCs w:val="18"/>
        </w:rPr>
        <w:t xml:space="preserve"> </w:t>
      </w:r>
      <w:permEnd w:id="25"/>
      <w:r>
        <w:rPr>
          <w:rFonts w:hint="eastAsia" w:asciiTheme="majorEastAsia" w:hAnsiTheme="majorEastAsia" w:eastAsiaTheme="majorEastAsia"/>
          <w:sz w:val="18"/>
          <w:szCs w:val="18"/>
        </w:rPr>
        <w:t>其他：</w:t>
      </w:r>
      <w:permStart w:id="26" w:edGrp="everyone"/>
      <w:r>
        <w:rPr>
          <w:rFonts w:hint="eastAsia" w:asciiTheme="majorEastAsia" w:hAnsiTheme="majorEastAsia" w:eastAsiaTheme="majorEastAsia"/>
          <w:sz w:val="18"/>
          <w:szCs w:val="18"/>
          <w:u w:val="single"/>
        </w:rPr>
        <w:t xml:space="preserve">                               。</w:t>
      </w:r>
      <w:permEnd w:id="26"/>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sz w:val="18"/>
          <w:szCs w:val="18"/>
        </w:rPr>
        <w:t>有权处分的合法资金</w:t>
      </w:r>
      <w:r>
        <w:rPr>
          <w:rFonts w:hint="eastAsia" w:ascii="宋体" w:hAnsi="宋体" w:cs="仿宋_GB2312"/>
          <w:kern w:val="0"/>
          <w:sz w:val="18"/>
          <w:szCs w:val="18"/>
        </w:rPr>
        <w:t>，不存在使用贷款、发行债券等筹集的非自有资金投资的情况，投资行为符合法律法规及相关监管部门的规定。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9、甲方在此同意并授权乙方有权根据甲方</w:t>
      </w:r>
      <w:r>
        <w:rPr>
          <w:rFonts w:hint="eastAsia" w:ascii="黑体" w:hAnsi="黑体" w:eastAsia="黑体" w:cs="仿宋_GB2312"/>
          <w:kern w:val="0"/>
          <w:sz w:val="18"/>
          <w:szCs w:val="18"/>
        </w:rPr>
        <w:t>所勾选的业务申请类型对甲方相关资金账户进行资金划扣等相关操作。</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10、对于甲方通过乙方的网上银行、手机银行、可视柜台等线</w:t>
      </w:r>
      <w:r>
        <w:rPr>
          <w:rFonts w:hint="eastAsia" w:ascii="黑体" w:hAnsi="黑体" w:eastAsia="黑体" w:cs="仿宋_GB2312"/>
          <w:kern w:val="0"/>
          <w:sz w:val="18"/>
          <w:szCs w:val="18"/>
        </w:rPr>
        <w:t>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11、甲方在此确认乙方业务申请和办理</w:t>
      </w:r>
      <w:r>
        <w:rPr>
          <w:rFonts w:hint="eastAsia" w:ascii="黑体" w:hAnsi="黑体" w:eastAsia="黑体" w:cs="仿宋_GB2312"/>
          <w:kern w:val="0"/>
          <w:sz w:val="18"/>
          <w:szCs w:val="18"/>
        </w:rPr>
        <w:t>的系统记录以及录音、录像等</w:t>
      </w:r>
      <w:r>
        <w:rPr>
          <w:rFonts w:ascii="黑体" w:hAnsi="黑体" w:eastAsia="黑体" w:cs="仿宋_GB2312"/>
          <w:kern w:val="0"/>
          <w:sz w:val="18"/>
          <w:szCs w:val="18"/>
        </w:rPr>
        <w:t>信息</w:t>
      </w:r>
      <w:r>
        <w:rPr>
          <w:rFonts w:hint="eastAsia" w:ascii="黑体" w:hAnsi="黑体" w:eastAsia="黑体" w:cs="仿宋_GB2312"/>
          <w:kern w:val="0"/>
          <w:sz w:val="18"/>
          <w:szCs w:val="18"/>
        </w:rPr>
        <w:t>构成对甲方操作行为（包括但不限于认购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、赎回）的终局证据，甲方同意乙方上述记录行为，并且在甲方和乙方或产品</w:t>
      </w:r>
      <w:r>
        <w:rPr>
          <w:rFonts w:ascii="黑体" w:hAnsi="黑体" w:eastAsia="黑体" w:cs="仿宋_GB2312"/>
          <w:kern w:val="0"/>
          <w:sz w:val="18"/>
          <w:szCs w:val="18"/>
        </w:rPr>
        <w:t>管理人</w:t>
      </w:r>
      <w:r>
        <w:rPr>
          <w:rFonts w:hint="eastAsia" w:ascii="黑体" w:hAnsi="黑体" w:eastAsia="黑体" w:cs="仿宋_GB2312"/>
          <w:kern w:val="0"/>
          <w:sz w:val="18"/>
          <w:szCs w:val="18"/>
        </w:rPr>
        <w:t>发生争议时可以作为合法有效的证据使用。甲方同意并授权乙方采取有效措施和技术手段记录营销推介、产品风险和关键信息提示、投资者确认和反馈等重点销售环节。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1、本协议在履行过程中发生的争议，由甲乙双方协商解决，协商不成的，任何一方可向乙方住所地</w:t>
      </w:r>
      <w:r>
        <w:rPr>
          <w:rFonts w:hint="eastAsia" w:ascii="黑体" w:hAnsi="黑体" w:eastAsia="黑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1)甲方已经收到所购买乙方销售的理财产品的《投资协议书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rPr>
          <w:trHeight w:val="1014"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ascii="宋体" w:hAnsi="宋体"/>
          <w:b/>
          <w:sz w:val="18"/>
          <w:szCs w:val="18"/>
        </w:r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
    <w:p/>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w:panose1 w:val="020B0704020202020204"/>
    <w:charset w:val="00"/>
    <w:family w:val="swiss"/>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rPr>
      <w:t xml:space="preserve">                             </w:t>
    </w:r>
    <w:r>
      <w:t xml:space="preserve">    </w:t>
    </w:r>
    <w:r>
      <w:rPr>
        <w:rFonts w:hint="eastAsia"/>
      </w:rPr>
      <w:t xml:space="preserve"> </w:t>
    </w:r>
    <w:r>
      <w:t xml:space="preserve">                    </w:t>
    </w:r>
    <w:r>
      <w:rPr>
        <w:rFonts w:hint="eastAsia" w:ascii="Times New Roman" w:hAnsi="Times New Roman" w:eastAsia="宋体" w:cs="Times New Roman"/>
        <w:b/>
        <w:szCs w:val="20"/>
      </w:rPr>
      <w:t>（代理）销售协议书</w:t>
    </w:r>
  </w:p>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1"/>
  <w:bordersDoNotSurroundFooter w:val="1"/>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 w:val="95DB7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0"/>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2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unhideWhenUsed/>
    <w:qFormat/>
    <w:uiPriority w:val="0"/>
    <w:rPr>
      <w:sz w:val="21"/>
      <w:szCs w:val="21"/>
    </w:r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6">
    <w:name w:val="批注文字 Char"/>
    <w:basedOn w:val="10"/>
    <w:link w:val="2"/>
    <w:qFormat/>
    <w:uiPriority w:val="99"/>
    <w:rPr>
      <w:rFonts w:ascii="Calibri" w:hAnsi="Calibri" w:eastAsia="宋体" w:cs="宋体"/>
    </w:rPr>
  </w:style>
  <w:style w:type="character" w:customStyle="1" w:styleId="17">
    <w:name w:val="批注主题 Char"/>
    <w:basedOn w:val="16"/>
    <w:link w:val="7"/>
    <w:semiHidden/>
    <w:qFormat/>
    <w:uiPriority w:val="99"/>
    <w:rPr>
      <w:rFonts w:ascii="Calibri" w:hAnsi="Calibri" w:eastAsia="宋体" w:cs="宋体"/>
      <w:b/>
      <w:bCs/>
    </w:rPr>
  </w:style>
  <w:style w:type="character" w:customStyle="1" w:styleId="18">
    <w:name w:val="批注框文本 Char"/>
    <w:basedOn w:val="10"/>
    <w:link w:val="3"/>
    <w:semiHidden/>
    <w:qFormat/>
    <w:uiPriority w:val="99"/>
    <w:rPr>
      <w:rFonts w:ascii="Calibri" w:hAnsi="Calibri" w:eastAsia="宋体" w:cs="宋体"/>
      <w:sz w:val="18"/>
      <w:szCs w:val="18"/>
    </w:rPr>
  </w:style>
  <w:style w:type="paragraph" w:styleId="19">
    <w:name w:val="List Paragraph"/>
    <w:basedOn w:val="1"/>
    <w:qFormat/>
    <w:uiPriority w:val="34"/>
    <w:pPr>
      <w:ind w:firstLine="420" w:firstLineChars="200"/>
    </w:pPr>
  </w:style>
  <w:style w:type="character" w:customStyle="1" w:styleId="20">
    <w:name w:val="HTML 预设格式 Char"/>
    <w:basedOn w:val="10"/>
    <w:link w:val="6"/>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652</Words>
  <Characters>3718</Characters>
  <Lines>30</Lines>
  <Paragraphs>8</Paragraphs>
  <TotalTime>0</TotalTime>
  <ScaleCrop>false</ScaleCrop>
  <LinksUpToDate>false</LinksUpToDate>
  <CharactersWithSpaces>4362</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2023-10-31T21:04:00Z</dcterms:created>
  <dc:creator>胡骁潇</dc:creator>
  <cp:lastModifiedBy>Lee</cp:lastModifiedBy>
  <dcterms:modified xsi:type="dcterms:W3CDTF">2024-09-01T19:57:23Z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DCAA966F15694DFBAAE5A22BB81990CC</vt:lpwstr>
  </property>
</Properties>
</file>