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pPr>
      <w:bookmarkStart w:id="0" w:name="_Hlk142658372"/>
      <w:r>
        <w:rPr>
          <w:rFonts w:hint="eastAsia" w:ascii="黑体" w:hAnsi="楷体_GB2312" w:eastAsia="黑体" w:cs="黑体"/>
          <w:b/>
          <w:bCs/>
          <w:color w:val="000000" w:themeColor="text1"/>
          <w14:textFill>
            <w14:solidFill>
              <w14:schemeClr w14:val="tx1"/>
            </w14:solidFill>
          </w14:textFill>
        </w:rPr>
        <w:t>信银理财理财产品风险揭示书</w:t>
      </w:r>
    </w:p>
    <w:p>
      <w:pPr>
        <w:spacing w:line="300" w:lineRule="exact"/>
        <w:ind w:left="-821" w:leftChars="-342" w:right="-792" w:rightChars="-330"/>
        <w:jc w:val="center"/>
        <w:rPr>
          <w:rFonts w:ascii="楷体_GB2312" w:eastAsia="楷体_GB2312"/>
          <w:color w:val="000000" w:themeColor="text1"/>
          <w14:textFill>
            <w14:solidFill>
              <w14:schemeClr w14:val="tx1"/>
            </w14:solidFill>
          </w14:textFill>
        </w:rPr>
      </w:pPr>
      <w:r>
        <w:rPr>
          <w:rFonts w:ascii="黑体" w:eastAsia="黑体"/>
          <w:b/>
          <w:bCs/>
          <w:color w:val="000000" w:themeColor="text1"/>
          <w14:textFill>
            <w14:solidFill>
              <w14:schemeClr w14:val="tx1"/>
            </w14:solidFill>
          </w14:textFill>
        </w:rPr>
        <w:t> </w:t>
      </w:r>
    </w:p>
    <w:p>
      <w:pPr>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尊敬的客户：</w:t>
      </w:r>
      <w:r>
        <w:rPr>
          <w:rFonts w:ascii="楷体_GB2312" w:hAnsi="Arial" w:eastAsia="楷体_GB2312" w:cs="楷体_GB2312"/>
          <w:color w:val="000000" w:themeColor="text1"/>
          <w14:textFill>
            <w14:solidFill>
              <w14:schemeClr w14:val="tx1"/>
            </w14:solidFill>
          </w14:textFill>
        </w:rPr>
        <w:t xml:space="preserve"> </w:t>
      </w:r>
    </w:p>
    <w:p>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理财资金管理运用过程中，可能会面临多种风险因素，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的含义，请您认真阅读本理财产品说明书中相应的风险揭示部分。</w:t>
      </w:r>
    </w:p>
    <w:p>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themeColor="text1"/>
          <w14:textFill>
            <w14:solidFill>
              <w14:schemeClr w14:val="tx1"/>
            </w14:solidFill>
          </w14:textFill>
        </w:rPr>
        <w:t>。</w:t>
      </w:r>
    </w:p>
    <w:p>
      <w:pPr>
        <w:ind w:firstLine="480" w:firstLineChars="200"/>
        <w:jc w:val="both"/>
        <w:rPr>
          <w:rFonts w:ascii="楷体_GB2312" w:eastAsia="楷体_GB2312"/>
          <w:color w:val="000000" w:themeColor="text1"/>
          <w14:textFill>
            <w14:solidFill>
              <w14:schemeClr w14:val="tx1"/>
            </w14:solidFill>
          </w14:textFill>
        </w:rPr>
      </w:pPr>
    </w:p>
    <w:p>
      <w:pPr>
        <w:ind w:firstLine="480" w:firstLineChars="200"/>
        <w:jc w:val="both"/>
        <w:rPr>
          <w:rFonts w:ascii="楷体_GB2312" w:hAnsi="Arial" w:eastAsia="楷体_GB2312" w:cs="楷体_GB2312"/>
          <w:color w:val="000000" w:themeColor="text1"/>
          <w:highlight w:val="yellow"/>
          <w14:textFill>
            <w14:solidFill>
              <w14:schemeClr w14:val="tx1"/>
            </w14:solidFill>
          </w14:textFill>
        </w:rPr>
      </w:pPr>
      <w:r>
        <w:rPr>
          <w:rFonts w:hint="eastAsia" w:ascii="Arial" w:hAnsi="Arial" w:eastAsia="楷体_GB2312" w:cs="楷体_GB2312"/>
          <w:color w:val="000000" w:themeColor="text1"/>
          <w14:textFill>
            <w14:solidFill>
              <w14:schemeClr w14:val="tx1"/>
            </w14:solidFill>
          </w14:textFill>
        </w:rPr>
        <w:t>本理财产品名称为</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rPr>
        <w:t>信银理财安盈象固收稳健七天持有期39号理财产品</w:t>
      </w:r>
      <w:r>
        <w:rPr>
          <w:rFonts w:ascii="楷体_GB2312" w:hAnsi="楷体_GB2312" w:eastAsia="楷体_GB2312" w:cs="楷体_GB2312"/>
          <w:b/>
          <w:bCs/>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，产品代码为【</w:t>
      </w:r>
      <w:r>
        <w:rPr>
          <w:rFonts w:ascii="楷体_GB2312" w:hAnsi="Arial" w:eastAsia="楷体_GB2312" w:cs="楷体_GB2312"/>
          <w:color w:val="000000" w:themeColor="text1"/>
          <w14:textFill>
            <w14:solidFill>
              <w14:schemeClr w14:val="tx1"/>
            </w14:solidFill>
          </w14:textFill>
        </w:rPr>
        <w:t>AF246823</w:t>
      </w:r>
      <w:r>
        <w:rPr>
          <w:rFonts w:hint="eastAsia" w:ascii="楷体_GB2312" w:hAnsi="Arial" w:eastAsia="楷体_GB2312" w:cs="楷体_GB2312"/>
          <w:color w:val="000000" w:themeColor="text1"/>
          <w14:textFill>
            <w14:solidFill>
              <w14:schemeClr w14:val="tx1"/>
            </w14:solidFill>
          </w14:textFill>
        </w:rPr>
        <w:t>】，类型为【公募】、【固定收益类</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、【开放</w:t>
      </w:r>
      <w:r>
        <w:rPr>
          <w:rFonts w:ascii="楷体_GB2312" w:hAnsi="Arial" w:eastAsia="楷体_GB2312" w:cs="楷体_GB2312"/>
          <w:color w:val="000000" w:themeColor="text1"/>
          <w14:textFill>
            <w14:solidFill>
              <w14:schemeClr w14:val="tx1"/>
            </w14:solidFill>
          </w14:textFill>
        </w:rPr>
        <w:t>式</w:t>
      </w:r>
      <w:r>
        <w:rPr>
          <w:rFonts w:hint="eastAsia" w:ascii="楷体_GB2312" w:hAnsi="Arial" w:eastAsia="楷体_GB2312" w:cs="楷体_GB2312"/>
          <w:color w:val="000000" w:themeColor="text1"/>
          <w14:textFill>
            <w14:solidFill>
              <w14:schemeClr w14:val="tx1"/>
            </w14:solidFill>
          </w14:textFill>
        </w:rPr>
        <w:t>】产品，产品无固定期限，风险评级为【PR2】，适合购买客户为风险承受能力为【稳健型】及以上的客户。【固定收益类产品仅是按照投资性质分类，并非指收益固定或保本。】</w:t>
      </w:r>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0" w:firstLineChars="200"/>
        <w:jc w:val="both"/>
        <w:rPr>
          <w:rFonts w:ascii="楷体_GB2312" w:hAnsi="Arial" w:eastAsia="楷体_GB2312"/>
          <w:color w:val="000000" w:themeColor="text1"/>
          <w14:textFill>
            <w14:solidFill>
              <w14:schemeClr w14:val="tx1"/>
            </w14:solidFill>
          </w14:textFill>
        </w:rPr>
      </w:pPr>
      <w:r>
        <w:rPr>
          <w:rFonts w:hint="eastAsia" w:ascii="黑体" w:hAnsi="Times New Roman" w:eastAsia="黑体" w:cs="黑体"/>
          <w:color w:val="000000" w:themeColor="text1"/>
          <w14:textFill>
            <w14:solidFill>
              <w14:schemeClr w14:val="tx1"/>
            </w14:solidFill>
          </w14:textFill>
        </w:rPr>
        <w:t>重要提示</w:t>
      </w:r>
      <w:r>
        <w:rPr>
          <w:rFonts w:hint="eastAsia" w:ascii="楷体_GB2312" w:hAnsi="Arial" w:eastAsia="楷体_GB2312" w:cs="楷体_GB2312"/>
          <w:color w:val="000000" w:themeColor="text1"/>
          <w14:textFill>
            <w14:solidFill>
              <w14:schemeClr w14:val="tx1"/>
            </w14:solidFill>
          </w14:textFill>
        </w:rPr>
        <w:t>：信银理财</w:t>
      </w:r>
      <w:r>
        <w:rPr>
          <w:rFonts w:ascii="楷体_GB2312" w:hAnsi="Arial" w:eastAsia="楷体_GB2312" w:cs="楷体_GB2312"/>
          <w:color w:val="000000" w:themeColor="text1"/>
          <w14:textFill>
            <w14:solidFill>
              <w14:schemeClr w14:val="tx1"/>
            </w14:solidFill>
          </w14:textFill>
        </w:rPr>
        <w:t>作为本理财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管理人承诺以诚实守信、</w:t>
      </w:r>
      <w:r>
        <w:rPr>
          <w:rFonts w:hint="eastAsia" w:ascii="楷体_GB2312" w:hAnsi="Arial" w:eastAsia="楷体_GB2312" w:cs="楷体_GB2312"/>
          <w:color w:val="000000" w:themeColor="text1"/>
          <w14:textFill>
            <w14:solidFill>
              <w14:schemeClr w14:val="tx1"/>
            </w14:solidFill>
          </w14:textFill>
        </w:rPr>
        <w:t>勤勉</w:t>
      </w:r>
      <w:r>
        <w:rPr>
          <w:rFonts w:ascii="楷体_GB2312" w:hAnsi="Arial" w:eastAsia="楷体_GB2312" w:cs="楷体_GB2312"/>
          <w:color w:val="000000" w:themeColor="text1"/>
          <w14:textFill>
            <w14:solidFill>
              <w14:schemeClr w14:val="tx1"/>
            </w14:solidFill>
          </w14:textFill>
        </w:rPr>
        <w:t>尽职的原则管理和运用理财产品</w:t>
      </w:r>
      <w:r>
        <w:rPr>
          <w:rFonts w:hint="eastAsia" w:ascii="楷体_GB2312" w:hAnsi="Arial" w:eastAsia="楷体_GB2312" w:cs="楷体_GB2312"/>
          <w:color w:val="000000" w:themeColor="text1"/>
          <w14:textFill>
            <w14:solidFill>
              <w14:schemeClr w14:val="tx1"/>
            </w14:solidFill>
          </w14:textFill>
        </w:rPr>
        <w:t>资金</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但</w:t>
      </w:r>
      <w:r>
        <w:rPr>
          <w:rFonts w:ascii="楷体_GB2312" w:hAnsi="Arial" w:eastAsia="楷体_GB2312" w:cs="楷体_GB2312"/>
          <w:b/>
          <w:color w:val="000000" w:themeColor="text1"/>
          <w14:textFill>
            <w14:solidFill>
              <w14:schemeClr w14:val="tx1"/>
            </w14:solidFill>
          </w14:textFill>
        </w:rPr>
        <w:t>不保证</w:t>
      </w:r>
      <w:r>
        <w:rPr>
          <w:rFonts w:hint="eastAsia" w:ascii="楷体_GB2312" w:hAnsi="Arial" w:eastAsia="楷体_GB2312" w:cs="楷体_GB2312"/>
          <w:b/>
          <w:color w:val="000000" w:themeColor="text1"/>
          <w14:textFill>
            <w14:solidFill>
              <w14:schemeClr w14:val="tx1"/>
            </w14:solidFill>
          </w14:textFill>
        </w:rPr>
        <w:t>本金和</w:t>
      </w:r>
      <w:r>
        <w:rPr>
          <w:rFonts w:ascii="楷体_GB2312" w:hAnsi="Arial" w:eastAsia="楷体_GB2312" w:cs="楷体_GB2312"/>
          <w:b/>
          <w:color w:val="000000" w:themeColor="text1"/>
          <w14:textFill>
            <w14:solidFill>
              <w14:schemeClr w14:val="tx1"/>
            </w14:solidFill>
          </w14:textFill>
        </w:rPr>
        <w:t>收益，您可能因市场变动</w:t>
      </w:r>
      <w:r>
        <w:rPr>
          <w:rFonts w:hint="eastAsia" w:ascii="楷体_GB2312" w:hAnsi="Arial" w:eastAsia="楷体_GB2312" w:cs="楷体_GB2312"/>
          <w:b/>
          <w:color w:val="000000" w:themeColor="text1"/>
          <w14:textFill>
            <w14:solidFill>
              <w14:schemeClr w14:val="tx1"/>
            </w14:solidFill>
          </w14:textFill>
        </w:rPr>
        <w:t>而</w:t>
      </w:r>
      <w:r>
        <w:rPr>
          <w:rFonts w:ascii="楷体_GB2312" w:hAnsi="Arial" w:eastAsia="楷体_GB2312" w:cs="楷体_GB2312"/>
          <w:b/>
          <w:color w:val="000000" w:themeColor="text1"/>
          <w14:textFill>
            <w14:solidFill>
              <w14:schemeClr w14:val="tx1"/>
            </w14:solidFill>
          </w14:textFill>
        </w:rPr>
        <w:t>损失全部本金</w:t>
      </w:r>
      <w:r>
        <w:rPr>
          <w:rFonts w:hint="eastAsia" w:ascii="楷体_GB2312" w:hAnsi="Arial" w:eastAsia="楷体_GB2312" w:cs="楷体_GB2312"/>
          <w:b/>
          <w:color w:val="000000" w:themeColor="text1"/>
          <w14:textFill>
            <w14:solidFill>
              <w14:schemeClr w14:val="tx1"/>
            </w14:solidFill>
          </w14:textFill>
        </w:rPr>
        <w:t>且</w:t>
      </w:r>
      <w:r>
        <w:rPr>
          <w:rFonts w:ascii="楷体_GB2312" w:hAnsi="Arial" w:eastAsia="楷体_GB2312" w:cs="楷体_GB2312"/>
          <w:b/>
          <w:color w:val="000000" w:themeColor="text1"/>
          <w14:textFill>
            <w14:solidFill>
              <w14:schemeClr w14:val="tx1"/>
            </w14:solidFill>
          </w14:textFill>
        </w:rPr>
        <w:t>无法取得任何收益</w:t>
      </w:r>
      <w:r>
        <w:rPr>
          <w:rFonts w:hint="eastAsia" w:ascii="楷体_GB2312" w:hAnsi="Arial" w:eastAsia="楷体_GB2312" w:cs="楷体_GB2312"/>
          <w:color w:val="000000" w:themeColor="text1"/>
          <w14:textFill>
            <w14:solidFill>
              <w14:schemeClr w14:val="tx1"/>
            </w14:solidFill>
          </w14:textFill>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color w:val="000000" w:themeColor="text1"/>
          <w14:textFill>
            <w14:solidFill>
              <w14:schemeClr w14:val="tx1"/>
            </w14:solidFill>
          </w14:textFill>
        </w:rPr>
        <w:t>信银理财提醒您</w:t>
      </w:r>
      <w:r>
        <w:rPr>
          <w:rFonts w:ascii="楷体_GB2312" w:hAnsi="Arial" w:eastAsia="楷体_GB2312" w:cs="楷体_GB2312"/>
          <w:color w:val="000000" w:themeColor="text1"/>
          <w14:textFill>
            <w14:solidFill>
              <w14:schemeClr w14:val="tx1"/>
            </w14:solidFill>
          </w14:textFill>
        </w:rPr>
        <w:t>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投资</w:t>
      </w:r>
      <w:r>
        <w:rPr>
          <w:rFonts w:hint="eastAsia" w:ascii="楷体_GB2312" w:hAnsi="Arial" w:eastAsia="楷体_GB2312" w:cs="楷体_GB2312"/>
          <w:color w:val="000000" w:themeColor="text1"/>
          <w14:textFill>
            <w14:solidFill>
              <w14:schemeClr w14:val="tx1"/>
            </w14:solidFill>
          </w14:textFill>
        </w:rPr>
        <w:t>风险</w:t>
      </w:r>
      <w:r>
        <w:rPr>
          <w:rFonts w:ascii="楷体_GB2312" w:hAnsi="Arial" w:eastAsia="楷体_GB2312" w:cs="楷体_GB2312"/>
          <w:color w:val="000000" w:themeColor="text1"/>
          <w14:textFill>
            <w14:solidFill>
              <w14:schemeClr w14:val="tx1"/>
            </w14:solidFill>
          </w14:textFill>
        </w:rPr>
        <w:t>由</w:t>
      </w:r>
      <w:r>
        <w:rPr>
          <w:rFonts w:hint="eastAsia" w:ascii="楷体_GB2312" w:hAnsi="Arial" w:eastAsia="楷体_GB2312" w:cs="楷体_GB2312"/>
          <w:color w:val="000000" w:themeColor="text1"/>
          <w14:textFill>
            <w14:solidFill>
              <w14:schemeClr w14:val="tx1"/>
            </w14:solidFill>
          </w14:textFill>
        </w:rPr>
        <w:t>买者自负</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您应充分认识投资风险，谨慎投资！</w:t>
      </w:r>
      <w:r>
        <w:rPr>
          <w:rFonts w:ascii="楷体_GB2312" w:hAnsi="Arial" w:eastAsia="楷体_GB2312"/>
          <w:color w:val="000000" w:themeColor="text1"/>
          <w14:textFill>
            <w14:solidFill>
              <w14:schemeClr w14:val="tx1"/>
            </w14:solidFill>
          </w14:textFill>
        </w:rPr>
        <w:t> </w:t>
      </w:r>
    </w:p>
    <w:p>
      <w:pPr>
        <w:ind w:firstLine="480" w:firstLineChars="200"/>
        <w:jc w:val="both"/>
        <w:rPr>
          <w:rFonts w:ascii="楷体_GB2312" w:hAnsi="Arial" w:eastAsia="楷体_GB2312"/>
          <w:color w:val="000000" w:themeColor="text1"/>
          <w14:textFill>
            <w14:solidFill>
              <w14:schemeClr w14:val="tx1"/>
            </w14:solidFill>
          </w14:textFill>
        </w:rPr>
      </w:pPr>
    </w:p>
    <w:p>
      <w:pPr>
        <w:ind w:firstLine="482" w:firstLineChars="200"/>
        <w:jc w:val="both"/>
        <w:rPr>
          <w:rFonts w:ascii="楷体_GB2312" w:hAnsi="楷体_GB2312" w:eastAsia="楷体_GB2312" w:cs="楷体_GB2312"/>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【示例】：若投资者购买本理财产品，假设理财产品本金为</w:t>
      </w:r>
      <w:r>
        <w:rPr>
          <w:rFonts w:ascii="楷体_GB2312" w:hAnsi="楷体_GB2312" w:eastAsia="楷体_GB2312" w:cs="楷体_GB2312"/>
          <w:b/>
          <w:bCs/>
          <w:color w:val="000000" w:themeColor="text1"/>
          <w14:textFill>
            <w14:solidFill>
              <w14:schemeClr w14:val="tx1"/>
            </w14:solidFill>
          </w14:textFill>
        </w:rPr>
        <w:t>1</w:t>
      </w:r>
      <w:r>
        <w:rPr>
          <w:rFonts w:hint="eastAsia" w:ascii="楷体_GB2312" w:hAnsi="楷体_GB2312" w:eastAsia="楷体_GB2312" w:cs="楷体_GB2312"/>
          <w:b/>
          <w:bCs/>
          <w:color w:val="000000" w:themeColor="text1"/>
          <w14:textFill>
            <w14:solidFill>
              <w14:schemeClr w14:val="tx1"/>
            </w14:solidFill>
          </w14:textFill>
        </w:rPr>
        <w:t>.00亿元，在最不利情况下，理财本金及收益全部损失。</w:t>
      </w:r>
    </w:p>
    <w:p>
      <w:pPr>
        <w:ind w:firstLine="482" w:firstLineChars="200"/>
        <w:jc w:val="both"/>
        <w:rPr>
          <w:rFonts w:ascii="楷体_GB2312" w:hAnsi="楷体_GB2312" w:eastAsia="楷体_GB2312" w:cs="楷体_GB2312"/>
          <w:b/>
          <w:bCs/>
          <w:color w:val="000000" w:themeColor="text1"/>
          <w14:textFill>
            <w14:solidFill>
              <w14:schemeClr w14:val="tx1"/>
            </w14:solidFill>
          </w14:textFill>
        </w:rPr>
      </w:pPr>
    </w:p>
    <w:p>
      <w:pPr>
        <w:ind w:firstLine="482" w:firstLineChars="200"/>
        <w:jc w:val="both"/>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理财非存款</w:t>
      </w:r>
      <w:r>
        <w:rPr>
          <w:rFonts w:ascii="黑体" w:hAnsi="黑体" w:eastAsia="黑体"/>
          <w:b/>
          <w:color w:val="000000" w:themeColor="text1"/>
          <w14:textFill>
            <w14:solidFill>
              <w14:schemeClr w14:val="tx1"/>
            </w14:solidFill>
          </w14:textFill>
        </w:rPr>
        <w:t>、产品</w:t>
      </w:r>
      <w:r>
        <w:rPr>
          <w:rFonts w:hint="eastAsia" w:ascii="黑体" w:hAnsi="黑体" w:eastAsia="黑体"/>
          <w:b/>
          <w:color w:val="000000" w:themeColor="text1"/>
          <w14:textFill>
            <w14:solidFill>
              <w14:schemeClr w14:val="tx1"/>
            </w14:solidFill>
          </w14:textFill>
        </w:rPr>
        <w:t>有</w:t>
      </w:r>
      <w:r>
        <w:rPr>
          <w:rFonts w:ascii="黑体" w:hAnsi="黑体" w:eastAsia="黑体"/>
          <w:b/>
          <w:color w:val="000000" w:themeColor="text1"/>
          <w14:textFill>
            <w14:solidFill>
              <w14:schemeClr w14:val="tx1"/>
            </w14:solidFill>
          </w14:textFill>
        </w:rPr>
        <w:t>风险、投资须谨慎</w:t>
      </w:r>
      <w:r>
        <w:rPr>
          <w:rFonts w:hint="eastAsia" w:ascii="黑体" w:hAnsi="黑体" w:eastAsia="黑体"/>
          <w:b/>
          <w:color w:val="000000" w:themeColor="text1"/>
          <w14:textFill>
            <w14:solidFill>
              <w14:schemeClr w14:val="tx1"/>
            </w14:solidFill>
          </w14:textFill>
        </w:rPr>
        <w:t>！</w:t>
      </w:r>
    </w:p>
    <w:p>
      <w:pPr>
        <w:ind w:firstLine="482" w:firstLineChars="200"/>
        <w:jc w:val="both"/>
        <w:rPr>
          <w:rFonts w:ascii="黑体" w:hAnsi="黑体" w:eastAsia="黑体"/>
          <w:b/>
          <w:color w:val="000000" w:themeColor="text1"/>
          <w14:textFill>
            <w14:solidFill>
              <w14:schemeClr w14:val="tx1"/>
            </w14:solidFill>
          </w14:textFill>
        </w:rPr>
      </w:pPr>
    </w:p>
    <w:p>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如影响您风险承受能力的因素发生变化，请及时告知信银理财或</w:t>
      </w:r>
      <w:r>
        <w:rPr>
          <w:rFonts w:ascii="楷体_GB2312" w:hAnsi="Arial" w:eastAsia="楷体_GB2312" w:cs="楷体_GB2312"/>
          <w:color w:val="000000" w:themeColor="text1"/>
          <w14:textFill>
            <w14:solidFill>
              <w14:schemeClr w14:val="tx1"/>
            </w14:solidFill>
          </w14:textFill>
        </w:rPr>
        <w:t>代销机构</w:t>
      </w:r>
      <w:r>
        <w:rPr>
          <w:rFonts w:hint="eastAsia" w:ascii="楷体_GB2312" w:hAnsi="Arial" w:eastAsia="楷体_GB2312" w:cs="楷体_GB2312"/>
          <w:color w:val="000000" w:themeColor="text1"/>
          <w14:textFill>
            <w14:solidFill>
              <w14:schemeClr w14:val="tx1"/>
            </w14:solidFill>
          </w14:textFill>
        </w:rPr>
        <w:t>并重新进行风险承受能力评估。</w:t>
      </w:r>
      <w:r>
        <w:rPr>
          <w:rFonts w:ascii="楷体_GB2312" w:hAnsi="Arial" w:eastAsia="楷体_GB2312" w:cs="楷体_GB2312"/>
          <w:color w:val="000000" w:themeColor="text1"/>
          <w14:textFill>
            <w14:solidFill>
              <w14:schemeClr w14:val="tx1"/>
            </w14:solidFill>
          </w14:textFill>
        </w:rPr>
        <w:t xml:space="preserve"> </w:t>
      </w:r>
    </w:p>
    <w:p>
      <w:pPr>
        <w:jc w:val="right"/>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风险揭示方：</w:t>
      </w:r>
      <w:r>
        <w:rPr>
          <w:rFonts w:ascii="楷体_GB2312" w:hAnsi="Arial" w:eastAsia="楷体_GB2312" w:cs="楷体_GB2312"/>
          <w:color w:val="000000" w:themeColor="text1"/>
          <w14:textFill>
            <w14:solidFill>
              <w14:schemeClr w14:val="tx1"/>
            </w14:solidFill>
          </w14:textFill>
        </w:rPr>
        <w:t xml:space="preserve"> </w:t>
      </w:r>
      <w:r>
        <w:rPr>
          <w:rFonts w:hint="eastAsia" w:ascii="楷体_GB2312" w:hAnsi="Arial" w:eastAsia="楷体_GB2312" w:cs="楷体_GB2312"/>
          <w:color w:val="000000" w:themeColor="text1"/>
          <w14:textFill>
            <w14:solidFill>
              <w14:schemeClr w14:val="tx1"/>
            </w14:solidFill>
          </w14:textFill>
        </w:rPr>
        <w:t>信银理财有限责任公司</w:t>
      </w:r>
    </w:p>
    <w:p>
      <w:pPr>
        <w:jc w:val="right"/>
        <w:rPr>
          <w:rFonts w:ascii="楷体_GB2312" w:eastAsia="楷体_GB2312"/>
          <w:color w:val="000000" w:themeColor="text1"/>
          <w14:textFill>
            <w14:solidFill>
              <w14:schemeClr w14:val="tx1"/>
            </w14:solidFill>
          </w14:textFill>
        </w:rPr>
      </w:pPr>
    </w:p>
    <w:p>
      <w:pPr>
        <w:rPr>
          <w:rFonts w:ascii="楷体_GB2312" w:hAnsi="Arial" w:eastAsia="楷体_GB2312" w:cs="楷体_GB2312"/>
          <w:b/>
          <w:bCs/>
          <w:color w:val="000000" w:themeColor="text1"/>
          <w:u w:val="single"/>
          <w14:textFill>
            <w14:solidFill>
              <w14:schemeClr w14:val="tx1"/>
            </w14:solidFill>
          </w14:textFill>
        </w:rPr>
      </w:pPr>
    </w:p>
    <w:p>
      <w:pPr>
        <w:jc w:val="center"/>
        <w:rPr>
          <w:rFonts w:ascii="楷体_GB2312" w:hAnsi="Arial" w:eastAsia="楷体_GB2312" w:cs="楷体_GB2312"/>
          <w:b/>
          <w:bCs/>
          <w:color w:val="000000" w:themeColor="text1"/>
          <w:u w:val="single"/>
          <w14:textFill>
            <w14:solidFill>
              <w14:schemeClr w14:val="tx1"/>
            </w14:solidFill>
          </w14:textFill>
        </w:rPr>
      </w:pPr>
    </w:p>
    <w:p>
      <w:pPr>
        <w:jc w:val="center"/>
        <w:rPr>
          <w:rFonts w:ascii="楷体_GB2312" w:eastAsia="楷体_GB2312"/>
          <w:color w:val="000000" w:themeColor="text1"/>
          <w14:textFill>
            <w14:solidFill>
              <w14:schemeClr w14:val="tx1"/>
            </w14:solidFill>
          </w14:textFill>
        </w:rPr>
      </w:pPr>
      <w:r>
        <w:rPr>
          <w:rFonts w:hint="eastAsia" w:ascii="楷体_GB2312" w:hAnsi="Arial" w:eastAsia="楷体_GB2312" w:cs="楷体_GB2312"/>
          <w:b/>
          <w:bCs/>
          <w:color w:val="000000" w:themeColor="text1"/>
          <w:u w:val="single"/>
          <w14:textFill>
            <w14:solidFill>
              <w14:schemeClr w14:val="tx1"/>
            </w14:solidFill>
          </w14:textFill>
        </w:rPr>
        <w:t>客</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户</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确</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认</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栏</w:t>
      </w:r>
    </w:p>
    <w:p>
      <w:pPr>
        <w:pStyle w:val="6"/>
        <w:ind w:firstLine="480" w:firstLineChars="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本人/本单位确认，本人/本单位购买该理财产品为本人/本单位真实的意思表示</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color w:val="000000" w:themeColor="text1"/>
          <w14:textFill>
            <w14:solidFill>
              <w14:schemeClr w14:val="tx1"/>
            </w14:solidFill>
          </w14:textFill>
        </w:rPr>
        <w:t>机构</w:t>
      </w:r>
      <w:r>
        <w:rPr>
          <w:rFonts w:hint="eastAsia" w:ascii="楷体_GB2312" w:hAnsi="Arial" w:eastAsia="楷体_GB2312" w:cs="楷体_GB2312"/>
          <w:color w:val="000000" w:themeColor="text1"/>
          <w14:textFill>
            <w14:solidFill>
              <w14:schemeClr w14:val="tx1"/>
            </w14:solidFill>
          </w14:textFill>
        </w:rPr>
        <w:t>相关业务人员对于理财产品销售文件中限制或排除本人/本单位权利、增加或加重本人/本单位义务或责任以</w:t>
      </w:r>
      <w:bookmarkStart w:id="1" w:name="_GoBack"/>
      <w:bookmarkEnd w:id="1"/>
      <w:r>
        <w:rPr>
          <w:rFonts w:hint="eastAsia" w:ascii="楷体_GB2312" w:hAnsi="Arial" w:eastAsia="楷体_GB2312" w:cs="楷体_GB2312"/>
          <w:color w:val="000000" w:themeColor="text1"/>
          <w14:textFill>
            <w14:solidFill>
              <w14:schemeClr w14:val="tx1"/>
            </w14:solidFill>
          </w14:textFill>
        </w:rPr>
        <w:t>及有关免除或减轻信银理财责任或信银理财单方面拥有某些权利的条款已向本人/本单位予以说明，本人/本单位已完全理解并自愿接受。</w:t>
      </w:r>
      <w:bookmarkEnd w:id="0"/>
    </w:p>
    <w:p>
      <w:pPr>
        <w:pStyle w:val="6"/>
        <w:ind w:firstLine="480" w:firstLineChars="0"/>
        <w:jc w:val="both"/>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本人</w:t>
      </w:r>
      <w:r>
        <w:rPr>
          <w:rFonts w:hint="eastAsia" w:ascii="楷体_GB2312" w:hAnsi="Arial" w:eastAsia="楷体_GB2312" w:cs="楷体_GB2312"/>
          <w:b/>
          <w:color w:val="000000" w:themeColor="text1"/>
          <w14:textFill>
            <w14:solidFill>
              <w14:schemeClr w14:val="tx1"/>
            </w14:solidFill>
          </w14:textFill>
        </w:rPr>
        <w:t>/本单位</w:t>
      </w:r>
      <w:r>
        <w:rPr>
          <w:rFonts w:hint="eastAsia" w:ascii="楷体_GB2312" w:eastAsia="楷体_GB2312"/>
          <w:b/>
          <w:color w:val="000000" w:themeColor="text1"/>
          <w14:textFill>
            <w14:solidFill>
              <w14:schemeClr w14:val="tx1"/>
            </w14:solidFill>
          </w14:textFill>
        </w:rPr>
        <w:t>确认，将向本理财产品销售机构真实提供信息，自主作出认（申</w:t>
      </w:r>
      <w:r>
        <w:rPr>
          <w:rFonts w:ascii="楷体_GB2312" w:eastAsia="楷体_GB2312"/>
          <w:b/>
          <w:color w:val="000000" w:themeColor="text1"/>
          <w14:textFill>
            <w14:solidFill>
              <w14:schemeClr w14:val="tx1"/>
            </w14:solidFill>
          </w14:textFill>
        </w:rPr>
        <w:t>）</w:t>
      </w:r>
      <w:r>
        <w:rPr>
          <w:rFonts w:hint="eastAsia" w:ascii="楷体_GB2312" w:eastAsia="楷体_GB2312"/>
          <w:b/>
          <w:color w:val="000000" w:themeColor="text1"/>
          <w14:textFill>
            <w14:solidFill>
              <w14:schemeClr w14:val="tx1"/>
            </w14:solidFill>
          </w14:textFill>
        </w:rPr>
        <w:t>购/赎回等决定，独立对销售文件进行签字</w:t>
      </w:r>
      <w:r>
        <w:rPr>
          <w:rFonts w:ascii="楷体_GB2312" w:eastAsia="楷体_GB2312"/>
          <w:b/>
          <w:color w:val="000000" w:themeColor="text1"/>
          <w14:textFill>
            <w14:solidFill>
              <w14:schemeClr w14:val="tx1"/>
            </w14:solidFill>
          </w14:textFill>
        </w:rPr>
        <w:t>/盖章确认，自主承担投资风险。本人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拒绝向销售机构提供或者未按照要求提供信息的，销售机构有权告知本人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相应的后果和责任，并有权拒绝向本人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提供销售服务。</w:t>
      </w:r>
    </w:p>
    <w:p>
      <w:pPr>
        <w:pStyle w:val="6"/>
        <w:ind w:firstLine="480" w:firstLineChars="0"/>
        <w:jc w:val="both"/>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本人</w:t>
      </w:r>
      <w:r>
        <w:rPr>
          <w:rFonts w:hint="eastAsia" w:ascii="楷体_GB2312" w:hAnsi="Arial" w:eastAsia="楷体_GB2312" w:cs="楷体_GB2312"/>
          <w:color w:val="000000" w:themeColor="text1"/>
          <w14:textFill>
            <w14:solidFill>
              <w14:schemeClr w14:val="tx1"/>
            </w14:solidFill>
          </w14:textFill>
        </w:rPr>
        <w:t>/本单位</w:t>
      </w:r>
      <w:r>
        <w:rPr>
          <w:rFonts w:hint="eastAsia" w:ascii="楷体_GB2312" w:eastAsia="楷体_GB2312"/>
          <w:color w:val="000000" w:themeColor="text1"/>
          <w14:textFill>
            <w14:solidFill>
              <w14:schemeClr w14:val="tx1"/>
            </w14:solidFill>
          </w14:textFill>
        </w:rPr>
        <w:t>确认</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投资</w:t>
      </w:r>
      <w:r>
        <w:rPr>
          <w:rFonts w:ascii="楷体_GB2312" w:eastAsia="楷体_GB2312"/>
          <w:color w:val="000000" w:themeColor="text1"/>
          <w14:textFill>
            <w14:solidFill>
              <w14:schemeClr w14:val="tx1"/>
            </w14:solidFill>
          </w14:textFill>
        </w:rPr>
        <w:t>本理财产品的</w:t>
      </w:r>
      <w:r>
        <w:rPr>
          <w:rFonts w:hint="eastAsia" w:ascii="楷体_GB2312" w:eastAsia="楷体_GB2312"/>
          <w:color w:val="000000" w:themeColor="text1"/>
          <w14:textFill>
            <w14:solidFill>
              <w14:schemeClr w14:val="tx1"/>
            </w14:solidFill>
          </w14:textFill>
        </w:rPr>
        <w:t>资金非贷款</w:t>
      </w:r>
      <w:r>
        <w:rPr>
          <w:rFonts w:ascii="楷体_GB2312" w:eastAsia="楷体_GB2312"/>
          <w:color w:val="000000" w:themeColor="text1"/>
          <w14:textFill>
            <w14:solidFill>
              <w14:schemeClr w14:val="tx1"/>
            </w14:solidFill>
          </w14:textFill>
        </w:rPr>
        <w:t>、发行债券等募集的非自有资金。</w:t>
      </w:r>
    </w:p>
    <w:p>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本人/本单位确认已阅知客户权益须知，完全清楚理财产品购买流程、风险评估、产品评级含义、信息披露方式及渠道、信银理财及代销机构联系方式及投诉程序等内容。</w:t>
      </w:r>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本人/本单位确认如下：</w:t>
      </w:r>
      <w:r>
        <w:rPr>
          <w:rFonts w:ascii="楷体_GB2312" w:hAnsi="Arial" w:eastAsia="楷体_GB2312" w:cs="楷体_GB2312"/>
          <w:color w:val="000000" w:themeColor="text1"/>
          <w14:textFill>
            <w14:solidFill>
              <w14:schemeClr w14:val="tx1"/>
            </w14:solidFill>
          </w14:textFill>
        </w:rPr>
        <w:t xml:space="preserve"> </w:t>
      </w:r>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理财产品可能委托信银理财的关联方【中信银行股份有限公司、中信百信银行股份有限公司】销售，【中信银行股份有限公司】系信银理财的【唯一股东】，【中信百信银行股份有限公司】系中信银行股份有限公司控股子公司，与信银</w:t>
      </w:r>
      <w:r>
        <w:rPr>
          <w:rFonts w:ascii="楷体_GB2312" w:hAnsi="Arial" w:eastAsia="楷体_GB2312" w:cs="楷体_GB2312"/>
          <w:b/>
          <w:bCs/>
          <w:color w:val="000000" w:themeColor="text1"/>
          <w14:textFill>
            <w14:solidFill>
              <w14:schemeClr w14:val="tx1"/>
            </w14:solidFill>
          </w14:textFill>
        </w:rPr>
        <w:t>理财</w:t>
      </w:r>
      <w:r>
        <w:rPr>
          <w:rFonts w:hint="eastAsia" w:ascii="楷体_GB2312" w:hAnsi="Arial" w:eastAsia="楷体_GB2312" w:cs="楷体_GB2312"/>
          <w:b/>
          <w:bCs/>
          <w:color w:val="000000" w:themeColor="text1"/>
          <w14:textFill>
            <w14:solidFill>
              <w14:schemeClr w14:val="tx1"/>
            </w14:solidFill>
          </w14:textFill>
        </w:rPr>
        <w:t>具有关联关系。信银理财委托【中信银行股份有限公司、中信百信银行股份有限公司】销售本理财产品的，存在关联交易风险，请投资者仔细阅读</w:t>
      </w:r>
      <w:r>
        <w:rPr>
          <w:rFonts w:hint="eastAsia" w:ascii="楷体_GB2312" w:hAnsi="Arial" w:eastAsia="楷体_GB2312" w:cs="楷体_GB2312"/>
          <w:b/>
          <w:color w:val="000000" w:themeColor="text1"/>
          <w14:textFill>
            <w14:solidFill>
              <w14:schemeClr w14:val="tx1"/>
            </w14:solidFill>
          </w14:textFill>
        </w:rPr>
        <w:t>理财产品说明书中相应风险揭示部分</w:t>
      </w:r>
      <w:r>
        <w:rPr>
          <w:rFonts w:hint="eastAsia" w:ascii="楷体_GB2312" w:hAnsi="Arial" w:eastAsia="楷体_GB2312" w:cs="楷体_GB2312"/>
          <w:b/>
          <w:bCs/>
          <w:color w:val="000000" w:themeColor="text1"/>
          <w14:textFill>
            <w14:solidFill>
              <w14:schemeClr w14:val="tx1"/>
            </w14:solidFill>
          </w14:textFill>
        </w:rPr>
        <w:t>。</w:t>
      </w:r>
    </w:p>
    <w:p>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本人/本单位确认，已知悉上述关联交易，愿意承担相应投资风险。</w:t>
      </w:r>
    </w:p>
    <w:p>
      <w:pPr>
        <w:ind w:firstLine="480" w:firstLineChars="200"/>
        <w:jc w:val="both"/>
        <w:rPr>
          <w:color w:val="000000" w:themeColor="text1"/>
          <w14:textFill>
            <w14:solidFill>
              <w14:schemeClr w14:val="tx1"/>
            </w14:solidFill>
          </w14:textFill>
        </w:rPr>
      </w:pPr>
    </w:p>
    <w:p>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本人/本单位风险承受能力评级为（由个人客户本人</w:t>
      </w:r>
      <w:r>
        <w:rPr>
          <w:rFonts w:ascii="楷体_GB2312" w:hAnsi="Arial" w:eastAsia="楷体_GB2312" w:cs="楷体_GB2312"/>
          <w:color w:val="000000" w:themeColor="text1"/>
          <w14:textFill>
            <w14:solidFill>
              <w14:schemeClr w14:val="tx1"/>
            </w14:solidFill>
          </w14:textFill>
        </w:rPr>
        <w:t>/机构客户</w:t>
      </w:r>
      <w:r>
        <w:rPr>
          <w:rFonts w:hint="eastAsia" w:ascii="楷体_GB2312" w:hAnsi="Arial" w:eastAsia="楷体_GB2312" w:cs="楷体_GB2312"/>
          <w:color w:val="000000" w:themeColor="text1"/>
          <w14:textFill>
            <w14:solidFill>
              <w14:schemeClr w14:val="tx1"/>
            </w14:solidFill>
          </w14:textFill>
        </w:rPr>
        <w:t>授权</w:t>
      </w:r>
      <w:r>
        <w:rPr>
          <w:rFonts w:ascii="楷体_GB2312" w:hAnsi="Arial" w:eastAsia="楷体_GB2312" w:cs="楷体_GB2312"/>
          <w:color w:val="000000" w:themeColor="text1"/>
          <w14:textFill>
            <w14:solidFill>
              <w14:schemeClr w14:val="tx1"/>
            </w14:solidFill>
          </w14:textFill>
        </w:rPr>
        <w:t>经办人</w:t>
      </w:r>
      <w:r>
        <w:rPr>
          <w:rFonts w:hint="eastAsia" w:ascii="楷体_GB2312" w:hAnsi="Arial" w:eastAsia="楷体_GB2312" w:cs="楷体_GB2312"/>
          <w:color w:val="000000" w:themeColor="text1"/>
          <w14:textFill>
            <w14:solidFill>
              <w14:schemeClr w14:val="tx1"/>
            </w14:solidFill>
          </w14:textFill>
        </w:rPr>
        <w:t>填写）：</w:t>
      </w:r>
      <w:r>
        <w:rPr>
          <w:rFonts w:ascii="楷体_GB2312" w:hAnsi="Arial" w:eastAsia="楷体_GB2312"/>
          <w:color w:val="000000" w:themeColor="text1"/>
          <w14:textFill>
            <w14:solidFill>
              <w14:schemeClr w14:val="tx1"/>
            </w14:solidFill>
          </w14:textFill>
        </w:rPr>
        <w:t> </w:t>
      </w:r>
      <w:r>
        <w:rPr>
          <w:rFonts w:ascii="Arial" w:hAnsi="Arial" w:cs="Arial"/>
          <w:color w:val="000000" w:themeColor="text1"/>
          <w:sz w:val="18"/>
          <w:szCs w:val="18"/>
          <w14:textFill>
            <w14:solidFill>
              <w14:schemeClr w14:val="tx1"/>
            </w14:solidFill>
          </w14:textFill>
        </w:rPr>
        <w:t> </w:t>
      </w:r>
    </w:p>
    <w:p>
      <w:pPr>
        <w:snapToGrid w:val="0"/>
        <w:jc w:val="both"/>
        <w:rPr>
          <w:rFonts w:ascii="楷体_GB2312" w:eastAsia="楷体_GB2312"/>
          <w:color w:val="000000" w:themeColor="text1"/>
          <w14:textFill>
            <w14:solidFill>
              <w14:schemeClr w14:val="tx1"/>
            </w14:solidFill>
          </w14:textFill>
        </w:rPr>
      </w:pPr>
      <w:r>
        <w:rPr>
          <w:rFonts w:hint="eastAsia" w:ascii="楷体_GB2312"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个人客户本人/机构客户授权经办人需全文抄录以下文字以完成确认</w:t>
      </w:r>
      <w:r>
        <w:rPr>
          <w:rFonts w:hint="eastAsia" w:ascii="楷体_GB2312" w:eastAsia="楷体_GB2312" w:cs="楷体_GB2312"/>
          <w:color w:val="000000" w:themeColor="text1"/>
          <w14:textFill>
            <w14:solidFill>
              <w14:schemeClr w14:val="tx1"/>
            </w14:solidFill>
          </w14:textFill>
        </w:rPr>
        <w:t>：</w:t>
      </w:r>
      <w:r>
        <w:rPr>
          <w:rFonts w:hint="eastAsia" w:ascii="楷体_GB2312" w:eastAsia="楷体_GB2312" w:cs="楷体_GB2312"/>
          <w:b/>
          <w:bCs/>
          <w:color w:val="000000" w:themeColor="text1"/>
          <w14:textFill>
            <w14:solidFill>
              <w14:schemeClr w14:val="tx1"/>
            </w14:solidFill>
          </w14:textFill>
        </w:rPr>
        <w:t>本人</w:t>
      </w:r>
      <w:r>
        <w:rPr>
          <w:rFonts w:ascii="楷体_GB2312" w:hAnsi="Arial" w:eastAsia="楷体_GB2312" w:cs="楷体_GB2312"/>
          <w:b/>
          <w:bCs/>
          <w:color w:val="000000" w:themeColor="text1"/>
          <w14:textFill>
            <w14:solidFill>
              <w14:schemeClr w14:val="tx1"/>
            </w14:solidFill>
          </w14:textFill>
        </w:rPr>
        <w:t>/本单位</w:t>
      </w:r>
      <w:r>
        <w:rPr>
          <w:rFonts w:hint="eastAsia" w:ascii="楷体_GB2312" w:eastAsia="楷体_GB2312" w:cs="楷体_GB2312"/>
          <w:b/>
          <w:bCs/>
          <w:color w:val="000000" w:themeColor="text1"/>
          <w14:textFill>
            <w14:solidFill>
              <w14:schemeClr w14:val="tx1"/>
            </w14:solidFill>
          </w14:textFill>
        </w:rPr>
        <w:t>已经阅读风险揭示，愿意承担投资风险</w:t>
      </w:r>
      <w:r>
        <w:rPr>
          <w:rFonts w:hint="eastAsia" w:ascii="楷体_GB2312" w:eastAsia="楷体_GB2312" w:cs="楷体_GB2312"/>
          <w:color w:val="000000" w:themeColor="text1"/>
          <w14:textFill>
            <w14:solidFill>
              <w14:schemeClr w14:val="tx1"/>
            </w14:solidFill>
          </w14:textFill>
        </w:rPr>
        <w:t>。）</w:t>
      </w:r>
      <w:r>
        <w:rPr>
          <w:rFonts w:ascii="楷体_GB2312" w:eastAsia="楷体_GB2312" w:cs="楷体_GB2312"/>
          <w:color w:val="000000" w:themeColor="text1"/>
          <w14:textFill>
            <w14:solidFill>
              <w14:schemeClr w14:val="tx1"/>
            </w14:solidFill>
          </w14:textFill>
        </w:rPr>
        <w:t xml:space="preserve"> </w:t>
      </w:r>
    </w:p>
    <w:p>
      <w:pPr>
        <w:snapToGrid w:val="0"/>
        <w:rPr>
          <w:rFonts w:ascii="楷体_GB2312" w:eastAsia="楷体_GB2312"/>
          <w:color w:val="000000" w:themeColor="text1"/>
          <w14:textFill>
            <w14:solidFill>
              <w14:schemeClr w14:val="tx1"/>
            </w14:solidFill>
          </w14:textFill>
        </w:rPr>
      </w:pPr>
      <w:r>
        <w:rPr>
          <w:rFonts w:ascii="楷体_GB2312" w:eastAsia="楷体_GB2312"/>
          <w:color w:val="000000" w:themeColor="text1"/>
          <w:u w:val="single"/>
          <w14:textFill>
            <w14:solidFill>
              <w14:schemeClr w14:val="tx1"/>
            </w14:solidFill>
          </w14:textFill>
        </w:rPr>
        <w:t>                                 </w:t>
      </w:r>
    </w:p>
    <w:p>
      <w:pPr>
        <w:snapToGrid w:val="0"/>
        <w:ind w:right="440"/>
        <w:rPr>
          <w:rFonts w:ascii="楷体_GB2312" w:eastAsia="楷体_GB2312" w:cs="楷体_GB2312"/>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个人客户（签字）：                机构客户（盖章）：</w:t>
      </w:r>
    </w:p>
    <w:p>
      <w:pPr>
        <w:snapToGrid w:val="0"/>
        <w:ind w:right="440"/>
        <w:rPr>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                               法定代表人或负责人（签字或签章）：</w:t>
      </w:r>
    </w:p>
    <w:p>
      <w:pPr>
        <w:snapToGrid w:val="0"/>
        <w:ind w:right="44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ind w:right="440"/>
        <w:rPr>
          <w:rFonts w:ascii="黑体" w:hAnsi="Times New Roman" w:eastAsia="黑体" w:cs="Arial"/>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日期：年 月 日                    日期：年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本产品风险评级为【PR2】</w:t>
    </w: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72FAA"/>
    <w:rsid w:val="6F84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2025-02-17T11:31:00Z</dcterms:created>
  <dc:creator>liuyuepeng_hz</dc:creator>
  <cp:lastModifiedBy>陈晨-杭州分行</cp:lastModifiedBy>
  <dcterms:modified xsi:type="dcterms:W3CDTF">2025-02-17T11:33:00Z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D6FFF42635EE43B9B6AD943EACA07141</vt:lpwstr>
  </property>
</Properties>
</file>