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bCs/>
          <w:sz w:val="44"/>
          <w:szCs w:val="44"/>
          <w:highlight w:val="none"/>
        </w:rPr>
      </w:pPr>
      <w:bookmarkStart w:id="0" w:name="_GoBack"/>
      <w:bookmarkEnd w:id="0"/>
      <w:r>
        <w:rPr>
          <w:rFonts w:hint="eastAsia" w:ascii="宋体" w:hAnsi="宋体" w:cs="宋体"/>
          <w:b/>
          <w:bCs/>
          <w:sz w:val="44"/>
          <w:szCs w:val="44"/>
          <w:highlight w:val="none"/>
          <w:lang w:eastAsia="zh-CN"/>
        </w:rPr>
        <w:t>杭银理财丰收天添益开放式1期理财</w:t>
      </w:r>
      <w:r>
        <w:rPr>
          <w:rFonts w:hint="eastAsia" w:ascii="宋体" w:hAnsi="宋体" w:cs="宋体"/>
          <w:b/>
          <w:bCs/>
          <w:sz w:val="44"/>
          <w:szCs w:val="44"/>
          <w:highlight w:val="none"/>
        </w:rPr>
        <w:t>产品说明书</w:t>
      </w:r>
    </w:p>
    <w:p>
      <w:pPr>
        <w:jc w:val="center"/>
        <w:outlineLvl w:val="1"/>
        <w:rPr>
          <w:rFonts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right"/>
        <w:rPr>
          <w:rFonts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〖Z7002224000269〗</w:t>
      </w:r>
    </w:p>
    <w:p>
      <w:pPr>
        <w:spacing w:line="360" w:lineRule="auto"/>
        <w:jc w:val="center"/>
        <w:rPr>
          <w:rFonts w:ascii="宋体" w:hAnsi="宋体" w:cs="宋体"/>
          <w:bCs/>
          <w:sz w:val="24"/>
          <w:highlight w:val="none"/>
        </w:rPr>
      </w:pP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jc w:val="left"/>
        <w:rPr>
          <w:rFonts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val="en-US" w:eastAsia="zh-CN"/>
        </w:rPr>
        <w:t>理财计划</w:t>
      </w:r>
      <w:r>
        <w:rPr>
          <w:rFonts w:hint="eastAsia" w:ascii="宋体" w:hAnsi="宋体" w:cs="宋体"/>
          <w:bCs/>
          <w:sz w:val="24"/>
          <w:highlight w:val="none"/>
        </w:rPr>
        <w:t>风险揭示书》《投资者权益须知》《理财计划投资协议书》《理财计划销售协议书》，将共同构成投资者与管理人之间的理财计划交易合同。</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ascii="宋体" w:hAnsi="宋体" w:cs="宋体"/>
          <w:bCs/>
          <w:sz w:val="24"/>
          <w:highlight w:val="none"/>
        </w:rPr>
      </w:pPr>
    </w:p>
    <w:p>
      <w:pPr>
        <w:numPr>
          <w:ilvl w:val="0"/>
          <w:numId w:val="3"/>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www.hzbankwealth.com.cn</w:t>
      </w:r>
      <w:r>
        <w:rPr>
          <w:rFonts w:hint="eastAsia" w:ascii="宋体" w:hAnsi="宋体" w:cs="宋体"/>
          <w:bCs/>
          <w:color w:val="auto"/>
          <w:kern w:val="2"/>
          <w:highlight w:val="none"/>
          <w:u w:val="single"/>
          <w:lang w:eastAsia="zh-CN"/>
        </w:rPr>
        <w:t>，</w:t>
      </w:r>
      <w:r>
        <w:rPr>
          <w:rFonts w:hint="eastAsia" w:ascii="宋体" w:hAnsi="宋体" w:cs="宋体"/>
          <w:bCs/>
          <w:color w:val="auto"/>
          <w:kern w:val="2"/>
          <w:highlight w:val="none"/>
          <w:u w:val="single"/>
          <w:lang w:val="en-US" w:eastAsia="zh-CN"/>
        </w:rPr>
        <w:t>客服电话：400-8950-999</w:t>
      </w:r>
      <w:r>
        <w:rPr>
          <w:rFonts w:hint="eastAsia" w:ascii="宋体" w:hAnsi="宋体" w:cs="宋体"/>
          <w:bCs/>
          <w:color w:val="auto"/>
          <w:kern w:val="2"/>
          <w:highlight w:val="none"/>
        </w:rPr>
        <w:t>。</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highlight w:val="none"/>
          <w:u w:val="single"/>
        </w:rPr>
        <w:t>www.hzbank.com.cn</w:t>
      </w:r>
      <w:r>
        <w:rPr>
          <w:rFonts w:hint="eastAsia" w:ascii="宋体" w:hAnsi="宋体" w:cs="宋体"/>
          <w:bCs/>
          <w:color w:val="auto"/>
          <w:kern w:val="2"/>
          <w:highlight w:val="none"/>
          <w:u w:val="singl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杭银理财丰收天添益开放式1期理财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杭银理财丰收天添益开放式1期理财合同</w:t>
      </w:r>
      <w:r>
        <w:rPr>
          <w:rFonts w:hint="eastAsia" w:ascii="宋体" w:hAnsi="宋体" w:cs="宋体"/>
          <w:bCs/>
          <w:highlight w:val="none"/>
        </w:rPr>
        <w:t>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天添益（安享优选）5期夜市</w:t>
      </w:r>
      <w:r>
        <w:rPr>
          <w:rFonts w:hint="eastAsia" w:ascii="宋体" w:hAnsi="宋体" w:cs="宋体"/>
          <w:bCs/>
          <w:highlight w:val="none"/>
          <w:lang w:eastAsia="zh-CN"/>
        </w:rPr>
        <w:t>理财合同</w:t>
      </w:r>
      <w:r>
        <w:rPr>
          <w:rFonts w:hint="eastAsia" w:ascii="宋体" w:hAnsi="宋体" w:cs="宋体"/>
          <w:bCs/>
          <w:highlight w:val="none"/>
        </w:rPr>
        <w:t>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杭银理财丰收天添益开放式1期理财合同</w:t>
      </w:r>
      <w:r>
        <w:rPr>
          <w:rFonts w:hint="eastAsia" w:ascii="宋体" w:hAnsi="宋体" w:cs="宋体"/>
          <w:bCs/>
          <w:highlight w:val="none"/>
        </w:rPr>
        <w:t>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天添益（安享优选）5期夜市理财合同</w:t>
      </w:r>
      <w:r>
        <w:rPr>
          <w:rFonts w:hint="eastAsia" w:ascii="宋体" w:hAnsi="宋体" w:cs="宋体"/>
          <w:bCs/>
          <w:color w:val="auto"/>
          <w:kern w:val="2"/>
          <w:highlight w:val="none"/>
        </w:rPr>
        <w:t>不可分割组成部分的理财计划销售协议书，以及对该文件的有效修改与补充。</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指《理财计划产品说明书》《风险揭示书》《投资者权益须知》《理财计划投资协议书》《理财计划销售协议书》五个部分。</w:t>
      </w:r>
    </w:p>
    <w:p>
      <w:pPr>
        <w:pStyle w:val="17"/>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杭银理财丰收天添益开放式1期理财</w:t>
      </w:r>
      <w:r>
        <w:rPr>
          <w:rFonts w:hint="eastAsia" w:ascii="宋体" w:hAnsi="宋体" w:cs="宋体"/>
          <w:bCs/>
          <w:highlight w:val="none"/>
        </w:rPr>
        <w:t>。</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rPr>
          <w:rFonts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rPr>
          <w:rFonts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指理财计划赎回开放期内，投资者向管理人进行理财计划份额卖出的行为。</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adjustRightInd/>
        <w:spacing w:line="360" w:lineRule="auto"/>
        <w:ind w:firstLine="482" w:firstLineChars="200"/>
        <w:rPr>
          <w:rFonts w:hint="eastAsia"/>
          <w:highlight w:val="none"/>
        </w:rPr>
      </w:pPr>
      <w:r>
        <w:rPr>
          <w:rFonts w:hint="eastAsia" w:ascii="宋体" w:hAnsi="宋体" w:cs="宋体"/>
          <w:b/>
          <w:color w:val="auto"/>
          <w:kern w:val="2"/>
          <w:highlight w:val="none"/>
        </w:rPr>
        <w:t>31. 流</w:t>
      </w:r>
      <w:r>
        <w:rPr>
          <w:rFonts w:hint="eastAsia"/>
          <w:b/>
          <w:highlight w:val="none"/>
        </w:rPr>
        <w:t>动性受限资产：</w:t>
      </w:r>
      <w:r>
        <w:rPr>
          <w:rFonts w:hint="eastAsia"/>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adjustRightInd/>
        <w:spacing w:line="360" w:lineRule="auto"/>
        <w:ind w:firstLine="482" w:firstLineChars="200"/>
        <w:rPr>
          <w:rFonts w:ascii="宋体" w:hAnsi="宋体" w:cs="宋体"/>
          <w:b/>
          <w:color w:val="auto"/>
          <w:kern w:val="2"/>
          <w:highlight w:val="none"/>
        </w:rPr>
      </w:pPr>
      <w:r>
        <w:rPr>
          <w:rFonts w:hint="eastAsia" w:ascii="宋体" w:hAnsi="宋体" w:cs="宋体"/>
          <w:b/>
          <w:color w:val="auto"/>
          <w:kern w:val="2"/>
          <w:highlight w:val="none"/>
        </w:rPr>
        <w:t>32. 7</w:t>
      </w:r>
      <w:r>
        <w:rPr>
          <w:rFonts w:hint="eastAsia" w:ascii="宋体" w:hAnsi="宋体" w:cs="宋体"/>
          <w:b/>
          <w:color w:val="auto"/>
          <w:kern w:val="2"/>
          <w:highlight w:val="none"/>
          <w:lang w:val="en-US" w:eastAsia="zh-CN"/>
        </w:rPr>
        <w:t>个</w:t>
      </w:r>
      <w:r>
        <w:rPr>
          <w:rFonts w:hint="eastAsia"/>
          <w:b/>
          <w:bCs/>
          <w:highlight w:val="none"/>
        </w:rPr>
        <w:t>工作日可变现资产：</w:t>
      </w:r>
      <w:r>
        <w:rPr>
          <w:rFonts w:hint="eastAsia"/>
          <w:highlight w:val="none"/>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rPr>
          <w:rFonts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adjustRightInd/>
        <w:spacing w:line="360" w:lineRule="auto"/>
        <w:ind w:firstLine="241" w:firstLineChars="100"/>
        <w:rPr>
          <w:rFonts w:hint="eastAsia" w:ascii="宋体" w:hAnsi="宋体" w:cs="宋体"/>
          <w:b/>
          <w:color w:val="auto"/>
          <w:kern w:val="2"/>
          <w:highlight w:val="none"/>
        </w:rPr>
      </w:pPr>
      <w:r>
        <w:rPr>
          <w:rFonts w:hint="eastAsia" w:ascii="宋体" w:hAnsi="宋体" w:cs="宋体"/>
          <w:b/>
          <w:color w:val="auto"/>
          <w:kern w:val="2"/>
          <w:highlight w:val="none"/>
        </w:rPr>
        <w:t>2. 巨额赎回：指理财计划的申购和赎回开放期内，理财计划任一开放日净赎回申请份额超过上一工作日日终理财计划总份额的〖10%〗，即为发生巨额赎回行为。</w:t>
      </w:r>
    </w:p>
    <w:p>
      <w:pPr>
        <w:pStyle w:val="17"/>
        <w:adjustRightInd/>
        <w:spacing w:line="360" w:lineRule="auto"/>
        <w:rPr>
          <w:rFonts w:ascii="宋体" w:hAnsi="宋体" w:cs="宋体"/>
          <w:bCs/>
          <w:color w:val="auto"/>
          <w:kern w:val="2"/>
          <w:highlight w:val="none"/>
        </w:rPr>
      </w:pPr>
    </w:p>
    <w:p>
      <w:pPr>
        <w:pStyle w:val="17"/>
        <w:numPr>
          <w:ilvl w:val="0"/>
          <w:numId w:val="9"/>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本理财计划的风险等级为〖R2〗，〖中低〗风险。</w:t>
      </w:r>
      <w:r>
        <w:rPr>
          <w:rFonts w:hint="eastAsia" w:ascii="宋体" w:hAnsi="宋体" w:cs="宋体"/>
          <w:bCs/>
          <w:color w:val="auto"/>
          <w:kern w:val="2"/>
          <w:highlight w:val="none"/>
        </w:rPr>
        <w:t>该评级仅是管理人内部测评结果，仅供投资者参考，不具有任何法律约束力。</w:t>
      </w:r>
    </w:p>
    <w:tbl>
      <w:tblPr>
        <w:tblStyle w:val="9"/>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746"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5064"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746"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5064"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kern w:val="2"/>
                <w:highlight w:val="none"/>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
                <w:color w:val="auto"/>
                <w:kern w:val="2"/>
                <w:highlight w:val="none"/>
              </w:rPr>
            </w:pPr>
            <w:r>
              <w:rPr>
                <w:rFonts w:ascii="宋体" w:hAnsi="宋体" w:cs="宋体"/>
                <w:b/>
                <w:color w:val="auto"/>
                <w:kern w:val="2"/>
                <w:highlight w:val="none"/>
              </w:rPr>
              <w:t>R2</w:t>
            </w:r>
          </w:p>
        </w:tc>
        <w:tc>
          <w:tcPr>
            <w:tcW w:w="1746" w:type="dxa"/>
          </w:tcPr>
          <w:p>
            <w:pPr>
              <w:pStyle w:val="17"/>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中低</w:t>
            </w:r>
          </w:p>
        </w:tc>
        <w:tc>
          <w:tcPr>
            <w:tcW w:w="5064" w:type="dxa"/>
          </w:tcPr>
          <w:p>
            <w:pPr>
              <w:pStyle w:val="17"/>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稳健型</w:t>
            </w:r>
            <w:r>
              <w:rPr>
                <w:rFonts w:hint="eastAsia" w:ascii="宋体" w:hAnsi="宋体" w:cs="宋体"/>
                <w:b/>
                <w:kern w:val="2"/>
                <w:highlight w:val="none"/>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746"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5064"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kern w:val="2"/>
                <w:highlight w:val="none"/>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746"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5064"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成长型</w:t>
            </w:r>
            <w:r>
              <w:rPr>
                <w:rFonts w:hint="eastAsia" w:ascii="宋体" w:hAnsi="宋体" w:cs="宋体"/>
                <w:bCs/>
                <w:kern w:val="2"/>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746"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5064"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ascii="宋体" w:hAnsi="宋体" w:cs="宋体"/>
          <w:b/>
          <w:color w:val="auto"/>
          <w:kern w:val="2"/>
          <w:highlight w:val="none"/>
        </w:rPr>
      </w:pPr>
    </w:p>
    <w:p>
      <w:pPr>
        <w:pStyle w:val="17"/>
        <w:numPr>
          <w:ilvl w:val="0"/>
          <w:numId w:val="9"/>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产品要素</w:t>
      </w:r>
    </w:p>
    <w:tbl>
      <w:tblPr>
        <w:tblStyle w:val="9"/>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423"/>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产品名称</w:t>
            </w:r>
          </w:p>
        </w:tc>
        <w:tc>
          <w:tcPr>
            <w:tcW w:w="7281" w:type="dxa"/>
            <w:vAlign w:val="center"/>
          </w:tcPr>
          <w:p>
            <w:pPr>
              <w:widowControl/>
              <w:spacing w:line="360" w:lineRule="auto"/>
              <w:contextualSpacing/>
              <w:rPr>
                <w:rFonts w:hint="eastAsia" w:ascii="宋体" w:hAnsi="宋体" w:eastAsia="宋体" w:cs="宋体"/>
                <w:color w:val="000000"/>
                <w:szCs w:val="21"/>
                <w:highlight w:val="none"/>
                <w:lang w:eastAsia="zh-CN"/>
              </w:rPr>
            </w:pPr>
            <w:r>
              <w:rPr>
                <w:rFonts w:hint="eastAsia" w:ascii="宋体" w:hAnsi="宋体" w:cs="宋体"/>
                <w:szCs w:val="21"/>
                <w:highlight w:val="none"/>
                <w:lang w:eastAsia="zh-CN"/>
              </w:rPr>
              <w:t>杭银理财丰收天添益开放式1期理财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产品</w:t>
            </w:r>
            <w:r>
              <w:rPr>
                <w:rFonts w:hint="eastAsia" w:ascii="宋体" w:hAnsi="宋体" w:cs="宋体"/>
                <w:color w:val="000000"/>
                <w:szCs w:val="21"/>
                <w:highlight w:val="none"/>
                <w:lang w:val="en-US" w:eastAsia="zh-CN"/>
              </w:rPr>
              <w:t>简称</w:t>
            </w:r>
          </w:p>
        </w:tc>
        <w:tc>
          <w:tcPr>
            <w:tcW w:w="7281" w:type="dxa"/>
            <w:vAlign w:val="center"/>
          </w:tcPr>
          <w:p>
            <w:pPr>
              <w:widowControl/>
              <w:spacing w:line="360" w:lineRule="auto"/>
              <w:contextualSpacing/>
              <w:rPr>
                <w:rFonts w:hint="eastAsia" w:ascii="宋体" w:hAnsi="宋体" w:eastAsia="宋体" w:cs="宋体"/>
                <w:szCs w:val="21"/>
                <w:highlight w:val="none"/>
                <w:lang w:val="en-US" w:eastAsia="zh-CN"/>
              </w:rPr>
            </w:pPr>
            <w:r>
              <w:rPr>
                <w:rFonts w:hint="eastAsia" w:ascii="宋体" w:hAnsi="宋体" w:cs="宋体"/>
                <w:szCs w:val="21"/>
                <w:highlight w:val="none"/>
                <w:lang w:eastAsia="zh-CN"/>
              </w:rPr>
              <w:t>丰收天添益</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szCs w:val="21"/>
                <w:highlight w:val="none"/>
              </w:rPr>
            </w:pPr>
            <w:r>
              <w:rPr>
                <w:rFonts w:hint="eastAsia" w:ascii="宋体" w:hAnsi="宋体" w:cs="宋体"/>
                <w:szCs w:val="21"/>
                <w:highlight w:val="none"/>
              </w:rPr>
              <w:t>产品编号</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FS</w:t>
            </w:r>
            <w:r>
              <w:rPr>
                <w:rFonts w:hint="eastAsia" w:ascii="宋体" w:hAnsi="宋体" w:cs="宋体"/>
                <w:szCs w:val="21"/>
                <w:highlight w:val="none"/>
              </w:rPr>
              <w:t>TYG1D</w:t>
            </w:r>
            <w:r>
              <w:rPr>
                <w:rFonts w:hint="eastAsia" w:ascii="宋体" w:hAnsi="宋体" w:cs="宋体"/>
                <w:szCs w:val="21"/>
                <w:highlight w:val="none"/>
                <w:lang w:val="en-US" w:eastAsia="zh-CN"/>
              </w:rPr>
              <w:t>01</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登记编码</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本理财计划在全国银行业理财信息登记系统的登记编码是〖Z7002224000269〗，投资者可依据该编码在“中国理财网（www.chinawealth.com.cn）”查询本理财计划信息。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发行对象</w:t>
            </w:r>
          </w:p>
        </w:tc>
        <w:tc>
          <w:tcPr>
            <w:tcW w:w="7281" w:type="dxa"/>
            <w:vAlign w:val="center"/>
          </w:tcPr>
          <w:p>
            <w:pPr>
              <w:widowControl/>
              <w:spacing w:line="360" w:lineRule="auto"/>
              <w:contextualSpacing/>
              <w:rPr>
                <w:rFonts w:hint="eastAsia" w:ascii="宋体" w:hAnsi="宋体" w:cs="宋体"/>
                <w:b/>
                <w:bCs/>
                <w:color w:val="000000"/>
                <w:sz w:val="21"/>
                <w:szCs w:val="21"/>
                <w:highlight w:val="none"/>
              </w:rPr>
            </w:pPr>
            <w:r>
              <w:rPr>
                <w:rFonts w:hint="eastAsia" w:ascii="宋体" w:hAnsi="宋体" w:cs="宋体"/>
                <w:b/>
                <w:bCs/>
                <w:color w:val="000000"/>
                <w:szCs w:val="21"/>
                <w:highlight w:val="none"/>
              </w:rPr>
              <w:t>本理财计划适合〖机构投资者〗以及〖稳健型、平衡型、成长型、进取型〗的个人投资者。</w:t>
            </w:r>
            <w:r>
              <w:rPr>
                <w:rFonts w:hint="eastAsia" w:ascii="宋体" w:hAnsi="宋体" w:cs="宋体"/>
                <w:b/>
                <w:bCs/>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其中：</w:t>
            </w:r>
          </w:p>
          <w:p>
            <w:pPr>
              <w:widowControl/>
              <w:spacing w:line="360" w:lineRule="auto"/>
              <w:contextualSpacing/>
              <w:rPr>
                <w:rFonts w:hint="eastAsia" w:ascii="宋体" w:hAnsi="宋体" w:cs="宋体"/>
                <w:b w:val="0"/>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A份额（销售代码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FSTYG1D01</w:t>
            </w:r>
            <w:r>
              <w:rPr>
                <w:rFonts w:hint="eastAsia" w:ascii="宋体" w:hAnsi="宋体" w:cs="宋体"/>
                <w:color w:val="000000"/>
                <w:szCs w:val="21"/>
                <w:highlight w:val="none"/>
                <w:lang w:val="en-US" w:eastAsia="zh-CN"/>
              </w:rPr>
              <w:t>A</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r>
              <w:rPr>
                <w:rFonts w:hint="eastAsia" w:ascii="宋体" w:hAnsi="宋体" w:cs="宋体"/>
                <w:b w:val="0"/>
                <w:bCs w:val="0"/>
                <w:color w:val="000000"/>
                <w:sz w:val="21"/>
                <w:szCs w:val="21"/>
                <w:highlight w:val="none"/>
                <w:lang w:val="en-US" w:eastAsia="zh-CN"/>
              </w:rPr>
              <w:t>。</w:t>
            </w:r>
          </w:p>
          <w:p>
            <w:pPr>
              <w:widowControl/>
              <w:spacing w:line="360" w:lineRule="auto"/>
              <w:contextualSpacing/>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B</w:t>
            </w:r>
            <w:r>
              <w:rPr>
                <w:rFonts w:hint="eastAsia" w:ascii="宋体" w:hAnsi="宋体" w:cs="宋体"/>
                <w:bCs w:val="0"/>
                <w:color w:val="000000"/>
                <w:sz w:val="21"/>
                <w:szCs w:val="21"/>
                <w:highlight w:val="none"/>
                <w:lang w:val="en-US" w:eastAsia="zh-CN"/>
              </w:rPr>
              <w:t>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FSTYG1D01</w:t>
            </w:r>
            <w:r>
              <w:rPr>
                <w:rFonts w:hint="eastAsia" w:ascii="宋体" w:hAnsi="宋体" w:cs="宋体"/>
                <w:color w:val="000000"/>
                <w:szCs w:val="21"/>
                <w:highlight w:val="none"/>
                <w:lang w:val="en-US" w:eastAsia="zh-CN"/>
              </w:rPr>
              <w:t>B</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r>
              <w:rPr>
                <w:rFonts w:hint="eastAsia" w:ascii="宋体" w:hAnsi="宋体" w:cs="宋体"/>
                <w:b w:val="0"/>
                <w:bCs w:val="0"/>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发行方式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产品类型</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〖固定收益〗</w:t>
            </w:r>
            <w:r>
              <w:rPr>
                <w:rFonts w:hint="eastAsia" w:ascii="宋体" w:hAnsi="宋体" w:cs="宋体"/>
                <w:color w:val="000000"/>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运作模式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销售范围</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全国</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销售渠道</w:t>
            </w:r>
          </w:p>
        </w:tc>
        <w:tc>
          <w:tcPr>
            <w:tcW w:w="7281" w:type="dxa"/>
            <w:vAlign w:val="center"/>
          </w:tcPr>
          <w:p>
            <w:pPr>
              <w:widowControl/>
              <w:spacing w:line="360" w:lineRule="auto"/>
              <w:contextualSpacing/>
              <w:jc w:val="left"/>
              <w:rPr>
                <w:rFonts w:ascii="宋体" w:hAnsi="宋体" w:cs="宋体"/>
                <w:color w:val="000000"/>
                <w:szCs w:val="21"/>
                <w:highlight w:val="none"/>
              </w:rPr>
            </w:pPr>
            <w:r>
              <w:rPr>
                <w:rFonts w:hint="eastAsia" w:ascii="宋体" w:hAnsi="宋体" w:cs="宋体"/>
                <w:color w:val="000000"/>
                <w:szCs w:val="21"/>
                <w:highlight w:val="none"/>
              </w:rPr>
              <w:t>可通过</w:t>
            </w:r>
            <w:r>
              <w:rPr>
                <w:rFonts w:hint="eastAsia" w:ascii="宋体" w:hAnsi="宋体" w:cs="宋体"/>
                <w:color w:val="000000"/>
                <w:sz w:val="21"/>
                <w:szCs w:val="21"/>
                <w:highlight w:val="none"/>
              </w:rPr>
              <w:t>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Cs w:val="21"/>
                <w:highlight w:val="none"/>
              </w:rPr>
              <w:t>销售机构的</w:t>
            </w:r>
            <w:r>
              <w:rPr>
                <w:rFonts w:hint="eastAsia" w:ascii="宋体" w:hAnsi="宋体" w:cs="宋体"/>
                <w:szCs w:val="21"/>
                <w:highlight w:val="none"/>
              </w:rPr>
              <w:t>〖</w:t>
            </w:r>
            <w:r>
              <w:rPr>
                <w:rFonts w:hint="eastAsia" w:ascii="宋体" w:hAnsi="宋体" w:cs="宋体"/>
                <w:color w:val="000000"/>
                <w:szCs w:val="21"/>
                <w:highlight w:val="none"/>
              </w:rPr>
              <w:t>营业网点、网上银行、手机银行</w:t>
            </w:r>
            <w:r>
              <w:rPr>
                <w:rFonts w:hint="eastAsia" w:ascii="宋体" w:hAnsi="宋体" w:cs="宋体"/>
                <w:szCs w:val="21"/>
                <w:highlight w:val="none"/>
              </w:rPr>
              <w:t>〗</w:t>
            </w:r>
            <w:r>
              <w:rPr>
                <w:rFonts w:hint="eastAsia" w:ascii="宋体" w:hAnsi="宋体" w:cs="宋体"/>
                <w:color w:val="000000"/>
                <w:szCs w:val="21"/>
                <w:highlight w:val="none"/>
              </w:rPr>
              <w:t>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交易币种</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人民币</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发行规模上限</w:t>
            </w:r>
          </w:p>
        </w:tc>
        <w:tc>
          <w:tcPr>
            <w:tcW w:w="7281" w:type="dxa"/>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300</w:t>
            </w:r>
            <w:r>
              <w:rPr>
                <w:rFonts w:hint="eastAsia" w:ascii="宋体" w:hAnsi="宋体" w:cs="宋体"/>
                <w:color w:val="000000"/>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认购期</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认购时间</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认购期首日〖9：00〗至认购结束日〖1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45</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成立日</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理财期限</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无固定期限（实际理财期限受制于管理人</w:t>
            </w:r>
            <w:r>
              <w:rPr>
                <w:rFonts w:hint="eastAsia" w:ascii="宋体" w:hAnsi="宋体" w:cs="宋体"/>
                <w:color w:val="000000"/>
                <w:sz w:val="21"/>
                <w:szCs w:val="21"/>
                <w:highlight w:val="none"/>
              </w:rPr>
              <w:t>提前</w:t>
            </w:r>
            <w:r>
              <w:rPr>
                <w:rFonts w:hint="eastAsia" w:ascii="宋体" w:hAnsi="宋体" w:cs="宋体"/>
                <w:color w:val="000000"/>
                <w:szCs w:val="21"/>
                <w:highlight w:val="none"/>
              </w:rPr>
              <w:t>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认购/申购</w:t>
            </w:r>
          </w:p>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起点金额</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A</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val="en-US" w:eastAsia="zh-CN"/>
              </w:rPr>
              <w:t>B</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认购份额</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产品成立</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highlight w:val="none"/>
              </w:rPr>
              <w:t>〖</w:t>
            </w:r>
            <w:r>
              <w:rPr>
                <w:rFonts w:hint="eastAsia" w:ascii="宋体" w:hAnsi="宋体" w:cs="宋体"/>
                <w:szCs w:val="21"/>
                <w:highlight w:val="none"/>
                <w:lang w:val="en-US" w:eastAsia="zh-CN"/>
              </w:rPr>
              <w:t>2000</w:t>
            </w:r>
            <w:r>
              <w:rPr>
                <w:rFonts w:hint="eastAsia" w:ascii="宋体" w:hAnsi="宋体" w:cs="宋体"/>
                <w:szCs w:val="21"/>
                <w:highlight w:val="none"/>
              </w:rPr>
              <w:t>〗</w:t>
            </w:r>
            <w:r>
              <w:rPr>
                <w:rFonts w:hint="eastAsia" w:ascii="宋体" w:hAnsi="宋体" w:cs="宋体"/>
                <w:color w:val="000000"/>
                <w:szCs w:val="21"/>
                <w:highlight w:val="none"/>
              </w:rPr>
              <w:t>万元，则管理人可宣布本理财计划不成立并在原定理财计划成立日后</w:t>
            </w:r>
            <w:r>
              <w:rPr>
                <w:rFonts w:hint="eastAsia" w:ascii="宋体" w:hAnsi="宋体" w:cs="宋体"/>
                <w:szCs w:val="21"/>
                <w:highlight w:val="none"/>
              </w:rPr>
              <w:t>〖</w:t>
            </w: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封闭期</w:t>
            </w:r>
          </w:p>
        </w:tc>
        <w:tc>
          <w:tcPr>
            <w:tcW w:w="7281" w:type="dxa"/>
            <w:vAlign w:val="center"/>
          </w:tcPr>
          <w:p>
            <w:pPr>
              <w:widowControl/>
              <w:spacing w:line="360" w:lineRule="auto"/>
              <w:contextualSpacing/>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开放期</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本理财计划开放期为</w:t>
            </w:r>
            <w:r>
              <w:rPr>
                <w:rFonts w:hint="eastAsia" w:ascii="宋体" w:hAnsi="宋体" w:cs="宋体"/>
                <w:szCs w:val="21"/>
                <w:highlight w:val="none"/>
              </w:rPr>
              <w:t>〖</w:t>
            </w:r>
            <w:r>
              <w:rPr>
                <w:rFonts w:hint="eastAsia" w:ascii="宋体" w:hAnsi="宋体" w:cs="宋体"/>
                <w:szCs w:val="21"/>
                <w:highlight w:val="none"/>
                <w:lang w:val="en-US" w:eastAsia="zh-CN"/>
              </w:rPr>
              <w:t>产品成立后的</w:t>
            </w:r>
            <w:r>
              <w:rPr>
                <w:rFonts w:hint="eastAsia" w:ascii="宋体" w:hAnsi="宋体" w:cs="宋体"/>
                <w:szCs w:val="21"/>
                <w:highlight w:val="none"/>
              </w:rPr>
              <w:t>每个交易日〗</w:t>
            </w:r>
            <w:r>
              <w:rPr>
                <w:rFonts w:hint="eastAsia" w:ascii="宋体" w:hAnsi="宋体" w:cs="宋体"/>
                <w:color w:val="000000"/>
                <w:kern w:val="0"/>
                <w:highlight w:val="none"/>
              </w:rPr>
              <w:t>。如遇特殊情况具体</w:t>
            </w:r>
            <w:r>
              <w:rPr>
                <w:rFonts w:hint="eastAsia" w:ascii="宋体" w:hAnsi="宋体" w:cs="宋体"/>
                <w:szCs w:val="21"/>
                <w:highlight w:val="none"/>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交易时间</w:t>
            </w:r>
          </w:p>
        </w:tc>
        <w:tc>
          <w:tcPr>
            <w:tcW w:w="7281" w:type="dxa"/>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1.本理财计划在每个开放期的工作时间均可进行申购</w:t>
            </w:r>
            <w:r>
              <w:rPr>
                <w:rFonts w:hint="eastAsia" w:ascii="宋体" w:hAnsi="宋体" w:cs="宋体"/>
                <w:color w:val="000000"/>
                <w:szCs w:val="21"/>
                <w:highlight w:val="none"/>
                <w:lang w:val="en-US" w:eastAsia="zh-CN"/>
              </w:rPr>
              <w:t>、赎回和撤单申请</w:t>
            </w:r>
            <w:r>
              <w:rPr>
                <w:rFonts w:hint="eastAsia" w:ascii="宋体" w:hAnsi="宋体" w:cs="宋体"/>
                <w:color w:val="000000"/>
                <w:szCs w:val="21"/>
                <w:highlight w:val="none"/>
              </w:rPr>
              <w:t>，申购</w:t>
            </w:r>
            <w:r>
              <w:rPr>
                <w:rFonts w:hint="eastAsia" w:ascii="宋体" w:hAnsi="宋体" w:cs="宋体"/>
                <w:color w:val="000000"/>
                <w:szCs w:val="21"/>
                <w:highlight w:val="none"/>
                <w:lang w:val="en-US" w:eastAsia="zh-CN"/>
              </w:rPr>
              <w:t>和赎回</w:t>
            </w:r>
            <w:r>
              <w:rPr>
                <w:rFonts w:hint="eastAsia" w:ascii="宋体" w:hAnsi="宋体" w:cs="宋体"/>
                <w:color w:val="000000"/>
                <w:szCs w:val="21"/>
                <w:highlight w:val="none"/>
              </w:rPr>
              <w:t>申请将在确认日，即开放期后的第</w:t>
            </w:r>
            <w:r>
              <w:rPr>
                <w:rFonts w:hint="eastAsia" w:ascii="宋体" w:hAnsi="宋体" w:cs="宋体"/>
                <w:szCs w:val="21"/>
                <w:highlight w:val="none"/>
              </w:rPr>
              <w:t>〖1〗个交易</w:t>
            </w:r>
            <w:r>
              <w:rPr>
                <w:rFonts w:hint="eastAsia" w:ascii="宋体" w:hAnsi="宋体" w:cs="宋体"/>
                <w:bCs/>
                <w:szCs w:val="21"/>
                <w:highlight w:val="none"/>
              </w:rPr>
              <w:t>日进行确认。</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.工作时间为每个交易日〖</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:00〗至〖</w:t>
            </w:r>
            <w:r>
              <w:rPr>
                <w:rFonts w:hint="eastAsia" w:ascii="宋体" w:hAnsi="宋体" w:cs="宋体"/>
                <w:color w:val="000000"/>
                <w:szCs w:val="21"/>
                <w:highlight w:val="none"/>
                <w:lang w:val="en-US" w:eastAsia="zh-CN"/>
              </w:rPr>
              <w:t>17</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00</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工作时间内提交的申购/赎回申请，将作为当日申请处理；在开放期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工作时间结束后及非开放期提交的申购/赎回申请，将作为下一开放期的申请处理。</w:t>
            </w:r>
          </w:p>
          <w:p>
            <w:pPr>
              <w:widowControl/>
              <w:spacing w:line="360" w:lineRule="auto"/>
              <w:contextualSpacing/>
              <w:rPr>
                <w:rFonts w:hint="eastAsia" w:ascii="宋体" w:hAnsi="宋体" w:cs="宋体"/>
                <w:color w:val="000000"/>
                <w:szCs w:val="21"/>
                <w:highlight w:val="none"/>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巨额赎回</w:t>
            </w:r>
          </w:p>
        </w:tc>
        <w:tc>
          <w:tcPr>
            <w:tcW w:w="7281" w:type="dxa"/>
            <w:vAlign w:val="center"/>
          </w:tcPr>
          <w:p>
            <w:pPr>
              <w:widowControl/>
              <w:spacing w:line="360" w:lineRule="auto"/>
              <w:contextualSpacing/>
              <w:rPr>
                <w:rFonts w:hint="eastAsia" w:ascii="宋体" w:hAnsi="宋体" w:cs="宋体"/>
                <w:szCs w:val="21"/>
                <w:highlight w:val="none"/>
              </w:rPr>
            </w:pPr>
            <w:r>
              <w:rPr>
                <w:rFonts w:hint="eastAsia" w:ascii="宋体" w:hAnsi="宋体" w:cs="宋体"/>
                <w:color w:val="000000"/>
                <w:szCs w:val="21"/>
                <w:highlight w:val="none"/>
              </w:rPr>
              <w:t>理财计划存续期内，若理财计划开放期净赎回申请份额超过上一日日终理财计划总份额</w:t>
            </w:r>
            <w:r>
              <w:rPr>
                <w:rFonts w:hint="eastAsia" w:ascii="宋体" w:hAnsi="宋体" w:cs="宋体"/>
                <w:szCs w:val="21"/>
                <w:highlight w:val="none"/>
              </w:rPr>
              <w:t>〖</w:t>
            </w:r>
            <w:r>
              <w:rPr>
                <w:rFonts w:hint="eastAsia" w:ascii="宋体" w:hAnsi="宋体" w:cs="宋体"/>
                <w:color w:val="000000"/>
                <w:szCs w:val="21"/>
                <w:highlight w:val="none"/>
              </w:rPr>
              <w:t>10%</w:t>
            </w:r>
            <w:r>
              <w:rPr>
                <w:rFonts w:hint="eastAsia" w:ascii="宋体" w:hAnsi="宋体" w:cs="宋体"/>
                <w:szCs w:val="21"/>
                <w:highlight w:val="none"/>
              </w:rPr>
              <w:t>〗</w:t>
            </w:r>
            <w:r>
              <w:rPr>
                <w:rFonts w:hint="eastAsia" w:ascii="宋体" w:hAnsi="宋体" w:cs="宋体"/>
                <w:color w:val="000000"/>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单户限额</w:t>
            </w:r>
          </w:p>
        </w:tc>
        <w:tc>
          <w:tcPr>
            <w:tcW w:w="7281" w:type="dxa"/>
            <w:vAlign w:val="center"/>
          </w:tcPr>
          <w:p>
            <w:pPr>
              <w:widowControl/>
              <w:spacing w:line="360" w:lineRule="auto"/>
              <w:contextualSpacing/>
              <w:rPr>
                <w:rFonts w:hint="eastAsia" w:ascii="宋体" w:hAnsi="宋体" w:cs="宋体"/>
                <w:szCs w:val="21"/>
                <w:highlight w:val="none"/>
              </w:rPr>
            </w:pPr>
            <w:r>
              <w:rPr>
                <w:rFonts w:hint="eastAsia" w:ascii="宋体" w:hAnsi="宋体" w:cs="宋体"/>
                <w:szCs w:val="21"/>
                <w:highlight w:val="none"/>
                <w:lang w:val="en-US" w:eastAsia="zh-CN"/>
              </w:rPr>
              <w:t>A份额：</w:t>
            </w:r>
            <w:r>
              <w:rPr>
                <w:rFonts w:hint="eastAsia" w:ascii="宋体" w:hAnsi="宋体" w:cs="宋体"/>
                <w:szCs w:val="21"/>
                <w:highlight w:val="none"/>
              </w:rPr>
              <w:t>单户持有上限〖</w:t>
            </w:r>
            <w:r>
              <w:rPr>
                <w:rFonts w:hint="eastAsia" w:ascii="宋体" w:hAnsi="宋体" w:cs="宋体"/>
                <w:szCs w:val="21"/>
                <w:highlight w:val="none"/>
                <w:lang w:val="en-US" w:eastAsia="zh-CN"/>
              </w:rPr>
              <w:t>5000万</w:t>
            </w:r>
            <w:r>
              <w:rPr>
                <w:rFonts w:hint="eastAsia" w:ascii="宋体" w:hAnsi="宋体" w:cs="宋体"/>
                <w:szCs w:val="21"/>
                <w:highlight w:val="none"/>
              </w:rPr>
              <w:t>〗元</w:t>
            </w:r>
          </w:p>
          <w:p>
            <w:pPr>
              <w:widowControl/>
              <w:spacing w:line="360" w:lineRule="auto"/>
              <w:contextualSpacing/>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B份额：</w:t>
            </w:r>
            <w:r>
              <w:rPr>
                <w:rFonts w:hint="eastAsia" w:ascii="宋体" w:hAnsi="宋体" w:cs="宋体"/>
                <w:szCs w:val="21"/>
                <w:highlight w:val="none"/>
              </w:rPr>
              <w:t>单户持有上限〖</w:t>
            </w:r>
            <w:r>
              <w:rPr>
                <w:rFonts w:hint="eastAsia" w:ascii="宋体" w:hAnsi="宋体" w:cs="宋体"/>
                <w:szCs w:val="21"/>
                <w:highlight w:val="none"/>
                <w:lang w:val="en-US" w:eastAsia="zh-CN"/>
              </w:rPr>
              <w:t>1亿</w:t>
            </w:r>
            <w:r>
              <w:rPr>
                <w:rFonts w:hint="eastAsia" w:ascii="宋体" w:hAnsi="宋体" w:cs="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申购份额</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bCs/>
                <w:szCs w:val="21"/>
                <w:highlight w:val="none"/>
              </w:rPr>
              <w:t>申购份额=申购金额/确认日前一日的单位净值</w:t>
            </w:r>
            <w:r>
              <w:rPr>
                <w:rFonts w:hint="eastAsia" w:ascii="宋体" w:hAnsi="宋体" w:cs="宋体"/>
                <w:bCs/>
                <w:szCs w:val="21"/>
                <w:highlight w:val="none"/>
                <w:lang w:eastAsia="zh-CN"/>
              </w:rPr>
              <w:t>。</w:t>
            </w:r>
            <w:r>
              <w:rPr>
                <w:rFonts w:hint="eastAsia" w:ascii="宋体" w:hAnsi="宋体" w:cs="宋体"/>
                <w:bCs/>
                <w:szCs w:val="21"/>
                <w:highlight w:val="none"/>
              </w:rPr>
              <w:t>申购</w:t>
            </w:r>
            <w:r>
              <w:rPr>
                <w:rFonts w:hint="eastAsia" w:ascii="宋体" w:hAnsi="宋体" w:cs="宋体"/>
                <w:color w:val="000000"/>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赎回金额</w:t>
            </w:r>
          </w:p>
        </w:tc>
        <w:tc>
          <w:tcPr>
            <w:tcW w:w="7281" w:type="dxa"/>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赎回金额=赎</w:t>
            </w:r>
            <w:r>
              <w:rPr>
                <w:rFonts w:hint="eastAsia" w:ascii="宋体" w:hAnsi="宋体" w:cs="宋体"/>
                <w:bCs/>
                <w:szCs w:val="21"/>
                <w:highlight w:val="none"/>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单位净值</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单位净值=理财计划估值日理财计划总净值/理财计划总份额，单位净值保留小数点后</w:t>
            </w:r>
            <w:r>
              <w:rPr>
                <w:rFonts w:hint="eastAsia" w:ascii="宋体" w:hAnsi="宋体" w:cs="宋体"/>
                <w:color w:val="000000"/>
                <w:szCs w:val="21"/>
                <w:highlight w:val="none"/>
                <w:lang w:val="en-US" w:eastAsia="zh-CN"/>
              </w:rPr>
              <w:t>六</w:t>
            </w:r>
            <w:r>
              <w:rPr>
                <w:rFonts w:hint="eastAsia" w:ascii="宋体" w:hAnsi="宋体" w:cs="宋体"/>
                <w:color w:val="000000"/>
                <w:szCs w:val="21"/>
                <w:highlight w:val="none"/>
              </w:rPr>
              <w:t>位</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小数点六位以后去尾</w:t>
            </w:r>
            <w:r>
              <w:rPr>
                <w:rFonts w:hint="eastAsia" w:ascii="宋体" w:hAnsi="宋体" w:cs="宋体"/>
                <w:color w:val="000000"/>
                <w:szCs w:val="21"/>
                <w:highlight w:val="none"/>
              </w:rPr>
              <w:t>。</w:t>
            </w:r>
          </w:p>
          <w:p>
            <w:pPr>
              <w:widowControl/>
              <w:spacing w:line="360" w:lineRule="auto"/>
              <w:contextualSpacing/>
              <w:rPr>
                <w:rFonts w:ascii="宋体" w:hAnsi="宋体" w:cs="宋体"/>
                <w:b/>
                <w:color w:val="000000"/>
                <w:szCs w:val="21"/>
                <w:highlight w:val="none"/>
              </w:rPr>
            </w:pPr>
            <w:r>
              <w:rPr>
                <w:rFonts w:hint="eastAsia" w:ascii="宋体" w:hAnsi="宋体" w:cs="宋体"/>
                <w:color w:val="000000"/>
                <w:szCs w:val="21"/>
                <w:highlight w:val="none"/>
              </w:rPr>
              <w:t>理财计划总净值=理财计划认购总额+理财计划所获总收益-理财计划总费用（包括但不限于管理费、托管费、销售服务费等）。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资金与收益支付方式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1.赎回资金确认后，最快</w:t>
            </w:r>
            <w:r>
              <w:rPr>
                <w:rFonts w:hint="eastAsia" w:ascii="宋体" w:hAnsi="宋体" w:cs="宋体"/>
                <w:color w:val="000000"/>
                <w:szCs w:val="21"/>
                <w:highlight w:val="none"/>
                <w:lang w:val="en-US" w:eastAsia="zh-CN"/>
              </w:rPr>
              <w:t>于确认日当日</w:t>
            </w:r>
            <w:r>
              <w:rPr>
                <w:rFonts w:hint="eastAsia" w:ascii="宋体" w:hAnsi="宋体" w:cs="宋体"/>
                <w:color w:val="000000"/>
                <w:szCs w:val="21"/>
                <w:highlight w:val="none"/>
              </w:rPr>
              <w:t>，最晚</w:t>
            </w:r>
            <w:r>
              <w:rPr>
                <w:rFonts w:hint="eastAsia" w:ascii="宋体" w:hAnsi="宋体" w:cs="宋体"/>
                <w:color w:val="000000"/>
                <w:szCs w:val="21"/>
                <w:highlight w:val="none"/>
                <w:lang w:val="en-US" w:eastAsia="zh-CN"/>
              </w:rPr>
              <w:t>于确认日后</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2.理财计划到期后，最快</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color w:val="000000"/>
                <w:szCs w:val="21"/>
                <w:highlight w:val="none"/>
              </w:rPr>
              <w:t>个交易日，最晚</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收益分配</w:t>
            </w:r>
          </w:p>
        </w:tc>
        <w:tc>
          <w:tcPr>
            <w:tcW w:w="7281" w:type="dxa"/>
            <w:vAlign w:val="center"/>
          </w:tcPr>
          <w:p>
            <w:pPr>
              <w:widowControl/>
              <w:spacing w:line="360" w:lineRule="auto"/>
              <w:contextualSpacing/>
              <w:rPr>
                <w:rFonts w:ascii="宋体" w:hAnsi="宋体" w:cs="宋体"/>
                <w:b/>
                <w:szCs w:val="21"/>
                <w:highlight w:val="none"/>
              </w:rPr>
            </w:pPr>
            <w:r>
              <w:rPr>
                <w:rFonts w:hint="eastAsia" w:ascii="宋体" w:hAnsi="宋体" w:cs="宋体"/>
                <w:color w:val="000000"/>
                <w:szCs w:val="21"/>
                <w:highlight w:val="none"/>
              </w:rPr>
              <w:t>在满足收益分配基准日理财计划份额净值大于1元的情况下，管理人将</w:t>
            </w:r>
            <w:r>
              <w:rPr>
                <w:rFonts w:hint="eastAsia" w:ascii="宋体" w:hAnsi="宋体" w:cs="宋体"/>
                <w:szCs w:val="21"/>
                <w:highlight w:val="none"/>
              </w:rPr>
              <w:t>〖不</w:t>
            </w:r>
            <w:r>
              <w:rPr>
                <w:rFonts w:hint="eastAsia" w:ascii="宋体" w:hAnsi="宋体" w:cs="宋体"/>
                <w:color w:val="000000"/>
                <w:szCs w:val="21"/>
                <w:highlight w:val="none"/>
              </w:rPr>
              <w:t>定期</w:t>
            </w:r>
            <w:r>
              <w:rPr>
                <w:rFonts w:hint="eastAsia" w:ascii="宋体" w:hAnsi="宋体" w:cs="宋体"/>
                <w:szCs w:val="21"/>
                <w:highlight w:val="none"/>
              </w:rPr>
              <w:t>〗</w:t>
            </w:r>
            <w:r>
              <w:rPr>
                <w:rFonts w:hint="eastAsia" w:ascii="宋体" w:hAnsi="宋体" w:cs="宋体"/>
                <w:color w:val="000000"/>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业绩比较基准</w:t>
            </w:r>
          </w:p>
        </w:tc>
        <w:tc>
          <w:tcPr>
            <w:tcW w:w="7281" w:type="dxa"/>
            <w:vAlign w:val="center"/>
          </w:tcPr>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highlight w:val="none"/>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highlight w:val="none"/>
                <w:lang w:val="en-US" w:eastAsia="zh-CN"/>
              </w:rPr>
              <w:t>7天通知存款利率+0.10%</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ascii="宋体" w:hAnsi="宋体" w:cs="宋体"/>
                <w:b/>
                <w:bCs/>
                <w:szCs w:val="21"/>
                <w:highlight w:val="none"/>
              </w:rPr>
            </w:pPr>
            <w:r>
              <w:rPr>
                <w:rFonts w:hint="eastAsia" w:ascii="宋体" w:hAnsi="宋体" w:cs="宋体"/>
                <w:b/>
                <w:bCs/>
                <w:szCs w:val="21"/>
                <w:highlight w:val="none"/>
              </w:rPr>
              <w:t>业绩基准测算依据：产品重点投资于同业存单</w:t>
            </w:r>
            <w:r>
              <w:rPr>
                <w:rFonts w:hint="eastAsia" w:ascii="宋体" w:hAnsi="宋体" w:cs="宋体"/>
                <w:b/>
                <w:bCs/>
                <w:szCs w:val="21"/>
                <w:highlight w:val="none"/>
                <w:lang w:eastAsia="zh-CN"/>
              </w:rPr>
              <w:t>、</w:t>
            </w:r>
            <w:r>
              <w:rPr>
                <w:rFonts w:hint="eastAsia" w:ascii="宋体" w:hAnsi="宋体" w:cs="宋体"/>
                <w:b/>
                <w:bCs/>
                <w:szCs w:val="21"/>
                <w:highlight w:val="none"/>
              </w:rPr>
              <w:t>信用债等资产，根据当前市场环境，拟投资产收益率在</w:t>
            </w:r>
            <w:r>
              <w:rPr>
                <w:rFonts w:hint="eastAsia" w:ascii="宋体" w:hAnsi="宋体" w:cs="宋体"/>
                <w:b/>
                <w:bCs/>
                <w:szCs w:val="21"/>
                <w:highlight w:val="none"/>
                <w:lang w:val="en-US" w:eastAsia="zh-CN"/>
              </w:rPr>
              <w:t>1.5</w:t>
            </w:r>
            <w:r>
              <w:rPr>
                <w:rFonts w:hint="eastAsia" w:ascii="宋体" w:hAnsi="宋体" w:cs="宋体"/>
                <w:b/>
                <w:bCs/>
                <w:szCs w:val="21"/>
                <w:highlight w:val="none"/>
              </w:rPr>
              <w:t>%</w:t>
            </w:r>
            <w:r>
              <w:rPr>
                <w:rFonts w:hint="eastAsia" w:ascii="宋体" w:hAnsi="宋体" w:cs="宋体"/>
                <w:b/>
                <w:bCs/>
                <w:szCs w:val="21"/>
                <w:highlight w:val="none"/>
                <w:lang w:val="en-US" w:eastAsia="zh-CN"/>
              </w:rPr>
              <w:t>-3.5%</w:t>
            </w:r>
            <w:r>
              <w:rPr>
                <w:rFonts w:hint="eastAsia" w:ascii="宋体" w:hAnsi="宋体" w:cs="宋体"/>
                <w:b/>
                <w:bCs/>
                <w:szCs w:val="21"/>
                <w:highlight w:val="none"/>
              </w:rPr>
              <w:t>左右，同时根据流动性管理需要和监管要求配置不低于5%的高流动性资产。</w:t>
            </w:r>
          </w:p>
          <w:p>
            <w:pPr>
              <w:widowControl/>
              <w:spacing w:line="360" w:lineRule="auto"/>
              <w:jc w:val="left"/>
              <w:rPr>
                <w:rFonts w:ascii="宋体" w:hAnsi="宋体" w:cs="宋体"/>
                <w:szCs w:val="21"/>
                <w:highlight w:val="none"/>
              </w:rPr>
            </w:pPr>
            <w:r>
              <w:rPr>
                <w:rFonts w:hint="eastAsia" w:ascii="宋体" w:hAnsi="宋体" w:cs="宋体"/>
                <w:szCs w:val="21"/>
                <w:highlight w:val="none"/>
              </w:rPr>
              <w:t>管理人有权根据市场情况及</w:t>
            </w:r>
            <w:r>
              <w:rPr>
                <w:rFonts w:hint="eastAsia" w:ascii="宋体" w:hAnsi="宋体" w:cs="宋体"/>
                <w:szCs w:val="21"/>
                <w:highlight w:val="none"/>
                <w:lang w:val="en-US" w:eastAsia="zh-CN"/>
              </w:rPr>
              <w:t>理财计划</w:t>
            </w:r>
            <w:r>
              <w:rPr>
                <w:rFonts w:hint="eastAsia" w:ascii="宋体" w:hAnsi="宋体" w:cs="宋体"/>
                <w:szCs w:val="21"/>
                <w:highlight w:val="none"/>
              </w:rPr>
              <w:t>运作情况调整业绩基准，并至少于新业绩基准启用前</w:t>
            </w:r>
            <w:r>
              <w:rPr>
                <w:rFonts w:hint="eastAsia" w:ascii="宋体" w:hAnsi="宋体" w:cs="宋体"/>
                <w:kern w:val="0"/>
                <w:highlight w:val="none"/>
              </w:rPr>
              <w:t>〖2〗</w:t>
            </w:r>
            <w:r>
              <w:rPr>
                <w:rFonts w:hint="eastAsia" w:ascii="宋体" w:hAnsi="宋体" w:cs="宋体"/>
                <w:szCs w:val="21"/>
                <w:highlight w:val="none"/>
              </w:rPr>
              <w:t>个工作日公告。</w:t>
            </w:r>
          </w:p>
          <w:p>
            <w:pPr>
              <w:widowControl/>
              <w:spacing w:line="360" w:lineRule="auto"/>
              <w:jc w:val="left"/>
              <w:rPr>
                <w:rFonts w:ascii="宋体" w:hAnsi="宋体" w:cs="宋体"/>
                <w:b/>
                <w:szCs w:val="21"/>
                <w:highlight w:val="none"/>
              </w:rPr>
            </w:pPr>
            <w:r>
              <w:rPr>
                <w:rFonts w:hint="eastAsia" w:ascii="宋体" w:hAnsi="宋体" w:cs="宋体"/>
                <w:b/>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Cs w:val="21"/>
                <w:highlight w:val="none"/>
              </w:rPr>
              <w:t>并不代表</w:t>
            </w:r>
            <w:r>
              <w:rPr>
                <w:rFonts w:hint="eastAsia" w:ascii="宋体" w:hAnsi="宋体" w:cs="宋体"/>
                <w:b/>
                <w:sz w:val="21"/>
                <w:szCs w:val="21"/>
                <w:highlight w:val="none"/>
              </w:rPr>
              <w:t>理财计划的未来表现和实际收益，也不构成对理财计划收益的承诺</w:t>
            </w:r>
            <w:r>
              <w:rPr>
                <w:rFonts w:hint="eastAsia" w:ascii="宋体" w:hAnsi="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产品费用</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szCs w:val="21"/>
                <w:highlight w:val="none"/>
              </w:rPr>
              <w:t>〗</w:t>
            </w:r>
            <w:r>
              <w:rPr>
                <w:rFonts w:hint="eastAsia" w:ascii="宋体" w:hAnsi="宋体" w:cs="宋体"/>
                <w:color w:val="000000"/>
                <w:szCs w:val="21"/>
                <w:highlight w:val="none"/>
              </w:rPr>
              <w:t>的销售服务费。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2.托管费：收取年化</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szCs w:val="21"/>
                <w:highlight w:val="none"/>
              </w:rPr>
              <w:t>%〗</w:t>
            </w:r>
            <w:r>
              <w:rPr>
                <w:rFonts w:hint="eastAsia" w:ascii="宋体" w:hAnsi="宋体" w:cs="宋体"/>
                <w:color w:val="000000"/>
                <w:szCs w:val="21"/>
                <w:highlight w:val="none"/>
              </w:rPr>
              <w:t>的托管费。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color w:val="000000"/>
                <w:szCs w:val="21"/>
                <w:highlight w:val="none"/>
              </w:rPr>
              <w:t>的固定管理费。</w:t>
            </w:r>
          </w:p>
          <w:p>
            <w:pPr>
              <w:widowControl/>
              <w:spacing w:line="360" w:lineRule="auto"/>
              <w:contextualSpacing/>
              <w:rPr>
                <w:rFonts w:ascii="宋体" w:hAnsi="宋体" w:cs="宋体"/>
                <w:bCs/>
                <w:color w:val="FF0000"/>
                <w:szCs w:val="21"/>
                <w:highlight w:val="none"/>
              </w:rPr>
            </w:pPr>
            <w:r>
              <w:rPr>
                <w:rFonts w:hint="eastAsia" w:ascii="宋体" w:hAnsi="宋体" w:cs="宋体"/>
                <w:color w:val="000000"/>
                <w:szCs w:val="21"/>
                <w:highlight w:val="none"/>
              </w:rPr>
              <w:t>4.认购费：本理财计划免除认购费。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5.申购费：</w:t>
            </w:r>
            <w:r>
              <w:rPr>
                <w:rFonts w:hint="eastAsia" w:ascii="宋体" w:hAnsi="宋体" w:cs="宋体"/>
                <w:color w:val="000000"/>
                <w:szCs w:val="21"/>
                <w:highlight w:val="none"/>
              </w:rPr>
              <w:t>本理财计划免除申购费。</w:t>
            </w:r>
          </w:p>
          <w:p>
            <w:pPr>
              <w:widowControl/>
              <w:spacing w:line="360" w:lineRule="auto"/>
              <w:contextualSpacing/>
              <w:rPr>
                <w:rFonts w:hint="eastAsia" w:ascii="宋体" w:hAnsi="宋体" w:cs="宋体"/>
                <w:bCs/>
                <w:szCs w:val="21"/>
                <w:highlight w:val="none"/>
              </w:rPr>
            </w:pPr>
            <w:r>
              <w:rPr>
                <w:rFonts w:hint="eastAsia" w:ascii="宋体" w:hAnsi="宋体" w:cs="宋体"/>
                <w:bCs/>
                <w:szCs w:val="21"/>
                <w:highlight w:val="none"/>
              </w:rPr>
              <w:t>6.赎回费：</w:t>
            </w:r>
            <w:r>
              <w:rPr>
                <w:rFonts w:hint="eastAsia" w:ascii="宋体" w:hAnsi="宋体" w:cs="宋体"/>
                <w:color w:val="000000"/>
                <w:szCs w:val="21"/>
                <w:highlight w:val="none"/>
              </w:rPr>
              <w:t>本理财计划免除赎回费。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7.浮动管理费：本理财计划免除浮动管理费。</w:t>
            </w:r>
          </w:p>
          <w:p>
            <w:pPr>
              <w:widowControl/>
              <w:spacing w:line="360" w:lineRule="auto"/>
              <w:contextualSpacing/>
              <w:rPr>
                <w:rFonts w:ascii="宋体" w:hAnsi="宋体" w:cs="宋体"/>
                <w:color w:val="000000"/>
                <w:szCs w:val="21"/>
                <w:highlight w:val="none"/>
              </w:rPr>
            </w:pPr>
            <w:r>
              <w:rPr>
                <w:rFonts w:hint="eastAsia" w:ascii="宋体" w:hAnsi="宋体"/>
                <w:b/>
                <w:bCs/>
                <w:highlight w:val="none"/>
              </w:rPr>
              <w:t>管理人保留变更上述收取费率标准的权利，如有变更将提前</w:t>
            </w:r>
            <w:r>
              <w:rPr>
                <w:rFonts w:hint="eastAsia" w:ascii="宋体" w:hAnsi="宋体" w:cs="宋体"/>
                <w:b/>
                <w:bCs/>
                <w:kern w:val="0"/>
                <w:highlight w:val="none"/>
              </w:rPr>
              <w:t>〖</w:t>
            </w:r>
            <w:r>
              <w:rPr>
                <w:rFonts w:hint="eastAsia" w:ascii="宋体" w:hAnsi="宋体"/>
                <w:b/>
                <w:bCs/>
                <w:highlight w:val="none"/>
              </w:rPr>
              <w:t>2</w:t>
            </w:r>
            <w:r>
              <w:rPr>
                <w:rFonts w:hint="eastAsia" w:ascii="宋体" w:hAnsi="宋体" w:cs="宋体"/>
                <w:b/>
                <w:bCs/>
                <w:kern w:val="0"/>
                <w:highlight w:val="none"/>
              </w:rPr>
              <w:t>〗</w:t>
            </w:r>
            <w:r>
              <w:rPr>
                <w:rFonts w:hint="eastAsia" w:ascii="宋体" w:hAnsi="宋体"/>
                <w:b/>
                <w:bCs/>
                <w:highlight w:val="none"/>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提前终止</w:t>
            </w:r>
          </w:p>
        </w:tc>
        <w:tc>
          <w:tcPr>
            <w:tcW w:w="7281" w:type="dxa"/>
            <w:vAlign w:val="center"/>
          </w:tcPr>
          <w:p>
            <w:pPr>
              <w:widowControl/>
              <w:spacing w:line="360" w:lineRule="auto"/>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税费规定</w:t>
            </w:r>
          </w:p>
        </w:tc>
        <w:tc>
          <w:tcPr>
            <w:tcW w:w="7281" w:type="dxa"/>
            <w:vAlign w:val="center"/>
          </w:tcPr>
          <w:p>
            <w:pPr>
              <w:spacing w:line="360" w:lineRule="auto"/>
              <w:outlineLvl w:val="9"/>
              <w:rPr>
                <w:rFonts w:ascii="宋体" w:hAnsi="宋体" w:cs="宋体"/>
                <w:color w:val="000000"/>
                <w:szCs w:val="21"/>
                <w:highlight w:val="none"/>
              </w:rPr>
            </w:pPr>
            <w:r>
              <w:rPr>
                <w:rFonts w:hint="eastAsia" w:ascii="宋体" w:hAnsi="宋体" w:cs="宋体"/>
                <w:color w:val="000000"/>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kern w:val="0"/>
                <w:szCs w:val="21"/>
                <w:highlight w:val="none"/>
              </w:rPr>
            </w:pPr>
            <w:r>
              <w:rPr>
                <w:rFonts w:hint="eastAsia" w:ascii="宋体" w:hAnsi="宋体" w:cs="宋体"/>
                <w:color w:val="000000"/>
                <w:szCs w:val="21"/>
                <w:highlight w:val="none"/>
              </w:rPr>
              <w:t>融资服务</w:t>
            </w:r>
          </w:p>
        </w:tc>
        <w:tc>
          <w:tcPr>
            <w:tcW w:w="7281" w:type="dxa"/>
            <w:vAlign w:val="bottom"/>
          </w:tcPr>
          <w:p>
            <w:pPr>
              <w:spacing w:line="360" w:lineRule="auto"/>
              <w:rPr>
                <w:rFonts w:ascii="宋体" w:hAnsi="宋体" w:cs="宋体"/>
                <w:b/>
                <w:color w:val="000000"/>
                <w:kern w:val="0"/>
                <w:szCs w:val="21"/>
                <w:highlight w:val="none"/>
              </w:rPr>
            </w:pPr>
            <w:r>
              <w:rPr>
                <w:rFonts w:hint="eastAsia" w:ascii="宋体" w:hAnsi="宋体" w:cs="宋体"/>
                <w:b/>
                <w:color w:val="000000"/>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其他规定</w:t>
            </w:r>
          </w:p>
        </w:tc>
        <w:tc>
          <w:tcPr>
            <w:tcW w:w="72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Cs w:val="21"/>
                <w:highlight w:val="none"/>
              </w:rPr>
            </w:pPr>
            <w:r>
              <w:rPr>
                <w:rFonts w:hint="eastAsia" w:ascii="宋体" w:hAnsi="宋体" w:cs="宋体"/>
                <w:color w:val="000000"/>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Cs w:val="21"/>
                <w:highlight w:val="none"/>
              </w:rPr>
              <w:t>（具体以销售机构规定为准）</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管理人有权根据市场情况和本理财计划运作情况，对本理财计划的收费项目、条件、标准和方式进行调整。</w:t>
            </w:r>
          </w:p>
        </w:tc>
      </w:tr>
    </w:tbl>
    <w:p>
      <w:pPr>
        <w:spacing w:line="360" w:lineRule="auto"/>
        <w:rPr>
          <w:rFonts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highlight w:val="none"/>
        </w:rPr>
      </w:pPr>
    </w:p>
    <w:p>
      <w:pPr>
        <w:numPr>
          <w:ilvl w:val="0"/>
          <w:numId w:val="10"/>
        </w:numPr>
        <w:spacing w:line="360" w:lineRule="auto"/>
        <w:outlineLvl w:val="1"/>
        <w:rPr>
          <w:rFonts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2"/>
        </w:numPr>
        <w:spacing w:line="360" w:lineRule="auto"/>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固定收益类资产：包括但不限于各类债券、存款、货币市场金融工具等高流动性资产、货币市场基金、债券基金、质押式及买断式回购，其他符合监管要求的固定收益类资产及资产管理产品。</w:t>
      </w:r>
    </w:p>
    <w:p>
      <w:pPr>
        <w:numPr>
          <w:ilvl w:val="0"/>
          <w:numId w:val="12"/>
        </w:numPr>
        <w:spacing w:line="360" w:lineRule="auto"/>
        <w:rPr>
          <w:rFonts w:ascii="宋体" w:hAnsi="宋体" w:cs="宋体"/>
          <w:bCs/>
          <w:highlight w:val="none"/>
        </w:rPr>
      </w:pPr>
      <w:r>
        <w:rPr>
          <w:rFonts w:hint="eastAsia" w:ascii="宋体" w:hAnsi="宋体" w:cs="宋体"/>
          <w:bCs/>
          <w:sz w:val="24"/>
          <w:highlight w:val="none"/>
        </w:rPr>
        <w:t>权益类资产：包括国内发行上市优先股以及其他符合监管要求的权益类资产（不包括未上市企业股权）。</w:t>
      </w:r>
    </w:p>
    <w:p>
      <w:pPr>
        <w:numPr>
          <w:ilvl w:val="0"/>
          <w:numId w:val="12"/>
        </w:numPr>
        <w:spacing w:line="360" w:lineRule="auto"/>
        <w:rPr>
          <w:rFonts w:ascii="宋体" w:hAnsi="宋体" w:cs="宋体"/>
          <w:bCs/>
          <w:highlight w:val="none"/>
        </w:rPr>
      </w:pPr>
      <w:r>
        <w:rPr>
          <w:rFonts w:hint="eastAsia" w:ascii="宋体" w:hAnsi="宋体" w:cs="宋体"/>
          <w:bCs/>
          <w:sz w:val="24"/>
          <w:highlight w:val="none"/>
        </w:rPr>
        <w:t>其他符合监管要求资产：包括其他符合监管要求的资产或资产管理产品。</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w:t>
            </w:r>
            <w:r>
              <w:rPr>
                <w:rFonts w:hint="eastAsia" w:ascii="宋体" w:hAnsi="宋体" w:cs="宋体"/>
                <w:bCs/>
                <w:szCs w:val="21"/>
                <w:highlight w:val="none"/>
                <w:lang w:val="en-US" w:eastAsia="zh-CN"/>
              </w:rPr>
              <w:t>10</w:t>
            </w:r>
            <w:r>
              <w:rPr>
                <w:rFonts w:hint="eastAsia" w:ascii="宋体" w:hAnsi="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其他符合监管要求资产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投资策略</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本着稳健投资的理念，基于宏观经济形势、货币政策、固定收益资产价格走势，采用安全性和流动性优先、优选投资品种，采取久期策略、杠杆策略和信用策略来获取稳定收益。本产品以固定收益投资为主，主要投资于债券、存款、货币基金等高流动性资产并通过开展债券回购等融入或融出资金，以应对流动性需要和提高资金使用效率。</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投资限制</w:t>
      </w:r>
    </w:p>
    <w:p>
      <w:pPr>
        <w:spacing w:line="360" w:lineRule="auto"/>
        <w:ind w:firstLine="480" w:firstLineChars="200"/>
        <w:jc w:val="left"/>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投资限制</w:t>
      </w:r>
      <w:r>
        <w:rPr>
          <w:rFonts w:hint="eastAsia" w:ascii="宋体" w:hAnsi="宋体" w:cs="宋体"/>
          <w:bCs/>
          <w:sz w:val="24"/>
          <w:highlight w:val="none"/>
        </w:rPr>
        <w:t>中列示的资产品种不代表管理人的实际投向，本理财计划投资范围以“投资范围”章节表述为准</w:t>
      </w:r>
      <w:r>
        <w:rPr>
          <w:rFonts w:hint="eastAsia" w:ascii="宋体" w:hAnsi="宋体" w:cs="宋体"/>
          <w:bCs/>
          <w:sz w:val="24"/>
          <w:highlight w:val="none"/>
          <w:lang w:eastAsia="zh-CN"/>
        </w:rPr>
        <w:t>。</w:t>
      </w:r>
    </w:p>
    <w:p>
      <w:pPr>
        <w:numPr>
          <w:ilvl w:val="0"/>
          <w:numId w:val="13"/>
        </w:numPr>
        <w:spacing w:line="360" w:lineRule="auto"/>
        <w:jc w:val="left"/>
        <w:rPr>
          <w:rFonts w:ascii="宋体" w:hAnsi="宋体" w:cs="宋体"/>
          <w:bCs/>
          <w:sz w:val="24"/>
          <w:highlight w:val="none"/>
        </w:rPr>
      </w:pPr>
      <w:r>
        <w:rPr>
          <w:rFonts w:hint="eastAsia" w:ascii="宋体" w:hAnsi="宋体" w:cs="宋体"/>
          <w:bCs/>
          <w:sz w:val="24"/>
          <w:highlight w:val="none"/>
        </w:rPr>
        <w:t>投资集中度限制</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管理人发行的全部开放式公募理财计划投资单一上市公司发行的股票,不得超过该上市公司可流通股票的15%。</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3"/>
        </w:numPr>
        <w:spacing w:line="360" w:lineRule="auto"/>
        <w:jc w:val="left"/>
        <w:rPr>
          <w:rFonts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本理财计划直接投资于流动性受限资产的市值在开放日不得超过该理财计划资产净值的15%。</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在开放日前一工作日内，本理财计划7个工作日可变现资产的可变现价值应当不低于该理财计划资产净值的10%。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本理财计划如定期开放周期低于90天，计划投资不存在活跃交易市场，并且需要采用估值技术确定公允价值的资产比例不得超过理财产品净资产50%以上。</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（五）拟投资市场、资产的流动性风险评估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资产包括但不限于上市公司普通股、上市公司优先股、股票基金、股票定向增发等，受国家政策、经济周期、利率、汇率、股票发行人经营情况</w:t>
      </w:r>
      <w:r>
        <w:rPr>
          <w:rFonts w:hint="eastAsia" w:ascii="宋体" w:hAnsi="宋体" w:cs="宋体"/>
          <w:bCs/>
          <w:sz w:val="24"/>
          <w:highlight w:val="none"/>
          <w:lang w:val="en-US" w:eastAsia="zh-CN"/>
        </w:rPr>
        <w:t>、大宗商品</w:t>
      </w:r>
      <w:r>
        <w:rPr>
          <w:rFonts w:hint="eastAsia" w:ascii="宋体" w:hAnsi="宋体" w:cs="宋体"/>
          <w:bCs/>
          <w:sz w:val="24"/>
          <w:highlight w:val="none"/>
        </w:rPr>
        <w:t>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合作机构及主要职责</w:t>
      </w:r>
    </w:p>
    <w:p>
      <w:pPr>
        <w:numPr>
          <w:ilvl w:val="0"/>
          <w:numId w:val="18"/>
        </w:numPr>
        <w:spacing w:line="360" w:lineRule="auto"/>
        <w:jc w:val="left"/>
        <w:outlineLvl w:val="2"/>
        <w:rPr>
          <w:rFonts w:ascii="宋体" w:hAnsi="宋体" w:cs="宋体"/>
          <w:b/>
          <w:sz w:val="24"/>
          <w:highlight w:val="none"/>
        </w:rPr>
      </w:pPr>
      <w:r>
        <w:rPr>
          <w:rFonts w:hint="eastAsia" w:ascii="宋体" w:hAnsi="宋体" w:cs="宋体"/>
          <w:b/>
          <w:sz w:val="24"/>
          <w:highlight w:val="none"/>
        </w:rPr>
        <w:t>托管人</w:t>
      </w:r>
    </w:p>
    <w:tbl>
      <w:tblPr>
        <w:tblStyle w:val="9"/>
        <w:tblW w:w="7793"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53" w:type="dxa"/>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53" w:type="dxa"/>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53" w:type="dxa"/>
          </w:tcPr>
          <w:p>
            <w:pPr>
              <w:spacing w:line="360" w:lineRule="auto"/>
              <w:jc w:val="left"/>
              <w:rPr>
                <w:rFonts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销售机构</w:t>
      </w:r>
    </w:p>
    <w:tbl>
      <w:tblPr>
        <w:tblStyle w:val="9"/>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vAlign w:val="center"/>
          </w:tcPr>
          <w:p>
            <w:pPr>
              <w:spacing w:line="360" w:lineRule="auto"/>
              <w:jc w:val="center"/>
              <w:rPr>
                <w:rFonts w:ascii="宋体" w:hAnsi="宋体" w:cs="宋体"/>
                <w:bCs/>
                <w:szCs w:val="21"/>
                <w:highlight w:val="none"/>
              </w:rPr>
            </w:pPr>
            <w:r>
              <w:rPr>
                <w:rFonts w:hint="eastAsia"/>
                <w:highlight w:val="none"/>
              </w:rPr>
              <w:t>宁波慈溪农村商业银行股份有限公司</w:t>
            </w:r>
          </w:p>
        </w:tc>
        <w:tc>
          <w:tcPr>
            <w:tcW w:w="1155"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210" w:type="dxa"/>
            <w:vAlign w:val="center"/>
          </w:tcPr>
          <w:p>
            <w:pPr>
              <w:spacing w:line="360" w:lineRule="auto"/>
              <w:jc w:val="center"/>
              <w:rPr>
                <w:rFonts w:ascii="宋体" w:hAnsi="宋体" w:cs="宋体"/>
                <w:bCs/>
                <w:szCs w:val="21"/>
                <w:highlight w:val="none"/>
              </w:rPr>
            </w:pPr>
            <w:r>
              <w:rPr>
                <w:rFonts w:hint="eastAsia"/>
                <w:highlight w:val="none"/>
              </w:rPr>
              <w:t>浙江省慈溪市浒山街道南城路2</w:t>
            </w:r>
            <w:r>
              <w:rPr>
                <w:rFonts w:hint="eastAsia"/>
                <w:highlight w:val="none"/>
                <w:lang w:val="en-US" w:eastAsia="zh-CN"/>
              </w:rPr>
              <w:t>5</w:t>
            </w:r>
            <w:r>
              <w:rPr>
                <w:rFonts w:hint="eastAsia"/>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spacing w:line="360" w:lineRule="auto"/>
              <w:jc w:val="center"/>
              <w:rPr>
                <w:rFonts w:ascii="宋体" w:hAnsi="宋体" w:cs="宋体"/>
                <w:bCs/>
                <w:szCs w:val="21"/>
                <w:highlight w:val="none"/>
              </w:rPr>
            </w:pPr>
          </w:p>
        </w:tc>
        <w:tc>
          <w:tcPr>
            <w:tcW w:w="1155"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210" w:type="dxa"/>
            <w:vAlign w:val="center"/>
          </w:tcPr>
          <w:p>
            <w:pPr>
              <w:spacing w:line="360" w:lineRule="auto"/>
              <w:jc w:val="center"/>
              <w:rPr>
                <w:rFonts w:hint="default" w:ascii="宋体" w:hAnsi="宋体" w:eastAsia="宋体" w:cs="宋体"/>
                <w:bCs/>
                <w:szCs w:val="21"/>
                <w:highlight w:val="none"/>
                <w:lang w:val="en-US" w:eastAsia="zh-CN"/>
              </w:rPr>
            </w:pPr>
            <w:r>
              <w:rPr>
                <w:rFonts w:hint="eastAsia"/>
                <w:highlight w:val="none"/>
              </w:rPr>
              <w:t>0574-63810682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restart"/>
            <w:vAlign w:val="center"/>
          </w:tcPr>
          <w:p>
            <w:pPr>
              <w:spacing w:line="360" w:lineRule="auto"/>
              <w:jc w:val="center"/>
              <w:rPr>
                <w:rFonts w:hint="eastAsia" w:ascii="宋体" w:hAnsi="宋体" w:eastAsia="宋体" w:cs="宋体"/>
                <w:color w:val="000000"/>
                <w:kern w:val="0"/>
                <w:highlight w:val="none"/>
                <w:lang w:val="en-US" w:eastAsia="zh-CN"/>
              </w:rPr>
            </w:pPr>
            <w:r>
              <w:rPr>
                <w:rFonts w:hint="eastAsia"/>
                <w:highlight w:val="none"/>
              </w:rPr>
              <w:t>浙江温州龙湾农村商业银行股份有限公司</w:t>
            </w: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住所</w:t>
            </w:r>
          </w:p>
        </w:tc>
        <w:tc>
          <w:tcPr>
            <w:tcW w:w="3210" w:type="dxa"/>
            <w:vAlign w:val="center"/>
          </w:tcPr>
          <w:p>
            <w:pPr>
              <w:spacing w:line="360" w:lineRule="auto"/>
              <w:jc w:val="center"/>
              <w:rPr>
                <w:rFonts w:hint="eastAsia" w:ascii="宋体" w:hAnsi="宋体" w:cs="宋体"/>
                <w:color w:val="000000"/>
                <w:kern w:val="0"/>
                <w:highlight w:val="none"/>
              </w:rPr>
            </w:pPr>
            <w:r>
              <w:rPr>
                <w:rFonts w:hint="eastAsia"/>
                <w:highlight w:val="none"/>
              </w:rPr>
              <w:t>温州市龙湾区永中街道永宁西路555号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spacing w:line="360" w:lineRule="auto"/>
              <w:jc w:val="center"/>
              <w:rPr>
                <w:rFonts w:hint="eastAsia" w:ascii="宋体" w:hAnsi="宋体" w:cs="宋体"/>
                <w:color w:val="000000"/>
                <w:kern w:val="0"/>
                <w:highlight w:val="none"/>
              </w:rPr>
            </w:pP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客服热线</w:t>
            </w:r>
          </w:p>
        </w:tc>
        <w:tc>
          <w:tcPr>
            <w:tcW w:w="3210" w:type="dxa"/>
            <w:vAlign w:val="center"/>
          </w:tcPr>
          <w:p>
            <w:pPr>
              <w:spacing w:line="360" w:lineRule="auto"/>
              <w:jc w:val="center"/>
              <w:rPr>
                <w:rFonts w:hint="default" w:ascii="宋体" w:hAnsi="宋体" w:eastAsia="宋体" w:cs="宋体"/>
                <w:color w:val="000000"/>
                <w:kern w:val="0"/>
                <w:highlight w:val="none"/>
                <w:lang w:val="en-US" w:eastAsia="zh-CN"/>
              </w:rPr>
            </w:pPr>
            <w:r>
              <w:rPr>
                <w:rFonts w:hint="eastAsia"/>
                <w:highlight w:val="none"/>
              </w:rPr>
              <w:t>4008296596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restart"/>
            <w:vAlign w:val="center"/>
          </w:tcPr>
          <w:p>
            <w:pPr>
              <w:spacing w:line="360" w:lineRule="auto"/>
              <w:jc w:val="center"/>
              <w:rPr>
                <w:rFonts w:hint="eastAsia" w:ascii="宋体" w:hAnsi="宋体" w:cs="宋体"/>
                <w:color w:val="000000"/>
                <w:kern w:val="0"/>
                <w:highlight w:val="none"/>
              </w:rPr>
            </w:pPr>
            <w:r>
              <w:rPr>
                <w:rFonts w:hint="eastAsia"/>
                <w:highlight w:val="none"/>
              </w:rPr>
              <w:t>浙江德清农村商业银行股份有限公司</w:t>
            </w: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住所</w:t>
            </w:r>
          </w:p>
        </w:tc>
        <w:tc>
          <w:tcPr>
            <w:tcW w:w="3210" w:type="dxa"/>
            <w:vAlign w:val="center"/>
          </w:tcPr>
          <w:p>
            <w:pPr>
              <w:spacing w:line="360" w:lineRule="auto"/>
              <w:jc w:val="center"/>
              <w:rPr>
                <w:rFonts w:hint="eastAsia" w:ascii="宋体" w:hAnsi="宋体" w:cs="宋体"/>
                <w:color w:val="000000"/>
                <w:kern w:val="0"/>
                <w:highlight w:val="none"/>
              </w:rPr>
            </w:pPr>
            <w:r>
              <w:rPr>
                <w:rFonts w:hint="eastAsia"/>
                <w:highlight w:val="none"/>
              </w:rPr>
              <w:t>浙江省德清县武康街道沈长圩街50号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spacing w:line="360" w:lineRule="auto"/>
              <w:jc w:val="center"/>
              <w:rPr>
                <w:rFonts w:hint="eastAsia" w:ascii="宋体" w:hAnsi="宋体" w:cs="宋体"/>
                <w:color w:val="000000"/>
                <w:kern w:val="0"/>
                <w:highlight w:val="none"/>
              </w:rPr>
            </w:pP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客服热线</w:t>
            </w:r>
          </w:p>
        </w:tc>
        <w:tc>
          <w:tcPr>
            <w:tcW w:w="3210" w:type="dxa"/>
            <w:vAlign w:val="center"/>
          </w:tcPr>
          <w:p>
            <w:pPr>
              <w:spacing w:line="360" w:lineRule="auto"/>
              <w:jc w:val="center"/>
              <w:rPr>
                <w:rFonts w:hint="eastAsia" w:ascii="宋体" w:hAnsi="宋体" w:cs="宋体"/>
                <w:color w:val="000000"/>
                <w:kern w:val="0"/>
                <w:highlight w:val="none"/>
              </w:rPr>
            </w:pPr>
            <w:r>
              <w:rPr>
                <w:rFonts w:hint="eastAsia"/>
                <w:highlight w:val="none"/>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tcPr>
          <w:p>
            <w:pPr>
              <w:spacing w:line="360" w:lineRule="auto"/>
              <w:jc w:val="left"/>
              <w:rPr>
                <w:rFonts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w:t>
      </w:r>
      <w:r>
        <w:rPr>
          <w:rFonts w:hint="eastAsia" w:ascii="宋体" w:hAnsi="宋体" w:cs="宋体"/>
          <w:bCs/>
          <w:color w:val="000000"/>
          <w:sz w:val="24"/>
          <w:highlight w:val="none"/>
          <w:lang w:eastAsia="zh-CN"/>
        </w:rPr>
        <w:t>或官方网站展示</w:t>
      </w:r>
      <w:r>
        <w:rPr>
          <w:rFonts w:hint="eastAsia" w:ascii="宋体" w:hAnsi="宋体" w:cs="宋体"/>
          <w:bCs/>
          <w:color w:val="000000"/>
          <w:sz w:val="24"/>
          <w:highlight w:val="none"/>
        </w:rPr>
        <w:t>为准。</w:t>
      </w:r>
    </w:p>
    <w:p>
      <w:pPr>
        <w:spacing w:line="360" w:lineRule="auto"/>
        <w:jc w:val="left"/>
        <w:rPr>
          <w:rFonts w:hint="eastAsia" w:ascii="宋体" w:hAnsi="宋体" w:cs="宋体"/>
          <w:bCs/>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估值</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7"/>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7"/>
        <w:tabs>
          <w:tab w:val="left" w:pos="0"/>
        </w:tabs>
        <w:spacing w:line="360" w:lineRule="auto"/>
        <w:ind w:firstLine="482" w:firstLineChars="200"/>
        <w:rPr>
          <w:rFonts w:ascii="宋体" w:hAnsi="宋体" w:cs="宋体"/>
          <w:b/>
          <w:kern w:val="2"/>
          <w:highlight w:val="none"/>
        </w:rPr>
      </w:pPr>
      <w:r>
        <w:rPr>
          <w:rFonts w:hint="eastAsia" w:ascii="宋体" w:hAnsi="宋体" w:cs="宋体"/>
          <w:b/>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 xml:space="preserve">估值差错处理 </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暂停估值情形</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23"/>
        </w:numPr>
        <w:spacing w:line="360" w:lineRule="auto"/>
        <w:jc w:val="left"/>
        <w:rPr>
          <w:rFonts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费用及税收</w:t>
      </w:r>
    </w:p>
    <w:p>
      <w:pPr>
        <w:numPr>
          <w:ilvl w:val="0"/>
          <w:numId w:val="24"/>
        </w:numPr>
        <w:spacing w:line="360" w:lineRule="auto"/>
        <w:jc w:val="left"/>
        <w:outlineLvl w:val="2"/>
        <w:rPr>
          <w:rFonts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本理财计划涉及费用包括销售服务费、托管费、固定管理费、认购费、申购费、赎回费、浮动管理费以及理财计划运作和清算中产生的其他费用等。</w:t>
      </w:r>
    </w:p>
    <w:p>
      <w:pPr>
        <w:numPr>
          <w:ilvl w:val="0"/>
          <w:numId w:val="24"/>
        </w:numPr>
        <w:spacing w:line="360" w:lineRule="auto"/>
        <w:jc w:val="left"/>
        <w:outlineLvl w:val="2"/>
        <w:rPr>
          <w:rFonts w:ascii="宋体" w:hAnsi="宋体" w:cs="宋体"/>
          <w:b/>
          <w:sz w:val="24"/>
          <w:highlight w:val="none"/>
        </w:rPr>
      </w:pPr>
      <w:r>
        <w:rPr>
          <w:rFonts w:hint="eastAsia" w:ascii="宋体" w:hAnsi="宋体" w:cs="宋体"/>
          <w:b/>
          <w:sz w:val="24"/>
          <w:highlight w:val="none"/>
        </w:rPr>
        <w:t>费用计提方法、标准及支付方式</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sz w:val="24"/>
          <w:highlight w:val="none"/>
        </w:rPr>
        <w:t>〗</w:t>
      </w:r>
      <w:r>
        <w:rPr>
          <w:rFonts w:hint="eastAsia" w:ascii="宋体" w:hAnsi="宋体" w:cs="宋体"/>
          <w:bCs/>
          <w:color w:val="000000"/>
          <w:sz w:val="24"/>
          <w:highlight w:val="none"/>
        </w:rPr>
        <w:t>年化销售服务费率为</w:t>
      </w:r>
      <w:r>
        <w:rPr>
          <w:rFonts w:hint="eastAsia" w:ascii="宋体" w:hAnsi="宋体" w:cs="宋体"/>
          <w:szCs w:val="21"/>
          <w:highlight w:val="none"/>
        </w:rPr>
        <w:t>〖</w:t>
      </w:r>
      <w:r>
        <w:rPr>
          <w:rFonts w:hint="eastAsia" w:ascii="宋体" w:hAnsi="宋体" w:cs="宋体"/>
          <w:sz w:val="24"/>
          <w:highlight w:val="none"/>
          <w:lang w:val="en-US" w:eastAsia="zh-CN"/>
        </w:rPr>
        <w:t>0.2</w:t>
      </w:r>
      <w:r>
        <w:rPr>
          <w:rFonts w:hint="eastAsia" w:ascii="宋体" w:hAnsi="宋体" w:cs="宋体"/>
          <w:bCs/>
          <w:color w:val="000000"/>
          <w:sz w:val="24"/>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0.2</w:t>
      </w:r>
      <w:r>
        <w:rPr>
          <w:rFonts w:hint="eastAsia" w:ascii="宋体" w:hAnsi="宋体" w:cs="宋体"/>
          <w:bCs/>
          <w:color w:val="000000"/>
          <w:sz w:val="24"/>
          <w:highlight w:val="none"/>
          <w:lang w:val="en-US" w:eastAsia="zh-CN"/>
        </w:rPr>
        <w:t>0%</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〗每日应计提的销售服务费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 w:val="24"/>
          <w:highlight w:val="none"/>
        </w:rPr>
        <w:t>〖</w:t>
      </w:r>
      <w:r>
        <w:rPr>
          <w:rFonts w:hint="eastAsia" w:ascii="宋体" w:hAnsi="宋体" w:cs="宋体"/>
          <w:sz w:val="24"/>
          <w:highlight w:val="none"/>
          <w:lang w:val="en-US" w:eastAsia="zh-CN"/>
        </w:rPr>
        <w:t>0.3</w:t>
      </w:r>
      <w:r>
        <w:rPr>
          <w:rFonts w:hint="eastAsia" w:ascii="宋体" w:hAnsi="宋体" w:cs="宋体"/>
          <w:bCs/>
          <w:color w:val="000000"/>
          <w:sz w:val="24"/>
          <w:highlight w:val="none"/>
          <w:lang w:val="en-US" w:eastAsia="zh-CN"/>
        </w:rPr>
        <w:t>0%</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0.3</w:t>
      </w:r>
      <w:r>
        <w:rPr>
          <w:rFonts w:hint="eastAsia" w:ascii="宋体" w:hAnsi="宋体" w:cs="宋体"/>
          <w:bCs/>
          <w:color w:val="000000"/>
          <w:sz w:val="24"/>
          <w:highlight w:val="none"/>
          <w:lang w:val="en-US" w:eastAsia="zh-CN"/>
        </w:rPr>
        <w:t>0%</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固定管理费原则上按日计提。理财计划实际运作结果不达业绩比较基准</w:t>
      </w:r>
      <w:r>
        <w:rPr>
          <w:rFonts w:hint="eastAsia" w:ascii="宋体" w:hAnsi="宋体" w:cs="宋体"/>
          <w:bCs/>
          <w:color w:val="000000"/>
          <w:sz w:val="24"/>
          <w:highlight w:val="none"/>
          <w:lang w:eastAsia="zh-CN"/>
        </w:rPr>
        <w:t>下限</w:t>
      </w:r>
      <w:r>
        <w:rPr>
          <w:rFonts w:hint="eastAsia" w:ascii="宋体" w:hAnsi="宋体" w:cs="宋体"/>
          <w:bCs/>
          <w:color w:val="000000"/>
          <w:sz w:val="24"/>
          <w:highlight w:val="none"/>
        </w:rPr>
        <w:t>时，管理人有权减免固定管理费。</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6"/>
        </w:numPr>
        <w:spacing w:line="360" w:lineRule="auto"/>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6"/>
        </w:numPr>
        <w:spacing w:line="360" w:lineRule="auto"/>
        <w:jc w:val="left"/>
        <w:rPr>
          <w:rFonts w:ascii="宋体" w:hAnsi="宋体" w:cs="宋体"/>
          <w:b/>
          <w:sz w:val="24"/>
          <w:highlight w:val="none"/>
        </w:rPr>
      </w:pPr>
      <w:r>
        <w:rPr>
          <w:rFonts w:hint="eastAsia" w:ascii="宋体" w:hAnsi="宋体" w:cs="宋体"/>
          <w:b/>
          <w:sz w:val="24"/>
          <w:highlight w:val="none"/>
        </w:rPr>
        <w:t>赎回费</w:t>
      </w:r>
    </w:p>
    <w:p>
      <w:pPr>
        <w:numPr>
          <w:ilvl w:val="0"/>
          <w:numId w:val="0"/>
        </w:num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27"/>
        </w:numPr>
        <w:spacing w:line="360" w:lineRule="auto"/>
        <w:jc w:val="left"/>
        <w:rPr>
          <w:rFonts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本理财计划免除浮动管理费。</w:t>
      </w:r>
    </w:p>
    <w:p>
      <w:pPr>
        <w:numPr>
          <w:ilvl w:val="0"/>
          <w:numId w:val="28"/>
        </w:numPr>
        <w:spacing w:line="360" w:lineRule="auto"/>
        <w:jc w:val="left"/>
        <w:rPr>
          <w:rFonts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税收说明</w:t>
      </w:r>
    </w:p>
    <w:p>
      <w:pPr>
        <w:numPr>
          <w:ilvl w:val="0"/>
          <w:numId w:val="31"/>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1"/>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1"/>
        </w:numPr>
        <w:spacing w:line="360" w:lineRule="auto"/>
        <w:jc w:val="left"/>
        <w:rPr>
          <w:rFonts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收益计算</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投资者理财收益＝赎回份额×确认日（提前终止日）前一日单位净值+份额持有期间累计分红</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如有</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-认购或申购金额</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份额=认购或申购金额/</w:t>
      </w:r>
      <w:r>
        <w:rPr>
          <w:rFonts w:hint="eastAsia" w:ascii="宋体" w:hAnsi="宋体" w:cs="宋体"/>
          <w:bCs/>
          <w:color w:val="000000"/>
          <w:sz w:val="24"/>
          <w:highlight w:val="none"/>
          <w:lang w:val="en-US" w:eastAsia="zh-CN"/>
        </w:rPr>
        <w:t>认购</w:t>
      </w:r>
      <w:r>
        <w:rPr>
          <w:rFonts w:hint="eastAsia" w:ascii="宋体" w:hAnsi="宋体" w:cs="宋体"/>
          <w:bCs/>
          <w:color w:val="000000"/>
          <w:sz w:val="24"/>
          <w:highlight w:val="none"/>
        </w:rPr>
        <w:t>或确认日前一日的单位净值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确认日（提前终止日）前一日单位净值为提取相关费用及税费后的单位理财计划份额净值。</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示例说明</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ascii="宋体" w:hAnsi="宋体" w:cs="宋体"/>
          <w:b/>
          <w:sz w:val="24"/>
          <w:highlight w:val="none"/>
        </w:rPr>
      </w:pPr>
      <w:r>
        <w:rPr>
          <w:rFonts w:hint="eastAsia" w:ascii="宋体" w:hAnsi="宋体" w:cs="宋体"/>
          <w:b/>
          <w:color w:val="000000"/>
          <w:sz w:val="24"/>
          <w:highlight w:val="none"/>
        </w:rPr>
        <w:t>扣除托管费、固定管理费、销售服务费（如有）后，投资产生盈利。</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元，折算份额为100,000.00份，假设投资理财计划364天。赎回时扣除托管费、固定管理费、销售服务费后，如理财计划单位净值为1.02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-1)×365/364=</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7%，即投资收益达到〖2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7%〗，投资者最终收益为：100,000.00×(1.0</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60.00（元）</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最不利情况分析</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2" w:firstLineChars="200"/>
        <w:jc w:val="left"/>
        <w:rPr>
          <w:rFonts w:hint="eastAsia" w:ascii="宋体" w:hAnsi="宋体" w:cs="宋体"/>
          <w:b/>
          <w:color w:val="000000"/>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交易规则</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认购</w:t>
      </w:r>
    </w:p>
    <w:p>
      <w:pPr>
        <w:numPr>
          <w:ilvl w:val="0"/>
          <w:numId w:val="35"/>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35"/>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成立</w:t>
      </w:r>
    </w:p>
    <w:p>
      <w:pPr>
        <w:numPr>
          <w:ilvl w:val="0"/>
          <w:numId w:val="3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6"/>
        </w:numPr>
        <w:spacing w:line="360" w:lineRule="auto"/>
        <w:jc w:val="left"/>
        <w:rPr>
          <w:rFonts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申购及赎回</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3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本理财计划在每个开放期的工作时间可进行申购</w:t>
      </w:r>
      <w:r>
        <w:rPr>
          <w:rFonts w:hint="eastAsia" w:ascii="宋体" w:hAnsi="宋体" w:cs="宋体"/>
          <w:bCs/>
          <w:sz w:val="24"/>
          <w:highlight w:val="none"/>
          <w:lang w:val="en-US" w:eastAsia="zh-CN"/>
        </w:rPr>
        <w:t>、赎回和撤单申请</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申请将在确认日进行确认，即开放期后的第〖1〗个交易日进行确认。</w:t>
      </w:r>
    </w:p>
    <w:p>
      <w:pPr>
        <w:numPr>
          <w:ilvl w:val="0"/>
          <w:numId w:val="3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工作时间为每个交易日〖9:00〗至〖</w:t>
      </w:r>
      <w:r>
        <w:rPr>
          <w:rFonts w:hint="eastAsia" w:ascii="宋体" w:hAnsi="宋体" w:cs="宋体"/>
          <w:bCs/>
          <w:sz w:val="24"/>
          <w:highlight w:val="none"/>
          <w:lang w:val="en-US" w:eastAsia="zh-CN"/>
        </w:rPr>
        <w:t>17</w:t>
      </w:r>
      <w:r>
        <w:rPr>
          <w:rFonts w:hint="eastAsia" w:ascii="宋体" w:hAnsi="宋体" w:cs="宋体"/>
          <w:bCs/>
          <w:sz w:val="24"/>
          <w:highlight w:val="none"/>
          <w:lang w:eastAsia="zh-CN"/>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具体以销售机构销售要素为准</w:t>
      </w:r>
      <w:r>
        <w:rPr>
          <w:rFonts w:hint="eastAsia" w:ascii="宋体" w:hAnsi="宋体" w:cs="宋体"/>
          <w:bCs/>
          <w:color w:val="auto"/>
          <w:sz w:val="24"/>
          <w:szCs w:val="24"/>
          <w:highlight w:val="none"/>
          <w:lang w:eastAsia="zh-CN"/>
        </w:rPr>
        <w:t>）</w:t>
      </w:r>
      <w:r>
        <w:rPr>
          <w:rFonts w:hint="eastAsia" w:ascii="宋体" w:hAnsi="宋体" w:cs="宋体"/>
          <w:bCs/>
          <w:sz w:val="24"/>
          <w:highlight w:val="none"/>
        </w:rPr>
        <w:t>。</w:t>
      </w:r>
    </w:p>
    <w:p>
      <w:pPr>
        <w:numPr>
          <w:ilvl w:val="0"/>
          <w:numId w:val="38"/>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auto"/>
          <w:sz w:val="24"/>
          <w:szCs w:val="24"/>
          <w:highlight w:val="none"/>
        </w:rPr>
        <w:t>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工作时间内提交的申购/赎回申请，将作为当日申请处理；在开放期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工作时间结束后及非开放期提交的申购/赎回申请，将作为下一开放期的申请处理。</w:t>
      </w:r>
    </w:p>
    <w:p>
      <w:pPr>
        <w:numPr>
          <w:ilvl w:val="0"/>
          <w:numId w:val="3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如</w:t>
      </w:r>
      <w:r>
        <w:rPr>
          <w:rFonts w:hint="eastAsia" w:ascii="宋体" w:hAnsi="宋体" w:cs="宋体"/>
          <w:bCs/>
          <w:color w:val="000000"/>
          <w:sz w:val="24"/>
          <w:highlight w:val="none"/>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赎回资金确认后，</w:t>
      </w:r>
      <w:r>
        <w:rPr>
          <w:rFonts w:hint="eastAsia" w:ascii="宋体" w:hAnsi="宋体" w:cs="宋体"/>
          <w:bCs/>
          <w:color w:val="auto"/>
          <w:sz w:val="24"/>
          <w:szCs w:val="24"/>
          <w:highlight w:val="none"/>
        </w:rPr>
        <w:t>最快</w:t>
      </w:r>
      <w:r>
        <w:rPr>
          <w:rFonts w:hint="eastAsia" w:ascii="宋体" w:hAnsi="宋体" w:cs="宋体"/>
          <w:bCs/>
          <w:color w:val="auto"/>
          <w:sz w:val="24"/>
          <w:szCs w:val="24"/>
          <w:highlight w:val="none"/>
          <w:lang w:val="en-US" w:eastAsia="zh-CN"/>
        </w:rPr>
        <w:t>于确认日当日</w:t>
      </w:r>
      <w:r>
        <w:rPr>
          <w:rFonts w:hint="eastAsia" w:ascii="宋体" w:hAnsi="宋体" w:cs="宋体"/>
          <w:bCs/>
          <w:color w:val="auto"/>
          <w:sz w:val="24"/>
          <w:szCs w:val="24"/>
          <w:highlight w:val="none"/>
        </w:rPr>
        <w:t>，最晚</w:t>
      </w:r>
      <w:r>
        <w:rPr>
          <w:rFonts w:hint="eastAsia" w:ascii="宋体" w:hAnsi="宋体" w:cs="宋体"/>
          <w:bCs/>
          <w:color w:val="auto"/>
          <w:sz w:val="24"/>
          <w:szCs w:val="24"/>
          <w:highlight w:val="none"/>
          <w:lang w:val="en-US" w:eastAsia="zh-CN"/>
        </w:rPr>
        <w:t>于确认日后</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w:t>
      </w:r>
      <w:r>
        <w:rPr>
          <w:rFonts w:hint="eastAsia" w:ascii="宋体" w:hAnsi="宋体" w:cs="宋体"/>
          <w:bCs/>
          <w:color w:val="auto"/>
          <w:sz w:val="24"/>
          <w:szCs w:val="24"/>
          <w:highlight w:val="none"/>
        </w:rPr>
        <w:t>个交易日内</w:t>
      </w:r>
      <w:r>
        <w:rPr>
          <w:rFonts w:hint="eastAsia" w:ascii="宋体" w:hAnsi="宋体" w:cs="宋体"/>
          <w:bCs/>
          <w:sz w:val="24"/>
          <w:highlight w:val="none"/>
        </w:rPr>
        <w:t>（遇节假日顺延）理财资金与收益将一次性支付。如遇资金在途或法定工作日调整，实际资金到账日以公告为准。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3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如连续2日（含）以上开放日发生巨额赎回，对于已经接受的赎回申请，管理人可以延缓支付赎回款项，但延缓期限不得超过20个工作日。</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3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在理财计划存续期内，管理人有权根据市场情况调整巨额赎回金额比例，并及时进行对外公告。</w:t>
      </w:r>
    </w:p>
    <w:p>
      <w:pPr>
        <w:numPr>
          <w:ilvl w:val="0"/>
          <w:numId w:val="37"/>
        </w:numPr>
        <w:spacing w:line="360" w:lineRule="auto"/>
        <w:jc w:val="left"/>
        <w:rPr>
          <w:rFonts w:hint="eastAsia" w:ascii="宋体" w:hAnsi="宋体" w:cs="宋体"/>
          <w:bCs/>
          <w:sz w:val="24"/>
          <w:highlight w:val="none"/>
        </w:rPr>
      </w:pPr>
      <w:r>
        <w:rPr>
          <w:rFonts w:hint="eastAsia" w:ascii="宋体" w:hAnsi="宋体" w:cs="宋体"/>
          <w:bCs/>
          <w:sz w:val="24"/>
          <w:highlight w:val="none"/>
        </w:rPr>
        <w:t>暂停申购、赎回及延期支付赎回的情形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发生以下情形，管理人可暂停接受全部或部分投资者的申购申请：</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理财计划资产规模过大，继续接受申购可能对理财计划业绩产生负面影响，从而损害现有份额持有人利益的情形时。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当管理人认为某笔申购申请会有损于其他份额持有人利益的情形时。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发生以下情形，对超出前一日终理财产品总份额10%的赎回申请，管理人可暂停接受全部或部分、延期办理投资者的赎回申请：</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理财计划发生巨额赎回情形时。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当继续</w:t>
      </w:r>
      <w:r>
        <w:rPr>
          <w:rFonts w:ascii="宋体" w:hAnsi="宋体" w:cs="宋体"/>
          <w:bCs/>
          <w:sz w:val="24"/>
          <w:highlight w:val="none"/>
        </w:rPr>
        <w:t>接受赎回申请将损害存量投资者利益的情形</w:t>
      </w:r>
      <w:r>
        <w:rPr>
          <w:rFonts w:hint="eastAsia" w:ascii="宋体" w:hAnsi="宋体" w:cs="宋体"/>
          <w:bCs/>
          <w:sz w:val="24"/>
          <w:highlight w:val="none"/>
        </w:rPr>
        <w:t>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w:t>
      </w:r>
      <w:r>
        <w:rPr>
          <w:rFonts w:ascii="宋体" w:hAnsi="宋体" w:cs="宋体"/>
          <w:bCs/>
          <w:sz w:val="24"/>
          <w:highlight w:val="none"/>
        </w:rPr>
        <w:t>前一估值日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发生以下情形，管理人对已接受的赎回申请，可延期支付赎回款项：</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因不可抗力等原因，导致管理人接受赎回申请后无法及时兑付的情形时。</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连续</w:t>
      </w:r>
      <w:r>
        <w:rPr>
          <w:rFonts w:ascii="宋体" w:hAnsi="宋体" w:cs="宋体"/>
          <w:bCs/>
          <w:sz w:val="24"/>
          <w:highlight w:val="none"/>
        </w:rPr>
        <w:t>2</w:t>
      </w:r>
      <w:r>
        <w:rPr>
          <w:rFonts w:hint="eastAsia" w:ascii="宋体" w:hAnsi="宋体" w:cs="宋体"/>
          <w:bCs/>
          <w:sz w:val="24"/>
          <w:highlight w:val="none"/>
        </w:rPr>
        <w:t>日</w:t>
      </w:r>
      <w:r>
        <w:rPr>
          <w:rFonts w:ascii="宋体" w:hAnsi="宋体" w:cs="宋体"/>
          <w:bCs/>
          <w:sz w:val="24"/>
          <w:highlight w:val="none"/>
        </w:rPr>
        <w:t>（含）以上开放日发生巨额赎回的</w:t>
      </w:r>
      <w:r>
        <w:rPr>
          <w:rFonts w:hint="eastAsia" w:ascii="宋体" w:hAnsi="宋体" w:cs="宋体"/>
          <w:bCs/>
          <w:sz w:val="24"/>
          <w:highlight w:val="none"/>
        </w:rPr>
        <w:t>情形时。</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当前</w:t>
      </w:r>
      <w:r>
        <w:rPr>
          <w:rFonts w:ascii="宋体" w:hAnsi="宋体" w:cs="宋体"/>
          <w:bCs/>
          <w:sz w:val="24"/>
          <w:highlight w:val="none"/>
        </w:rPr>
        <w:t>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42"/>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法律法规规定或监管机构认定的其他情形。</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〗个交易日内（遇节假日顺延）将资金按规定的要求划入投资者授权指定的理财账户。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3"/>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3"/>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val="en-US" w:eastAsia="zh-CN"/>
        </w:rPr>
        <w:t>管理人</w:t>
      </w:r>
      <w:r>
        <w:rPr>
          <w:rFonts w:hint="eastAsia" w:ascii="宋体" w:hAnsi="宋体" w:cs="宋体"/>
          <w:b/>
          <w:sz w:val="24"/>
          <w:highlight w:val="none"/>
        </w:rPr>
        <w:t>认为应该提前终止的其他情形。</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信息披露</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披露内容及时间</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认购信息披露</w:t>
      </w:r>
    </w:p>
    <w:p>
      <w:pPr>
        <w:numPr>
          <w:ilvl w:val="0"/>
          <w:numId w:val="4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理财计划合同：管理人应在正式办理理财计划份额认购前披露，包括但不限于风险揭示书、产品说明书、投资者权益须知、理财计划投资协议书以及</w:t>
      </w:r>
      <w:r>
        <w:rPr>
          <w:rFonts w:hint="eastAsia" w:ascii="宋体" w:hAnsi="宋体" w:cs="宋体"/>
          <w:bCs/>
          <w:sz w:val="24"/>
          <w:highlight w:val="none"/>
        </w:rPr>
        <w:t>理财计划销售协议书</w:t>
      </w:r>
      <w:r>
        <w:rPr>
          <w:rFonts w:hint="eastAsia" w:ascii="宋体" w:hAnsi="宋体" w:cs="宋体"/>
          <w:bCs/>
          <w:color w:val="000000"/>
          <w:sz w:val="24"/>
          <w:highlight w:val="none"/>
        </w:rPr>
        <w:t>。</w:t>
      </w:r>
    </w:p>
    <w:p>
      <w:pPr>
        <w:numPr>
          <w:ilvl w:val="0"/>
          <w:numId w:val="4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运作信息披露</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理财计划净值：管理人应在理财计划成立后，每个开放确认日后2</w:t>
      </w:r>
      <w:r>
        <w:rPr>
          <w:rFonts w:ascii="宋体" w:hAnsi="宋体" w:cs="宋体"/>
          <w:bCs/>
          <w:color w:val="000000"/>
          <w:sz w:val="24"/>
          <w:highlight w:val="none"/>
        </w:rPr>
        <w:t>个工作日内披露本理财计划净值</w:t>
      </w:r>
      <w:r>
        <w:rPr>
          <w:rFonts w:hint="eastAsia" w:ascii="宋体" w:hAnsi="宋体" w:cs="宋体"/>
          <w:bCs/>
          <w:color w:val="000000"/>
          <w:sz w:val="24"/>
          <w:highlight w:val="none"/>
        </w:rPr>
        <w:t>。</w:t>
      </w:r>
    </w:p>
    <w:p>
      <w:pPr>
        <w:numPr>
          <w:ilvl w:val="0"/>
          <w:numId w:val="4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ascii="宋体" w:hAnsi="宋体" w:cs="宋体"/>
          <w:b/>
          <w:sz w:val="24"/>
          <w:highlight w:val="none"/>
        </w:rPr>
      </w:pP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4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临时信息披露</w:t>
      </w:r>
    </w:p>
    <w:p>
      <w:pPr>
        <w:numPr>
          <w:ilvl w:val="0"/>
          <w:numId w:val="4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49"/>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其他</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rPr>
          <w:rFonts w:hint="eastAsia"/>
          <w:b/>
          <w:sz w:val="44"/>
          <w:szCs w:val="4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b/>
        <w:bCs/>
        <w:color w:val="auto"/>
        <w:lang w:eastAsia="zh-CN"/>
      </w:rPr>
      <w:t>理财非存款</w:t>
    </w:r>
    <w:r>
      <w:rPr>
        <w:rFonts w:hint="eastAsia"/>
        <w:b/>
        <w:bCs/>
        <w:color w:val="auto"/>
        <w:lang w:val="en-US" w:eastAsia="zh-CN"/>
      </w:rPr>
      <w:t xml:space="preserve"> 产品有风险 投资</w:t>
    </w:r>
    <w:r>
      <w:rPr>
        <w:rFonts w:hint="eastAsia"/>
        <w:b/>
        <w:bCs/>
        <w:color w:val="auto"/>
        <w:highlight w:val="none"/>
        <w:lang w:val="en-US" w:eastAsia="zh-CN"/>
      </w:rPr>
      <w:t>须</w:t>
    </w:r>
    <w:r>
      <w:rPr>
        <w:rFonts w:hint="eastAsia"/>
        <w:b/>
        <w:bCs/>
        <w:color w:val="auto"/>
        <w:lang w:val="en-US" w:eastAsia="zh-CN"/>
      </w:rPr>
      <w:t>谨慎</w:t>
    </w: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5">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6">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7">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8">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19">
    <w:nsid w:val="D8D75090"/>
    <w:multiLevelType w:val="singleLevel"/>
    <w:tmpl w:val="D8D75090"/>
    <w:lvl w:ilvl="0" w:tentative="0">
      <w:start w:val="1"/>
      <w:numFmt w:val="decimal"/>
      <w:suff w:val="nothing"/>
      <w:lvlText w:val="（%1）"/>
      <w:lvlJc w:val="left"/>
      <w:rPr>
        <w:rFonts w:hint="default"/>
        <w:b w:val="0"/>
        <w:bCs w:val="0"/>
      </w:rPr>
    </w:lvl>
  </w:abstractNum>
  <w:abstractNum w:abstractNumId="20">
    <w:nsid w:val="DD2251DF"/>
    <w:multiLevelType w:val="singleLevel"/>
    <w:tmpl w:val="DD2251DF"/>
    <w:lvl w:ilvl="0" w:tentative="0">
      <w:start w:val="1"/>
      <w:numFmt w:val="decimal"/>
      <w:suff w:val="nothing"/>
      <w:lvlText w:val="（%1）"/>
      <w:lvlJc w:val="left"/>
      <w:rPr>
        <w:rFonts w:hint="default"/>
        <w:b w:val="0"/>
        <w:bCs w:val="0"/>
      </w:rPr>
    </w:lvl>
  </w:abstractNum>
  <w:abstractNum w:abstractNumId="21">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2">
    <w:nsid w:val="E70DF796"/>
    <w:multiLevelType w:val="singleLevel"/>
    <w:tmpl w:val="E70DF796"/>
    <w:lvl w:ilvl="0" w:tentative="0">
      <w:start w:val="1"/>
      <w:numFmt w:val="decimal"/>
      <w:suff w:val="nothing"/>
      <w:lvlText w:val="（%1）"/>
      <w:lvlJc w:val="left"/>
    </w:lvl>
  </w:abstractNum>
  <w:abstractNum w:abstractNumId="23">
    <w:nsid w:val="EFF37F09"/>
    <w:multiLevelType w:val="singleLevel"/>
    <w:tmpl w:val="EFF37F09"/>
    <w:lvl w:ilvl="0" w:tentative="0">
      <w:start w:val="1"/>
      <w:numFmt w:val="decimal"/>
      <w:suff w:val="nothing"/>
      <w:lvlText w:val="（%1）"/>
      <w:lvlJc w:val="left"/>
      <w:rPr>
        <w:rFonts w:hint="default"/>
        <w:b w:val="0"/>
        <w:bCs w:val="0"/>
      </w:rPr>
    </w:lvl>
  </w:abstractNum>
  <w:abstractNum w:abstractNumId="24">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5">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6">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7">
    <w:nsid w:val="F574F5B6"/>
    <w:multiLevelType w:val="singleLevel"/>
    <w:tmpl w:val="F574F5B6"/>
    <w:lvl w:ilvl="0" w:tentative="0">
      <w:start w:val="1"/>
      <w:numFmt w:val="decimal"/>
      <w:suff w:val="nothing"/>
      <w:lvlText w:val="（%1）"/>
      <w:lvlJc w:val="left"/>
    </w:lvl>
  </w:abstractNum>
  <w:abstractNum w:abstractNumId="28">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29">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0">
    <w:nsid w:val="084A6179"/>
    <w:multiLevelType w:val="singleLevel"/>
    <w:tmpl w:val="084A6179"/>
    <w:lvl w:ilvl="0" w:tentative="0">
      <w:start w:val="1"/>
      <w:numFmt w:val="decimal"/>
      <w:suff w:val="nothing"/>
      <w:lvlText w:val="（%1）"/>
      <w:lvlJc w:val="left"/>
    </w:lvl>
  </w:abstractNum>
  <w:abstractNum w:abstractNumId="31">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32">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4">
    <w:nsid w:val="167B0BB4"/>
    <w:multiLevelType w:val="singleLevel"/>
    <w:tmpl w:val="167B0BB4"/>
    <w:lvl w:ilvl="0" w:tentative="0">
      <w:start w:val="1"/>
      <w:numFmt w:val="decimal"/>
      <w:suff w:val="nothing"/>
      <w:lvlText w:val="（%1）"/>
      <w:lvlJc w:val="left"/>
    </w:lvl>
  </w:abstractNum>
  <w:abstractNum w:abstractNumId="35">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7">
    <w:nsid w:val="2CB63BE6"/>
    <w:multiLevelType w:val="singleLevel"/>
    <w:tmpl w:val="2CB63BE6"/>
    <w:lvl w:ilvl="0" w:tentative="0">
      <w:start w:val="1"/>
      <w:numFmt w:val="decimal"/>
      <w:suff w:val="nothing"/>
      <w:lvlText w:val="（%1）"/>
      <w:lvlJc w:val="left"/>
      <w:rPr>
        <w:rFonts w:hint="default"/>
        <w:b w:val="0"/>
        <w:bCs w:val="0"/>
      </w:rPr>
    </w:lvl>
  </w:abstractNum>
  <w:abstractNum w:abstractNumId="3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3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1">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3">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4">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5">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6">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47">
    <w:nsid w:val="5BA91325"/>
    <w:multiLevelType w:val="singleLevel"/>
    <w:tmpl w:val="5BA91325"/>
    <w:lvl w:ilvl="0" w:tentative="0">
      <w:start w:val="1"/>
      <w:numFmt w:val="decimal"/>
      <w:suff w:val="nothing"/>
      <w:lvlText w:val="（%1）"/>
      <w:lvlJc w:val="left"/>
    </w:lvl>
  </w:abstractNum>
  <w:abstractNum w:abstractNumId="48">
    <w:nsid w:val="61F30F62"/>
    <w:multiLevelType w:val="singleLevel"/>
    <w:tmpl w:val="61F30F62"/>
    <w:lvl w:ilvl="0" w:tentative="0">
      <w:start w:val="1"/>
      <w:numFmt w:val="decimal"/>
      <w:suff w:val="nothing"/>
      <w:lvlText w:val="（%1）"/>
      <w:lvlJc w:val="left"/>
      <w:rPr>
        <w:rFonts w:hint="default"/>
        <w:b w:val="0"/>
        <w:bCs w:val="0"/>
      </w:rPr>
    </w:lvl>
  </w:abstractNum>
  <w:abstractNum w:abstractNumId="49">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5"/>
  </w:num>
  <w:num w:numId="2">
    <w:abstractNumId w:val="42"/>
  </w:num>
  <w:num w:numId="3">
    <w:abstractNumId w:val="28"/>
  </w:num>
  <w:num w:numId="4">
    <w:abstractNumId w:val="25"/>
  </w:num>
  <w:num w:numId="5">
    <w:abstractNumId w:val="32"/>
  </w:num>
  <w:num w:numId="6">
    <w:abstractNumId w:val="24"/>
  </w:num>
  <w:num w:numId="7">
    <w:abstractNumId w:val="16"/>
  </w:num>
  <w:num w:numId="8">
    <w:abstractNumId w:val="10"/>
  </w:num>
  <w:num w:numId="9">
    <w:abstractNumId w:val="7"/>
  </w:num>
  <w:num w:numId="10">
    <w:abstractNumId w:val="8"/>
  </w:num>
  <w:num w:numId="11">
    <w:abstractNumId w:val="6"/>
  </w:num>
  <w:num w:numId="12">
    <w:abstractNumId w:val="31"/>
  </w:num>
  <w:num w:numId="13">
    <w:abstractNumId w:val="41"/>
  </w:num>
  <w:num w:numId="14">
    <w:abstractNumId w:val="27"/>
  </w:num>
  <w:num w:numId="15">
    <w:abstractNumId w:val="47"/>
  </w:num>
  <w:num w:numId="16">
    <w:abstractNumId w:val="15"/>
  </w:num>
  <w:num w:numId="17">
    <w:abstractNumId w:val="36"/>
  </w:num>
  <w:num w:numId="18">
    <w:abstractNumId w:val="18"/>
  </w:num>
  <w:num w:numId="19">
    <w:abstractNumId w:val="5"/>
  </w:num>
  <w:num w:numId="20">
    <w:abstractNumId w:val="44"/>
  </w:num>
  <w:num w:numId="21">
    <w:abstractNumId w:val="4"/>
  </w:num>
  <w:num w:numId="22">
    <w:abstractNumId w:val="30"/>
  </w:num>
  <w:num w:numId="23">
    <w:abstractNumId w:val="35"/>
  </w:num>
  <w:num w:numId="24">
    <w:abstractNumId w:val="49"/>
  </w:num>
  <w:num w:numId="25">
    <w:abstractNumId w:val="29"/>
  </w:num>
  <w:num w:numId="26">
    <w:abstractNumId w:val="17"/>
  </w:num>
  <w:num w:numId="27">
    <w:abstractNumId w:val="38"/>
  </w:num>
  <w:num w:numId="28">
    <w:abstractNumId w:val="0"/>
  </w:num>
  <w:num w:numId="29">
    <w:abstractNumId w:val="20"/>
  </w:num>
  <w:num w:numId="30">
    <w:abstractNumId w:val="40"/>
  </w:num>
  <w:num w:numId="31">
    <w:abstractNumId w:val="2"/>
  </w:num>
  <w:num w:numId="32">
    <w:abstractNumId w:val="21"/>
  </w:num>
  <w:num w:numId="33">
    <w:abstractNumId w:val="13"/>
  </w:num>
  <w:num w:numId="34">
    <w:abstractNumId w:val="43"/>
  </w:num>
  <w:num w:numId="35">
    <w:abstractNumId w:val="33"/>
  </w:num>
  <w:num w:numId="36">
    <w:abstractNumId w:val="14"/>
  </w:num>
  <w:num w:numId="37">
    <w:abstractNumId w:val="26"/>
  </w:num>
  <w:num w:numId="38">
    <w:abstractNumId w:val="22"/>
  </w:num>
  <w:num w:numId="39">
    <w:abstractNumId w:val="23"/>
  </w:num>
  <w:num w:numId="40">
    <w:abstractNumId w:val="48"/>
  </w:num>
  <w:num w:numId="41">
    <w:abstractNumId w:val="37"/>
  </w:num>
  <w:num w:numId="42">
    <w:abstractNumId w:val="1"/>
  </w:num>
  <w:num w:numId="43">
    <w:abstractNumId w:val="46"/>
  </w:num>
  <w:num w:numId="44">
    <w:abstractNumId w:val="11"/>
  </w:num>
  <w:num w:numId="45">
    <w:abstractNumId w:val="9"/>
  </w:num>
  <w:num w:numId="46">
    <w:abstractNumId w:val="12"/>
  </w:num>
  <w:num w:numId="47">
    <w:abstractNumId w:val="34"/>
  </w:num>
  <w:num w:numId="48">
    <w:abstractNumId w:val="19"/>
  </w:num>
  <w:num w:numId="49">
    <w:abstractNumId w:val="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37e384c3-4aaa-440e-934e-6eda64ea758b"/>
  </w:docVars>
  <w:rsids>
    <w:rsidRoot w:val="00172A27"/>
    <w:rsid w:val="00127EED"/>
    <w:rsid w:val="002C7EF9"/>
    <w:rsid w:val="004909B3"/>
    <w:rsid w:val="00520830"/>
    <w:rsid w:val="006E07BC"/>
    <w:rsid w:val="007B6489"/>
    <w:rsid w:val="00AB5752"/>
    <w:rsid w:val="00E06929"/>
    <w:rsid w:val="00EB712E"/>
    <w:rsid w:val="00FB0E83"/>
    <w:rsid w:val="01E330BC"/>
    <w:rsid w:val="022C266D"/>
    <w:rsid w:val="02CB4AF7"/>
    <w:rsid w:val="03170B42"/>
    <w:rsid w:val="033259D5"/>
    <w:rsid w:val="03E00C28"/>
    <w:rsid w:val="04300DD6"/>
    <w:rsid w:val="0468177F"/>
    <w:rsid w:val="04845B79"/>
    <w:rsid w:val="0521211C"/>
    <w:rsid w:val="05ED7C6F"/>
    <w:rsid w:val="064F42BD"/>
    <w:rsid w:val="06605967"/>
    <w:rsid w:val="068A408A"/>
    <w:rsid w:val="06DF1F61"/>
    <w:rsid w:val="07191548"/>
    <w:rsid w:val="07F57DA4"/>
    <w:rsid w:val="0825466B"/>
    <w:rsid w:val="08C06B57"/>
    <w:rsid w:val="0AEF3D0C"/>
    <w:rsid w:val="0B413915"/>
    <w:rsid w:val="0B8251C9"/>
    <w:rsid w:val="0B9C1C2D"/>
    <w:rsid w:val="0B9E090F"/>
    <w:rsid w:val="0CD50D95"/>
    <w:rsid w:val="0E7B6A15"/>
    <w:rsid w:val="0E9E528B"/>
    <w:rsid w:val="0F0D58D2"/>
    <w:rsid w:val="0F777231"/>
    <w:rsid w:val="0F8072BB"/>
    <w:rsid w:val="0F866D61"/>
    <w:rsid w:val="0FAD023A"/>
    <w:rsid w:val="10267CF2"/>
    <w:rsid w:val="10D07610"/>
    <w:rsid w:val="10E505B7"/>
    <w:rsid w:val="1141717E"/>
    <w:rsid w:val="114255F5"/>
    <w:rsid w:val="11567BF8"/>
    <w:rsid w:val="11C946E2"/>
    <w:rsid w:val="126D33E8"/>
    <w:rsid w:val="127D7AC5"/>
    <w:rsid w:val="132F20ED"/>
    <w:rsid w:val="14233F1C"/>
    <w:rsid w:val="144F2413"/>
    <w:rsid w:val="14CB7308"/>
    <w:rsid w:val="15025C38"/>
    <w:rsid w:val="15507D31"/>
    <w:rsid w:val="155A68E0"/>
    <w:rsid w:val="1652230F"/>
    <w:rsid w:val="17F36337"/>
    <w:rsid w:val="18337DCA"/>
    <w:rsid w:val="18A92B8D"/>
    <w:rsid w:val="1BFC63BA"/>
    <w:rsid w:val="1C692544"/>
    <w:rsid w:val="1C79739D"/>
    <w:rsid w:val="1C8F465C"/>
    <w:rsid w:val="1CDE544D"/>
    <w:rsid w:val="1E135651"/>
    <w:rsid w:val="1E544E3F"/>
    <w:rsid w:val="1EF50B96"/>
    <w:rsid w:val="1F7D3106"/>
    <w:rsid w:val="1FDA2F63"/>
    <w:rsid w:val="21A67B64"/>
    <w:rsid w:val="2297514B"/>
    <w:rsid w:val="22B23AF8"/>
    <w:rsid w:val="234F64C4"/>
    <w:rsid w:val="242D0854"/>
    <w:rsid w:val="247755D9"/>
    <w:rsid w:val="25D26B04"/>
    <w:rsid w:val="25DA3557"/>
    <w:rsid w:val="25E74F4E"/>
    <w:rsid w:val="26150399"/>
    <w:rsid w:val="26B7240F"/>
    <w:rsid w:val="26B84FF0"/>
    <w:rsid w:val="27505FBA"/>
    <w:rsid w:val="2BCD0352"/>
    <w:rsid w:val="2BFB4554"/>
    <w:rsid w:val="2C9B2A75"/>
    <w:rsid w:val="2CA02CA1"/>
    <w:rsid w:val="2CB41CDE"/>
    <w:rsid w:val="2D4B4C9F"/>
    <w:rsid w:val="2E804153"/>
    <w:rsid w:val="2F5B1280"/>
    <w:rsid w:val="2F7A6DFD"/>
    <w:rsid w:val="2FAF3B79"/>
    <w:rsid w:val="2FF60969"/>
    <w:rsid w:val="31750334"/>
    <w:rsid w:val="32485F31"/>
    <w:rsid w:val="34824A12"/>
    <w:rsid w:val="35105209"/>
    <w:rsid w:val="370319F6"/>
    <w:rsid w:val="37501DF6"/>
    <w:rsid w:val="37AE7D0A"/>
    <w:rsid w:val="3888715E"/>
    <w:rsid w:val="389B7D8D"/>
    <w:rsid w:val="39CE7544"/>
    <w:rsid w:val="39DC1BD6"/>
    <w:rsid w:val="3AFE2EA6"/>
    <w:rsid w:val="3B613958"/>
    <w:rsid w:val="3B7A06B4"/>
    <w:rsid w:val="3C162EE1"/>
    <w:rsid w:val="3C72467E"/>
    <w:rsid w:val="3D803185"/>
    <w:rsid w:val="3D952002"/>
    <w:rsid w:val="3DAF1A5E"/>
    <w:rsid w:val="3E267866"/>
    <w:rsid w:val="3E446F72"/>
    <w:rsid w:val="3E6260D1"/>
    <w:rsid w:val="3F9428BE"/>
    <w:rsid w:val="401D42F0"/>
    <w:rsid w:val="40FA2D1A"/>
    <w:rsid w:val="41F97743"/>
    <w:rsid w:val="424C036B"/>
    <w:rsid w:val="42E329DD"/>
    <w:rsid w:val="43234F78"/>
    <w:rsid w:val="433D378B"/>
    <w:rsid w:val="434C7FF3"/>
    <w:rsid w:val="44562BBD"/>
    <w:rsid w:val="463B593D"/>
    <w:rsid w:val="46CB2C58"/>
    <w:rsid w:val="48402042"/>
    <w:rsid w:val="48424A1F"/>
    <w:rsid w:val="48975A3F"/>
    <w:rsid w:val="49DD0ED4"/>
    <w:rsid w:val="4A2263FF"/>
    <w:rsid w:val="4A2743FB"/>
    <w:rsid w:val="4ADD3BE3"/>
    <w:rsid w:val="4B841650"/>
    <w:rsid w:val="4BE505DD"/>
    <w:rsid w:val="4C5C40B1"/>
    <w:rsid w:val="4CC53366"/>
    <w:rsid w:val="4D2E049A"/>
    <w:rsid w:val="4D5A2CAA"/>
    <w:rsid w:val="4D693017"/>
    <w:rsid w:val="4D7F06C0"/>
    <w:rsid w:val="4D8D1273"/>
    <w:rsid w:val="4F1B6F35"/>
    <w:rsid w:val="4F20048B"/>
    <w:rsid w:val="4F212124"/>
    <w:rsid w:val="503B586A"/>
    <w:rsid w:val="508D75C7"/>
    <w:rsid w:val="51F56F6B"/>
    <w:rsid w:val="52091595"/>
    <w:rsid w:val="5221238A"/>
    <w:rsid w:val="5246747D"/>
    <w:rsid w:val="525024E8"/>
    <w:rsid w:val="52D20572"/>
    <w:rsid w:val="5349716A"/>
    <w:rsid w:val="53916CC5"/>
    <w:rsid w:val="543B6C03"/>
    <w:rsid w:val="5452022E"/>
    <w:rsid w:val="550A7003"/>
    <w:rsid w:val="554B520C"/>
    <w:rsid w:val="55967810"/>
    <w:rsid w:val="55A42FA5"/>
    <w:rsid w:val="55D73C36"/>
    <w:rsid w:val="56192B5A"/>
    <w:rsid w:val="5764451A"/>
    <w:rsid w:val="58DD72C6"/>
    <w:rsid w:val="5A0B1227"/>
    <w:rsid w:val="5A1E2133"/>
    <w:rsid w:val="5B212BB1"/>
    <w:rsid w:val="5BFA606A"/>
    <w:rsid w:val="5C7E7C83"/>
    <w:rsid w:val="5D6E6559"/>
    <w:rsid w:val="5DF93585"/>
    <w:rsid w:val="5E531617"/>
    <w:rsid w:val="5F087411"/>
    <w:rsid w:val="5FE37D04"/>
    <w:rsid w:val="60A362BD"/>
    <w:rsid w:val="60C809E8"/>
    <w:rsid w:val="60DD604A"/>
    <w:rsid w:val="612B3563"/>
    <w:rsid w:val="61AF074A"/>
    <w:rsid w:val="62D35EDA"/>
    <w:rsid w:val="64606D9B"/>
    <w:rsid w:val="66A95B28"/>
    <w:rsid w:val="66B655AC"/>
    <w:rsid w:val="67075395"/>
    <w:rsid w:val="67B46A51"/>
    <w:rsid w:val="68982F49"/>
    <w:rsid w:val="68C43CF2"/>
    <w:rsid w:val="68E6218C"/>
    <w:rsid w:val="697836CF"/>
    <w:rsid w:val="698C75AE"/>
    <w:rsid w:val="69FF60E8"/>
    <w:rsid w:val="6C1A61DA"/>
    <w:rsid w:val="6CB00E61"/>
    <w:rsid w:val="6DCE5B48"/>
    <w:rsid w:val="6E822944"/>
    <w:rsid w:val="6F443EC4"/>
    <w:rsid w:val="70271458"/>
    <w:rsid w:val="709F5E89"/>
    <w:rsid w:val="70C3137F"/>
    <w:rsid w:val="70DE1F58"/>
    <w:rsid w:val="71F56F89"/>
    <w:rsid w:val="723B4B2B"/>
    <w:rsid w:val="73040C29"/>
    <w:rsid w:val="73366ECA"/>
    <w:rsid w:val="736047B8"/>
    <w:rsid w:val="739F7200"/>
    <w:rsid w:val="749F34EB"/>
    <w:rsid w:val="74F55397"/>
    <w:rsid w:val="753F4B02"/>
    <w:rsid w:val="7790260C"/>
    <w:rsid w:val="779E2189"/>
    <w:rsid w:val="77B52AAE"/>
    <w:rsid w:val="789E1844"/>
    <w:rsid w:val="79C90C2C"/>
    <w:rsid w:val="7A3B2905"/>
    <w:rsid w:val="7AC953A0"/>
    <w:rsid w:val="7B0F21D0"/>
    <w:rsid w:val="7C0B400E"/>
    <w:rsid w:val="7CC17505"/>
    <w:rsid w:val="7E09751D"/>
    <w:rsid w:val="7E113679"/>
    <w:rsid w:val="7E7D141F"/>
    <w:rsid w:val="7EA570C5"/>
    <w:rsid w:val="7F074098"/>
    <w:rsid w:val="7F7D20DB"/>
    <w:rsid w:val="7F8704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character" w:default="1" w:styleId="11">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6"/>
    <w:qFormat/>
    <w:uiPriority w:val="0"/>
    <w:pPr>
      <w:jc w:val="left"/>
    </w:pPr>
    <w:rPr>
      <w:rFonts w:cs="Times New Roman"/>
    </w:rPr>
  </w:style>
  <w:style w:type="paragraph" w:styleId="4">
    <w:name w:val="Balloon Text"/>
    <w:basedOn w:val="1"/>
    <w:link w:val="14"/>
    <w:qFormat/>
    <w:uiPriority w:val="0"/>
    <w:rPr>
      <w:rFonts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5"/>
    <w:qFormat/>
    <w:uiPriority w:val="0"/>
    <w:rPr>
      <w:rFonts w:cs="Times New Roman"/>
      <w:b/>
      <w:bCs/>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批注框文本 Char"/>
    <w:link w:val="4"/>
    <w:qFormat/>
    <w:uiPriority w:val="0"/>
    <w:rPr>
      <w:rFonts w:ascii="Calibri" w:hAnsi="Calibri" w:cs="黑体"/>
      <w:kern w:val="2"/>
      <w:sz w:val="18"/>
      <w:szCs w:val="18"/>
    </w:rPr>
  </w:style>
  <w:style w:type="character" w:customStyle="1" w:styleId="15">
    <w:name w:val="批注主题 Char"/>
    <w:link w:val="8"/>
    <w:qFormat/>
    <w:uiPriority w:val="0"/>
    <w:rPr>
      <w:rFonts w:ascii="Calibri" w:hAnsi="Calibri" w:cs="黑体"/>
      <w:b/>
      <w:bCs/>
      <w:kern w:val="2"/>
      <w:sz w:val="21"/>
      <w:szCs w:val="24"/>
    </w:rPr>
  </w:style>
  <w:style w:type="character" w:customStyle="1" w:styleId="16">
    <w:name w:val="批注文字 Char"/>
    <w:link w:val="3"/>
    <w:qFormat/>
    <w:uiPriority w:val="0"/>
    <w:rPr>
      <w:rFonts w:ascii="Calibri" w:hAnsi="Calibri" w:cs="黑体"/>
      <w:kern w:val="2"/>
      <w:sz w:val="21"/>
      <w:szCs w:val="2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34168</Words>
  <Characters>35758</Characters>
  <Lines>255</Lines>
  <Paragraphs>71</Paragraphs>
  <TotalTime>157256165</TotalTime>
  <ScaleCrop>false</ScaleCrop>
  <LinksUpToDate>false</LinksUpToDate>
  <CharactersWithSpaces>36208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2025-03-21T07:44:52Z</dcterms:modified>
  <dc:title>杭银理财幸福99XXXX理财计划合同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