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w:t>
      </w:r>
      <w:r>
        <w:rPr>
          <w:rFonts w:hint="eastAsia" w:ascii="宋体" w:hAnsi="宋体" w:cs="宋体"/>
          <w:b/>
          <w:bCs/>
          <w:sz w:val="44"/>
          <w:szCs w:val="44"/>
          <w:highlight w:val="none"/>
          <w:lang w:eastAsia="zh-CN"/>
        </w:rPr>
        <w:t>丰收周添益开放式</w:t>
      </w:r>
      <w:r>
        <w:rPr>
          <w:rFonts w:hint="eastAsia" w:ascii="宋体" w:hAnsi="宋体" w:cs="宋体"/>
          <w:b/>
          <w:bCs/>
          <w:sz w:val="44"/>
          <w:szCs w:val="44"/>
          <w:highlight w:val="none"/>
          <w:lang w:val="en-US" w:eastAsia="zh-CN"/>
        </w:rPr>
        <w:t>1期</w:t>
      </w:r>
      <w:r>
        <w:rPr>
          <w:rFonts w:hint="eastAsia" w:ascii="宋体" w:hAnsi="宋体" w:cs="宋体"/>
          <w:b/>
          <w:bCs/>
          <w:sz w:val="44"/>
          <w:szCs w:val="44"/>
          <w:highlight w:val="none"/>
        </w:rPr>
        <w:t>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〖Z7002224000032〗</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2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23"/>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23"/>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23"/>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银行业金融机构或者国务院银行业监督管理机构认可的其他机构，可代为办理理财产品销售业务。</w:t>
      </w:r>
    </w:p>
    <w:p>
      <w:pPr>
        <w:pStyle w:val="23"/>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23"/>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23"/>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23"/>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23"/>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23"/>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w:t>
      </w:r>
      <w:r>
        <w:rPr>
          <w:rFonts w:hint="eastAsia" w:ascii="宋体" w:hAnsi="宋体" w:cs="宋体"/>
          <w:bCs/>
          <w:color w:val="auto"/>
          <w:kern w:val="2"/>
          <w:highlight w:val="none"/>
          <w:lang w:eastAsia="zh-CN"/>
        </w:rPr>
        <w:t>丰收周添益开放式</w:t>
      </w:r>
      <w:r>
        <w:rPr>
          <w:rFonts w:hint="eastAsia" w:ascii="宋体" w:hAnsi="宋体" w:cs="宋体"/>
          <w:bCs/>
          <w:color w:val="auto"/>
          <w:kern w:val="2"/>
          <w:highlight w:val="none"/>
          <w:lang w:val="en-US" w:eastAsia="zh-CN"/>
        </w:rPr>
        <w:t>1期</w:t>
      </w:r>
      <w:r>
        <w:rPr>
          <w:rFonts w:hint="eastAsia" w:ascii="宋体" w:hAnsi="宋体" w:cs="宋体"/>
          <w:bCs/>
          <w:highlight w:val="none"/>
        </w:rPr>
        <w:t>理财产品说明书</w:t>
      </w:r>
      <w:r>
        <w:rPr>
          <w:rFonts w:hint="eastAsia" w:ascii="宋体" w:hAnsi="宋体" w:cs="宋体"/>
          <w:bCs/>
          <w:color w:val="auto"/>
          <w:kern w:val="2"/>
          <w:highlight w:val="none"/>
        </w:rPr>
        <w:t>》，以及对该文件的有效修改与补充。</w:t>
      </w:r>
    </w:p>
    <w:p>
      <w:pPr>
        <w:pStyle w:val="23"/>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w:t>
      </w:r>
      <w:r>
        <w:rPr>
          <w:rFonts w:hint="eastAsia" w:ascii="宋体" w:hAnsi="宋体" w:cs="宋体"/>
          <w:bCs/>
          <w:color w:val="auto"/>
          <w:kern w:val="2"/>
          <w:highlight w:val="none"/>
          <w:lang w:eastAsia="zh-CN"/>
        </w:rPr>
        <w:t>丰收周添益开放式</w:t>
      </w:r>
      <w:r>
        <w:rPr>
          <w:rFonts w:hint="eastAsia" w:ascii="宋体" w:hAnsi="宋体" w:cs="宋体"/>
          <w:bCs/>
          <w:color w:val="auto"/>
          <w:kern w:val="2"/>
          <w:highlight w:val="none"/>
          <w:lang w:val="en-US" w:eastAsia="zh-CN"/>
        </w:rPr>
        <w:t>1期</w:t>
      </w:r>
      <w:r>
        <w:rPr>
          <w:rFonts w:hint="eastAsia" w:ascii="宋体" w:hAnsi="宋体" w:cs="宋体"/>
          <w:bCs/>
          <w:highlight w:val="none"/>
        </w:rPr>
        <w:t>理财合同不可分割组成部分的风险揭示书，</w:t>
      </w:r>
      <w:r>
        <w:rPr>
          <w:rFonts w:hint="eastAsia" w:ascii="宋体" w:hAnsi="宋体" w:cs="宋体"/>
          <w:bCs/>
          <w:color w:val="auto"/>
          <w:kern w:val="2"/>
          <w:highlight w:val="none"/>
        </w:rPr>
        <w:t>以及对该文件的有效修改与补充。</w:t>
      </w:r>
    </w:p>
    <w:p>
      <w:pPr>
        <w:pStyle w:val="23"/>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w:t>
      </w:r>
      <w:r>
        <w:rPr>
          <w:rFonts w:hint="eastAsia" w:ascii="宋体" w:hAnsi="宋体" w:cs="宋体"/>
          <w:bCs/>
          <w:color w:val="auto"/>
          <w:kern w:val="2"/>
          <w:highlight w:val="none"/>
          <w:lang w:eastAsia="zh-CN"/>
        </w:rPr>
        <w:t>丰收周添益开放式</w:t>
      </w:r>
      <w:r>
        <w:rPr>
          <w:rFonts w:hint="eastAsia" w:ascii="宋体" w:hAnsi="宋体" w:cs="宋体"/>
          <w:bCs/>
          <w:color w:val="auto"/>
          <w:kern w:val="2"/>
          <w:highlight w:val="none"/>
          <w:lang w:val="en-US" w:eastAsia="zh-CN"/>
        </w:rPr>
        <w:t>1期</w:t>
      </w:r>
      <w:r>
        <w:rPr>
          <w:rFonts w:hint="eastAsia" w:ascii="宋体" w:hAnsi="宋体" w:cs="宋体"/>
          <w:bCs/>
          <w:highlight w:val="none"/>
        </w:rPr>
        <w:t>理财合同不可分割组成部分的投资者权益须知，</w:t>
      </w:r>
      <w:r>
        <w:rPr>
          <w:rFonts w:hint="eastAsia" w:ascii="宋体" w:hAnsi="宋体" w:cs="宋体"/>
          <w:bCs/>
          <w:color w:val="auto"/>
          <w:kern w:val="2"/>
          <w:highlight w:val="none"/>
        </w:rPr>
        <w:t>以及对该文件的有效修改与补充。</w:t>
      </w:r>
    </w:p>
    <w:p>
      <w:pPr>
        <w:pStyle w:val="23"/>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w:t>
      </w:r>
      <w:r>
        <w:rPr>
          <w:rFonts w:hint="eastAsia" w:ascii="宋体" w:hAnsi="宋体" w:cs="宋体"/>
          <w:bCs/>
          <w:color w:val="auto"/>
          <w:kern w:val="2"/>
          <w:highlight w:val="none"/>
          <w:lang w:eastAsia="zh-CN"/>
        </w:rPr>
        <w:t>丰收周添益开放式</w:t>
      </w:r>
      <w:r>
        <w:rPr>
          <w:rFonts w:hint="eastAsia" w:ascii="宋体" w:hAnsi="宋体" w:cs="宋体"/>
          <w:bCs/>
          <w:color w:val="auto"/>
          <w:kern w:val="2"/>
          <w:highlight w:val="none"/>
          <w:lang w:val="en-US" w:eastAsia="zh-CN"/>
        </w:rPr>
        <w:t>1期</w:t>
      </w:r>
      <w:r>
        <w:rPr>
          <w:rFonts w:hint="eastAsia" w:ascii="宋体" w:hAnsi="宋体" w:cs="宋体"/>
          <w:bCs/>
          <w:highlight w:val="none"/>
        </w:rPr>
        <w:t>理财合同不可分割组成部分的理财计划投资协议书，</w:t>
      </w:r>
      <w:r>
        <w:rPr>
          <w:rFonts w:hint="eastAsia" w:ascii="宋体" w:hAnsi="宋体" w:cs="宋体"/>
          <w:bCs/>
          <w:color w:val="auto"/>
          <w:kern w:val="2"/>
          <w:highlight w:val="none"/>
        </w:rPr>
        <w:t>以及对该文件的有效修改与补充。</w:t>
      </w:r>
    </w:p>
    <w:p>
      <w:pPr>
        <w:pStyle w:val="23"/>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指作为杭银理财丰收周添益开放式</w:t>
      </w:r>
      <w:r>
        <w:rPr>
          <w:rFonts w:hint="eastAsia" w:ascii="宋体" w:hAnsi="宋体" w:cs="宋体"/>
          <w:bCs/>
          <w:color w:val="auto"/>
          <w:kern w:val="2"/>
          <w:highlight w:val="none"/>
          <w:lang w:val="en-US" w:eastAsia="zh-CN"/>
        </w:rPr>
        <w:t>1期理财合同不可分割组成部分的理财计划销售协议书，以及对该文件的有效修改与补充。</w:t>
      </w:r>
    </w:p>
    <w:p>
      <w:pPr>
        <w:pStyle w:val="23"/>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23"/>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w:t>
      </w:r>
      <w:r>
        <w:rPr>
          <w:rFonts w:hint="eastAsia" w:ascii="宋体" w:hAnsi="宋体" w:cs="宋体"/>
          <w:bCs/>
          <w:color w:val="auto"/>
          <w:kern w:val="2"/>
          <w:highlight w:val="none"/>
          <w:lang w:eastAsia="zh-CN"/>
        </w:rPr>
        <w:t>丰收周添益开放式</w:t>
      </w:r>
      <w:r>
        <w:rPr>
          <w:rFonts w:hint="eastAsia" w:ascii="宋体" w:hAnsi="宋体" w:cs="宋体"/>
          <w:bCs/>
          <w:color w:val="auto"/>
          <w:kern w:val="2"/>
          <w:highlight w:val="none"/>
          <w:lang w:val="en-US" w:eastAsia="zh-CN"/>
        </w:rPr>
        <w:t>1期</w:t>
      </w:r>
      <w:r>
        <w:rPr>
          <w:rFonts w:hint="eastAsia" w:ascii="宋体" w:hAnsi="宋体" w:cs="宋体"/>
          <w:bCs/>
          <w:highlight w:val="none"/>
        </w:rPr>
        <w:t>理财。</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23"/>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23"/>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23"/>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、赎回</w:t>
      </w:r>
      <w:r>
        <w:rPr>
          <w:rFonts w:hint="eastAsia" w:ascii="宋体" w:hAnsi="宋体" w:cs="宋体"/>
          <w:bCs/>
          <w:highlight w:val="none"/>
        </w:rPr>
        <w:t>交易的时间。</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交易是否有效的日期。</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3"/>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3"/>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23"/>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2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2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2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2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2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23"/>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23"/>
        <w:numPr>
          <w:ilvl w:val="0"/>
          <w:numId w:val="0"/>
        </w:numPr>
        <w:adjustRightInd/>
        <w:spacing w:line="360" w:lineRule="auto"/>
        <w:rPr>
          <w:rFonts w:hint="eastAsia" w:ascii="宋体" w:hAnsi="宋体" w:cs="宋体"/>
          <w:b/>
          <w:color w:val="auto"/>
          <w:kern w:val="2"/>
          <w:highlight w:val="none"/>
        </w:rPr>
      </w:pPr>
    </w:p>
    <w:p>
      <w:pPr>
        <w:pStyle w:val="23"/>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2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tcPr>
          <w:p>
            <w:pPr>
              <w:pStyle w:val="23"/>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tcPr>
          <w:p>
            <w:pPr>
              <w:pStyle w:val="23"/>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tcPr>
          <w:p>
            <w:pPr>
              <w:pStyle w:val="23"/>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23"/>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23"/>
        <w:adjustRightInd/>
        <w:spacing w:line="360" w:lineRule="auto"/>
        <w:rPr>
          <w:rFonts w:hint="eastAsia" w:ascii="宋体" w:hAnsi="宋体" w:cs="宋体"/>
          <w:b/>
          <w:color w:val="auto"/>
          <w:kern w:val="2"/>
          <w:highlight w:val="none"/>
        </w:rPr>
      </w:pPr>
    </w:p>
    <w:p>
      <w:pPr>
        <w:pStyle w:val="23"/>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w:t>
            </w:r>
            <w:r>
              <w:rPr>
                <w:rFonts w:hint="eastAsia" w:ascii="宋体" w:hAnsi="宋体" w:cs="宋体"/>
                <w:sz w:val="21"/>
                <w:szCs w:val="21"/>
                <w:highlight w:val="none"/>
                <w:lang w:eastAsia="zh-CN"/>
              </w:rPr>
              <w:t>丰收周添益开放式</w:t>
            </w:r>
            <w:r>
              <w:rPr>
                <w:rFonts w:hint="eastAsia" w:ascii="宋体" w:hAnsi="宋体" w:cs="宋体"/>
                <w:sz w:val="21"/>
                <w:szCs w:val="21"/>
                <w:highlight w:val="none"/>
                <w:lang w:val="en-US" w:eastAsia="zh-CN"/>
              </w:rPr>
              <w:t>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丰收周添益1期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FS</w:t>
            </w:r>
            <w:r>
              <w:rPr>
                <w:rFonts w:hint="eastAsia" w:ascii="宋体" w:hAnsi="宋体" w:cs="宋体"/>
                <w:color w:val="000000"/>
                <w:sz w:val="21"/>
                <w:szCs w:val="21"/>
                <w:highlight w:val="none"/>
                <w:lang w:val="en-US" w:eastAsia="zh-CN"/>
              </w:rPr>
              <w:t>TYG7D01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w:t>
            </w:r>
            <w:r>
              <w:rPr>
                <w:rFonts w:hint="eastAsia" w:ascii="宋体" w:hAnsi="宋体" w:cs="宋体"/>
                <w:sz w:val="21"/>
                <w:szCs w:val="21"/>
                <w:highlight w:val="none"/>
              </w:rPr>
              <w:t>Z7002224000032</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vAlign w:val="center"/>
          </w:tcPr>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22</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23</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23</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vAlign w:val="center"/>
          </w:tcPr>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1000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每周三〗为确认日。本周三至下周二15:00前的交易申请将在下周三进行确认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:00〗。</w:t>
            </w:r>
            <w:r>
              <w:rPr>
                <w:rFonts w:hint="eastAsia" w:ascii="宋体" w:hAnsi="宋体" w:cs="宋体"/>
                <w:color w:val="000000"/>
                <w:kern w:val="0"/>
                <w:sz w:val="21"/>
                <w:szCs w:val="21"/>
                <w:highlight w:val="none"/>
              </w:rPr>
              <w:t>（具体以销售机构</w:t>
            </w:r>
            <w:r>
              <w:rPr>
                <w:rFonts w:hint="eastAsia" w:ascii="宋体" w:hAnsi="宋体" w:cs="宋体"/>
                <w:color w:val="000000"/>
                <w:kern w:val="0"/>
                <w:sz w:val="21"/>
                <w:szCs w:val="21"/>
                <w:highlight w:val="none"/>
                <w:lang w:val="en-US" w:eastAsia="zh-CN"/>
              </w:rPr>
              <w:t>销售要素</w:t>
            </w:r>
            <w:r>
              <w:rPr>
                <w:rFonts w:hint="eastAsia" w:ascii="宋体" w:hAnsi="宋体" w:cs="宋体"/>
                <w:color w:val="000000"/>
                <w:kern w:val="0"/>
                <w:sz w:val="21"/>
                <w:szCs w:val="21"/>
                <w:highlight w:val="none"/>
              </w:rPr>
              <w:t>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sz w:val="21"/>
                <w:szCs w:val="21"/>
                <w:highlight w:val="none"/>
              </w:rPr>
              <w:t>5.</w:t>
            </w:r>
            <w:r>
              <w:rPr>
                <w:rFonts w:hint="eastAsia" w:ascii="宋体" w:hAnsi="宋体" w:cs="宋体"/>
                <w:bCs/>
                <w:color w:val="auto"/>
                <w:kern w:val="2"/>
                <w:sz w:val="21"/>
                <w:szCs w:val="21"/>
                <w:highlight w:val="none"/>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eastAsia="zh-CN"/>
              </w:rPr>
              <w:t>确认日当</w:t>
            </w:r>
            <w:r>
              <w:rPr>
                <w:rFonts w:hint="eastAsia" w:ascii="宋体" w:hAnsi="宋体" w:cs="宋体"/>
                <w:color w:val="000000"/>
                <w:sz w:val="21"/>
                <w:szCs w:val="21"/>
                <w:highlight w:val="none"/>
              </w:rPr>
              <w:t>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eastAsia="zh-CN"/>
              </w:rPr>
              <w:t>确认日当</w:t>
            </w:r>
            <w:r>
              <w:rPr>
                <w:rFonts w:hint="eastAsia" w:ascii="宋体" w:hAnsi="宋体" w:cs="宋体"/>
                <w:color w:val="000000"/>
                <w:sz w:val="21"/>
                <w:szCs w:val="21"/>
                <w:highlight w:val="none"/>
              </w:rPr>
              <w:t>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sz w:val="21"/>
                <w:szCs w:val="21"/>
                <w:highlight w:val="none"/>
              </w:rPr>
              <w:t>本理财计划业绩比较基准为〖</w:t>
            </w:r>
            <w:r>
              <w:rPr>
                <w:rFonts w:hint="eastAsia" w:ascii="宋体" w:hAnsi="宋体" w:cs="宋体"/>
                <w:sz w:val="21"/>
                <w:szCs w:val="21"/>
                <w:highlight w:val="none"/>
                <w:lang w:val="en-US" w:eastAsia="zh-CN"/>
              </w:rPr>
              <w:t>1.65%-2.65%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在不同的时点及宏观环境下，对标中债-综合全价（1年以下）指数（CBA00213.CS）的历史平均7日滚动年化收益率，通过不同的投资策略、资产组合，以及对资产波动率的控制，中性预期在该指数收益基础上收益增厚。经过对不同投资策略的历史表现模拟回测，综合各类资产收益、产品费用及税费后的收益在1.65%-2.65%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7.浮动管理费</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color w:val="000000"/>
                <w:sz w:val="21"/>
                <w:szCs w:val="21"/>
                <w:highlight w:val="none"/>
              </w:rPr>
              <w:t>管理人有权根据市场情况调整上述费用，涉及调整的将提前以公告形式披露，客户如不同意相关调整，可以按照赎回规则赎回相应投资份额。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100</w:t>
            </w:r>
            <w:r>
              <w:rPr>
                <w:rFonts w:hint="eastAsia" w:ascii="宋体" w:hAnsi="宋体" w:cs="宋体"/>
                <w:bCs/>
                <w:szCs w:val="21"/>
                <w:highlight w:val="none"/>
              </w:rPr>
              <w:t>%</w:t>
            </w:r>
          </w:p>
        </w:tc>
      </w:tr>
    </w:tbl>
    <w:p>
      <w:pPr>
        <w:pStyle w:val="2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numPr>
          <w:ilvl w:val="0"/>
          <w:numId w:val="0"/>
        </w:numPr>
        <w:spacing w:line="360" w:lineRule="auto"/>
        <w:ind w:firstLine="480" w:firstLineChars="200"/>
        <w:jc w:val="left"/>
        <w:rPr>
          <w:rFonts w:hint="eastAsia" w:ascii="宋体" w:hAnsi="宋体" w:cs="宋体"/>
          <w:bCs/>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w:t>
      </w:r>
      <w:r>
        <w:rPr>
          <w:rFonts w:hint="eastAsia" w:ascii="宋体" w:cs="宋体"/>
          <w:sz w:val="24"/>
          <w:szCs w:val="24"/>
          <w:highlight w:val="none"/>
          <w:lang w:eastAsia="zh-CN"/>
        </w:rPr>
        <w:t>理财计划</w:t>
      </w:r>
      <w:r>
        <w:rPr>
          <w:rFonts w:hint="eastAsia" w:ascii="宋体" w:cs="宋体"/>
          <w:sz w:val="24"/>
          <w:szCs w:val="24"/>
          <w:highlight w:val="none"/>
        </w:rPr>
        <w:t>以固定收益投资为主，主要投资于债券、存款、货币基金等高流动性资产并通过开展债券回购等融入或融出资金，以应对流动性需要和提高资金使用效率。</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1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53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5790"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5790"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5790" w:type="dxa"/>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29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vAlign w:val="center"/>
          </w:tcPr>
          <w:p>
            <w:pPr>
              <w:spacing w:line="360" w:lineRule="auto"/>
              <w:jc w:val="center"/>
              <w:rPr>
                <w:rFonts w:ascii="宋体" w:hAnsi="宋体" w:cs="宋体"/>
                <w:bCs/>
                <w:szCs w:val="21"/>
                <w:highlight w:val="none"/>
              </w:rPr>
            </w:pPr>
            <w:r>
              <w:rPr>
                <w:rFonts w:hint="eastAsia"/>
                <w:highlight w:val="none"/>
              </w:rPr>
              <w:t>宁波慈溪农村商业银行股份有限公司</w:t>
            </w:r>
          </w:p>
        </w:tc>
        <w:tc>
          <w:tcPr>
            <w:tcW w:w="129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75" w:type="dxa"/>
            <w:vAlign w:val="center"/>
          </w:tcPr>
          <w:p>
            <w:pPr>
              <w:spacing w:line="360" w:lineRule="auto"/>
              <w:jc w:val="center"/>
              <w:rPr>
                <w:rFonts w:hint="eastAsia" w:ascii="宋体" w:hAnsi="宋体" w:cs="宋体"/>
                <w:bCs/>
                <w:szCs w:val="21"/>
                <w:highlight w:val="none"/>
              </w:rPr>
            </w:pPr>
            <w:r>
              <w:rPr>
                <w:rFonts w:hint="eastAsia"/>
                <w:highlight w:val="none"/>
              </w:rPr>
              <w:t>浙江省慈溪市浒山街道南城路2</w:t>
            </w:r>
            <w:r>
              <w:rPr>
                <w:rFonts w:hint="eastAsia"/>
                <w:highlight w:val="none"/>
                <w:lang w:val="en-US" w:eastAsia="zh-CN"/>
              </w:rPr>
              <w:t>5</w:t>
            </w:r>
            <w:r>
              <w:rPr>
                <w:rFonts w:hint="eastAsia"/>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spacing w:line="360" w:lineRule="auto"/>
              <w:jc w:val="center"/>
              <w:rPr>
                <w:rFonts w:hint="eastAsia" w:ascii="宋体" w:hAnsi="宋体" w:cs="宋体"/>
                <w:bCs/>
                <w:szCs w:val="21"/>
                <w:highlight w:val="none"/>
              </w:rPr>
            </w:pPr>
          </w:p>
        </w:tc>
        <w:tc>
          <w:tcPr>
            <w:tcW w:w="129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75" w:type="dxa"/>
            <w:vAlign w:val="center"/>
          </w:tcPr>
          <w:p>
            <w:pPr>
              <w:spacing w:line="360" w:lineRule="auto"/>
              <w:jc w:val="center"/>
              <w:rPr>
                <w:rFonts w:ascii="宋体" w:hAnsi="宋体" w:cs="宋体"/>
                <w:bCs/>
                <w:szCs w:val="21"/>
                <w:highlight w:val="none"/>
              </w:rPr>
            </w:pPr>
            <w:r>
              <w:rPr>
                <w:rFonts w:hint="eastAsia"/>
                <w:highlight w:val="none"/>
              </w:rPr>
              <w:t>0574-63810682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restart"/>
            <w:vAlign w:val="center"/>
          </w:tcPr>
          <w:p>
            <w:pPr>
              <w:spacing w:line="360" w:lineRule="auto"/>
              <w:jc w:val="center"/>
              <w:rPr>
                <w:rFonts w:hint="eastAsia" w:ascii="宋体" w:hAnsi="宋体" w:cs="宋体"/>
                <w:bCs/>
                <w:szCs w:val="21"/>
                <w:highlight w:val="none"/>
              </w:rPr>
            </w:pPr>
            <w:r>
              <w:rPr>
                <w:rFonts w:hint="eastAsia"/>
                <w:highlight w:val="none"/>
              </w:rPr>
              <w:t>浙江温州龙湾农村商业银行股份有限公司</w:t>
            </w:r>
          </w:p>
        </w:tc>
        <w:tc>
          <w:tcPr>
            <w:tcW w:w="1290"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075" w:type="dxa"/>
            <w:vAlign w:val="center"/>
          </w:tcPr>
          <w:p>
            <w:pPr>
              <w:spacing w:line="360" w:lineRule="auto"/>
              <w:jc w:val="center"/>
              <w:rPr>
                <w:rFonts w:hint="eastAsia" w:ascii="宋体" w:hAnsi="宋体" w:cs="宋体"/>
                <w:bCs/>
                <w:szCs w:val="21"/>
                <w:highlight w:val="none"/>
              </w:rPr>
            </w:pPr>
            <w:r>
              <w:rPr>
                <w:rFonts w:hint="eastAsia"/>
                <w:highlight w:val="none"/>
              </w:rPr>
              <w:t>温州市龙湾区永中街道永宁西路555号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spacing w:line="360" w:lineRule="auto"/>
              <w:jc w:val="center"/>
              <w:rPr>
                <w:rFonts w:hint="eastAsia" w:ascii="宋体" w:hAnsi="宋体" w:cs="宋体"/>
                <w:bCs/>
                <w:szCs w:val="21"/>
                <w:highlight w:val="none"/>
              </w:rPr>
            </w:pPr>
          </w:p>
        </w:tc>
        <w:tc>
          <w:tcPr>
            <w:tcW w:w="1290"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075" w:type="dxa"/>
            <w:vAlign w:val="center"/>
          </w:tcPr>
          <w:p>
            <w:pPr>
              <w:spacing w:line="360" w:lineRule="auto"/>
              <w:jc w:val="center"/>
              <w:rPr>
                <w:rFonts w:hint="eastAsia" w:ascii="宋体" w:hAnsi="宋体" w:cs="宋体"/>
                <w:bCs/>
                <w:szCs w:val="21"/>
                <w:highlight w:val="none"/>
              </w:rPr>
            </w:pPr>
            <w:r>
              <w:rPr>
                <w:rFonts w:hint="eastAsia"/>
                <w:highlight w:val="none"/>
              </w:rPr>
              <w:t>4008296596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restart"/>
            <w:vAlign w:val="center"/>
          </w:tcPr>
          <w:p>
            <w:pPr>
              <w:spacing w:line="360" w:lineRule="auto"/>
              <w:jc w:val="center"/>
              <w:rPr>
                <w:rFonts w:hint="eastAsia" w:ascii="宋体" w:hAnsi="宋体" w:cs="宋体"/>
                <w:bCs/>
                <w:szCs w:val="21"/>
                <w:highlight w:val="none"/>
              </w:rPr>
            </w:pPr>
            <w:r>
              <w:rPr>
                <w:rFonts w:hint="eastAsia"/>
                <w:highlight w:val="none"/>
              </w:rPr>
              <w:t>浙江德清农村商业银行股份有限公司</w:t>
            </w:r>
          </w:p>
        </w:tc>
        <w:tc>
          <w:tcPr>
            <w:tcW w:w="1290"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075" w:type="dxa"/>
            <w:vAlign w:val="center"/>
          </w:tcPr>
          <w:p>
            <w:pPr>
              <w:spacing w:line="360" w:lineRule="auto"/>
              <w:jc w:val="center"/>
              <w:rPr>
                <w:rFonts w:hint="eastAsia"/>
                <w:highlight w:val="none"/>
              </w:rPr>
            </w:pPr>
            <w:r>
              <w:rPr>
                <w:rFonts w:hint="eastAsia"/>
                <w:highlight w:val="none"/>
              </w:rPr>
              <w:t>浙江省德清县武康街道沈长圩街50号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spacing w:line="360" w:lineRule="auto"/>
              <w:jc w:val="center"/>
              <w:rPr>
                <w:rFonts w:hint="eastAsia" w:ascii="宋体" w:hAnsi="宋体" w:cs="宋体"/>
                <w:bCs/>
                <w:szCs w:val="21"/>
                <w:highlight w:val="none"/>
              </w:rPr>
            </w:pPr>
          </w:p>
        </w:tc>
        <w:tc>
          <w:tcPr>
            <w:tcW w:w="1290"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075" w:type="dxa"/>
            <w:vAlign w:val="center"/>
          </w:tcPr>
          <w:p>
            <w:pPr>
              <w:spacing w:line="360" w:lineRule="auto"/>
              <w:jc w:val="center"/>
              <w:rPr>
                <w:rFonts w:hint="eastAsia"/>
                <w:highlight w:val="none"/>
              </w:rPr>
            </w:pPr>
            <w:r>
              <w:rPr>
                <w:rFonts w:hint="eastAsia"/>
                <w:highlight w:val="none"/>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1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23"/>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2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23"/>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2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2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1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1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3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%，投资者最终收益为：100,000.00×（1.0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3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1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（具体以销售机构要求为准）</w:t>
      </w:r>
    </w:p>
    <w:p>
      <w:pPr>
        <w:numPr>
          <w:ilvl w:val="0"/>
          <w:numId w:val="3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eastAsia="zh-CN"/>
        </w:rPr>
        <w:t>和赎回</w:t>
      </w:r>
      <w:r>
        <w:rPr>
          <w:rFonts w:hint="eastAsia" w:ascii="宋体" w:hAnsi="宋体" w:cs="宋体"/>
          <w:bCs/>
          <w:sz w:val="24"/>
          <w:highlight w:val="none"/>
        </w:rPr>
        <w:t>，申购</w:t>
      </w:r>
      <w:r>
        <w:rPr>
          <w:rFonts w:hint="eastAsia" w:ascii="宋体" w:hAnsi="宋体" w:cs="宋体"/>
          <w:bCs/>
          <w:sz w:val="24"/>
          <w:highlight w:val="none"/>
          <w:lang w:eastAsia="zh-CN"/>
        </w:rPr>
        <w:t>和赎回</w:t>
      </w:r>
      <w:r>
        <w:rPr>
          <w:rFonts w:hint="eastAsia" w:ascii="宋体" w:hAnsi="宋体" w:cs="宋体"/>
          <w:bCs/>
          <w:sz w:val="24"/>
          <w:highlight w:val="none"/>
        </w:rPr>
        <w:t>申请将在确认日进行确认，即开放期后的第〖1〗个工作日进行确认。</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w:t>
      </w:r>
      <w:r>
        <w:rPr>
          <w:rFonts w:hint="eastAsia" w:ascii="宋体" w:hAnsi="宋体" w:cs="宋体"/>
          <w:bCs/>
          <w:sz w:val="24"/>
          <w:highlight w:val="none"/>
          <w:lang w:val="en-US" w:eastAsia="zh-CN"/>
        </w:rPr>
        <w:t>7</w:t>
      </w:r>
      <w:r>
        <w:rPr>
          <w:rFonts w:hint="eastAsia" w:ascii="宋体" w:hAnsi="宋体" w:cs="宋体"/>
          <w:bCs/>
          <w:sz w:val="24"/>
          <w:highlight w:val="none"/>
        </w:rPr>
        <w:t>:00〗。</w:t>
      </w:r>
      <w:r>
        <w:rPr>
          <w:rFonts w:hint="eastAsia" w:ascii="宋体" w:hAnsi="宋体" w:cs="宋体"/>
          <w:color w:val="000000"/>
          <w:kern w:val="0"/>
          <w:sz w:val="24"/>
          <w:szCs w:val="24"/>
          <w:highlight w:val="none"/>
        </w:rPr>
        <w:t>（具体以销售机构</w:t>
      </w:r>
      <w:r>
        <w:rPr>
          <w:rFonts w:hint="eastAsia" w:ascii="宋体" w:hAnsi="宋体" w:cs="宋体"/>
          <w:color w:val="000000"/>
          <w:kern w:val="0"/>
          <w:sz w:val="24"/>
          <w:szCs w:val="24"/>
          <w:highlight w:val="none"/>
          <w:lang w:val="en-US" w:eastAsia="zh-CN"/>
        </w:rPr>
        <w:t>销售要素</w:t>
      </w:r>
      <w:r>
        <w:rPr>
          <w:rFonts w:hint="eastAsia" w:ascii="宋体" w:hAnsi="宋体" w:cs="宋体"/>
          <w:color w:val="000000"/>
          <w:kern w:val="0"/>
          <w:sz w:val="24"/>
          <w:szCs w:val="24"/>
          <w:highlight w:val="none"/>
        </w:rPr>
        <w:t>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eastAsia="zh-CN"/>
        </w:rPr>
        <w:t>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2</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eastAsia="zh-CN"/>
        </w:rPr>
        <w:t>到期确认日当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2</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1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w:t>
      </w:r>
      <w:r>
        <w:rPr>
          <w:rFonts w:hint="eastAsia" w:ascii="宋体" w:hAnsi="宋体" w:cs="宋体"/>
          <w:bCs/>
          <w:color w:val="000000"/>
          <w:sz w:val="24"/>
          <w:highlight w:val="none"/>
          <w:lang w:eastAsia="zh-CN"/>
        </w:rPr>
        <w:t>、关联交易</w:t>
      </w:r>
      <w:r>
        <w:rPr>
          <w:rFonts w:hint="eastAsia" w:ascii="宋体" w:hAnsi="宋体" w:cs="宋体"/>
          <w:bCs/>
          <w:color w:val="000000"/>
          <w:sz w:val="24"/>
          <w:highlight w:val="none"/>
        </w:rPr>
        <w:t>等信息，包括但不限于本理财计划投资的资产种类、投资比例、投资组合的流动性风险分析。</w:t>
      </w: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1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w:t>
      </w:r>
      <w:r>
        <w:rPr>
          <w:rFonts w:hint="eastAsia" w:ascii="宋体" w:hAnsi="宋体" w:cs="宋体"/>
          <w:b/>
          <w:bCs w:val="0"/>
          <w:color w:val="000000"/>
          <w:sz w:val="24"/>
          <w:highlight w:val="none"/>
        </w:rPr>
        <w:t>投资者在此同意并授权，管理人可根据监管要求，为理财计划登记等需要，向登记部门或监管机构提供投资者相关信息。</w:t>
      </w:r>
    </w:p>
    <w:p>
      <w:pPr>
        <w:numPr>
          <w:ilvl w:val="0"/>
          <w:numId w:val="5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4">
    <w:nsid w:val="167B0BB4"/>
    <w:multiLevelType w:val="singleLevel"/>
    <w:tmpl w:val="167B0BB4"/>
    <w:lvl w:ilvl="0" w:tentative="0">
      <w:start w:val="1"/>
      <w:numFmt w:val="decimal"/>
      <w:suff w:val="nothing"/>
      <w:lvlText w:val="（%1）"/>
      <w:lvlJc w:val="left"/>
    </w:lvl>
  </w:abstractNum>
  <w:abstractNum w:abstractNumId="35">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7">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8">
    <w:nsid w:val="2CB63BE6"/>
    <w:multiLevelType w:val="singleLevel"/>
    <w:tmpl w:val="2CB63BE6"/>
    <w:lvl w:ilvl="0" w:tentative="0">
      <w:start w:val="1"/>
      <w:numFmt w:val="decimal"/>
      <w:suff w:val="nothing"/>
      <w:lvlText w:val="（%1）"/>
      <w:lvlJc w:val="left"/>
      <w:rPr>
        <w:rFonts w:hint="default"/>
        <w:b w:val="0"/>
        <w:bCs w:val="0"/>
      </w:rPr>
    </w:lvl>
  </w:abstractNum>
  <w:abstractNum w:abstractNumId="3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9">
    <w:nsid w:val="5BA91325"/>
    <w:multiLevelType w:val="singleLevel"/>
    <w:tmpl w:val="5BA91325"/>
    <w:lvl w:ilvl="0" w:tentative="0">
      <w:start w:val="1"/>
      <w:numFmt w:val="decimal"/>
      <w:suff w:val="nothing"/>
      <w:lvlText w:val="（%1）"/>
      <w:lvlJc w:val="left"/>
    </w:lvl>
  </w:abstractNum>
  <w:abstractNum w:abstractNumId="50">
    <w:nsid w:val="61F30F62"/>
    <w:multiLevelType w:val="singleLevel"/>
    <w:tmpl w:val="61F30F62"/>
    <w:lvl w:ilvl="0" w:tentative="0">
      <w:start w:val="1"/>
      <w:numFmt w:val="decimal"/>
      <w:suff w:val="nothing"/>
      <w:lvlText w:val="（%1）"/>
      <w:lvlJc w:val="left"/>
      <w:rPr>
        <w:rFonts w:hint="default"/>
        <w:b w:val="0"/>
        <w:bCs w:val="0"/>
      </w:rPr>
    </w:lvl>
  </w:abstractNum>
  <w:abstractNum w:abstractNumId="51">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7"/>
  </w:num>
  <w:num w:numId="2">
    <w:abstractNumId w:val="43"/>
  </w:num>
  <w:num w:numId="3">
    <w:abstractNumId w:val="29"/>
  </w:num>
  <w:num w:numId="4">
    <w:abstractNumId w:val="26"/>
  </w:num>
  <w:num w:numId="5">
    <w:abstractNumId w:val="32"/>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42"/>
  </w:num>
  <w:num w:numId="14">
    <w:abstractNumId w:val="28"/>
  </w:num>
  <w:num w:numId="15">
    <w:abstractNumId w:val="44"/>
  </w:num>
  <w:num w:numId="16">
    <w:abstractNumId w:val="49"/>
  </w:num>
  <w:num w:numId="17">
    <w:abstractNumId w:val="37"/>
  </w:num>
  <w:num w:numId="18">
    <w:abstractNumId w:val="16"/>
  </w:num>
  <w:num w:numId="19">
    <w:abstractNumId w:val="36"/>
  </w:num>
  <w:num w:numId="20">
    <w:abstractNumId w:val="19"/>
  </w:num>
  <w:num w:numId="21">
    <w:abstractNumId w:val="5"/>
  </w:num>
  <w:num w:numId="22">
    <w:abstractNumId w:val="46"/>
  </w:num>
  <w:num w:numId="23">
    <w:abstractNumId w:val="4"/>
  </w:num>
  <w:num w:numId="24">
    <w:abstractNumId w:val="31"/>
  </w:num>
  <w:num w:numId="25">
    <w:abstractNumId w:val="35"/>
  </w:num>
  <w:num w:numId="26">
    <w:abstractNumId w:val="51"/>
  </w:num>
  <w:num w:numId="27">
    <w:abstractNumId w:val="30"/>
  </w:num>
  <w:num w:numId="28">
    <w:abstractNumId w:val="18"/>
  </w:num>
  <w:num w:numId="29">
    <w:abstractNumId w:val="39"/>
  </w:num>
  <w:num w:numId="30">
    <w:abstractNumId w:val="0"/>
  </w:num>
  <w:num w:numId="31">
    <w:abstractNumId w:val="21"/>
  </w:num>
  <w:num w:numId="32">
    <w:abstractNumId w:val="41"/>
  </w:num>
  <w:num w:numId="33">
    <w:abstractNumId w:val="2"/>
  </w:num>
  <w:num w:numId="34">
    <w:abstractNumId w:val="22"/>
  </w:num>
  <w:num w:numId="35">
    <w:abstractNumId w:val="13"/>
  </w:num>
  <w:num w:numId="36">
    <w:abstractNumId w:val="45"/>
  </w:num>
  <w:num w:numId="37">
    <w:abstractNumId w:val="33"/>
  </w:num>
  <w:num w:numId="38">
    <w:abstractNumId w:val="15"/>
  </w:num>
  <w:num w:numId="39">
    <w:abstractNumId w:val="27"/>
  </w:num>
  <w:num w:numId="40">
    <w:abstractNumId w:val="23"/>
  </w:num>
  <w:num w:numId="41">
    <w:abstractNumId w:val="24"/>
  </w:num>
  <w:num w:numId="42">
    <w:abstractNumId w:val="50"/>
  </w:num>
  <w:num w:numId="43">
    <w:abstractNumId w:val="38"/>
  </w:num>
  <w:num w:numId="44">
    <w:abstractNumId w:val="1"/>
  </w:num>
  <w:num w:numId="45">
    <w:abstractNumId w:val="48"/>
  </w:num>
  <w:num w:numId="46">
    <w:abstractNumId w:val="11"/>
  </w:num>
  <w:num w:numId="47">
    <w:abstractNumId w:val="9"/>
  </w:num>
  <w:num w:numId="48">
    <w:abstractNumId w:val="12"/>
  </w:num>
  <w:num w:numId="49">
    <w:abstractNumId w:val="34"/>
  </w:num>
  <w:num w:numId="50">
    <w:abstractNumId w:val="20"/>
  </w:num>
  <w:num w:numId="51">
    <w:abstractNumId w:val="3"/>
  </w:num>
  <w:num w:numId="5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574E64"/>
    <w:rsid w:val="00BE20E0"/>
    <w:rsid w:val="00F418CE"/>
    <w:rsid w:val="01364432"/>
    <w:rsid w:val="01523B8E"/>
    <w:rsid w:val="01E60817"/>
    <w:rsid w:val="032F196E"/>
    <w:rsid w:val="040B79D9"/>
    <w:rsid w:val="05C21734"/>
    <w:rsid w:val="05E05E4D"/>
    <w:rsid w:val="06420CFA"/>
    <w:rsid w:val="06503B59"/>
    <w:rsid w:val="06527AA3"/>
    <w:rsid w:val="06706CA1"/>
    <w:rsid w:val="0752555A"/>
    <w:rsid w:val="07A07C46"/>
    <w:rsid w:val="07E45984"/>
    <w:rsid w:val="081B7D56"/>
    <w:rsid w:val="0828699A"/>
    <w:rsid w:val="08E37254"/>
    <w:rsid w:val="097E3F67"/>
    <w:rsid w:val="098A64B2"/>
    <w:rsid w:val="09B01B43"/>
    <w:rsid w:val="0A110BF0"/>
    <w:rsid w:val="0A1347F5"/>
    <w:rsid w:val="0A2A32B9"/>
    <w:rsid w:val="0B220162"/>
    <w:rsid w:val="0B434DE4"/>
    <w:rsid w:val="0B721792"/>
    <w:rsid w:val="0B8E27E3"/>
    <w:rsid w:val="0BF71AE2"/>
    <w:rsid w:val="0CA6603D"/>
    <w:rsid w:val="0CFE7FBD"/>
    <w:rsid w:val="0D0B1B00"/>
    <w:rsid w:val="0E4A4B6F"/>
    <w:rsid w:val="0EAE473F"/>
    <w:rsid w:val="0EF65480"/>
    <w:rsid w:val="10E7087B"/>
    <w:rsid w:val="10FA5463"/>
    <w:rsid w:val="11BA058F"/>
    <w:rsid w:val="11D17590"/>
    <w:rsid w:val="12081858"/>
    <w:rsid w:val="12B62B3B"/>
    <w:rsid w:val="12BA4CDC"/>
    <w:rsid w:val="13031153"/>
    <w:rsid w:val="13181417"/>
    <w:rsid w:val="142A3D0A"/>
    <w:rsid w:val="14C57FED"/>
    <w:rsid w:val="150C5665"/>
    <w:rsid w:val="153A3CF5"/>
    <w:rsid w:val="15C56302"/>
    <w:rsid w:val="160940BB"/>
    <w:rsid w:val="1659752C"/>
    <w:rsid w:val="16635F61"/>
    <w:rsid w:val="16E43A7F"/>
    <w:rsid w:val="185A3DA1"/>
    <w:rsid w:val="18E25C77"/>
    <w:rsid w:val="18E6578A"/>
    <w:rsid w:val="198C4B50"/>
    <w:rsid w:val="19BA7EA1"/>
    <w:rsid w:val="19F13F4F"/>
    <w:rsid w:val="1A102675"/>
    <w:rsid w:val="1B280245"/>
    <w:rsid w:val="1BBE4697"/>
    <w:rsid w:val="1D3C4AE8"/>
    <w:rsid w:val="1D552DD9"/>
    <w:rsid w:val="1DAB6D83"/>
    <w:rsid w:val="1E3173A3"/>
    <w:rsid w:val="1E410106"/>
    <w:rsid w:val="1F0F5A19"/>
    <w:rsid w:val="1F1D6E1F"/>
    <w:rsid w:val="1F3E7F7D"/>
    <w:rsid w:val="1F51312D"/>
    <w:rsid w:val="1FC9553A"/>
    <w:rsid w:val="203D2527"/>
    <w:rsid w:val="204D3B12"/>
    <w:rsid w:val="205A2AB3"/>
    <w:rsid w:val="20AD2D93"/>
    <w:rsid w:val="20B6224D"/>
    <w:rsid w:val="20BC5584"/>
    <w:rsid w:val="20CF5A4B"/>
    <w:rsid w:val="21025026"/>
    <w:rsid w:val="22A04AF7"/>
    <w:rsid w:val="22D32481"/>
    <w:rsid w:val="22D3594B"/>
    <w:rsid w:val="22EE2C4B"/>
    <w:rsid w:val="22F12819"/>
    <w:rsid w:val="231C67BD"/>
    <w:rsid w:val="23393314"/>
    <w:rsid w:val="23753F06"/>
    <w:rsid w:val="238E1AAE"/>
    <w:rsid w:val="24345B9A"/>
    <w:rsid w:val="2483647E"/>
    <w:rsid w:val="24D75F59"/>
    <w:rsid w:val="256F076F"/>
    <w:rsid w:val="25D47D87"/>
    <w:rsid w:val="25DB73F3"/>
    <w:rsid w:val="267320A7"/>
    <w:rsid w:val="26820AF7"/>
    <w:rsid w:val="26966D40"/>
    <w:rsid w:val="26BA7E96"/>
    <w:rsid w:val="27E60B4A"/>
    <w:rsid w:val="28BE4D45"/>
    <w:rsid w:val="292668E3"/>
    <w:rsid w:val="29A67CC3"/>
    <w:rsid w:val="2A1B5D68"/>
    <w:rsid w:val="2A5975B6"/>
    <w:rsid w:val="2A991D32"/>
    <w:rsid w:val="2AB92324"/>
    <w:rsid w:val="2AD6555A"/>
    <w:rsid w:val="2B1902F3"/>
    <w:rsid w:val="2B296ECE"/>
    <w:rsid w:val="2B376BE0"/>
    <w:rsid w:val="2C122688"/>
    <w:rsid w:val="2C1B1E9D"/>
    <w:rsid w:val="2CAB68C5"/>
    <w:rsid w:val="2EBC6D03"/>
    <w:rsid w:val="2F1F666C"/>
    <w:rsid w:val="2FD32A37"/>
    <w:rsid w:val="30551FFC"/>
    <w:rsid w:val="311F702A"/>
    <w:rsid w:val="31A82883"/>
    <w:rsid w:val="31E21603"/>
    <w:rsid w:val="320E3E15"/>
    <w:rsid w:val="32C937E9"/>
    <w:rsid w:val="333F6AA7"/>
    <w:rsid w:val="3480359E"/>
    <w:rsid w:val="34BE4ED5"/>
    <w:rsid w:val="35476F5E"/>
    <w:rsid w:val="3602513D"/>
    <w:rsid w:val="36631FD8"/>
    <w:rsid w:val="366A0F47"/>
    <w:rsid w:val="36E72D9B"/>
    <w:rsid w:val="379F2ED6"/>
    <w:rsid w:val="37CA172C"/>
    <w:rsid w:val="37CB10A0"/>
    <w:rsid w:val="38071350"/>
    <w:rsid w:val="38224FD0"/>
    <w:rsid w:val="38643C37"/>
    <w:rsid w:val="38696564"/>
    <w:rsid w:val="38BC5508"/>
    <w:rsid w:val="39423B5D"/>
    <w:rsid w:val="3A3E2041"/>
    <w:rsid w:val="3AA0217E"/>
    <w:rsid w:val="3B131EF6"/>
    <w:rsid w:val="3B490D86"/>
    <w:rsid w:val="3C03758D"/>
    <w:rsid w:val="3C197F3B"/>
    <w:rsid w:val="3C2F2290"/>
    <w:rsid w:val="3C970D5B"/>
    <w:rsid w:val="3D8434FB"/>
    <w:rsid w:val="3E353B78"/>
    <w:rsid w:val="3EA67C14"/>
    <w:rsid w:val="3EAD1B36"/>
    <w:rsid w:val="3F056B9E"/>
    <w:rsid w:val="3F354A62"/>
    <w:rsid w:val="3FF54C55"/>
    <w:rsid w:val="406370BC"/>
    <w:rsid w:val="40666C23"/>
    <w:rsid w:val="40FB7670"/>
    <w:rsid w:val="41B60000"/>
    <w:rsid w:val="423C06E2"/>
    <w:rsid w:val="42815397"/>
    <w:rsid w:val="42C94634"/>
    <w:rsid w:val="440200FC"/>
    <w:rsid w:val="45540446"/>
    <w:rsid w:val="45591CC2"/>
    <w:rsid w:val="45825B22"/>
    <w:rsid w:val="45AE358C"/>
    <w:rsid w:val="45BB5620"/>
    <w:rsid w:val="45F127ED"/>
    <w:rsid w:val="46263D02"/>
    <w:rsid w:val="46CD66A0"/>
    <w:rsid w:val="472803B7"/>
    <w:rsid w:val="488B59A4"/>
    <w:rsid w:val="494502E1"/>
    <w:rsid w:val="4A3D69E6"/>
    <w:rsid w:val="4A6F7B99"/>
    <w:rsid w:val="4A7F0ADF"/>
    <w:rsid w:val="4AA612F0"/>
    <w:rsid w:val="4B0D3113"/>
    <w:rsid w:val="4BD7169A"/>
    <w:rsid w:val="4C6B0DDA"/>
    <w:rsid w:val="4C6E1306"/>
    <w:rsid w:val="4CF3604B"/>
    <w:rsid w:val="4DEE1021"/>
    <w:rsid w:val="4E186164"/>
    <w:rsid w:val="4E2F1033"/>
    <w:rsid w:val="4E8274B0"/>
    <w:rsid w:val="4EFC1B31"/>
    <w:rsid w:val="4F2836A5"/>
    <w:rsid w:val="4F7A3152"/>
    <w:rsid w:val="4FD6726A"/>
    <w:rsid w:val="4FF363B3"/>
    <w:rsid w:val="501216FC"/>
    <w:rsid w:val="50212006"/>
    <w:rsid w:val="50B73634"/>
    <w:rsid w:val="51504FE6"/>
    <w:rsid w:val="52551144"/>
    <w:rsid w:val="52A33B91"/>
    <w:rsid w:val="54E91D9C"/>
    <w:rsid w:val="55A47BB4"/>
    <w:rsid w:val="56804A86"/>
    <w:rsid w:val="569B1C0D"/>
    <w:rsid w:val="57BB6218"/>
    <w:rsid w:val="57FF3AAA"/>
    <w:rsid w:val="580F09B7"/>
    <w:rsid w:val="58DD2EEE"/>
    <w:rsid w:val="58E96C7A"/>
    <w:rsid w:val="591F0274"/>
    <w:rsid w:val="59AD3C67"/>
    <w:rsid w:val="59CC6D6F"/>
    <w:rsid w:val="5B0C4CEB"/>
    <w:rsid w:val="5B0D630F"/>
    <w:rsid w:val="5B8241FD"/>
    <w:rsid w:val="5C3C3DDC"/>
    <w:rsid w:val="5D160516"/>
    <w:rsid w:val="5D7D0F36"/>
    <w:rsid w:val="5DB61BFF"/>
    <w:rsid w:val="5DEF454B"/>
    <w:rsid w:val="5E5A6C63"/>
    <w:rsid w:val="5F3C6712"/>
    <w:rsid w:val="5F4B58F3"/>
    <w:rsid w:val="5F901479"/>
    <w:rsid w:val="6053481F"/>
    <w:rsid w:val="606E0DED"/>
    <w:rsid w:val="60885401"/>
    <w:rsid w:val="60AB2000"/>
    <w:rsid w:val="610129B1"/>
    <w:rsid w:val="61D85325"/>
    <w:rsid w:val="623A549F"/>
    <w:rsid w:val="62860AAA"/>
    <w:rsid w:val="628B7CEE"/>
    <w:rsid w:val="629D5796"/>
    <w:rsid w:val="63C84F07"/>
    <w:rsid w:val="6423043D"/>
    <w:rsid w:val="646733A1"/>
    <w:rsid w:val="657A160B"/>
    <w:rsid w:val="671E2162"/>
    <w:rsid w:val="68BF5BFF"/>
    <w:rsid w:val="68D8721E"/>
    <w:rsid w:val="696D6D31"/>
    <w:rsid w:val="6AA929AF"/>
    <w:rsid w:val="6B610D05"/>
    <w:rsid w:val="6BAA44E6"/>
    <w:rsid w:val="6BAC21D5"/>
    <w:rsid w:val="6C1D42E9"/>
    <w:rsid w:val="6C3E5296"/>
    <w:rsid w:val="6CED1CB3"/>
    <w:rsid w:val="6D3B42C3"/>
    <w:rsid w:val="6E7E575F"/>
    <w:rsid w:val="6EF15941"/>
    <w:rsid w:val="6F9921A1"/>
    <w:rsid w:val="6FB83EF3"/>
    <w:rsid w:val="709631FB"/>
    <w:rsid w:val="70C14408"/>
    <w:rsid w:val="716E018B"/>
    <w:rsid w:val="721B2AA2"/>
    <w:rsid w:val="728204B4"/>
    <w:rsid w:val="73407EBD"/>
    <w:rsid w:val="73EF4563"/>
    <w:rsid w:val="74175679"/>
    <w:rsid w:val="744124AA"/>
    <w:rsid w:val="74664F47"/>
    <w:rsid w:val="763A2578"/>
    <w:rsid w:val="77E0572E"/>
    <w:rsid w:val="77ED4104"/>
    <w:rsid w:val="784B3E3A"/>
    <w:rsid w:val="789508C5"/>
    <w:rsid w:val="78EF4372"/>
    <w:rsid w:val="795C51D9"/>
    <w:rsid w:val="79771B00"/>
    <w:rsid w:val="7980282D"/>
    <w:rsid w:val="798F6426"/>
    <w:rsid w:val="79B04571"/>
    <w:rsid w:val="79E60E88"/>
    <w:rsid w:val="7A74216F"/>
    <w:rsid w:val="7ACA272A"/>
    <w:rsid w:val="7B0E7C70"/>
    <w:rsid w:val="7C8B1B8E"/>
    <w:rsid w:val="7CAB16DC"/>
    <w:rsid w:val="7D8E01B1"/>
    <w:rsid w:val="7DE834EB"/>
    <w:rsid w:val="7E6F339A"/>
    <w:rsid w:val="7E810662"/>
    <w:rsid w:val="7F590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7"/>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alloon Text"/>
    <w:basedOn w:val="1"/>
    <w:link w:val="16"/>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18"/>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框文本 Char"/>
    <w:link w:val="6"/>
    <w:uiPriority w:val="0"/>
    <w:rPr>
      <w:rFonts w:ascii="Calibri" w:hAnsi="Calibri" w:cs="黑体"/>
      <w:kern w:val="2"/>
      <w:sz w:val="18"/>
      <w:szCs w:val="18"/>
    </w:rPr>
  </w:style>
  <w:style w:type="character" w:customStyle="1" w:styleId="17">
    <w:name w:val="标题 2 Char"/>
    <w:link w:val="3"/>
    <w:qFormat/>
    <w:uiPriority w:val="0"/>
    <w:rPr>
      <w:rFonts w:ascii="Arial" w:hAnsi="Arial" w:eastAsia="宋体"/>
      <w:b/>
      <w:sz w:val="24"/>
    </w:rPr>
  </w:style>
  <w:style w:type="character" w:customStyle="1" w:styleId="18">
    <w:name w:val="批注主题 Char"/>
    <w:link w:val="10"/>
    <w:qFormat/>
    <w:uiPriority w:val="0"/>
    <w:rPr>
      <w:rFonts w:ascii="Calibri" w:hAnsi="Calibri" w:cs="黑体"/>
      <w:b/>
      <w:bCs/>
      <w:kern w:val="2"/>
      <w:sz w:val="21"/>
      <w:szCs w:val="24"/>
    </w:rPr>
  </w:style>
  <w:style w:type="character" w:customStyle="1" w:styleId="19">
    <w:name w:val="批注文字 Char"/>
    <w:link w:val="5"/>
    <w:qFormat/>
    <w:uiPriority w:val="0"/>
    <w:rPr>
      <w:rFonts w:ascii="Calibri" w:hAnsi="Calibri" w:cs="黑体"/>
      <w:kern w:val="2"/>
      <w:sz w:val="21"/>
      <w:szCs w:val="24"/>
    </w:rPr>
  </w:style>
  <w:style w:type="character" w:customStyle="1" w:styleId="20">
    <w:name w:val="标题 1 Char"/>
    <w:link w:val="2"/>
    <w:uiPriority w:val="0"/>
    <w:rPr>
      <w:rFonts w:eastAsia="宋体"/>
      <w:b/>
      <w:kern w:val="44"/>
      <w:sz w:val="44"/>
    </w:rPr>
  </w:style>
  <w:style w:type="character" w:customStyle="1" w:styleId="21">
    <w:name w:val="标题 3 Char"/>
    <w:link w:val="4"/>
    <w:uiPriority w:val="0"/>
    <w:rPr>
      <w:rFonts w:hAnsi="Calibri" w:eastAsia="宋体"/>
      <w:b/>
      <w:sz w:val="24"/>
    </w:rPr>
  </w:style>
  <w:style w:type="paragraph" w:customStyle="1" w:styleId="22">
    <w:name w:val="List Paragraph"/>
    <w:basedOn w:val="1"/>
    <w:unhideWhenUsed/>
    <w:uiPriority w:val="99"/>
    <w:pPr>
      <w:ind w:firstLine="420" w:firstLineChars="200"/>
    </w:p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样式1"/>
    <w:basedOn w:val="1"/>
    <w:next w:val="1"/>
    <w:uiPriority w:val="0"/>
    <w:pPr>
      <w:keepNext/>
      <w:keepLines/>
      <w:spacing w:before="340" w:beforeLines="0" w:after="330" w:afterLines="0" w:line="576" w:lineRule="auto"/>
      <w:outlineLvl w:val="0"/>
    </w:pPr>
    <w:rPr>
      <w:rFonts w:hint="eastAsia"/>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33303</Words>
  <Characters>34860</Characters>
  <Lines>210</Lines>
  <Paragraphs>59</Paragraphs>
  <TotalTime>157259041</TotalTime>
  <ScaleCrop>false</ScaleCrop>
  <LinksUpToDate>false</LinksUpToDate>
  <CharactersWithSpaces>35092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2025-03-21T07:48:08Z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