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添益（稳盈）</w:t>
      </w:r>
      <w:r>
        <w:rPr>
          <w:rFonts w:hint="eastAsia" w:ascii="宋体" w:hAnsi="宋体" w:cs="宋体"/>
          <w:b/>
          <w:bCs/>
          <w:sz w:val="44"/>
          <w:szCs w:val="44"/>
          <w:highlight w:val="none"/>
          <w:lang w:val="en-US" w:eastAsia="zh-CN"/>
        </w:rPr>
        <w:t>35天</w:t>
      </w:r>
      <w:r>
        <w:rPr>
          <w:rFonts w:hint="eastAsia" w:ascii="宋体" w:hAnsi="宋体" w:cs="宋体"/>
          <w:b/>
          <w:bCs/>
          <w:sz w:val="44"/>
          <w:szCs w:val="44"/>
          <w:highlight w:val="none"/>
        </w:rPr>
        <w:t>周期型理财产品说明书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〖Z7002223000094〗</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22"/>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highlight w:val="none"/>
          <w:u w:val="none"/>
        </w:rPr>
        <w:t>。</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22"/>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银保监会、中国证券监督管理委员会、外汇管理局、银行业理财登记托管中心等。</w:t>
      </w:r>
    </w:p>
    <w:p>
      <w:pPr>
        <w:pStyle w:val="22"/>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理财产品说明书</w:t>
      </w:r>
      <w:r>
        <w:rPr>
          <w:rFonts w:hint="eastAsia" w:ascii="宋体" w:hAnsi="宋体" w:cs="宋体"/>
          <w:bCs/>
          <w:color w:val="auto"/>
          <w:kern w:val="2"/>
          <w:highlight w:val="none"/>
        </w:rPr>
        <w:t>》，以及对该文件的有效修改与补充。</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理财合同不可分割组成部分的风险揭示书，</w:t>
      </w:r>
      <w:r>
        <w:rPr>
          <w:rFonts w:hint="eastAsia" w:ascii="宋体" w:hAnsi="宋体" w:cs="宋体"/>
          <w:bCs/>
          <w:color w:val="auto"/>
          <w:kern w:val="2"/>
          <w:highlight w:val="none"/>
        </w:rPr>
        <w:t>以及对该文件的有效修改与补充。</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理财合同不可分割组成部分的投资者权益须知，</w:t>
      </w:r>
      <w:r>
        <w:rPr>
          <w:rFonts w:hint="eastAsia" w:ascii="宋体" w:hAnsi="宋体" w:cs="宋体"/>
          <w:bCs/>
          <w:color w:val="auto"/>
          <w:kern w:val="2"/>
          <w:highlight w:val="none"/>
        </w:rPr>
        <w:t>以及对该文件的有效修改与补充。</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highlight w:val="none"/>
        </w:rPr>
        <w:t>理财合同不可分割组成部分的理财计划投资协议书，</w:t>
      </w:r>
      <w:r>
        <w:rPr>
          <w:rFonts w:hint="eastAsia" w:ascii="宋体" w:hAnsi="宋体" w:cs="宋体"/>
          <w:bCs/>
          <w:color w:val="auto"/>
          <w:kern w:val="2"/>
          <w:highlight w:val="none"/>
        </w:rPr>
        <w:t>以及对该文件的有效修改与补充。</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color w:val="auto"/>
          <w:kern w:val="2"/>
          <w:lang w:eastAsia="zh-CN"/>
        </w:rPr>
        <w:t>添益（稳盈）</w:t>
      </w:r>
      <w:r>
        <w:rPr>
          <w:rFonts w:hint="eastAsia" w:ascii="宋体" w:hAnsi="宋体" w:cs="宋体"/>
          <w:bCs/>
          <w:color w:val="auto"/>
          <w:kern w:val="2"/>
          <w:lang w:val="en-US" w:eastAsia="zh-CN"/>
        </w:rPr>
        <w:t>35天</w:t>
      </w:r>
      <w:r>
        <w:rPr>
          <w:rFonts w:hint="eastAsia" w:ascii="宋体" w:hAnsi="宋体" w:cs="宋体"/>
          <w:bCs/>
          <w:color w:val="auto"/>
          <w:kern w:val="2"/>
          <w:lang w:eastAsia="zh-CN"/>
        </w:rPr>
        <w:t>周期型</w:t>
      </w:r>
      <w:r>
        <w:rPr>
          <w:rFonts w:hint="eastAsia" w:ascii="宋体" w:hAnsi="宋体" w:cs="宋体"/>
          <w:bCs/>
          <w:color w:val="auto"/>
          <w:kern w:val="2"/>
          <w:highlight w:val="none"/>
          <w:lang w:val="en-US" w:eastAsia="zh-CN"/>
        </w:rPr>
        <w:t>理财合同不可分割组成部分的理财计划销售协议书，以及对该文件的有效修改与补充。</w:t>
      </w:r>
    </w:p>
    <w:p>
      <w:pPr>
        <w:pStyle w:val="22"/>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《理财计划销售协议书》五</w:t>
      </w:r>
      <w:r>
        <w:rPr>
          <w:rFonts w:hint="eastAsia" w:ascii="宋体" w:hAnsi="宋体" w:cs="宋体"/>
          <w:bCs/>
          <w:color w:val="auto"/>
          <w:kern w:val="2"/>
          <w:highlight w:val="none"/>
        </w:rPr>
        <w:t>个部分。</w:t>
      </w:r>
    </w:p>
    <w:p>
      <w:pPr>
        <w:pStyle w:val="22"/>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添益（稳盈）</w:t>
      </w:r>
      <w:r>
        <w:rPr>
          <w:rFonts w:hint="eastAsia" w:ascii="宋体" w:hAnsi="宋体" w:cs="宋体"/>
          <w:bCs/>
          <w:color w:val="auto"/>
          <w:kern w:val="2"/>
          <w:highlight w:val="none"/>
          <w:lang w:val="en-US" w:eastAsia="zh-CN"/>
        </w:rPr>
        <w:t>35天</w:t>
      </w:r>
      <w:r>
        <w:rPr>
          <w:rFonts w:hint="eastAsia" w:ascii="宋体" w:hAnsi="宋体" w:cs="宋体"/>
          <w:bCs/>
          <w:color w:val="auto"/>
          <w:kern w:val="2"/>
          <w:highlight w:val="none"/>
          <w:lang w:eastAsia="zh-CN"/>
        </w:rPr>
        <w:t>周期型</w:t>
      </w:r>
      <w:r>
        <w:rPr>
          <w:rFonts w:hint="eastAsia" w:ascii="宋体" w:hAnsi="宋体" w:cs="宋体"/>
          <w:bCs/>
          <w:highlight w:val="none"/>
        </w:rPr>
        <w:t>理财。</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22"/>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22"/>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22"/>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申购开放期：</w:t>
      </w:r>
      <w:r>
        <w:rPr>
          <w:rFonts w:hint="eastAsia" w:ascii="宋体" w:hAnsi="宋体" w:cs="宋体"/>
          <w:bCs/>
          <w:highlight w:val="none"/>
        </w:rPr>
        <w:t>指管理人向投资者提供申购交易的时间。</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赎回开放期：</w:t>
      </w:r>
      <w:r>
        <w:rPr>
          <w:rFonts w:hint="eastAsia" w:ascii="宋体" w:hAnsi="宋体" w:cs="宋体"/>
          <w:bCs/>
          <w:highlight w:val="none"/>
        </w:rPr>
        <w:t>指管理人向投资者提供赎回交易的时间。</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申购确认日：</w:t>
      </w:r>
      <w:r>
        <w:rPr>
          <w:rFonts w:hint="eastAsia" w:ascii="宋体" w:hAnsi="宋体" w:cs="宋体"/>
          <w:bCs/>
          <w:color w:val="auto"/>
          <w:kern w:val="2"/>
          <w:highlight w:val="none"/>
        </w:rPr>
        <w:t>指管理人确认投资者申购交易是否有效的日期。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赎回确认日：</w:t>
      </w:r>
      <w:r>
        <w:rPr>
          <w:rFonts w:hint="eastAsia" w:ascii="宋体" w:hAnsi="宋体" w:cs="宋体"/>
          <w:bCs/>
          <w:color w:val="auto"/>
          <w:kern w:val="2"/>
          <w:highlight w:val="none"/>
        </w:rPr>
        <w:t>指管理人确认投资者赎回交易是否有效的日期。</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2"/>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2"/>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22"/>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22"/>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22"/>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22"/>
        <w:numPr>
          <w:ilvl w:val="0"/>
          <w:numId w:val="0"/>
        </w:numPr>
        <w:adjustRightInd/>
        <w:spacing w:line="360" w:lineRule="auto"/>
        <w:rPr>
          <w:rFonts w:hint="eastAsia" w:ascii="宋体" w:hAnsi="宋体" w:cs="宋体"/>
          <w:b/>
          <w:color w:val="auto"/>
          <w:kern w:val="2"/>
          <w:highlight w:val="none"/>
        </w:rPr>
      </w:pPr>
    </w:p>
    <w:p>
      <w:pPr>
        <w:pStyle w:val="22"/>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1</w:t>
      </w:r>
      <w:r>
        <w:rPr>
          <w:rFonts w:hint="eastAsia" w:ascii="宋体" w:hAnsi="宋体" w:cs="宋体"/>
          <w:b/>
          <w:color w:val="auto"/>
          <w:kern w:val="2"/>
          <w:highlight w:val="none"/>
        </w:rPr>
        <w:t>〗，〖</w:t>
      </w:r>
      <w:r>
        <w:rPr>
          <w:rFonts w:hint="eastAsia" w:ascii="宋体" w:hAnsi="宋体" w:cs="宋体"/>
          <w:b/>
          <w:bCs w:val="0"/>
          <w:color w:val="auto"/>
          <w:kern w:val="2"/>
          <w:highlight w:val="none"/>
        </w:rPr>
        <w:t>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R1</w:t>
            </w:r>
          </w:p>
        </w:tc>
        <w:tc>
          <w:tcPr>
            <w:tcW w:w="1382"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低</w:t>
            </w:r>
          </w:p>
        </w:tc>
        <w:tc>
          <w:tcPr>
            <w:tcW w:w="4755" w:type="dxa"/>
          </w:tcPr>
          <w:p>
            <w:pPr>
              <w:pStyle w:val="22"/>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lang w:eastAsia="zh-CN"/>
              </w:rPr>
              <w:t>保守型、</w:t>
            </w: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w:t>
            </w:r>
            <w:r>
              <w:rPr>
                <w:rFonts w:hint="eastAsia" w:ascii="宋体" w:hAnsi="宋体" w:cs="宋体"/>
                <w:b/>
                <w:bCs w:val="0"/>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R2</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中低</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tcPr>
          <w:p>
            <w:pPr>
              <w:pStyle w:val="22"/>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22"/>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22"/>
        <w:adjustRightInd/>
        <w:spacing w:line="360" w:lineRule="auto"/>
        <w:rPr>
          <w:rFonts w:hint="eastAsia" w:ascii="宋体" w:hAnsi="宋体" w:cs="宋体"/>
          <w:b/>
          <w:color w:val="auto"/>
          <w:kern w:val="2"/>
          <w:highlight w:val="none"/>
        </w:rPr>
      </w:pPr>
    </w:p>
    <w:p>
      <w:pPr>
        <w:pStyle w:val="22"/>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sz w:val="21"/>
                <w:szCs w:val="21"/>
                <w:highlight w:val="none"/>
                <w:lang w:eastAsia="zh-CN"/>
              </w:rPr>
              <w:t>添益（稳盈）</w:t>
            </w:r>
            <w:r>
              <w:rPr>
                <w:rFonts w:hint="eastAsia" w:ascii="宋体" w:hAnsi="宋体" w:cs="宋体"/>
                <w:sz w:val="21"/>
                <w:szCs w:val="21"/>
                <w:highlight w:val="none"/>
                <w:lang w:val="en-US" w:eastAsia="zh-CN"/>
              </w:rPr>
              <w:t>35</w:t>
            </w:r>
            <w:r>
              <w:rPr>
                <w:rFonts w:hint="eastAsia" w:ascii="宋体" w:hAnsi="宋体" w:cs="宋体"/>
                <w:sz w:val="21"/>
                <w:szCs w:val="21"/>
                <w:highlight w:val="none"/>
                <w:lang w:eastAsia="zh-CN"/>
              </w:rPr>
              <w:t>天周期</w:t>
            </w:r>
            <w:r>
              <w:rPr>
                <w:rFonts w:hint="eastAsia" w:ascii="宋体" w:hAnsi="宋体" w:cs="宋体"/>
                <w:sz w:val="21"/>
                <w:szCs w:val="21"/>
                <w:highlight w:val="none"/>
                <w:lang w:val="en-US" w:eastAsia="zh-CN"/>
              </w:rPr>
              <w:t>型</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eastAsia="zh-CN"/>
              </w:rPr>
              <w:t>添益（稳盈）</w:t>
            </w:r>
            <w:r>
              <w:rPr>
                <w:rFonts w:hint="eastAsia" w:ascii="宋体" w:hAnsi="宋体" w:cs="宋体"/>
                <w:sz w:val="21"/>
                <w:szCs w:val="21"/>
                <w:highlight w:val="none"/>
                <w:lang w:val="en-US" w:eastAsia="zh-CN"/>
              </w:rPr>
              <w:t>35</w:t>
            </w:r>
            <w:r>
              <w:rPr>
                <w:rFonts w:hint="eastAsia" w:ascii="宋体" w:hAnsi="宋体" w:cs="宋体"/>
                <w:sz w:val="21"/>
                <w:szCs w:val="21"/>
                <w:highlight w:val="none"/>
                <w:lang w:eastAsia="zh-CN"/>
              </w:rPr>
              <w:t>天周期</w:t>
            </w:r>
            <w:r>
              <w:rPr>
                <w:rFonts w:hint="eastAsia" w:ascii="宋体" w:hAnsi="宋体" w:cs="宋体"/>
                <w:sz w:val="21"/>
                <w:szCs w:val="21"/>
                <w:highlight w:val="none"/>
                <w:lang w:val="en-US" w:eastAsia="zh-CN"/>
              </w:rPr>
              <w:t>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bCs/>
                <w:sz w:val="21"/>
                <w:szCs w:val="21"/>
              </w:rPr>
              <w:t>TYG</w:t>
            </w:r>
            <w:r>
              <w:rPr>
                <w:rFonts w:hint="eastAsia" w:ascii="宋体" w:hAnsi="宋体" w:cs="宋体"/>
                <w:bCs/>
                <w:sz w:val="21"/>
                <w:szCs w:val="21"/>
                <w:lang w:val="en-US" w:eastAsia="zh-CN"/>
              </w:rPr>
              <w:t>35</w:t>
            </w:r>
            <w:r>
              <w:rPr>
                <w:rFonts w:hint="eastAsia" w:ascii="宋体" w:hAnsi="宋体" w:cs="宋体"/>
                <w:bCs/>
                <w:sz w:val="21"/>
                <w:szCs w:val="21"/>
              </w:rPr>
              <w:t>D2301</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本理财计划在全国银行业理财信息登记系统的登记编码是〖Z7002223000094〗，投资者可依据该编码在“中国理财网（www.chinawealth.com.cn）”查询本理财计划信息。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w:t>
            </w:r>
            <w:r>
              <w:rPr>
                <w:rFonts w:hint="eastAsia" w:ascii="宋体" w:hAnsi="宋体" w:cs="宋体"/>
                <w:b/>
                <w:sz w:val="21"/>
                <w:szCs w:val="21"/>
              </w:rPr>
              <w:t>保守型、稳健型、平衡型、成长型、进取型</w:t>
            </w:r>
            <w:r>
              <w:rPr>
                <w:rFonts w:hint="eastAsia" w:ascii="宋体" w:hAnsi="宋体" w:cs="宋体"/>
                <w:b/>
                <w:sz w:val="21"/>
                <w:szCs w:val="21"/>
                <w:highlight w:val="none"/>
              </w:rPr>
              <w:t>〗</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其中：</w:t>
            </w:r>
          </w:p>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A份额</w:t>
            </w:r>
            <w:r>
              <w:rPr>
                <w:rFonts w:hint="eastAsia" w:ascii="宋体" w:hAnsi="宋体" w:cs="宋体"/>
                <w:bCs/>
                <w:color w:val="auto"/>
                <w:kern w:val="2"/>
                <w:sz w:val="21"/>
                <w:szCs w:val="21"/>
                <w:highlight w:val="none"/>
                <w:lang w:eastAsia="zh-CN"/>
              </w:rPr>
              <w:t>（销售代码〖</w:t>
            </w:r>
            <w:r>
              <w:rPr>
                <w:rFonts w:hint="eastAsia" w:ascii="宋体" w:hAnsi="宋体" w:cs="宋体"/>
                <w:bCs/>
                <w:color w:val="auto"/>
                <w:kern w:val="2"/>
                <w:sz w:val="21"/>
                <w:szCs w:val="21"/>
                <w:highlight w:val="none"/>
                <w:lang w:val="en-US" w:eastAsia="zh-CN"/>
              </w:rPr>
              <w:t>TYG35D2301</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〖普通个人</w:t>
            </w:r>
            <w:r>
              <w:rPr>
                <w:rFonts w:hint="eastAsia" w:ascii="宋体" w:hAnsi="宋体" w:cs="宋体"/>
                <w:bCs/>
                <w:color w:val="auto"/>
                <w:kern w:val="2"/>
                <w:sz w:val="21"/>
                <w:szCs w:val="21"/>
                <w:highlight w:val="none"/>
                <w:lang w:val="en-US" w:eastAsia="zh-CN"/>
              </w:rPr>
              <w:t>投资者</w:t>
            </w:r>
            <w:r>
              <w:rPr>
                <w:rFonts w:hint="eastAsia" w:ascii="宋体" w:hAnsi="宋体" w:cs="宋体"/>
                <w:bCs/>
                <w:color w:val="auto"/>
                <w:kern w:val="2"/>
                <w:sz w:val="21"/>
                <w:szCs w:val="21"/>
                <w:highlight w:val="none"/>
                <w:lang w:eastAsia="zh-CN"/>
              </w:rPr>
              <w:t>和机构</w:t>
            </w:r>
            <w:r>
              <w:rPr>
                <w:rFonts w:hint="eastAsia" w:ascii="宋体" w:hAnsi="宋体" w:cs="宋体"/>
                <w:bCs/>
                <w:color w:val="auto"/>
                <w:kern w:val="2"/>
                <w:sz w:val="21"/>
                <w:szCs w:val="21"/>
                <w:highlight w:val="none"/>
                <w:lang w:val="en-US" w:eastAsia="zh-CN"/>
              </w:rPr>
              <w:t>投资者</w:t>
            </w:r>
            <w:r>
              <w:rPr>
                <w:rFonts w:hint="eastAsia" w:ascii="宋体" w:hAnsi="宋体" w:cs="宋体"/>
                <w:bCs/>
                <w:color w:val="auto"/>
                <w:kern w:val="2"/>
                <w:sz w:val="21"/>
                <w:szCs w:val="21"/>
                <w:highlight w:val="none"/>
                <w:lang w:eastAsia="zh-CN"/>
              </w:rPr>
              <w:t>〗发售。</w:t>
            </w:r>
          </w:p>
          <w:p>
            <w:pPr>
              <w:widowControl/>
              <w:spacing w:line="360" w:lineRule="auto"/>
              <w:contextualSpacing/>
              <w:rPr>
                <w:rFonts w:hint="eastAsia"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B份额（销售代码</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TYG35D2301B</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其他代销机构</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发售。</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bCs/>
                <w:color w:val="auto"/>
                <w:kern w:val="2"/>
                <w:sz w:val="21"/>
                <w:szCs w:val="21"/>
                <w:highlight w:val="none"/>
                <w:lang w:val="en-US" w:eastAsia="zh-CN"/>
              </w:rPr>
              <w:t>C份额（销售代码</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TYG35D2301C</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）面向</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其他代销机构</w:t>
            </w:r>
            <w:r>
              <w:rPr>
                <w:rFonts w:hint="eastAsia" w:ascii="宋体" w:hAnsi="宋体" w:cs="宋体"/>
                <w:bCs/>
                <w:color w:val="auto"/>
                <w:kern w:val="2"/>
                <w:sz w:val="21"/>
                <w:szCs w:val="21"/>
                <w:highlight w:val="none"/>
                <w:lang w:eastAsia="zh-CN"/>
              </w:rPr>
              <w:t>〗</w:t>
            </w:r>
            <w:r>
              <w:rPr>
                <w:rFonts w:hint="eastAsia" w:ascii="宋体" w:hAnsi="宋体" w:cs="宋体"/>
                <w:bCs/>
                <w:color w:val="auto"/>
                <w:kern w:val="2"/>
                <w:sz w:val="21"/>
                <w:szCs w:val="21"/>
                <w:highlight w:val="none"/>
                <w:lang w:val="en-US"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rPr>
              <w:t>固定收益</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rPr>
              <w:t>否</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25</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04</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rPr>
              <w:t>无固定期限</w:t>
            </w:r>
            <w:r>
              <w:rPr>
                <w:rFonts w:hint="eastAsia" w:ascii="宋体" w:hAnsi="宋体" w:cs="宋体"/>
                <w:color w:val="000000"/>
                <w:sz w:val="21"/>
                <w:szCs w:val="21"/>
                <w:highlight w:val="none"/>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eastAsia="宋体" w:cs="宋体"/>
                <w:bCs/>
                <w:color w:val="FF0000"/>
                <w:sz w:val="21"/>
                <w:szCs w:val="21"/>
                <w:highlight w:val="green"/>
                <w:lang w:eastAsia="zh-CN"/>
              </w:rPr>
            </w:pPr>
            <w:r>
              <w:rPr>
                <w:rFonts w:hint="eastAsia" w:ascii="宋体" w:hAnsi="宋体" w:cs="宋体"/>
                <w:bCs/>
                <w:color w:val="auto"/>
                <w:sz w:val="21"/>
                <w:szCs w:val="21"/>
                <w:highlight w:val="none"/>
                <w:lang w:eastAsia="zh-CN"/>
              </w:rPr>
              <w:t>封闭期</w:t>
            </w:r>
          </w:p>
        </w:tc>
        <w:tc>
          <w:tcPr>
            <w:tcW w:w="7185" w:type="dxa"/>
            <w:vAlign w:val="center"/>
          </w:tcPr>
          <w:p>
            <w:pPr>
              <w:widowControl/>
              <w:spacing w:line="360" w:lineRule="auto"/>
              <w:contextualSpacing/>
              <w:rPr>
                <w:rFonts w:hint="eastAsia" w:ascii="宋体" w:hAnsi="宋体" w:eastAsia="宋体" w:cs="宋体"/>
                <w:color w:val="000000"/>
                <w:sz w:val="21"/>
                <w:szCs w:val="21"/>
                <w:highlight w:val="green"/>
                <w:lang w:val="en-US"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lang w:val="en-US"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2023</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05</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日，</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7</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万元，则管理人可宣布本理财计划不成立并在原定理财计划成立日后</w:t>
            </w:r>
            <w:r>
              <w:rPr>
                <w:rFonts w:hint="eastAsia" w:ascii="宋体" w:hAnsi="宋体" w:cs="宋体"/>
                <w:sz w:val="21"/>
                <w:szCs w:val="21"/>
                <w:highlight w:val="none"/>
              </w:rPr>
              <w:t>〖</w:t>
            </w:r>
            <w:r>
              <w:rPr>
                <w:rFonts w:hint="eastAsia" w:ascii="宋体" w:hAnsi="宋体" w:cs="宋体"/>
                <w:color w:val="000000"/>
                <w:sz w:val="21"/>
                <w:szCs w:val="21"/>
                <w:highlight w:val="none"/>
              </w:rPr>
              <w:t>2</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申购开放期</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理财计划申购开放期为</w:t>
            </w:r>
            <w:r>
              <w:rPr>
                <w:rFonts w:hint="eastAsia" w:ascii="宋体" w:hAnsi="宋体" w:cs="宋体"/>
                <w:sz w:val="21"/>
                <w:szCs w:val="21"/>
                <w:highlight w:val="none"/>
              </w:rPr>
              <w:t>〖</w:t>
            </w:r>
            <w:r>
              <w:rPr>
                <w:rFonts w:hint="eastAsia" w:ascii="宋体" w:hAnsi="宋体" w:cs="宋体"/>
                <w:sz w:val="21"/>
                <w:szCs w:val="21"/>
                <w:highlight w:val="none"/>
                <w:lang w:val="en-US" w:eastAsia="zh-CN"/>
              </w:rPr>
              <w:t>封闭期后的每个交易日</w:t>
            </w:r>
            <w:r>
              <w:rPr>
                <w:rFonts w:hint="eastAsia" w:ascii="宋体" w:hAnsi="宋体" w:cs="宋体"/>
                <w:sz w:val="21"/>
                <w:szCs w:val="21"/>
                <w:highlight w:val="none"/>
              </w:rPr>
              <w:t>〗,</w:t>
            </w:r>
            <w:r>
              <w:rPr>
                <w:rFonts w:hint="eastAsia" w:ascii="宋体" w:hAnsi="宋体" w:cs="宋体"/>
                <w:color w:val="000000"/>
                <w:sz w:val="21"/>
                <w:szCs w:val="21"/>
                <w:highlight w:val="none"/>
              </w:rPr>
              <w:t>申购确认日为〖开放期的下一个交易日〗。在开放期开放时间内提交的申购申请将作为当日申购申请处理；在开放期开放时间结束后及非开放期提交的申购申请将作为下一开放期的申购申请处理。如遇节假日，申购确认日顺延至下一个交易日，如遇特殊情况具体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投资周期</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本理财计划的单个投资周期一般为</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35</w:t>
            </w:r>
            <w:r>
              <w:rPr>
                <w:rFonts w:hint="eastAsia" w:ascii="宋体" w:hAnsi="宋体" w:cs="宋体"/>
                <w:sz w:val="21"/>
                <w:szCs w:val="21"/>
                <w:highlight w:val="none"/>
              </w:rPr>
              <w:t>〗</w:t>
            </w:r>
            <w:r>
              <w:rPr>
                <w:rFonts w:hint="eastAsia" w:ascii="宋体" w:hAnsi="宋体" w:cs="宋体"/>
                <w:color w:val="000000"/>
                <w:sz w:val="21"/>
                <w:szCs w:val="21"/>
                <w:highlight w:val="none"/>
              </w:rPr>
              <w:t>天。每笔份额的单个投资周期的起始日为成立日或申购确认日或上个投资周期结束日的次日，自起始日起每</w:t>
            </w: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35</w:t>
            </w:r>
            <w:r>
              <w:rPr>
                <w:rFonts w:hint="eastAsia" w:ascii="宋体" w:hAnsi="宋体" w:cs="宋体"/>
                <w:sz w:val="21"/>
                <w:szCs w:val="21"/>
                <w:highlight w:val="none"/>
              </w:rPr>
              <w:t>〗</w:t>
            </w:r>
            <w:r>
              <w:rPr>
                <w:rFonts w:hint="eastAsia" w:ascii="宋体" w:hAnsi="宋体" w:cs="宋体"/>
                <w:color w:val="000000"/>
                <w:sz w:val="21"/>
                <w:szCs w:val="21"/>
                <w:highlight w:val="none"/>
              </w:rPr>
              <w:t>天为一个投资周期。投资者可就每笔份额持有单个或多个投资周期。</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如产品终止时投资者持有份额的天数小于单个投资周期，则该笔份额的投资周期天数按实际持有天数计算。</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投资者可在投资周期内根据赎回规定选择当前投资周期结束后是否赎回本理财计划。投资周期结束日如遇非交易日，则自动顺延至下一交易日，该投资周期天数相应延长。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赎回规定</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到期方式选择</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投资者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2.到期方式修改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在每笔份额存续</w:t>
            </w:r>
            <w:r>
              <w:rPr>
                <w:rFonts w:hint="eastAsia" w:ascii="宋体" w:hAnsi="宋体" w:cs="宋体"/>
                <w:color w:val="000000"/>
                <w:sz w:val="21"/>
                <w:szCs w:val="21"/>
                <w:highlight w:val="none"/>
                <w:lang w:val="en-US" w:eastAsia="zh-CN"/>
              </w:rPr>
              <w:t>期间，投资者可以修改当前投资周期的到期方式，</w:t>
            </w:r>
            <w:r>
              <w:rPr>
                <w:rFonts w:hint="eastAsia" w:ascii="宋体" w:hAnsi="宋体" w:cs="宋体"/>
                <w:color w:val="000000"/>
                <w:sz w:val="21"/>
                <w:szCs w:val="21"/>
                <w:highlight w:val="none"/>
              </w:rPr>
              <w:t>当前投资周期结束日前2个交易日</w:t>
            </w:r>
            <w:r>
              <w:rPr>
                <w:rFonts w:hint="eastAsia" w:ascii="宋体" w:hAnsi="宋体" w:cs="宋体"/>
                <w:color w:val="000000"/>
                <w:sz w:val="21"/>
                <w:szCs w:val="21"/>
                <w:highlight w:val="none"/>
                <w:lang w:val="en-US" w:eastAsia="zh-CN"/>
              </w:rPr>
              <w:t>至该周期结束日（含）除外</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3.赎回确认</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赎回份额将于赎回确认日确认，赎回确认日为投资者选择“自动赎回”方式当期投资周期结束日的下一个交易日。</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赎回金额=赎回份额×赎回确认日前一日的单位净值。</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bCs/>
                <w:color w:val="000000"/>
                <w:sz w:val="21"/>
                <w:szCs w:val="21"/>
                <w:highlight w:val="none"/>
              </w:rPr>
              <w:t>（具体赎回规定与到期方式选择以销售机构要求为准）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w:t>
            </w:r>
            <w:r>
              <w:rPr>
                <w:rFonts w:hint="eastAsia" w:ascii="宋体" w:hAnsi="宋体" w:cs="宋体"/>
                <w:color w:val="000000"/>
                <w:sz w:val="21"/>
                <w:szCs w:val="21"/>
                <w:highlight w:val="none"/>
                <w:lang w:eastAsia="zh-CN"/>
              </w:rPr>
              <w:t>在认购时间内均可进行认购或撤单。</w:t>
            </w:r>
          </w:p>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2.本理财计划在每个</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开放期的开放日工作时间均可进行</w:t>
            </w:r>
            <w:r>
              <w:rPr>
                <w:rFonts w:hint="eastAsia" w:ascii="宋体" w:hAnsi="宋体" w:cs="宋体"/>
                <w:color w:val="000000"/>
                <w:sz w:val="21"/>
                <w:szCs w:val="21"/>
                <w:highlight w:val="none"/>
                <w:lang w:eastAsia="zh-CN"/>
              </w:rPr>
              <w:t>申购或撤单</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申请将在</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确认日，即</w:t>
            </w:r>
            <w:r>
              <w:rPr>
                <w:rFonts w:hint="eastAsia" w:ascii="宋体" w:hAnsi="宋体" w:cs="宋体"/>
                <w:color w:val="000000"/>
                <w:sz w:val="21"/>
                <w:szCs w:val="21"/>
                <w:highlight w:val="none"/>
                <w:lang w:eastAsia="zh-CN"/>
              </w:rPr>
              <w:t>申购</w:t>
            </w:r>
            <w:r>
              <w:rPr>
                <w:rFonts w:hint="eastAsia" w:ascii="宋体" w:hAnsi="宋体" w:cs="宋体"/>
                <w:color w:val="000000"/>
                <w:sz w:val="21"/>
                <w:szCs w:val="21"/>
                <w:highlight w:val="none"/>
              </w:rPr>
              <w:t>后的第</w:t>
            </w:r>
            <w:r>
              <w:rPr>
                <w:rFonts w:hint="eastAsia" w:ascii="宋体" w:hAnsi="宋体" w:cs="宋体"/>
                <w:sz w:val="21"/>
                <w:szCs w:val="21"/>
                <w:highlight w:val="none"/>
              </w:rPr>
              <w:t>〖</w:t>
            </w:r>
            <w:r>
              <w:rPr>
                <w:rFonts w:hint="eastAsia" w:ascii="宋体" w:hAnsi="宋体" w:cs="宋体"/>
                <w:color w:val="auto"/>
                <w:sz w:val="21"/>
                <w:szCs w:val="21"/>
                <w:highlight w:val="none"/>
              </w:rPr>
              <w:t>1〗个</w:t>
            </w:r>
            <w:r>
              <w:rPr>
                <w:rFonts w:hint="eastAsia" w:ascii="宋体" w:hAnsi="宋体" w:cs="宋体"/>
                <w:bCs/>
                <w:color w:val="auto"/>
                <w:sz w:val="21"/>
                <w:szCs w:val="21"/>
                <w:highlight w:val="none"/>
                <w:lang w:eastAsia="zh-CN"/>
              </w:rPr>
              <w:t>交易日</w:t>
            </w:r>
            <w:r>
              <w:rPr>
                <w:rFonts w:hint="eastAsia" w:ascii="宋体" w:hAnsi="宋体" w:cs="宋体"/>
                <w:bCs/>
                <w:color w:val="auto"/>
                <w:sz w:val="21"/>
                <w:szCs w:val="21"/>
                <w:highlight w:val="none"/>
              </w:rPr>
              <w:t>进</w:t>
            </w:r>
            <w:r>
              <w:rPr>
                <w:rFonts w:hint="eastAsia" w:ascii="宋体" w:hAnsi="宋体" w:cs="宋体"/>
                <w:bCs/>
                <w:sz w:val="21"/>
                <w:szCs w:val="21"/>
                <w:highlight w:val="none"/>
              </w:rPr>
              <w:t>行确认。</w:t>
            </w:r>
            <w:r>
              <w:rPr>
                <w:rFonts w:hint="eastAsia" w:ascii="宋体" w:hAnsi="宋体" w:cs="宋体"/>
                <w:color w:val="000000"/>
                <w:sz w:val="21"/>
                <w:szCs w:val="21"/>
                <w:highlight w:val="none"/>
              </w:rPr>
              <w:t>确认日如遇非</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w:t>
            </w:r>
            <w:r>
              <w:rPr>
                <w:rFonts w:hint="eastAsia" w:ascii="宋体" w:hAnsi="宋体" w:cs="宋体"/>
                <w:color w:val="000000"/>
                <w:sz w:val="21"/>
                <w:szCs w:val="21"/>
                <w:highlight w:val="none"/>
                <w:lang w:eastAsia="zh-CN"/>
              </w:rPr>
              <w:t>本理财计划</w:t>
            </w:r>
            <w:r>
              <w:rPr>
                <w:rFonts w:hint="eastAsia" w:ascii="宋体" w:hAnsi="宋体" w:cs="宋体"/>
                <w:color w:val="000000"/>
                <w:sz w:val="21"/>
                <w:szCs w:val="21"/>
                <w:highlight w:val="none"/>
              </w:rPr>
              <w:t>工作时间为每个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日上午〖9:00〗至下午〖</w:t>
            </w:r>
            <w:r>
              <w:rPr>
                <w:rFonts w:hint="eastAsia" w:ascii="宋体" w:hAnsi="宋体" w:cs="宋体"/>
                <w:color w:val="000000"/>
                <w:sz w:val="21"/>
                <w:szCs w:val="21"/>
                <w:highlight w:val="none"/>
                <w:lang w:val="en-US" w:eastAsia="zh-CN"/>
              </w:rPr>
              <w:t>15</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45</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default" w:ascii="宋体" w:hAnsi="宋体" w:eastAsia="宋体" w:cs="宋体"/>
                <w:bCs/>
                <w:color w:val="FF0000"/>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lang w:val="en-US" w:eastAsia="zh-CN"/>
              </w:rPr>
              <w:t>单户持有上限金额为</w:t>
            </w:r>
            <w:r>
              <w:rPr>
                <w:rFonts w:hint="eastAsia" w:ascii="宋体" w:hAnsi="宋体" w:cs="宋体"/>
                <w:sz w:val="21"/>
                <w:szCs w:val="21"/>
                <w:highlight w:val="none"/>
              </w:rPr>
              <w:t>〖</w:t>
            </w:r>
            <w:r>
              <w:rPr>
                <w:rFonts w:hint="eastAsia" w:ascii="宋体" w:hAnsi="宋体" w:cs="宋体"/>
                <w:sz w:val="21"/>
                <w:szCs w:val="21"/>
                <w:highlight w:val="none"/>
                <w:lang w:val="en-US" w:eastAsia="zh-CN"/>
              </w:rPr>
              <w:t>10000</w:t>
            </w:r>
            <w:r>
              <w:rPr>
                <w:rFonts w:hint="eastAsia" w:ascii="宋体" w:hAnsi="宋体" w:cs="宋体"/>
                <w:sz w:val="21"/>
                <w:szCs w:val="21"/>
                <w:highlight w:val="none"/>
              </w:rPr>
              <w:t>〗</w:t>
            </w:r>
            <w:r>
              <w:rPr>
                <w:rFonts w:hint="eastAsia" w:ascii="宋体" w:hAnsi="宋体" w:cs="宋体"/>
                <w:sz w:val="21"/>
                <w:szCs w:val="21"/>
                <w:highlight w:val="none"/>
                <w:lang w:val="en-US" w:eastAsia="zh-CN"/>
              </w:rPr>
              <w:t>万</w:t>
            </w:r>
            <w:r>
              <w:rPr>
                <w:rFonts w:hint="eastAsia" w:ascii="宋体" w:hAnsi="宋体" w:cs="宋体"/>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六</w:t>
            </w:r>
            <w:r>
              <w:rPr>
                <w:rFonts w:hint="eastAsia" w:ascii="宋体" w:hAnsi="宋体" w:cs="宋体"/>
                <w:color w:val="000000"/>
                <w:sz w:val="21"/>
                <w:szCs w:val="21"/>
                <w:highlight w:val="none"/>
                <w:lang w:eastAsia="zh-CN"/>
              </w:rPr>
              <w:t>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到期</w:t>
            </w:r>
            <w:r>
              <w:rPr>
                <w:rFonts w:hint="eastAsia" w:ascii="宋体" w:hAnsi="宋体" w:cs="宋体"/>
                <w:color w:val="000000"/>
                <w:sz w:val="21"/>
                <w:szCs w:val="21"/>
                <w:highlight w:val="none"/>
              </w:rPr>
              <w:t>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w:t>
            </w:r>
            <w:r>
              <w:rPr>
                <w:rFonts w:hint="eastAsia" w:ascii="宋体" w:hAnsi="宋体" w:cs="宋体"/>
                <w:color w:val="000000"/>
                <w:sz w:val="21"/>
                <w:szCs w:val="21"/>
                <w:highlight w:val="none"/>
                <w:lang w:eastAsia="zh-CN"/>
              </w:rPr>
              <w:t>交易</w:t>
            </w:r>
            <w:r>
              <w:rPr>
                <w:rFonts w:hint="eastAsia" w:ascii="宋体" w:hAnsi="宋体" w:cs="宋体"/>
                <w:color w:val="000000"/>
                <w:sz w:val="21"/>
                <w:szCs w:val="21"/>
                <w:highlight w:val="none"/>
              </w:rPr>
              <w:t>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在满足收益分配基准日理财计划份额净值大于1元的情况下，管理人将</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1.85%</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1.80%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1.70%</w:t>
            </w:r>
            <w:r>
              <w:rPr>
                <w:rFonts w:hint="eastAsia" w:ascii="宋体" w:hAnsi="宋体" w:cs="宋体"/>
                <w:sz w:val="21"/>
                <w:szCs w:val="21"/>
                <w:highlight w:val="none"/>
              </w:rPr>
              <w:t>〗（年化）。</w:t>
            </w:r>
          </w:p>
          <w:p>
            <w:pPr>
              <w:widowControl/>
              <w:spacing w:line="360" w:lineRule="auto"/>
              <w:jc w:val="left"/>
              <w:rPr>
                <w:rFonts w:hint="eastAsia" w:ascii="宋体" w:hAnsi="宋体" w:cs="宋体"/>
                <w:b/>
                <w:bCs/>
                <w:sz w:val="21"/>
                <w:szCs w:val="21"/>
                <w:highlight w:val="none"/>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w:t>
            </w:r>
            <w:r>
              <w:rPr>
                <w:rFonts w:hint="eastAsia" w:ascii="宋体" w:hAnsi="宋体" w:cs="宋体"/>
                <w:b/>
                <w:bCs/>
                <w:sz w:val="21"/>
                <w:szCs w:val="21"/>
                <w:highlight w:val="none"/>
              </w:rPr>
              <w:t>重点投资于</w:t>
            </w:r>
            <w:r>
              <w:rPr>
                <w:rFonts w:hint="eastAsia" w:ascii="宋体" w:hAnsi="宋体" w:cs="宋体"/>
                <w:b/>
                <w:bCs/>
                <w:sz w:val="21"/>
                <w:szCs w:val="21"/>
                <w:highlight w:val="none"/>
                <w:lang w:val="en-US" w:eastAsia="zh-CN"/>
              </w:rPr>
              <w:t>债券、存款</w:t>
            </w:r>
            <w:r>
              <w:rPr>
                <w:rFonts w:hint="eastAsia" w:ascii="宋体" w:hAnsi="宋体" w:cs="宋体"/>
                <w:b/>
                <w:bCs/>
                <w:sz w:val="21"/>
                <w:szCs w:val="21"/>
                <w:highlight w:val="none"/>
              </w:rPr>
              <w:t>等资产，</w:t>
            </w:r>
            <w:r>
              <w:rPr>
                <w:rFonts w:hint="eastAsia" w:ascii="宋体" w:hAnsi="宋体" w:cs="宋体"/>
                <w:b/>
                <w:bCs/>
                <w:sz w:val="21"/>
                <w:szCs w:val="21"/>
                <w:highlight w:val="none"/>
                <w:lang w:eastAsia="zh-CN"/>
              </w:rPr>
              <w:t>根据当前市场环境，预投资产收益率</w:t>
            </w:r>
            <w:r>
              <w:rPr>
                <w:rFonts w:hint="eastAsia" w:ascii="宋体" w:hAnsi="宋体" w:cs="宋体"/>
                <w:b/>
                <w:bCs/>
                <w:sz w:val="21"/>
                <w:szCs w:val="21"/>
                <w:highlight w:val="none"/>
                <w:lang w:val="en-US" w:eastAsia="zh-CN"/>
              </w:rPr>
              <w:t>水平</w:t>
            </w:r>
            <w:r>
              <w:rPr>
                <w:rFonts w:hint="eastAsia" w:ascii="宋体" w:hAnsi="宋体" w:cs="宋体"/>
                <w:b/>
                <w:bCs/>
                <w:sz w:val="21"/>
                <w:szCs w:val="21"/>
                <w:highlight w:val="none"/>
                <w:lang w:eastAsia="zh-CN"/>
              </w:rPr>
              <w:t>在</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1.50%-2.00%</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左右，同时</w:t>
            </w:r>
            <w:r>
              <w:rPr>
                <w:rFonts w:hint="eastAsia" w:ascii="宋体" w:hAnsi="宋体" w:cs="宋体"/>
                <w:b/>
                <w:bCs/>
                <w:sz w:val="21"/>
                <w:szCs w:val="21"/>
                <w:highlight w:val="none"/>
              </w:rPr>
              <w:t>根据流动性管理需要和监管要求配置不低于5%的高流动性资产。</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b/>
                <w:sz w:val="21"/>
                <w:szCs w:val="21"/>
                <w:highlight w:val="none"/>
              </w:rPr>
            </w:pPr>
            <w:r>
              <w:rPr>
                <w:rFonts w:hint="eastAsia" w:ascii="宋体" w:hAnsi="宋体" w:cs="宋体"/>
                <w:b/>
                <w:sz w:val="21"/>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p>
            <w:pPr>
              <w:widowControl/>
              <w:spacing w:line="360" w:lineRule="auto"/>
              <w:contextualSpacing/>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本理财计划业绩比较基准由管理人根据投资范围和投资策略，结合市场环境因素进行测算而得出。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vAlign w:val="center"/>
          </w:tcPr>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0.05%</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0.10%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bCs/>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7.浮动管理费</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本理财计划</w:t>
            </w:r>
            <w:r>
              <w:rPr>
                <w:rFonts w:hint="eastAsia" w:ascii="宋体" w:hAnsi="宋体" w:cs="宋体"/>
                <w:color w:val="000000"/>
                <w:sz w:val="21"/>
                <w:szCs w:val="21"/>
                <w:highlight w:val="none"/>
                <w:lang w:val="en-US" w:eastAsia="zh-CN"/>
              </w:rPr>
              <w:t>免除</w:t>
            </w:r>
            <w:r>
              <w:rPr>
                <w:rFonts w:hint="eastAsia" w:ascii="宋体" w:hAnsi="宋体" w:cs="宋体"/>
                <w:color w:val="000000"/>
                <w:sz w:val="21"/>
                <w:szCs w:val="21"/>
                <w:highlight w:val="none"/>
              </w:rPr>
              <w:t>浮动管理费。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b/>
                <w:bCs/>
                <w:color w:val="000000"/>
                <w:sz w:val="21"/>
                <w:szCs w:val="21"/>
                <w:highlight w:val="none"/>
                <w:lang w:eastAsia="zh-CN"/>
              </w:rPr>
              <w:t>管理人保留变更上述收取费率标准的权利，如有变更将提前</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2</w:t>
            </w:r>
            <w:r>
              <w:rPr>
                <w:rFonts w:hint="eastAsia" w:ascii="宋体" w:hAnsi="宋体" w:cs="宋体"/>
                <w:b/>
                <w:bCs/>
                <w:sz w:val="21"/>
                <w:szCs w:val="21"/>
                <w:highlight w:val="none"/>
              </w:rPr>
              <w:t>〗</w:t>
            </w:r>
            <w:r>
              <w:rPr>
                <w:rFonts w:hint="eastAsia" w:ascii="宋体" w:hAnsi="宋体" w:cs="宋体"/>
                <w:b/>
                <w:bCs/>
                <w:sz w:val="21"/>
                <w:szCs w:val="21"/>
                <w:highlight w:val="none"/>
                <w:lang w:eastAsia="zh-CN"/>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kern w:val="0"/>
                <w:sz w:val="21"/>
                <w:szCs w:val="21"/>
                <w:highlight w:val="none"/>
              </w:rPr>
              <w:t>（具体以销售机构规定为准）</w:t>
            </w:r>
          </w:p>
          <w:p>
            <w:pPr>
              <w:numPr>
                <w:ilvl w:val="0"/>
                <w:numId w:val="0"/>
              </w:numPr>
              <w:spacing w:line="360" w:lineRule="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认购/申购申请成功受理后，资金立即自动冻结，投资者不得要求支取和使用。但认购/申购资金的冻结不代表该认购/申购成功，投资者实际认购/申购成功的金额以产品成立日/申购确认日的管理人最终确认并实际扣款的资金为准。同时，销售机构将在产品成立日/申购确认日的次一个交易日内将投资者未认购/申购成功的资金解除冻结。</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0"/>
        </w:numPr>
        <w:spacing w:line="360" w:lineRule="auto"/>
        <w:ind w:leftChars="0"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w:t>
      </w:r>
      <w:r>
        <w:rPr>
          <w:rFonts w:hint="eastAsia" w:ascii="宋体" w:hAnsi="宋体" w:cs="宋体"/>
          <w:bCs/>
          <w:sz w:val="24"/>
          <w:highlight w:val="none"/>
          <w:lang w:eastAsia="zh-CN"/>
        </w:rPr>
        <w:t>等流动性资产、</w:t>
      </w:r>
      <w:r>
        <w:rPr>
          <w:rFonts w:hint="eastAsia" w:ascii="宋体" w:hAnsi="宋体" w:cs="宋体"/>
          <w:bCs/>
          <w:sz w:val="24"/>
          <w:highlight w:val="none"/>
        </w:rPr>
        <w:t>质押式及买断式回购，其他符合监管要求的固定收益类资产及资产管理产品。</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rPr>
              <w:t>100%</w:t>
            </w:r>
          </w:p>
        </w:tc>
      </w:tr>
    </w:tbl>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w:t>
      </w:r>
      <w:r>
        <w:rPr>
          <w:rFonts w:hint="eastAsia" w:ascii="宋体" w:hAnsi="宋体" w:cs="宋体"/>
          <w:highlight w:val="none"/>
        </w:rPr>
        <w:t>〖</w:t>
      </w:r>
      <w:r>
        <w:rPr>
          <w:rFonts w:hint="eastAsia" w:ascii="宋体" w:hAnsi="宋体" w:cs="宋体"/>
          <w:bCs/>
          <w:color w:val="auto"/>
          <w:kern w:val="2"/>
          <w:highlight w:val="none"/>
          <w:lang w:val="en-US" w:eastAsia="zh-CN"/>
        </w:rPr>
        <w:t>30</w:t>
      </w:r>
      <w:r>
        <w:rPr>
          <w:rFonts w:hint="eastAsia" w:ascii="宋体" w:hAnsi="宋体" w:cs="宋体"/>
          <w:highlight w:val="none"/>
        </w:rPr>
        <w:t>〗</w:t>
      </w:r>
      <w:r>
        <w:rPr>
          <w:rFonts w:hint="eastAsia" w:ascii="宋体" w:hAnsi="宋体" w:cs="宋体"/>
          <w:highlight w:val="none"/>
          <w:lang w:val="en-US" w:eastAsia="zh-CN"/>
        </w:rPr>
        <w:t>天</w:t>
      </w:r>
      <w:r>
        <w:rPr>
          <w:rFonts w:hint="eastAsia" w:ascii="宋体" w:hAnsi="宋体" w:cs="宋体"/>
          <w:bCs/>
          <w:color w:val="auto"/>
          <w:kern w:val="2"/>
          <w:highlight w:val="none"/>
        </w:rPr>
        <w:t>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22"/>
        <w:numPr>
          <w:ilvl w:val="0"/>
          <w:numId w:val="13"/>
        </w:numPr>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资产配置策略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将通过对宏观经济形势、各项国家政策、及证券市场环境的分析来判断经济周期目前的位置，主动判断市场时机进行资产配置。</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固定收益类资产</w:t>
      </w:r>
      <w:r>
        <w:rPr>
          <w:rFonts w:hint="eastAsia" w:ascii="宋体" w:hAnsi="宋体" w:cs="宋体"/>
          <w:bCs/>
          <w:sz w:val="24"/>
          <w:highlight w:val="none"/>
        </w:rPr>
        <w:t>投资策略</w:t>
      </w:r>
    </w:p>
    <w:p>
      <w:pPr>
        <w:pStyle w:val="22"/>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管理人本着稳健投资的理念，采用安全性和流动性优先、优选投资品种，</w:t>
      </w:r>
      <w:r>
        <w:rPr>
          <w:rFonts w:hint="eastAsia" w:ascii="宋体" w:hAnsi="宋体" w:cs="宋体"/>
          <w:bCs/>
          <w:color w:val="auto"/>
          <w:kern w:val="2"/>
          <w:highlight w:val="none"/>
          <w:lang w:val="en-US" w:eastAsia="zh-CN"/>
        </w:rPr>
        <w:t>以</w:t>
      </w:r>
      <w:r>
        <w:rPr>
          <w:rFonts w:hint="eastAsia" w:ascii="宋体" w:hAnsi="宋体" w:cs="宋体"/>
          <w:bCs/>
          <w:color w:val="auto"/>
          <w:kern w:val="2"/>
          <w:highlight w:val="none"/>
        </w:rPr>
        <w:t>获取稳定收益。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lang w:val="en-US" w:eastAsia="zh-CN"/>
        </w:rPr>
        <w:t>投资限制</w:t>
      </w:r>
      <w:r>
        <w:rPr>
          <w:rFonts w:hint="eastAsia" w:ascii="宋体" w:hAnsi="宋体" w:cs="宋体"/>
          <w:bCs/>
          <w:color w:val="000000"/>
          <w:sz w:val="24"/>
        </w:rPr>
        <w:t>中列示的资产品种不代表管理人的实际投向，本理财计划投资范围以“投资范围”章节表述为准。</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8"/>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8"/>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0"/>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5790"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5790"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5790" w:type="dxa"/>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201"/>
        <w:gridCol w:w="1343"/>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201"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杭州银行股份有限公司</w:t>
            </w:r>
          </w:p>
        </w:tc>
        <w:tc>
          <w:tcPr>
            <w:tcW w:w="1343"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96" w:type="dxa"/>
            <w:vAlign w:val="center"/>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spacing w:line="360" w:lineRule="auto"/>
              <w:jc w:val="center"/>
              <w:rPr>
                <w:rFonts w:hint="eastAsia" w:ascii="宋体" w:hAnsi="宋体" w:cs="宋体"/>
                <w:bCs/>
                <w:szCs w:val="21"/>
                <w:highlight w:val="none"/>
              </w:rPr>
            </w:pPr>
          </w:p>
        </w:tc>
        <w:tc>
          <w:tcPr>
            <w:tcW w:w="1343"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杭银理财有限责任公司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eastAsia="宋体" w:cs="宋体"/>
                <w:bCs/>
                <w:kern w:val="2"/>
                <w:sz w:val="24"/>
                <w:szCs w:val="21"/>
                <w:highlight w:val="none"/>
                <w:lang w:val="en-US" w:eastAsia="zh-CN" w:bidi="ar-SA"/>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eastAsia="宋体" w:cs="宋体"/>
                <w:bCs/>
                <w:kern w:val="2"/>
                <w:sz w:val="24"/>
                <w:szCs w:val="21"/>
                <w:highlight w:val="none"/>
                <w:lang w:val="en-US" w:eastAsia="zh-CN" w:bidi="ar-SA"/>
              </w:rPr>
            </w:pPr>
            <w:r>
              <w:rPr>
                <w:rFonts w:hint="eastAsia" w:ascii="宋体" w:hAnsi="宋体" w:eastAsia="宋体" w:cs="宋体"/>
                <w:bCs/>
                <w:kern w:val="2"/>
                <w:sz w:val="24"/>
                <w:szCs w:val="21"/>
                <w:highlight w:val="none"/>
                <w:lang w:val="en-US" w:eastAsia="zh-CN" w:bidi="ar-SA"/>
              </w:rPr>
              <w:t>甘肃银行股份有限公司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甘肃省兰州市城关区东岗西路525—1号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eastAsia="宋体" w:cs="宋体"/>
                <w:bCs/>
                <w:kern w:val="2"/>
                <w:sz w:val="24"/>
                <w:szCs w:val="21"/>
                <w:highlight w:val="none"/>
                <w:lang w:val="en-US" w:eastAsia="zh-CN" w:bidi="ar-SA"/>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4008696666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eastAsia" w:ascii="宋体" w:hAnsi="宋体" w:eastAsia="宋体" w:cs="宋体"/>
                <w:bCs/>
                <w:kern w:val="2"/>
                <w:sz w:val="24"/>
                <w:szCs w:val="21"/>
                <w:highlight w:val="none"/>
                <w:lang w:val="en-US" w:eastAsia="zh-CN" w:bidi="ar-SA"/>
              </w:rPr>
            </w:pPr>
            <w:r>
              <w:rPr>
                <w:rFonts w:hint="eastAsia" w:ascii="宋体" w:hAnsi="宋体" w:eastAsia="宋体" w:cs="宋体"/>
                <w:bCs/>
                <w:kern w:val="2"/>
                <w:sz w:val="24"/>
                <w:szCs w:val="21"/>
                <w:highlight w:val="none"/>
                <w:lang w:val="en-US" w:eastAsia="zh-CN" w:bidi="ar-SA"/>
              </w:rPr>
              <w:t>广东南粤银行股份有限公司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住所</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广东省湛江经济技术开发区乐山路27号财富汇金融中心1层01、02号商铺、2层01号商铺、3层01号商铺、39-45层办公室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jc w:val="center"/>
              <w:rPr>
                <w:rFonts w:hint="eastAsia" w:ascii="宋体" w:hAnsi="宋体" w:cs="宋体"/>
                <w:bCs/>
                <w:szCs w:val="21"/>
                <w:highlight w:val="none"/>
                <w:lang w:val="en-US" w:eastAsia="zh-CN"/>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lang w:val="en-US" w:eastAsia="zh-CN"/>
              </w:rPr>
              <w:t>客服热线</w:t>
            </w:r>
          </w:p>
        </w:tc>
        <w:tc>
          <w:tcPr>
            <w:tcW w:w="3296" w:type="dxa"/>
            <w:vAlign w:val="center"/>
          </w:tcPr>
          <w:p>
            <w:pPr>
              <w:keepNext w:val="0"/>
              <w:keepLines w:val="0"/>
              <w:widowControl/>
              <w:suppressLineNumbers w:val="0"/>
              <w:jc w:val="center"/>
              <w:textAlignment w:val="center"/>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hint="eastAsia" w:ascii="宋体" w:hAnsi="宋体" w:cs="宋体"/>
                <w:bCs/>
                <w:szCs w:val="21"/>
                <w:highlight w:val="none"/>
              </w:rPr>
            </w:pPr>
          </w:p>
        </w:tc>
        <w:tc>
          <w:tcPr>
            <w:tcW w:w="2201" w:type="dxa"/>
            <w:vMerge w:val="restart"/>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江苏江阴农村商业银行股份有限公司</w:t>
            </w: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住所</w:t>
            </w:r>
          </w:p>
        </w:tc>
        <w:tc>
          <w:tcPr>
            <w:tcW w:w="32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江阴市澄江中路1号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62" w:type="dxa"/>
            <w:vMerge w:val="continue"/>
          </w:tcPr>
          <w:p>
            <w:pPr>
              <w:spacing w:line="360" w:lineRule="auto"/>
              <w:jc w:val="left"/>
              <w:rPr>
                <w:rFonts w:hint="eastAsia" w:ascii="宋体" w:hAnsi="宋体" w:cs="宋体"/>
                <w:bCs/>
                <w:szCs w:val="21"/>
                <w:highlight w:val="none"/>
              </w:rPr>
            </w:pPr>
          </w:p>
        </w:tc>
        <w:tc>
          <w:tcPr>
            <w:tcW w:w="2201" w:type="dxa"/>
            <w:vMerge w:val="continue"/>
            <w:vAlign w:val="center"/>
          </w:tcPr>
          <w:p>
            <w:pPr>
              <w:spacing w:line="360" w:lineRule="auto"/>
              <w:jc w:val="center"/>
              <w:rPr>
                <w:rFonts w:hint="eastAsia" w:ascii="宋体" w:hAnsi="宋体" w:cs="宋体"/>
                <w:bCs/>
                <w:szCs w:val="21"/>
                <w:highlight w:val="none"/>
              </w:rPr>
            </w:pPr>
          </w:p>
        </w:tc>
        <w:tc>
          <w:tcPr>
            <w:tcW w:w="1343" w:type="dxa"/>
            <w:vAlign w:val="center"/>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客服热线</w:t>
            </w:r>
          </w:p>
        </w:tc>
        <w:tc>
          <w:tcPr>
            <w:tcW w:w="3296"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96078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hint="eastAsia"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sz w:val="24"/>
          <w:highlight w:val="none"/>
        </w:rPr>
        <w:t>为准。</w:t>
      </w:r>
    </w:p>
    <w:p>
      <w:pPr>
        <w:spacing w:line="360" w:lineRule="auto"/>
        <w:jc w:val="left"/>
        <w:rPr>
          <w:rFonts w:ascii="宋体" w:hAnsi="宋体" w:cs="宋体"/>
          <w:bCs/>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22"/>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6"/>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5"/>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22"/>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22"/>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22"/>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22"/>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7"/>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0.0</w:t>
      </w:r>
      <w:r>
        <w:rPr>
          <w:rFonts w:hint="eastAsia" w:ascii="宋体" w:hAnsi="宋体" w:cs="宋体"/>
          <w:color w:val="auto"/>
          <w:kern w:val="2"/>
          <w:sz w:val="24"/>
          <w:szCs w:val="21"/>
          <w:highlight w:val="none"/>
          <w:lang w:val="en-US" w:eastAsia="zh-CN"/>
        </w:rPr>
        <w:t>5</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val="0"/>
          <w:color w:val="auto"/>
          <w:sz w:val="24"/>
          <w:szCs w:val="21"/>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eastAsia="宋体" w:cs="宋体"/>
          <w:color w:val="auto"/>
          <w:kern w:val="2"/>
          <w:sz w:val="24"/>
          <w:szCs w:val="21"/>
          <w:highlight w:val="none"/>
          <w:lang w:val="en-US" w:eastAsia="zh-CN"/>
        </w:rPr>
        <w:t>0.0</w:t>
      </w:r>
      <w:r>
        <w:rPr>
          <w:rFonts w:hint="eastAsia" w:ascii="宋体" w:hAnsi="宋体" w:cs="宋体"/>
          <w:color w:val="auto"/>
          <w:kern w:val="2"/>
          <w:sz w:val="24"/>
          <w:szCs w:val="21"/>
          <w:highlight w:val="none"/>
          <w:lang w:val="en-US" w:eastAsia="zh-CN"/>
        </w:rPr>
        <w:t>5</w:t>
      </w:r>
      <w:r>
        <w:rPr>
          <w:rFonts w:hint="eastAsia" w:ascii="宋体" w:hAnsi="宋体" w:cs="宋体"/>
          <w:bCs w:val="0"/>
          <w:color w:val="auto"/>
          <w:sz w:val="24"/>
          <w:szCs w:val="21"/>
          <w:highlight w:val="none"/>
        </w:rPr>
        <w:t>%</w:t>
      </w:r>
      <w:r>
        <w:rPr>
          <w:rFonts w:hint="eastAsia" w:ascii="宋体" w:hAnsi="宋体" w:cs="宋体"/>
          <w:szCs w:val="21"/>
          <w:highlight w:val="none"/>
        </w:rPr>
        <w:t>〗</w:t>
      </w:r>
      <w:r>
        <w:rPr>
          <w:rFonts w:hint="eastAsia" w:ascii="宋体" w:hAnsi="宋体" w:cs="宋体"/>
          <w:bCs w:val="0"/>
          <w:color w:val="auto"/>
          <w:sz w:val="24"/>
          <w:szCs w:val="21"/>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30"/>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val="en-US" w:eastAsia="zh-CN"/>
        </w:rPr>
        <w:t>免除</w:t>
      </w:r>
      <w:r>
        <w:rPr>
          <w:rFonts w:hint="eastAsia" w:ascii="宋体" w:hAnsi="宋体" w:cs="宋体"/>
          <w:bCs/>
          <w:color w:val="000000"/>
          <w:sz w:val="24"/>
          <w:highlight w:val="none"/>
        </w:rPr>
        <w:t>浮动管理费。</w:t>
      </w:r>
    </w:p>
    <w:p>
      <w:pPr>
        <w:numPr>
          <w:ilvl w:val="0"/>
          <w:numId w:val="32"/>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5"/>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5"/>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5"/>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份额×</w:t>
      </w: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到期</w:t>
      </w:r>
      <w:r>
        <w:rPr>
          <w:rFonts w:hint="eastAsia" w:ascii="宋体" w:hAnsi="宋体" w:cs="宋体"/>
          <w:bCs/>
          <w:color w:val="000000"/>
          <w:sz w:val="24"/>
          <w:highlight w:val="none"/>
        </w:rPr>
        <w:t>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单位净值为提取相关费用及税费后的单位理财计划份额净值。</w:t>
      </w:r>
    </w:p>
    <w:p>
      <w:pPr>
        <w:numPr>
          <w:ilvl w:val="0"/>
          <w:numId w:val="36"/>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产生盈利</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w:t>
      </w:r>
      <w:r>
        <w:rPr>
          <w:rFonts w:hint="eastAsia" w:ascii="宋体" w:hAnsi="宋体" w:cs="宋体"/>
          <w:bCs/>
          <w:color w:val="000000"/>
          <w:sz w:val="24"/>
          <w:highlight w:val="none"/>
          <w:lang w:val="en-US" w:eastAsia="zh-CN"/>
        </w:rPr>
        <w:t>时</w:t>
      </w:r>
      <w:r>
        <w:rPr>
          <w:rFonts w:hint="eastAsia" w:ascii="宋体" w:hAnsi="宋体" w:cs="宋体"/>
          <w:bCs/>
          <w:color w:val="000000"/>
          <w:sz w:val="24"/>
          <w:highlight w:val="none"/>
        </w:rPr>
        <w:t>扣除托管费、固定管理费、销售服务费（如有）后，如理财计划单位净值为1.0426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/1.00-1)×365/364=4.27%，即投资收益达到〖4.27%〗，投资者最终收益为：100,000.00×(1.0426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-1.00）=4,260.00（元）。</w:t>
      </w:r>
    </w:p>
    <w:p>
      <w:pPr>
        <w:numPr>
          <w:ilvl w:val="0"/>
          <w:numId w:val="37"/>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w:t>
      </w:r>
      <w:r>
        <w:rPr>
          <w:rFonts w:hint="eastAsia" w:ascii="宋体" w:hAnsi="宋体" w:cs="宋体"/>
          <w:b/>
          <w:color w:val="000000"/>
          <w:sz w:val="24"/>
          <w:highlight w:val="none"/>
          <w:lang w:val="en-US" w:eastAsia="zh-CN"/>
        </w:rPr>
        <w:t>发生亏损</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〗为例，假设购买时理财计划净值为1.00元，折算份额为100,000.00份，假设投资理财计划364天。赎回时扣除托管费、固定管理费、销售服务费（如有）后，如理财计划单位净值为0.9975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-1.00）=-250.00（元）</w:t>
      </w:r>
      <w:r>
        <w:rPr>
          <w:rFonts w:hint="eastAsia" w:ascii="宋体" w:hAnsi="宋体" w:cs="宋体"/>
          <w:bCs/>
          <w:color w:val="000000"/>
          <w:sz w:val="24"/>
          <w:highlight w:val="none"/>
          <w:lang w:eastAsia="zh-CN"/>
        </w:rPr>
        <w:t>。</w:t>
      </w:r>
    </w:p>
    <w:p>
      <w:pPr>
        <w:numPr>
          <w:ilvl w:val="0"/>
          <w:numId w:val="36"/>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40"/>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40"/>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本理财计划在每个申购开放期的开放日工作时间可进行申购，申购申请将在申购确认日，即申购后的第〖1〗</w:t>
      </w:r>
      <w:r>
        <w:rPr>
          <w:rFonts w:hint="eastAsia" w:ascii="宋体" w:hAnsi="宋体" w:cs="宋体"/>
          <w:bCs/>
          <w:color w:val="auto"/>
          <w:sz w:val="24"/>
          <w:highlight w:val="none"/>
        </w:rPr>
        <w:t>个</w:t>
      </w:r>
      <w:r>
        <w:rPr>
          <w:rFonts w:hint="eastAsia" w:ascii="宋体" w:hAnsi="宋体" w:cs="宋体"/>
          <w:b w:val="0"/>
          <w:bCs w:val="0"/>
          <w:color w:val="auto"/>
          <w:sz w:val="24"/>
          <w:highlight w:val="none"/>
          <w:lang w:eastAsia="zh-CN"/>
        </w:rPr>
        <w:t>交易</w:t>
      </w:r>
      <w:r>
        <w:rPr>
          <w:rFonts w:hint="eastAsia" w:ascii="宋体" w:hAnsi="宋体" w:cs="宋体"/>
          <w:bCs/>
          <w:color w:val="auto"/>
          <w:sz w:val="24"/>
          <w:highlight w:val="none"/>
        </w:rPr>
        <w:t>日进</w:t>
      </w:r>
      <w:r>
        <w:rPr>
          <w:rFonts w:hint="eastAsia" w:ascii="宋体" w:hAnsi="宋体" w:cs="宋体"/>
          <w:bCs/>
          <w:sz w:val="24"/>
          <w:highlight w:val="none"/>
        </w:rPr>
        <w:t>行确认。</w:t>
      </w:r>
      <w:r>
        <w:rPr>
          <w:rFonts w:hint="eastAsia" w:ascii="宋体" w:hAnsi="宋体" w:cs="宋体"/>
          <w:bCs/>
          <w:sz w:val="24"/>
          <w:highlight w:val="none"/>
          <w:lang w:eastAsia="zh-CN"/>
        </w:rPr>
        <w:t>申购确认日如遇非交易日，则自动顺延至下一交易日，如遇特殊情况具体以管理人公告为准。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投资者</w:t>
      </w:r>
      <w:r>
        <w:rPr>
          <w:rFonts w:hint="eastAsia" w:ascii="宋体" w:hAnsi="宋体" w:cs="宋体"/>
          <w:bCs/>
          <w:sz w:val="24"/>
          <w:highlight w:val="none"/>
        </w:rPr>
        <w:t>须</w:t>
      </w:r>
      <w:r>
        <w:rPr>
          <w:rFonts w:hint="eastAsia" w:ascii="宋体" w:hAnsi="宋体" w:cs="宋体"/>
          <w:bCs/>
          <w:color w:val="000000"/>
          <w:sz w:val="24"/>
          <w:highlight w:val="none"/>
        </w:rPr>
        <w:t>在购买本理财计划时应对每笔份额的到期方式选择“自动赎回”或“自动续期”。如投资者选择“自动赎回”，则该笔投资份额在当前投资周期结束后自动赎回；如投资者选择“自动续期”，则该笔投资份额在当前投资周期结束后自动续期，直至投资者将到期方式修改为“自动赎回”或产品终止。具体赎回到期方式以销售机构要求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根据每笔份额的投资起始日、投资周期和投资者选择的到期方式自动计算投资周期结束日，即当该笔份额在投资者选择“自动赎回”后，于当期投资周期结束日的下一个交易日，即赎回确认日进行赎回份额确认。投资周期结束日如遇非交易日，则顺延至下一个交易日</w:t>
      </w:r>
      <w:r>
        <w:rPr>
          <w:rFonts w:hint="eastAsia" w:ascii="宋体" w:hAnsi="宋体" w:cs="宋体"/>
          <w:bCs/>
          <w:sz w:val="24"/>
          <w:highlight w:val="none"/>
          <w:lang w:eastAsia="zh-CN"/>
        </w:rPr>
        <w:t>。</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w:t>
      </w:r>
      <w:r>
        <w:rPr>
          <w:rFonts w:hint="eastAsia" w:ascii="宋体" w:hAnsi="宋体" w:cs="宋体"/>
          <w:bCs/>
          <w:sz w:val="24"/>
          <w:highlight w:val="none"/>
          <w:lang w:val="en-US" w:eastAsia="zh-CN"/>
        </w:rPr>
        <w:t>15</w:t>
      </w:r>
      <w:r>
        <w:rPr>
          <w:rFonts w:hint="eastAsia" w:ascii="宋体" w:hAnsi="宋体" w:cs="宋体"/>
          <w:bCs/>
          <w:sz w:val="24"/>
          <w:highlight w:val="none"/>
        </w:rPr>
        <w:t>:</w:t>
      </w:r>
      <w:r>
        <w:rPr>
          <w:rFonts w:hint="eastAsia" w:ascii="宋体" w:hAnsi="宋体" w:cs="宋体"/>
          <w:bCs/>
          <w:sz w:val="24"/>
          <w:highlight w:val="none"/>
          <w:lang w:val="en-US" w:eastAsia="zh-CN"/>
        </w:rPr>
        <w:t>45</w:t>
      </w:r>
      <w:r>
        <w:rPr>
          <w:rFonts w:hint="eastAsia" w:ascii="宋体" w:hAnsi="宋体" w:cs="宋体"/>
          <w:bCs/>
          <w:sz w:val="24"/>
          <w:highlight w:val="none"/>
        </w:rPr>
        <w:t>〗。</w:t>
      </w:r>
      <w:r>
        <w:rPr>
          <w:rFonts w:hint="eastAsia" w:ascii="宋体" w:hAnsi="宋体" w:cs="宋体"/>
          <w:color w:val="000000"/>
          <w:kern w:val="0"/>
          <w:sz w:val="24"/>
          <w:szCs w:val="24"/>
          <w:highlight w:val="none"/>
        </w:rPr>
        <w:t>（具体以销售机构规定为准）</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到期</w:t>
      </w:r>
      <w:r>
        <w:rPr>
          <w:rFonts w:hint="eastAsia" w:ascii="宋体" w:hAnsi="宋体" w:cs="宋体"/>
          <w:bCs/>
          <w:sz w:val="24"/>
          <w:highlight w:val="none"/>
        </w:rPr>
        <w:t>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3"/>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如连续2日（含）以上开放日发生巨额赎回，对于已经接受的赎回申请，管理人可以延缓支付赎回款项，但延缓期限不得超过20个工作日。</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6"/>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8"/>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1"/>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5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3"/>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3"/>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9"/>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1"/>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4"/>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rPr>
          <w:rFonts w:ascii="宋体" w:hAnsi="宋体" w:cs="宋体"/>
          <w:bCs/>
          <w:color w:val="000000"/>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8">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9">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0">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1">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2">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3">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4">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5">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6">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7">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8">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9">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0">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1">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2">
    <w:nsid w:val="D8D75090"/>
    <w:multiLevelType w:val="singleLevel"/>
    <w:tmpl w:val="D8D75090"/>
    <w:lvl w:ilvl="0" w:tentative="0">
      <w:start w:val="1"/>
      <w:numFmt w:val="decimal"/>
      <w:suff w:val="nothing"/>
      <w:lvlText w:val="（%1）"/>
      <w:lvlJc w:val="left"/>
      <w:rPr>
        <w:rFonts w:hint="default"/>
        <w:b w:val="0"/>
        <w:bCs w:val="0"/>
      </w:rPr>
    </w:lvl>
  </w:abstractNum>
  <w:abstractNum w:abstractNumId="23">
    <w:nsid w:val="DD2251DF"/>
    <w:multiLevelType w:val="singleLevel"/>
    <w:tmpl w:val="DD2251DF"/>
    <w:lvl w:ilvl="0" w:tentative="0">
      <w:start w:val="1"/>
      <w:numFmt w:val="decimal"/>
      <w:suff w:val="nothing"/>
      <w:lvlText w:val="（%1）"/>
      <w:lvlJc w:val="left"/>
      <w:rPr>
        <w:rFonts w:hint="default"/>
        <w:b w:val="0"/>
        <w:bCs w:val="0"/>
      </w:rPr>
    </w:lvl>
  </w:abstractNum>
  <w:abstractNum w:abstractNumId="24">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5">
    <w:nsid w:val="E70DF796"/>
    <w:multiLevelType w:val="singleLevel"/>
    <w:tmpl w:val="E70DF796"/>
    <w:lvl w:ilvl="0" w:tentative="0">
      <w:start w:val="1"/>
      <w:numFmt w:val="decimal"/>
      <w:suff w:val="nothing"/>
      <w:lvlText w:val="（%1）"/>
      <w:lvlJc w:val="left"/>
    </w:lvl>
  </w:abstractNum>
  <w:abstractNum w:abstractNumId="26">
    <w:nsid w:val="EFF37F09"/>
    <w:multiLevelType w:val="singleLevel"/>
    <w:tmpl w:val="EFF37F09"/>
    <w:lvl w:ilvl="0" w:tentative="0">
      <w:start w:val="1"/>
      <w:numFmt w:val="decimal"/>
      <w:suff w:val="nothing"/>
      <w:lvlText w:val="（%1）"/>
      <w:lvlJc w:val="left"/>
      <w:rPr>
        <w:rFonts w:hint="default"/>
        <w:b w:val="0"/>
        <w:bCs w:val="0"/>
      </w:rPr>
    </w:lvl>
  </w:abstractNum>
  <w:abstractNum w:abstractNumId="27">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8">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9">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0">
    <w:nsid w:val="F574F5B6"/>
    <w:multiLevelType w:val="singleLevel"/>
    <w:tmpl w:val="F574F5B6"/>
    <w:lvl w:ilvl="0" w:tentative="0">
      <w:start w:val="1"/>
      <w:numFmt w:val="decimal"/>
      <w:suff w:val="nothing"/>
      <w:lvlText w:val="（%1）"/>
      <w:lvlJc w:val="left"/>
    </w:lvl>
  </w:abstractNum>
  <w:abstractNum w:abstractNumId="31">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2">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3">
    <w:nsid w:val="084A6179"/>
    <w:multiLevelType w:val="singleLevel"/>
    <w:tmpl w:val="084A6179"/>
    <w:lvl w:ilvl="0" w:tentative="0">
      <w:start w:val="1"/>
      <w:numFmt w:val="decimal"/>
      <w:suff w:val="nothing"/>
      <w:lvlText w:val="（%1）"/>
      <w:lvlJc w:val="left"/>
      <w:rPr>
        <w:rFonts w:hint="default"/>
        <w:highlight w:val="none"/>
      </w:rPr>
    </w:lvl>
  </w:abstractNum>
  <w:abstractNum w:abstractNumId="34">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5">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6">
    <w:nsid w:val="167B0BB4"/>
    <w:multiLevelType w:val="singleLevel"/>
    <w:tmpl w:val="167B0BB4"/>
    <w:lvl w:ilvl="0" w:tentative="0">
      <w:start w:val="1"/>
      <w:numFmt w:val="decimal"/>
      <w:suff w:val="nothing"/>
      <w:lvlText w:val="（%1）"/>
      <w:lvlJc w:val="left"/>
    </w:lvl>
  </w:abstractNum>
  <w:abstractNum w:abstractNumId="37">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8">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9">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0">
    <w:nsid w:val="2CB63BE6"/>
    <w:multiLevelType w:val="singleLevel"/>
    <w:tmpl w:val="2CB63BE6"/>
    <w:lvl w:ilvl="0" w:tentative="0">
      <w:start w:val="1"/>
      <w:numFmt w:val="decimal"/>
      <w:suff w:val="nothing"/>
      <w:lvlText w:val="（%1）"/>
      <w:lvlJc w:val="left"/>
      <w:rPr>
        <w:rFonts w:hint="default"/>
        <w:b w:val="0"/>
        <w:bCs w:val="0"/>
      </w:rPr>
    </w:lvl>
  </w:abstractNum>
  <w:abstractNum w:abstractNumId="41">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2">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3">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1">
    <w:nsid w:val="5BA91325"/>
    <w:multiLevelType w:val="singleLevel"/>
    <w:tmpl w:val="5BA91325"/>
    <w:lvl w:ilvl="0" w:tentative="0">
      <w:start w:val="1"/>
      <w:numFmt w:val="decimal"/>
      <w:suff w:val="nothing"/>
      <w:lvlText w:val="（%1）"/>
      <w:lvlJc w:val="left"/>
    </w:lvl>
  </w:abstractNum>
  <w:abstractNum w:abstractNumId="52">
    <w:nsid w:val="61F30F62"/>
    <w:multiLevelType w:val="singleLevel"/>
    <w:tmpl w:val="61F30F62"/>
    <w:lvl w:ilvl="0" w:tentative="0">
      <w:start w:val="1"/>
      <w:numFmt w:val="decimal"/>
      <w:suff w:val="nothing"/>
      <w:lvlText w:val="（%1）"/>
      <w:lvlJc w:val="left"/>
      <w:rPr>
        <w:rFonts w:hint="default"/>
        <w:b w:val="0"/>
        <w:bCs w:val="0"/>
      </w:rPr>
    </w:lvl>
  </w:abstractNum>
  <w:abstractNum w:abstractNumId="53">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9"/>
  </w:num>
  <w:num w:numId="2">
    <w:abstractNumId w:val="45"/>
  </w:num>
  <w:num w:numId="3">
    <w:abstractNumId w:val="31"/>
  </w:num>
  <w:num w:numId="4">
    <w:abstractNumId w:val="28"/>
  </w:num>
  <w:num w:numId="5">
    <w:abstractNumId w:val="34"/>
  </w:num>
  <w:num w:numId="6">
    <w:abstractNumId w:val="27"/>
  </w:num>
  <w:num w:numId="7">
    <w:abstractNumId w:val="19"/>
  </w:num>
  <w:num w:numId="8">
    <w:abstractNumId w:val="12"/>
  </w:num>
  <w:num w:numId="9">
    <w:abstractNumId w:val="16"/>
  </w:num>
  <w:num w:numId="10">
    <w:abstractNumId w:val="9"/>
  </w:num>
  <w:num w:numId="11">
    <w:abstractNumId w:val="10"/>
  </w:num>
  <w:num w:numId="12">
    <w:abstractNumId w:val="8"/>
  </w:num>
  <w:num w:numId="13">
    <w:abstractNumId w:val="6"/>
  </w:num>
  <w:num w:numId="14">
    <w:abstractNumId w:val="1"/>
  </w:num>
  <w:num w:numId="15">
    <w:abstractNumId w:val="44"/>
  </w:num>
  <w:num w:numId="16">
    <w:abstractNumId w:val="30"/>
  </w:num>
  <w:num w:numId="17">
    <w:abstractNumId w:val="46"/>
  </w:num>
  <w:num w:numId="18">
    <w:abstractNumId w:val="51"/>
  </w:num>
  <w:num w:numId="19">
    <w:abstractNumId w:val="39"/>
  </w:num>
  <w:num w:numId="20">
    <w:abstractNumId w:val="18"/>
  </w:num>
  <w:num w:numId="21">
    <w:abstractNumId w:val="38"/>
  </w:num>
  <w:num w:numId="22">
    <w:abstractNumId w:val="21"/>
  </w:num>
  <w:num w:numId="23">
    <w:abstractNumId w:val="7"/>
  </w:num>
  <w:num w:numId="24">
    <w:abstractNumId w:val="48"/>
  </w:num>
  <w:num w:numId="25">
    <w:abstractNumId w:val="5"/>
  </w:num>
  <w:num w:numId="26">
    <w:abstractNumId w:val="33"/>
  </w:num>
  <w:num w:numId="27">
    <w:abstractNumId w:val="37"/>
  </w:num>
  <w:num w:numId="28">
    <w:abstractNumId w:val="53"/>
  </w:num>
  <w:num w:numId="29">
    <w:abstractNumId w:val="32"/>
  </w:num>
  <w:num w:numId="30">
    <w:abstractNumId w:val="20"/>
  </w:num>
  <w:num w:numId="31">
    <w:abstractNumId w:val="41"/>
  </w:num>
  <w:num w:numId="32">
    <w:abstractNumId w:val="0"/>
  </w:num>
  <w:num w:numId="33">
    <w:abstractNumId w:val="23"/>
  </w:num>
  <w:num w:numId="34">
    <w:abstractNumId w:val="43"/>
  </w:num>
  <w:num w:numId="35">
    <w:abstractNumId w:val="3"/>
  </w:num>
  <w:num w:numId="36">
    <w:abstractNumId w:val="24"/>
  </w:num>
  <w:num w:numId="37">
    <w:abstractNumId w:val="15"/>
  </w:num>
  <w:num w:numId="38">
    <w:abstractNumId w:val="47"/>
  </w:num>
  <w:num w:numId="39">
    <w:abstractNumId w:val="35"/>
  </w:num>
  <w:num w:numId="40">
    <w:abstractNumId w:val="17"/>
  </w:num>
  <w:num w:numId="41">
    <w:abstractNumId w:val="29"/>
  </w:num>
  <w:num w:numId="42">
    <w:abstractNumId w:val="25"/>
  </w:num>
  <w:num w:numId="43">
    <w:abstractNumId w:val="26"/>
  </w:num>
  <w:num w:numId="44">
    <w:abstractNumId w:val="52"/>
  </w:num>
  <w:num w:numId="45">
    <w:abstractNumId w:val="40"/>
  </w:num>
  <w:num w:numId="46">
    <w:abstractNumId w:val="2"/>
  </w:num>
  <w:num w:numId="47">
    <w:abstractNumId w:val="50"/>
  </w:num>
  <w:num w:numId="48">
    <w:abstractNumId w:val="13"/>
  </w:num>
  <w:num w:numId="49">
    <w:abstractNumId w:val="11"/>
  </w:num>
  <w:num w:numId="50">
    <w:abstractNumId w:val="14"/>
  </w:num>
  <w:num w:numId="51">
    <w:abstractNumId w:val="36"/>
  </w:num>
  <w:num w:numId="52">
    <w:abstractNumId w:val="22"/>
  </w:num>
  <w:num w:numId="53">
    <w:abstractNumId w:val="4"/>
  </w:num>
  <w:num w:numId="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514B92"/>
    <w:rsid w:val="01364432"/>
    <w:rsid w:val="01523B8E"/>
    <w:rsid w:val="01E60817"/>
    <w:rsid w:val="04D816C3"/>
    <w:rsid w:val="05B13AAC"/>
    <w:rsid w:val="05E05E4D"/>
    <w:rsid w:val="06420CFA"/>
    <w:rsid w:val="06503B59"/>
    <w:rsid w:val="06712A61"/>
    <w:rsid w:val="06A94C18"/>
    <w:rsid w:val="0724380B"/>
    <w:rsid w:val="0752555A"/>
    <w:rsid w:val="07E45984"/>
    <w:rsid w:val="080207C9"/>
    <w:rsid w:val="0828699A"/>
    <w:rsid w:val="08A15B63"/>
    <w:rsid w:val="097E3F67"/>
    <w:rsid w:val="0A062582"/>
    <w:rsid w:val="0A1347F5"/>
    <w:rsid w:val="0A2A32B9"/>
    <w:rsid w:val="0B1123F1"/>
    <w:rsid w:val="0B8E27E3"/>
    <w:rsid w:val="0BC72E38"/>
    <w:rsid w:val="0BF71AE2"/>
    <w:rsid w:val="0C886927"/>
    <w:rsid w:val="0CA6603D"/>
    <w:rsid w:val="0CEA2CB6"/>
    <w:rsid w:val="0CEC6B3F"/>
    <w:rsid w:val="0D0B1B00"/>
    <w:rsid w:val="0E4A4B6F"/>
    <w:rsid w:val="0E5D50A2"/>
    <w:rsid w:val="0EAE473F"/>
    <w:rsid w:val="0EBA5825"/>
    <w:rsid w:val="0EF65480"/>
    <w:rsid w:val="0F8F5F2E"/>
    <w:rsid w:val="0FD05972"/>
    <w:rsid w:val="102913D8"/>
    <w:rsid w:val="10E7087B"/>
    <w:rsid w:val="10FA5463"/>
    <w:rsid w:val="11BA058F"/>
    <w:rsid w:val="12081858"/>
    <w:rsid w:val="12B62B3B"/>
    <w:rsid w:val="13031153"/>
    <w:rsid w:val="13181417"/>
    <w:rsid w:val="136237F7"/>
    <w:rsid w:val="149038EF"/>
    <w:rsid w:val="14C57FED"/>
    <w:rsid w:val="150C5665"/>
    <w:rsid w:val="154341D9"/>
    <w:rsid w:val="15C56302"/>
    <w:rsid w:val="160940BB"/>
    <w:rsid w:val="1659752C"/>
    <w:rsid w:val="16924CD6"/>
    <w:rsid w:val="16E43A7F"/>
    <w:rsid w:val="17544FCC"/>
    <w:rsid w:val="185A3DA1"/>
    <w:rsid w:val="196B10AE"/>
    <w:rsid w:val="19816210"/>
    <w:rsid w:val="198C4B50"/>
    <w:rsid w:val="19F13F4F"/>
    <w:rsid w:val="1A102675"/>
    <w:rsid w:val="1B280245"/>
    <w:rsid w:val="1BBE4697"/>
    <w:rsid w:val="1C9910FA"/>
    <w:rsid w:val="1CE25AAD"/>
    <w:rsid w:val="1D3C4AE8"/>
    <w:rsid w:val="1D552DD9"/>
    <w:rsid w:val="1DAB6D83"/>
    <w:rsid w:val="1E3173A3"/>
    <w:rsid w:val="1EE3542A"/>
    <w:rsid w:val="1F0F5A19"/>
    <w:rsid w:val="1F1D6E1F"/>
    <w:rsid w:val="1F3E7F7D"/>
    <w:rsid w:val="1F51312D"/>
    <w:rsid w:val="1FC9553A"/>
    <w:rsid w:val="204D3B12"/>
    <w:rsid w:val="205A2AB3"/>
    <w:rsid w:val="20B6224D"/>
    <w:rsid w:val="21025026"/>
    <w:rsid w:val="2264177A"/>
    <w:rsid w:val="22A04AF7"/>
    <w:rsid w:val="22D3594B"/>
    <w:rsid w:val="22F12819"/>
    <w:rsid w:val="23663115"/>
    <w:rsid w:val="23753F06"/>
    <w:rsid w:val="238E1AAE"/>
    <w:rsid w:val="24345B9A"/>
    <w:rsid w:val="24631635"/>
    <w:rsid w:val="2483647E"/>
    <w:rsid w:val="24DA0513"/>
    <w:rsid w:val="256D2925"/>
    <w:rsid w:val="256F076F"/>
    <w:rsid w:val="264616F6"/>
    <w:rsid w:val="2658423F"/>
    <w:rsid w:val="26693082"/>
    <w:rsid w:val="26820AF7"/>
    <w:rsid w:val="26966D40"/>
    <w:rsid w:val="272F4BA3"/>
    <w:rsid w:val="2896418A"/>
    <w:rsid w:val="292668E3"/>
    <w:rsid w:val="2A1B5D68"/>
    <w:rsid w:val="2A5975B6"/>
    <w:rsid w:val="2A991D32"/>
    <w:rsid w:val="2AB92324"/>
    <w:rsid w:val="2AD6555A"/>
    <w:rsid w:val="2B376BE0"/>
    <w:rsid w:val="2B9C273E"/>
    <w:rsid w:val="2C1B1E9D"/>
    <w:rsid w:val="2CAB68C5"/>
    <w:rsid w:val="2E924590"/>
    <w:rsid w:val="2EBC6D03"/>
    <w:rsid w:val="2ED538EA"/>
    <w:rsid w:val="2F1F666C"/>
    <w:rsid w:val="2F224A2D"/>
    <w:rsid w:val="2F8829CF"/>
    <w:rsid w:val="2F9A1972"/>
    <w:rsid w:val="2FC275F2"/>
    <w:rsid w:val="2FD32A37"/>
    <w:rsid w:val="304A0827"/>
    <w:rsid w:val="30551FFC"/>
    <w:rsid w:val="311F702A"/>
    <w:rsid w:val="31A82883"/>
    <w:rsid w:val="320E3E15"/>
    <w:rsid w:val="32273A3F"/>
    <w:rsid w:val="32C937E9"/>
    <w:rsid w:val="32CC28B5"/>
    <w:rsid w:val="331243AC"/>
    <w:rsid w:val="333F6AA7"/>
    <w:rsid w:val="33BB6643"/>
    <w:rsid w:val="34246720"/>
    <w:rsid w:val="3480359E"/>
    <w:rsid w:val="34BE4ED5"/>
    <w:rsid w:val="35476F5E"/>
    <w:rsid w:val="3602513D"/>
    <w:rsid w:val="36631FD8"/>
    <w:rsid w:val="36883113"/>
    <w:rsid w:val="36E72D9B"/>
    <w:rsid w:val="379F2ED6"/>
    <w:rsid w:val="37CA172C"/>
    <w:rsid w:val="38071350"/>
    <w:rsid w:val="38224FD0"/>
    <w:rsid w:val="38696564"/>
    <w:rsid w:val="399E5100"/>
    <w:rsid w:val="3A3E2041"/>
    <w:rsid w:val="3A8A399F"/>
    <w:rsid w:val="3ACA3857"/>
    <w:rsid w:val="3AD009CB"/>
    <w:rsid w:val="3AE648F4"/>
    <w:rsid w:val="3B131EF6"/>
    <w:rsid w:val="3B490D86"/>
    <w:rsid w:val="3B7B1BAC"/>
    <w:rsid w:val="3C2F2290"/>
    <w:rsid w:val="3DE60865"/>
    <w:rsid w:val="3EA67C14"/>
    <w:rsid w:val="3EAD1B36"/>
    <w:rsid w:val="3EE91061"/>
    <w:rsid w:val="3F056B9E"/>
    <w:rsid w:val="3F2B4582"/>
    <w:rsid w:val="3F354A62"/>
    <w:rsid w:val="3FCF2C51"/>
    <w:rsid w:val="3FF54C55"/>
    <w:rsid w:val="401B435D"/>
    <w:rsid w:val="406370BC"/>
    <w:rsid w:val="40F7275C"/>
    <w:rsid w:val="40FB7670"/>
    <w:rsid w:val="418E2306"/>
    <w:rsid w:val="41B60000"/>
    <w:rsid w:val="42214ECB"/>
    <w:rsid w:val="423C06E2"/>
    <w:rsid w:val="42815397"/>
    <w:rsid w:val="428C1C6D"/>
    <w:rsid w:val="42C94634"/>
    <w:rsid w:val="44D54A97"/>
    <w:rsid w:val="44EA0528"/>
    <w:rsid w:val="45540446"/>
    <w:rsid w:val="45BB5620"/>
    <w:rsid w:val="45F127ED"/>
    <w:rsid w:val="46263D02"/>
    <w:rsid w:val="46CD66A0"/>
    <w:rsid w:val="470F6166"/>
    <w:rsid w:val="472803B7"/>
    <w:rsid w:val="47C037DE"/>
    <w:rsid w:val="47DF10C4"/>
    <w:rsid w:val="47E01722"/>
    <w:rsid w:val="47F707A5"/>
    <w:rsid w:val="488B59A4"/>
    <w:rsid w:val="494502E1"/>
    <w:rsid w:val="4A3D69E6"/>
    <w:rsid w:val="4A633F68"/>
    <w:rsid w:val="4A7F0ADF"/>
    <w:rsid w:val="4AA612F0"/>
    <w:rsid w:val="4B0D3113"/>
    <w:rsid w:val="4C6B0DDA"/>
    <w:rsid w:val="4C6E1306"/>
    <w:rsid w:val="4D1772E6"/>
    <w:rsid w:val="4D3420A6"/>
    <w:rsid w:val="4E186164"/>
    <w:rsid w:val="4E2F1033"/>
    <w:rsid w:val="4E8274B0"/>
    <w:rsid w:val="4EF374B0"/>
    <w:rsid w:val="4EFC1B31"/>
    <w:rsid w:val="4F2836A5"/>
    <w:rsid w:val="4FB3106D"/>
    <w:rsid w:val="4FE41420"/>
    <w:rsid w:val="4FF363B3"/>
    <w:rsid w:val="501216FC"/>
    <w:rsid w:val="50820134"/>
    <w:rsid w:val="50A826D3"/>
    <w:rsid w:val="50B73634"/>
    <w:rsid w:val="51504FE6"/>
    <w:rsid w:val="52B54768"/>
    <w:rsid w:val="52D30D7E"/>
    <w:rsid w:val="53124D64"/>
    <w:rsid w:val="54E91D9C"/>
    <w:rsid w:val="5552562C"/>
    <w:rsid w:val="55A47BB4"/>
    <w:rsid w:val="56655E0A"/>
    <w:rsid w:val="57BB6218"/>
    <w:rsid w:val="57FF3AAA"/>
    <w:rsid w:val="58DD2EEE"/>
    <w:rsid w:val="58E96C7A"/>
    <w:rsid w:val="58EA6DE6"/>
    <w:rsid w:val="594363F4"/>
    <w:rsid w:val="59AD3C67"/>
    <w:rsid w:val="5B0D630F"/>
    <w:rsid w:val="5B241904"/>
    <w:rsid w:val="5C3C3DDC"/>
    <w:rsid w:val="5C57586C"/>
    <w:rsid w:val="5D160516"/>
    <w:rsid w:val="5D522EBB"/>
    <w:rsid w:val="5D7D0F36"/>
    <w:rsid w:val="5DB61BFF"/>
    <w:rsid w:val="5DEF454B"/>
    <w:rsid w:val="5E5A6C63"/>
    <w:rsid w:val="5F3C6712"/>
    <w:rsid w:val="5F4B58F3"/>
    <w:rsid w:val="6053481F"/>
    <w:rsid w:val="606E0DED"/>
    <w:rsid w:val="60AB2000"/>
    <w:rsid w:val="610129B1"/>
    <w:rsid w:val="61467856"/>
    <w:rsid w:val="615D09B8"/>
    <w:rsid w:val="61D85325"/>
    <w:rsid w:val="62860AAA"/>
    <w:rsid w:val="628B7CEE"/>
    <w:rsid w:val="629D5796"/>
    <w:rsid w:val="631E2633"/>
    <w:rsid w:val="63B827D9"/>
    <w:rsid w:val="657A160B"/>
    <w:rsid w:val="65BD14AB"/>
    <w:rsid w:val="65F45672"/>
    <w:rsid w:val="671E2162"/>
    <w:rsid w:val="68B52B6C"/>
    <w:rsid w:val="68D8721E"/>
    <w:rsid w:val="69426738"/>
    <w:rsid w:val="6B610D05"/>
    <w:rsid w:val="6BAC21D5"/>
    <w:rsid w:val="6CED1CB3"/>
    <w:rsid w:val="6D3B42C3"/>
    <w:rsid w:val="6DB537BF"/>
    <w:rsid w:val="6E363298"/>
    <w:rsid w:val="6E7E575F"/>
    <w:rsid w:val="6EA168B3"/>
    <w:rsid w:val="6EBD2EF3"/>
    <w:rsid w:val="6EED6848"/>
    <w:rsid w:val="6EF15941"/>
    <w:rsid w:val="6EF35012"/>
    <w:rsid w:val="6F767F85"/>
    <w:rsid w:val="6F9921A1"/>
    <w:rsid w:val="6FB83EF3"/>
    <w:rsid w:val="71BD3536"/>
    <w:rsid w:val="72F93A1D"/>
    <w:rsid w:val="73396984"/>
    <w:rsid w:val="73407EBD"/>
    <w:rsid w:val="73BA5D51"/>
    <w:rsid w:val="73EF4563"/>
    <w:rsid w:val="74154C2C"/>
    <w:rsid w:val="74175679"/>
    <w:rsid w:val="744124AA"/>
    <w:rsid w:val="74664F47"/>
    <w:rsid w:val="74DB42C2"/>
    <w:rsid w:val="77E0572E"/>
    <w:rsid w:val="77ED4104"/>
    <w:rsid w:val="788C079B"/>
    <w:rsid w:val="78EF4372"/>
    <w:rsid w:val="79771B00"/>
    <w:rsid w:val="7980282D"/>
    <w:rsid w:val="798F6426"/>
    <w:rsid w:val="79E60E88"/>
    <w:rsid w:val="7ACA272A"/>
    <w:rsid w:val="7B0E7C70"/>
    <w:rsid w:val="7B76487B"/>
    <w:rsid w:val="7CF24824"/>
    <w:rsid w:val="7D376ADD"/>
    <w:rsid w:val="7E6F339A"/>
    <w:rsid w:val="7E810662"/>
    <w:rsid w:val="7EE27429"/>
    <w:rsid w:val="7F590AE3"/>
    <w:rsid w:val="7F915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8"/>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1"/>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0"/>
    <w:uiPriority w:val="0"/>
    <w:pPr>
      <w:jc w:val="left"/>
    </w:pPr>
  </w:style>
  <w:style w:type="paragraph" w:styleId="6">
    <w:name w:val="Balloon Text"/>
    <w:basedOn w:val="1"/>
    <w:link w:val="17"/>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16"/>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主题 Char"/>
    <w:link w:val="10"/>
    <w:qFormat/>
    <w:uiPriority w:val="0"/>
    <w:rPr>
      <w:rFonts w:ascii="Calibri" w:hAnsi="Calibri" w:cs="黑体"/>
      <w:b/>
      <w:bCs/>
      <w:kern w:val="2"/>
      <w:sz w:val="21"/>
      <w:szCs w:val="24"/>
    </w:rPr>
  </w:style>
  <w:style w:type="character" w:customStyle="1" w:styleId="17">
    <w:name w:val="批注框文本 Char"/>
    <w:link w:val="6"/>
    <w:qFormat/>
    <w:uiPriority w:val="0"/>
    <w:rPr>
      <w:rFonts w:ascii="Calibri" w:hAnsi="Calibri" w:cs="黑体"/>
      <w:kern w:val="2"/>
      <w:sz w:val="18"/>
      <w:szCs w:val="18"/>
    </w:rPr>
  </w:style>
  <w:style w:type="character" w:customStyle="1" w:styleId="18">
    <w:name w:val="标题 1 Char"/>
    <w:link w:val="2"/>
    <w:uiPriority w:val="0"/>
    <w:rPr>
      <w:rFonts w:eastAsia="宋体"/>
      <w:b/>
      <w:kern w:val="44"/>
      <w:sz w:val="44"/>
    </w:rPr>
  </w:style>
  <w:style w:type="character" w:customStyle="1" w:styleId="19">
    <w:name w:val="标题 2 Char"/>
    <w:link w:val="3"/>
    <w:uiPriority w:val="0"/>
    <w:rPr>
      <w:rFonts w:ascii="Arial" w:hAnsi="Arial" w:eastAsia="宋体"/>
      <w:b/>
      <w:sz w:val="24"/>
    </w:rPr>
  </w:style>
  <w:style w:type="character" w:customStyle="1" w:styleId="20">
    <w:name w:val="批注文字 Char"/>
    <w:link w:val="5"/>
    <w:uiPriority w:val="0"/>
    <w:rPr>
      <w:rFonts w:ascii="Calibri" w:hAnsi="Calibri" w:cs="黑体"/>
      <w:kern w:val="2"/>
      <w:sz w:val="21"/>
      <w:szCs w:val="24"/>
    </w:rPr>
  </w:style>
  <w:style w:type="character" w:customStyle="1" w:styleId="21">
    <w:name w:val="标题 3 Char"/>
    <w:link w:val="4"/>
    <w:uiPriority w:val="0"/>
    <w:rPr>
      <w:rFonts w:hAnsi="Calibri" w:eastAsia="宋体"/>
      <w:b/>
      <w:sz w:val="24"/>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2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34975</Words>
  <Characters>36654</Characters>
  <Lines>210</Lines>
  <Paragraphs>59</Paragraphs>
  <TotalTime>157272002</TotalTime>
  <ScaleCrop>false</ScaleCrop>
  <LinksUpToDate>false</LinksUpToDate>
  <CharactersWithSpaces>36884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2025-03-24T05:33:16Z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