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天添益（安享优选）6期</w:t>
      </w:r>
      <w:r>
        <w:rPr>
          <w:rFonts w:hint="eastAsia" w:ascii="宋体" w:hAnsi="宋体" w:cs="宋体"/>
          <w:b/>
          <w:bCs/>
          <w:sz w:val="44"/>
          <w:szCs w:val="44"/>
          <w:highlight w:val="none"/>
        </w:rPr>
        <w:t>理财产品说明书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〖Z7002223000297〗</w:t>
      </w:r>
    </w:p>
    <w:p>
      <w:pPr>
        <w:spacing w:line="360" w:lineRule="auto"/>
        <w:jc w:val="center"/>
        <w:rPr>
          <w:rFonts w:ascii="宋体" w:hAnsi="宋体" w:cs="宋体"/>
          <w:bCs/>
          <w:sz w:val="24"/>
          <w:highlight w:val="none"/>
        </w:rPr>
      </w:pP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风险揭示书》《投资者权益须知》《理财计划投资协议书》《理财计划销售协议书》，将共同构成投资者与管理人之间的理财计划交易合同。</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3"/>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指杭银理财有限责任公司，主要从事面向不特定社会公众公开发行理财产品、面向合格投资者非公开发行理财产品、理财顾问和咨询服务等相关业务。杭银理财有限责任公司简称杭银理财，官网网站为</w:t>
      </w:r>
      <w:r>
        <w:rPr>
          <w:rFonts w:hint="eastAsia" w:ascii="宋体" w:hAnsi="宋体" w:cs="宋体"/>
          <w:bCs/>
          <w:color w:val="auto"/>
          <w:kern w:val="2"/>
          <w:highlight w:val="none"/>
          <w:u w:val="single"/>
        </w:rPr>
        <w:t>www.hzbankwealth.com.cn</w:t>
      </w:r>
      <w:r>
        <w:rPr>
          <w:rFonts w:hint="eastAsia" w:ascii="宋体" w:hAnsi="宋体" w:cs="宋体"/>
          <w:bCs/>
          <w:color w:val="auto"/>
          <w:kern w:val="2"/>
          <w:highlight w:val="none"/>
          <w:u w:val="single"/>
          <w:lang w:eastAsia="zh-CN"/>
        </w:rPr>
        <w:t>，</w:t>
      </w:r>
      <w:r>
        <w:rPr>
          <w:rFonts w:hint="eastAsia" w:ascii="宋体" w:hAnsi="宋体" w:cs="宋体"/>
          <w:bCs/>
          <w:color w:val="auto"/>
          <w:kern w:val="2"/>
          <w:highlight w:val="none"/>
          <w:u w:val="single"/>
          <w:lang w:val="en-US" w:eastAsia="zh-CN"/>
        </w:rPr>
        <w:t>客服电话：400-8950-999</w:t>
      </w:r>
      <w:r>
        <w:rPr>
          <w:rFonts w:hint="eastAsia" w:ascii="宋体" w:hAnsi="宋体" w:cs="宋体"/>
          <w:bCs/>
          <w:color w:val="auto"/>
          <w:kern w:val="2"/>
          <w:highlight w:val="none"/>
        </w:rPr>
        <w:t>。</w:t>
      </w:r>
    </w:p>
    <w:p>
      <w:pPr>
        <w:pStyle w:val="18"/>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8"/>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8"/>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color w:val="auto"/>
          <w:kern w:val="2"/>
          <w:highlight w:val="none"/>
          <w:lang w:eastAsia="zh-CN"/>
        </w:rPr>
        <w:t>天添益（安享优选）6期</w:t>
      </w:r>
      <w:r>
        <w:rPr>
          <w:rFonts w:hint="eastAsia" w:ascii="宋体" w:hAnsi="宋体" w:cs="宋体"/>
          <w:bCs/>
          <w:color w:val="auto"/>
          <w:kern w:val="2"/>
          <w:highlight w:val="none"/>
        </w:rPr>
        <w:t>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color w:val="auto"/>
          <w:kern w:val="2"/>
          <w:highlight w:val="none"/>
          <w:lang w:eastAsia="zh-CN"/>
        </w:rPr>
        <w:t>天添益（安享优选）6期理财合同</w:t>
      </w:r>
      <w:r>
        <w:rPr>
          <w:rFonts w:hint="eastAsia" w:ascii="宋体" w:hAnsi="宋体" w:cs="宋体"/>
          <w:bCs/>
          <w:highlight w:val="none"/>
        </w:rPr>
        <w:t>不可分割组成部分的风险揭示书，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天添益（安享优选）6期</w:t>
      </w:r>
      <w:r>
        <w:rPr>
          <w:rFonts w:hint="eastAsia" w:ascii="宋体" w:hAnsi="宋体" w:cs="宋体"/>
          <w:bCs/>
          <w:highlight w:val="none"/>
          <w:lang w:eastAsia="zh-CN"/>
        </w:rPr>
        <w:t>理财合同</w:t>
      </w:r>
      <w:r>
        <w:rPr>
          <w:rFonts w:hint="eastAsia" w:ascii="宋体" w:hAnsi="宋体" w:cs="宋体"/>
          <w:bCs/>
          <w:highlight w:val="none"/>
        </w:rPr>
        <w:t>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color w:val="auto"/>
          <w:kern w:val="2"/>
          <w:highlight w:val="none"/>
          <w:lang w:eastAsia="zh-CN"/>
        </w:rPr>
        <w:t>天添益（安享优选）6期理财合同</w:t>
      </w:r>
      <w:r>
        <w:rPr>
          <w:rFonts w:hint="eastAsia" w:ascii="宋体" w:hAnsi="宋体" w:cs="宋体"/>
          <w:bCs/>
          <w:highlight w:val="none"/>
        </w:rPr>
        <w:t>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天添益（安享优选）6期理财合同</w:t>
      </w:r>
      <w:r>
        <w:rPr>
          <w:rFonts w:hint="eastAsia" w:ascii="宋体" w:hAnsi="宋体" w:cs="宋体"/>
          <w:bCs/>
          <w:color w:val="auto"/>
          <w:kern w:val="2"/>
          <w:highlight w:val="none"/>
        </w:rPr>
        <w:t>不可分割组成部分的理财计划销售协议书，以及对该文件的有效修改与补充。</w:t>
      </w:r>
    </w:p>
    <w:p>
      <w:pPr>
        <w:pStyle w:val="18"/>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指《理财计划产品说明书》《风险揭示书》《投资者权益须知》《理财计划投资协议书》《理财计划销售协议书》五个部分。</w:t>
      </w:r>
    </w:p>
    <w:p>
      <w:pPr>
        <w:pStyle w:val="18"/>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color w:val="auto"/>
          <w:kern w:val="2"/>
          <w:highlight w:val="none"/>
          <w:lang w:eastAsia="zh-CN"/>
        </w:rPr>
        <w:t>天添益（安享优选）6期</w:t>
      </w:r>
      <w:r>
        <w:rPr>
          <w:rFonts w:hint="eastAsia" w:ascii="宋体" w:hAnsi="宋体" w:cs="宋体"/>
          <w:bCs/>
          <w:color w:val="auto"/>
          <w:kern w:val="2"/>
          <w:highlight w:val="none"/>
        </w:rPr>
        <w:t>理财</w:t>
      </w:r>
      <w:r>
        <w:rPr>
          <w:rFonts w:hint="eastAsia" w:ascii="宋体" w:hAnsi="宋体" w:cs="宋体"/>
          <w:bCs/>
          <w:highlight w:val="none"/>
        </w:rPr>
        <w:t>。</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7"/>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7"/>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adjustRightInd/>
        <w:spacing w:line="360" w:lineRule="auto"/>
        <w:ind w:firstLine="482" w:firstLineChars="200"/>
        <w:rPr>
          <w:rFonts w:hint="eastAsia"/>
          <w:highlight w:val="none"/>
        </w:rPr>
      </w:pPr>
      <w:r>
        <w:rPr>
          <w:rFonts w:hint="eastAsia" w:ascii="宋体" w:hAnsi="宋体" w:cs="宋体"/>
          <w:b/>
          <w:color w:val="auto"/>
          <w:kern w:val="2"/>
          <w:highlight w:val="none"/>
        </w:rPr>
        <w:t>31.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32. 7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8"/>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巨额赎回：指理财计划的申购和赎回开放期内，理财计划任一开放日净赎回申请份额超过上一工作日日终理财计划总份额的〖10%〗，即为发生巨额赎回行为。</w:t>
      </w:r>
    </w:p>
    <w:p>
      <w:pPr>
        <w:pStyle w:val="18"/>
        <w:adjustRightInd/>
        <w:spacing w:line="360" w:lineRule="auto"/>
        <w:rPr>
          <w:rFonts w:ascii="宋体" w:hAnsi="宋体" w:cs="宋体"/>
          <w:bCs/>
          <w:color w:val="auto"/>
          <w:kern w:val="2"/>
          <w:highlight w:val="none"/>
        </w:rPr>
      </w:pPr>
    </w:p>
    <w:p>
      <w:pPr>
        <w:pStyle w:val="18"/>
        <w:numPr>
          <w:ilvl w:val="0"/>
          <w:numId w:val="9"/>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9"/>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kern w:val="2"/>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
                <w:color w:val="auto"/>
                <w:kern w:val="2"/>
                <w:highlight w:val="none"/>
              </w:rPr>
            </w:pPr>
            <w:r>
              <w:rPr>
                <w:rFonts w:ascii="宋体" w:hAnsi="宋体" w:cs="宋体"/>
                <w:b/>
                <w:color w:val="auto"/>
                <w:kern w:val="2"/>
                <w:highlight w:val="none"/>
              </w:rPr>
              <w:t>R2</w:t>
            </w:r>
          </w:p>
        </w:tc>
        <w:tc>
          <w:tcPr>
            <w:tcW w:w="1746" w:type="dxa"/>
          </w:tcPr>
          <w:p>
            <w:pPr>
              <w:pStyle w:val="18"/>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中低</w:t>
            </w:r>
          </w:p>
        </w:tc>
        <w:tc>
          <w:tcPr>
            <w:tcW w:w="5064" w:type="dxa"/>
          </w:tcPr>
          <w:p>
            <w:pPr>
              <w:pStyle w:val="18"/>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稳健型</w:t>
            </w:r>
            <w:r>
              <w:rPr>
                <w:rFonts w:hint="eastAsia" w:ascii="宋体" w:hAnsi="宋体" w:cs="宋体"/>
                <w:b/>
                <w:kern w:val="2"/>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kern w:val="2"/>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成长型</w:t>
            </w:r>
            <w:r>
              <w:rPr>
                <w:rFonts w:hint="eastAsia" w:ascii="宋体" w:hAnsi="宋体" w:cs="宋体"/>
                <w:bCs/>
                <w:kern w:val="2"/>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746"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5064" w:type="dxa"/>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进取型</w:t>
            </w:r>
          </w:p>
        </w:tc>
      </w:tr>
    </w:tbl>
    <w:p>
      <w:pPr>
        <w:pStyle w:val="18"/>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8"/>
        <w:adjustRightInd/>
        <w:spacing w:line="360" w:lineRule="auto"/>
        <w:rPr>
          <w:rFonts w:ascii="宋体" w:hAnsi="宋体" w:cs="宋体"/>
          <w:b/>
          <w:color w:val="auto"/>
          <w:kern w:val="2"/>
          <w:highlight w:val="none"/>
        </w:rPr>
      </w:pPr>
    </w:p>
    <w:p>
      <w:pPr>
        <w:pStyle w:val="18"/>
        <w:numPr>
          <w:ilvl w:val="0"/>
          <w:numId w:val="9"/>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9"/>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423"/>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杭银理财幸福99</w:t>
            </w:r>
            <w:r>
              <w:rPr>
                <w:rFonts w:hint="eastAsia" w:ascii="宋体" w:hAnsi="宋体" w:cs="宋体"/>
                <w:szCs w:val="21"/>
                <w:highlight w:val="none"/>
                <w:lang w:eastAsia="zh-CN"/>
              </w:rPr>
              <w:t>天添益（安享优选）6期</w:t>
            </w:r>
            <w:r>
              <w:rPr>
                <w:rFonts w:hint="eastAsia" w:ascii="宋体" w:hAnsi="宋体" w:cs="宋体"/>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color w:val="000000"/>
                <w:szCs w:val="21"/>
                <w:highlight w:val="none"/>
                <w:lang w:val="en-US" w:eastAsia="zh-CN"/>
              </w:rPr>
              <w:t>简称</w:t>
            </w:r>
          </w:p>
        </w:tc>
        <w:tc>
          <w:tcPr>
            <w:tcW w:w="7281" w:type="dxa"/>
            <w:vAlign w:val="center"/>
          </w:tcPr>
          <w:p>
            <w:pPr>
              <w:widowControl/>
              <w:spacing w:line="360" w:lineRule="auto"/>
              <w:contextualSpacing/>
              <w:rPr>
                <w:rFonts w:hint="default" w:ascii="宋体" w:hAnsi="宋体" w:eastAsia="宋体" w:cs="宋体"/>
                <w:szCs w:val="21"/>
                <w:highlight w:val="none"/>
                <w:lang w:val="en-US" w:eastAsia="zh-CN"/>
              </w:rPr>
            </w:pPr>
            <w:r>
              <w:rPr>
                <w:rFonts w:hint="eastAsia" w:ascii="宋体" w:hAnsi="宋体" w:cs="宋体"/>
                <w:szCs w:val="21"/>
                <w:highlight w:val="none"/>
              </w:rPr>
              <w:t>天添益（</w:t>
            </w:r>
            <w:r>
              <w:rPr>
                <w:rFonts w:hint="eastAsia" w:ascii="宋体" w:hAnsi="宋体" w:cs="宋体"/>
                <w:szCs w:val="21"/>
                <w:highlight w:val="none"/>
                <w:lang w:eastAsia="zh-CN"/>
              </w:rPr>
              <w:t>安享优选</w:t>
            </w:r>
            <w:r>
              <w:rPr>
                <w:rFonts w:hint="eastAsia" w:ascii="宋体" w:hAnsi="宋体" w:cs="宋体"/>
                <w:szCs w:val="21"/>
                <w:highlight w:val="none"/>
              </w:rPr>
              <w:t>）</w:t>
            </w:r>
            <w:r>
              <w:rPr>
                <w:rFonts w:hint="eastAsia" w:ascii="宋体" w:hAnsi="宋体" w:cs="宋体"/>
                <w:szCs w:val="21"/>
                <w:highlight w:val="none"/>
                <w:lang w:val="en-US" w:eastAsia="zh-CN"/>
              </w:rPr>
              <w:t>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〖TYG1D</w:t>
            </w:r>
            <w:r>
              <w:rPr>
                <w:rFonts w:hint="eastAsia" w:ascii="宋体" w:hAnsi="宋体" w:cs="宋体"/>
                <w:szCs w:val="21"/>
                <w:highlight w:val="none"/>
                <w:lang w:val="en-US" w:eastAsia="zh-CN"/>
              </w:rPr>
              <w:t>2306</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w:t>
            </w:r>
            <w:r>
              <w:rPr>
                <w:rFonts w:hint="eastAsia" w:ascii="宋体" w:hAnsi="宋体" w:cs="宋体"/>
                <w:szCs w:val="21"/>
                <w:highlight w:val="none"/>
              </w:rPr>
              <w:t>Z7002223000297</w:t>
            </w:r>
            <w:r>
              <w:rPr>
                <w:rFonts w:hint="eastAsia" w:ascii="宋体" w:hAnsi="宋体" w:cs="宋体"/>
                <w:color w:val="000000"/>
                <w:szCs w:val="21"/>
                <w:highlight w:val="none"/>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281" w:type="dxa"/>
            <w:vAlign w:val="center"/>
          </w:tcPr>
          <w:p>
            <w:pPr>
              <w:widowControl/>
              <w:spacing w:line="360" w:lineRule="auto"/>
              <w:contextualSpacing/>
              <w:rPr>
                <w:rFonts w:hint="eastAsia" w:ascii="宋体" w:hAnsi="宋体" w:cs="宋体"/>
                <w:b/>
                <w:bCs/>
                <w:color w:val="000000"/>
                <w:sz w:val="21"/>
                <w:szCs w:val="21"/>
                <w:highlight w:val="none"/>
              </w:rPr>
            </w:pPr>
            <w:r>
              <w:rPr>
                <w:rFonts w:hint="eastAsia" w:ascii="宋体" w:hAnsi="宋体" w:cs="宋体"/>
                <w:b/>
                <w:bCs/>
                <w:color w:val="000000"/>
                <w:szCs w:val="21"/>
                <w:highlight w:val="none"/>
              </w:rPr>
              <w:t>本理财计划适合〖机构投资者〗以及〖稳健型、平衡型、成长型、进取型〗的个人投资者。</w:t>
            </w:r>
            <w:r>
              <w:rPr>
                <w:rFonts w:hint="eastAsia" w:ascii="宋体" w:hAnsi="宋体" w:cs="宋体"/>
                <w:b/>
                <w:bCs/>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其中：</w:t>
            </w:r>
          </w:p>
          <w:p>
            <w:pPr>
              <w:widowControl/>
              <w:spacing w:line="360" w:lineRule="auto"/>
              <w:contextualSpacing/>
              <w:rPr>
                <w:rFonts w:hint="eastAsia" w:ascii="宋体" w:hAnsi="宋体" w:cs="宋体"/>
                <w:b w:val="0"/>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A份额（销售代码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Cs w:val="0"/>
                <w:color w:val="000000"/>
                <w:sz w:val="21"/>
                <w:szCs w:val="21"/>
                <w:highlight w:val="none"/>
                <w:lang w:val="en-US" w:eastAsia="zh-CN"/>
              </w:rPr>
              <w:t>B份额（销售代码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B</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Cs w:val="0"/>
                <w:color w:val="000000"/>
                <w:sz w:val="21"/>
                <w:szCs w:val="21"/>
                <w:highlight w:val="none"/>
                <w:lang w:val="en-US" w:eastAsia="zh-CN"/>
              </w:rPr>
              <w:t>C份额（销售代码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C</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Cs w:val="0"/>
                <w:color w:val="000000"/>
                <w:sz w:val="21"/>
                <w:szCs w:val="21"/>
                <w:highlight w:val="none"/>
                <w:lang w:val="en-US" w:eastAsia="zh-CN"/>
              </w:rPr>
              <w:t>D份额（销售代码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D</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E</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E</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代销机构的</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F</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F</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eastAsia="zh-CN"/>
              </w:rPr>
            </w:pPr>
            <w:r>
              <w:rPr>
                <w:rFonts w:hint="eastAsia" w:ascii="宋体" w:hAnsi="宋体" w:cs="宋体"/>
                <w:b w:val="0"/>
                <w:bCs w:val="0"/>
                <w:color w:val="000000"/>
                <w:sz w:val="21"/>
                <w:szCs w:val="21"/>
                <w:highlight w:val="none"/>
                <w:lang w:val="en-US" w:eastAsia="zh-CN"/>
              </w:rPr>
              <w:t>G份额</w:t>
            </w:r>
            <w:r>
              <w:rPr>
                <w:rFonts w:hint="eastAsia" w:ascii="宋体" w:hAnsi="宋体" w:cs="宋体"/>
                <w:bCs w:val="0"/>
                <w:color w:val="000000"/>
                <w:sz w:val="21"/>
                <w:szCs w:val="21"/>
                <w:highlight w:val="none"/>
                <w:lang w:val="en-US" w:eastAsia="zh-CN"/>
              </w:rPr>
              <w:t>（销售代码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G</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其他代销机构</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eastAsia"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H份额（</w:t>
            </w:r>
            <w:r>
              <w:rPr>
                <w:rFonts w:hint="eastAsia" w:ascii="宋体" w:hAnsi="宋体" w:cs="宋体"/>
                <w:bCs w:val="0"/>
                <w:color w:val="000000"/>
                <w:sz w:val="21"/>
                <w:szCs w:val="21"/>
                <w:highlight w:val="none"/>
                <w:lang w:val="en-US" w:eastAsia="zh-CN"/>
              </w:rPr>
              <w:t>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H</w:t>
            </w:r>
            <w:r>
              <w:rPr>
                <w:rFonts w:hint="eastAsia" w:ascii="宋体" w:hAnsi="宋体" w:cs="宋体"/>
                <w:color w:val="000000"/>
                <w:szCs w:val="21"/>
                <w:highlight w:val="none"/>
              </w:rPr>
              <w:t>〗</w:t>
            </w:r>
            <w:r>
              <w:rPr>
                <w:rFonts w:hint="eastAsia" w:ascii="宋体" w:hAnsi="宋体" w:cs="宋体"/>
                <w:b w:val="0"/>
                <w:bCs w:val="0"/>
                <w:color w:val="000000"/>
                <w:sz w:val="21"/>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新市民客户</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发售。</w:t>
            </w:r>
          </w:p>
          <w:p>
            <w:pPr>
              <w:widowControl/>
              <w:spacing w:line="360" w:lineRule="auto"/>
              <w:contextualSpacing/>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Y份额</w:t>
            </w:r>
            <w:r>
              <w:rPr>
                <w:rFonts w:hint="eastAsia" w:ascii="宋体" w:hAnsi="宋体" w:cs="宋体"/>
                <w:bCs w:val="0"/>
                <w:color w:val="000000"/>
                <w:sz w:val="21"/>
                <w:szCs w:val="21"/>
                <w:highlight w:val="none"/>
                <w:lang w:val="en-US" w:eastAsia="zh-CN"/>
              </w:rPr>
              <w:t>（销售代码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Y</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其他代销机构</w:t>
            </w:r>
            <w:r>
              <w:rPr>
                <w:rFonts w:hint="eastAsia" w:ascii="宋体" w:hAnsi="宋体" w:cs="宋体"/>
                <w:b w:val="0"/>
                <w:bCs w:val="0"/>
                <w:color w:val="000000"/>
                <w:sz w:val="21"/>
                <w:szCs w:val="21"/>
                <w:highlight w:val="none"/>
                <w:lang w:eastAsia="zh-CN"/>
              </w:rPr>
              <w:t>〗发售。</w:t>
            </w:r>
          </w:p>
          <w:p>
            <w:pPr>
              <w:widowControl/>
              <w:spacing w:line="360" w:lineRule="auto"/>
              <w:contextualSpacing/>
              <w:rPr>
                <w:rFonts w:hint="default" w:ascii="宋体" w:hAnsi="宋体" w:cs="宋体"/>
                <w:b w:val="0"/>
                <w:bCs/>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Z</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TYG1D2306</w:t>
            </w:r>
            <w:r>
              <w:rPr>
                <w:rFonts w:hint="eastAsia" w:ascii="宋体" w:hAnsi="宋体" w:cs="宋体"/>
                <w:color w:val="000000"/>
                <w:szCs w:val="21"/>
                <w:highlight w:val="none"/>
                <w:lang w:val="en-US" w:eastAsia="zh-CN"/>
              </w:rPr>
              <w:t>Z</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w:t>
            </w:r>
            <w:r>
              <w:rPr>
                <w:rFonts w:hint="eastAsia" w:ascii="宋体" w:hAnsi="宋体" w:cs="宋体"/>
                <w:b w:val="0"/>
                <w:bCs w:val="0"/>
                <w:color w:val="000000"/>
                <w:sz w:val="21"/>
                <w:szCs w:val="21"/>
                <w:highlight w:val="none"/>
                <w:lang w:val="en-US" w:eastAsia="zh-CN"/>
              </w:rPr>
              <w:t>其他代销机构</w:t>
            </w:r>
            <w:r>
              <w:rPr>
                <w:rFonts w:hint="eastAsia" w:ascii="宋体" w:hAnsi="宋体" w:cs="宋体"/>
                <w:b w:val="0"/>
                <w:bCs w:val="0"/>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281" w:type="dxa"/>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w:t>
            </w:r>
            <w:r>
              <w:rPr>
                <w:rFonts w:hint="eastAsia" w:ascii="宋体" w:hAnsi="宋体" w:cs="宋体"/>
                <w:color w:val="000000"/>
                <w:sz w:val="21"/>
                <w:szCs w:val="21"/>
                <w:highlight w:val="none"/>
              </w:rPr>
              <w:t>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Cs w:val="21"/>
                <w:highlight w:val="none"/>
              </w:rPr>
              <w:t>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发行规模上限</w:t>
            </w:r>
          </w:p>
        </w:tc>
        <w:tc>
          <w:tcPr>
            <w:tcW w:w="7281" w:type="dxa"/>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300</w:t>
            </w:r>
            <w:r>
              <w:rPr>
                <w:rFonts w:hint="eastAsia" w:ascii="宋体" w:hAnsi="宋体" w:cs="宋体"/>
                <w:color w:val="000000"/>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2023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24</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27</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w:t>
            </w:r>
            <w:r>
              <w:rPr>
                <w:rFonts w:hint="eastAsia" w:ascii="宋体" w:hAnsi="宋体" w:cs="宋体"/>
                <w:color w:val="000000"/>
                <w:sz w:val="21"/>
                <w:szCs w:val="21"/>
                <w:highlight w:val="none"/>
              </w:rPr>
              <w:t>提前</w:t>
            </w:r>
            <w:r>
              <w:rPr>
                <w:rFonts w:hint="eastAsia" w:ascii="宋体" w:hAnsi="宋体" w:cs="宋体"/>
                <w:color w:val="000000"/>
                <w:szCs w:val="21"/>
                <w:highlight w:val="none"/>
              </w:rPr>
              <w:t>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281" w:type="dxa"/>
            <w:vAlign w:val="center"/>
          </w:tcPr>
          <w:p>
            <w:pPr>
              <w:widowControl/>
              <w:spacing w:line="360" w:lineRule="auto"/>
              <w:contextualSpacing/>
              <w:rPr>
                <w:rFonts w:hint="eastAsia" w:ascii="宋体" w:hAnsi="宋体" w:cs="宋体"/>
                <w:color w:val="000000"/>
                <w:sz w:val="21"/>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A</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B</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val="0"/>
                <w:color w:val="000000"/>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C</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D</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E</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F</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p>
          <w:p>
            <w:pPr>
              <w:widowControl/>
              <w:spacing w:line="360" w:lineRule="auto"/>
              <w:contextualSpacing/>
              <w:rPr>
                <w:rFonts w:hint="eastAsia" w:ascii="宋体" w:hAnsi="宋体" w:cs="宋体"/>
                <w:bCs w:val="0"/>
                <w:color w:val="000000"/>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G</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300</w:t>
            </w:r>
            <w:r>
              <w:rPr>
                <w:rFonts w:hint="eastAsia" w:ascii="宋体" w:hAnsi="宋体" w:cs="宋体"/>
                <w:bCs w:val="0"/>
                <w:color w:val="000000"/>
                <w:szCs w:val="21"/>
                <w:highlight w:val="none"/>
              </w:rPr>
              <w:t>〗</w:t>
            </w:r>
            <w:r>
              <w:rPr>
                <w:rFonts w:hint="eastAsia" w:ascii="宋体" w:hAnsi="宋体" w:cs="宋体"/>
                <w:bCs w:val="0"/>
                <w:color w:val="000000"/>
                <w:szCs w:val="21"/>
                <w:highlight w:val="none"/>
                <w:lang w:val="en-US" w:eastAsia="zh-CN"/>
              </w:rPr>
              <w:t>万</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p>
          <w:p>
            <w:pPr>
              <w:widowControl/>
              <w:spacing w:line="360" w:lineRule="auto"/>
              <w:contextualSpacing/>
              <w:rPr>
                <w:rFonts w:hint="eastAsia" w:ascii="宋体" w:hAnsi="宋体" w:cs="宋体"/>
                <w:bCs w:val="0"/>
                <w:color w:val="000000"/>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H</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bCs w:val="0"/>
                <w:color w:val="000000"/>
                <w:szCs w:val="21"/>
                <w:highlight w:val="none"/>
                <w:lang w:eastAsia="zh-CN"/>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Y</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p>
          <w:p>
            <w:pPr>
              <w:widowControl/>
              <w:spacing w:line="360" w:lineRule="auto"/>
              <w:contextualSpacing/>
              <w:rPr>
                <w:rFonts w:ascii="宋体" w:hAnsi="宋体" w:cs="宋体"/>
                <w:color w:val="000000"/>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Z</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w:t>
            </w:r>
            <w:r>
              <w:rPr>
                <w:rFonts w:hint="eastAsia" w:ascii="宋体" w:hAnsi="宋体" w:cs="宋体"/>
                <w:bCs w:val="0"/>
                <w:color w:val="000000"/>
                <w:szCs w:val="21"/>
                <w:highlight w:val="none"/>
              </w:rPr>
              <w:t>起点〖</w:t>
            </w:r>
            <w:r>
              <w:rPr>
                <w:rFonts w:hint="eastAsia" w:ascii="宋体" w:hAnsi="宋体" w:cs="宋体"/>
                <w:bCs w:val="0"/>
                <w:color w:val="000000"/>
                <w:szCs w:val="21"/>
                <w:highlight w:val="none"/>
                <w:lang w:val="en-US" w:eastAsia="zh-CN"/>
              </w:rPr>
              <w:t>50</w:t>
            </w:r>
            <w:r>
              <w:rPr>
                <w:rFonts w:hint="eastAsia" w:ascii="宋体" w:hAnsi="宋体" w:cs="宋体"/>
                <w:bCs w:val="0"/>
                <w:color w:val="000000"/>
                <w:szCs w:val="21"/>
                <w:highlight w:val="none"/>
              </w:rPr>
              <w:t>〗</w:t>
            </w:r>
            <w:r>
              <w:rPr>
                <w:rFonts w:hint="eastAsia" w:ascii="宋体" w:hAnsi="宋体" w:cs="宋体"/>
                <w:bCs w:val="0"/>
                <w:color w:val="000000"/>
                <w:szCs w:val="21"/>
                <w:highlight w:val="none"/>
                <w:lang w:val="en-US" w:eastAsia="zh-CN"/>
              </w:rPr>
              <w:t>万</w:t>
            </w:r>
            <w:r>
              <w:rPr>
                <w:rFonts w:hint="eastAsia" w:ascii="宋体" w:hAnsi="宋体" w:cs="宋体"/>
                <w:bCs w:val="0"/>
                <w:color w:val="000000"/>
                <w:szCs w:val="21"/>
                <w:highlight w:val="none"/>
              </w:rPr>
              <w:t>元整，超过认购/申购起点部分，应为〖</w:t>
            </w:r>
            <w:r>
              <w:rPr>
                <w:rFonts w:hint="eastAsia" w:ascii="宋体" w:hAnsi="宋体" w:cs="宋体"/>
                <w:bCs w:val="0"/>
                <w:color w:val="000000"/>
                <w:szCs w:val="21"/>
                <w:highlight w:val="none"/>
                <w:lang w:val="en-US" w:eastAsia="zh-CN"/>
              </w:rPr>
              <w:t>1</w:t>
            </w:r>
            <w:r>
              <w:rPr>
                <w:rFonts w:hint="eastAsia" w:ascii="宋体" w:hAnsi="宋体" w:cs="宋体"/>
                <w:bCs w:val="0"/>
                <w:color w:val="000000"/>
                <w:szCs w:val="21"/>
                <w:highlight w:val="none"/>
              </w:rPr>
              <w:t>〗元的整数倍</w:t>
            </w:r>
            <w:r>
              <w:rPr>
                <w:rFonts w:hint="eastAsia" w:ascii="宋体" w:hAnsi="宋体" w:cs="宋体"/>
                <w:bCs w:val="0"/>
                <w:color w:val="000000"/>
                <w:szCs w:val="21"/>
                <w:highlight w:val="none"/>
                <w:lang w:eastAsia="zh-CN"/>
              </w:rPr>
              <w:t>。</w:t>
            </w:r>
            <w:r>
              <w:rPr>
                <w:rFonts w:hint="eastAsia" w:ascii="宋体" w:hAnsi="宋体" w:cs="宋体"/>
                <w:bCs w:val="0"/>
                <w:color w:val="000000"/>
                <w:szCs w:val="21"/>
                <w:highlight w:val="none"/>
                <w:lang w:eastAsia="zh-CN"/>
              </w:rPr>
              <w:br w:type="textWrapping"/>
            </w:r>
            <w:r>
              <w:rPr>
                <w:rFonts w:hint="eastAsia" w:ascii="宋体" w:hAnsi="宋体" w:cs="宋体"/>
                <w:color w:val="000000"/>
                <w:sz w:val="21"/>
                <w:szCs w:val="21"/>
                <w:highlight w:val="none"/>
                <w:lang w:eastAsia="zh-CN"/>
              </w:rPr>
              <w:t>（</w:t>
            </w:r>
            <w:r>
              <w:rPr>
                <w:rFonts w:hint="eastAsia" w:ascii="宋体" w:hAnsi="宋体" w:cs="宋体"/>
                <w:bCs w:val="0"/>
                <w:color w:val="000000"/>
                <w:szCs w:val="21"/>
                <w:highlight w:val="none"/>
              </w:rPr>
              <w:t>具体以销售机构规定为准</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w:t>
            </w:r>
            <w:r>
              <w:rPr>
                <w:rFonts w:hint="eastAsia" w:ascii="宋体" w:hAnsi="宋体" w:cs="宋体"/>
                <w:szCs w:val="21"/>
                <w:highlight w:val="none"/>
                <w:lang w:val="en-US" w:eastAsia="zh-CN"/>
              </w:rPr>
              <w:t>2000</w:t>
            </w:r>
            <w:r>
              <w:rPr>
                <w:rFonts w:hint="eastAsia" w:ascii="宋体" w:hAnsi="宋体" w:cs="宋体"/>
                <w:szCs w:val="21"/>
                <w:highlight w:val="none"/>
              </w:rPr>
              <w:t>〗</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封闭期</w:t>
            </w:r>
          </w:p>
        </w:tc>
        <w:tc>
          <w:tcPr>
            <w:tcW w:w="7281" w:type="dxa"/>
            <w:vAlign w:val="center"/>
          </w:tcPr>
          <w:p>
            <w:pPr>
              <w:widowControl/>
              <w:spacing w:line="360" w:lineRule="auto"/>
              <w:contextualSpacing/>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开放期</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本理财计划开放期为</w:t>
            </w:r>
            <w:r>
              <w:rPr>
                <w:rFonts w:hint="eastAsia" w:ascii="宋体" w:hAnsi="宋体" w:cs="宋体"/>
                <w:szCs w:val="21"/>
                <w:highlight w:val="none"/>
              </w:rPr>
              <w:t>〖</w:t>
            </w:r>
            <w:r>
              <w:rPr>
                <w:rFonts w:hint="eastAsia" w:ascii="宋体" w:hAnsi="宋体" w:cs="宋体"/>
                <w:szCs w:val="21"/>
                <w:highlight w:val="none"/>
                <w:lang w:val="en-US" w:eastAsia="zh-CN"/>
              </w:rPr>
              <w:t>产品成立后的</w:t>
            </w:r>
            <w:r>
              <w:rPr>
                <w:rFonts w:hint="eastAsia" w:ascii="宋体" w:hAnsi="宋体" w:cs="宋体"/>
                <w:szCs w:val="21"/>
                <w:highlight w:val="none"/>
              </w:rPr>
              <w:t>每个交易日〗</w:t>
            </w:r>
            <w:r>
              <w:rPr>
                <w:rFonts w:hint="eastAsia" w:ascii="宋体" w:hAnsi="宋体" w:cs="宋体"/>
                <w:color w:val="000000"/>
                <w:kern w:val="0"/>
                <w:highlight w:val="none"/>
              </w:rPr>
              <w:t>。如遇特殊情况具体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281" w:type="dxa"/>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1.本理财计划在每个开放期的工作时间均可进行申购</w:t>
            </w:r>
            <w:r>
              <w:rPr>
                <w:rFonts w:hint="eastAsia" w:ascii="宋体" w:hAnsi="宋体" w:cs="宋体"/>
                <w:color w:val="000000"/>
                <w:szCs w:val="21"/>
                <w:highlight w:val="none"/>
                <w:lang w:val="en-US" w:eastAsia="zh-CN"/>
              </w:rPr>
              <w:t>、赎回和撤单申请</w:t>
            </w:r>
            <w:r>
              <w:rPr>
                <w:rFonts w:hint="eastAsia" w:ascii="宋体" w:hAnsi="宋体" w:cs="宋体"/>
                <w:color w:val="000000"/>
                <w:szCs w:val="21"/>
                <w:highlight w:val="none"/>
              </w:rPr>
              <w:t>，申购</w:t>
            </w:r>
            <w:r>
              <w:rPr>
                <w:rFonts w:hint="eastAsia" w:ascii="宋体" w:hAnsi="宋体" w:cs="宋体"/>
                <w:color w:val="000000"/>
                <w:szCs w:val="21"/>
                <w:highlight w:val="none"/>
                <w:lang w:val="en-US" w:eastAsia="zh-CN"/>
              </w:rPr>
              <w:t>和赎回</w:t>
            </w:r>
            <w:r>
              <w:rPr>
                <w:rFonts w:hint="eastAsia" w:ascii="宋体" w:hAnsi="宋体" w:cs="宋体"/>
                <w:color w:val="000000"/>
                <w:szCs w:val="21"/>
                <w:highlight w:val="none"/>
              </w:rPr>
              <w:t>申请将在确认日，即开放期后的第</w:t>
            </w:r>
            <w:r>
              <w:rPr>
                <w:rFonts w:hint="eastAsia" w:ascii="宋体" w:hAnsi="宋体" w:cs="宋体"/>
                <w:szCs w:val="21"/>
                <w:highlight w:val="none"/>
              </w:rPr>
              <w:t>〖1〗个交易</w:t>
            </w:r>
            <w:r>
              <w:rPr>
                <w:rFonts w:hint="eastAsia" w:ascii="宋体" w:hAnsi="宋体" w:cs="宋体"/>
                <w:bCs/>
                <w:szCs w:val="21"/>
                <w:highlight w:val="none"/>
              </w:rPr>
              <w:t>日进行确认。</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.工作时间为每个交易日上午〖9:00〗至下午〖</w:t>
            </w:r>
            <w:r>
              <w:rPr>
                <w:rFonts w:hint="eastAsia" w:ascii="宋体" w:hAnsi="宋体" w:cs="宋体"/>
                <w:color w:val="000000"/>
                <w:szCs w:val="21"/>
                <w:highlight w:val="none"/>
                <w:lang w:eastAsia="zh-CN"/>
              </w:rPr>
              <w:t>1</w:t>
            </w: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工作时间内提交的申购/赎回申请，将作为当日申请处理；在开放期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工作时间结束后及非开放期提交的申购/赎回申请，将作为下一开放期的申请处理。</w:t>
            </w:r>
          </w:p>
          <w:p>
            <w:pPr>
              <w:widowControl/>
              <w:spacing w:line="360" w:lineRule="auto"/>
              <w:contextualSpacing/>
              <w:rPr>
                <w:rFonts w:hint="eastAsia" w:ascii="宋体" w:hAnsi="宋体" w:cs="宋体"/>
                <w:color w:val="000000"/>
                <w:szCs w:val="21"/>
                <w:highlight w:val="none"/>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281" w:type="dxa"/>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281" w:type="dxa"/>
            <w:vAlign w:val="center"/>
          </w:tcPr>
          <w:p>
            <w:pPr>
              <w:widowControl/>
              <w:spacing w:line="360" w:lineRule="auto"/>
              <w:contextualSpacing/>
              <w:rPr>
                <w:rFonts w:hint="eastAsia" w:ascii="宋体" w:hAnsi="宋体" w:cs="宋体"/>
                <w:szCs w:val="21"/>
                <w:highlight w:val="none"/>
                <w:lang w:val="en-US" w:eastAsia="zh-CN"/>
              </w:rPr>
            </w:pPr>
            <w:r>
              <w:rPr>
                <w:rFonts w:hint="eastAsia" w:ascii="宋体" w:hAnsi="宋体" w:cs="宋体"/>
                <w:szCs w:val="21"/>
                <w:highlight w:val="none"/>
                <w:lang w:val="en-US" w:eastAsia="zh-CN"/>
              </w:rPr>
              <w:t>G份额：</w:t>
            </w:r>
            <w:r>
              <w:rPr>
                <w:rFonts w:hint="eastAsia" w:ascii="宋体" w:hAnsi="宋体" w:cs="宋体"/>
                <w:szCs w:val="21"/>
                <w:highlight w:val="none"/>
              </w:rPr>
              <w:t>单户持有上限〖</w:t>
            </w:r>
            <w:r>
              <w:rPr>
                <w:rFonts w:hint="eastAsia" w:ascii="宋体" w:hAnsi="宋体" w:cs="宋体"/>
                <w:szCs w:val="21"/>
                <w:highlight w:val="none"/>
                <w:lang w:val="en-US" w:eastAsia="zh-CN"/>
              </w:rPr>
              <w:t>5亿</w:t>
            </w:r>
            <w:r>
              <w:rPr>
                <w:rFonts w:hint="eastAsia" w:ascii="宋体" w:hAnsi="宋体" w:cs="宋体"/>
                <w:szCs w:val="21"/>
                <w:highlight w:val="none"/>
              </w:rPr>
              <w:t>〗元</w:t>
            </w:r>
          </w:p>
          <w:p>
            <w:pPr>
              <w:widowControl/>
              <w:spacing w:line="360" w:lineRule="auto"/>
              <w:contextualSpacing/>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Y份额：</w:t>
            </w:r>
            <w:r>
              <w:rPr>
                <w:rFonts w:hint="eastAsia" w:ascii="宋体" w:hAnsi="宋体" w:cs="宋体"/>
                <w:szCs w:val="21"/>
                <w:highlight w:val="none"/>
              </w:rPr>
              <w:t>单户持有上限〖</w:t>
            </w:r>
            <w:r>
              <w:rPr>
                <w:rFonts w:hint="eastAsia" w:ascii="宋体" w:hAnsi="宋体" w:cs="宋体"/>
                <w:szCs w:val="21"/>
                <w:highlight w:val="none"/>
                <w:lang w:val="en-US" w:eastAsia="zh-CN"/>
              </w:rPr>
              <w:t>5亿</w:t>
            </w:r>
            <w:r>
              <w:rPr>
                <w:rFonts w:hint="eastAsia" w:ascii="宋体" w:hAnsi="宋体" w:cs="宋体"/>
                <w:szCs w:val="21"/>
                <w:highlight w:val="none"/>
              </w:rPr>
              <w:t>〗元</w:t>
            </w:r>
            <w:r>
              <w:rPr>
                <w:rFonts w:hint="eastAsia" w:ascii="宋体" w:hAnsi="宋体" w:cs="宋体"/>
                <w:szCs w:val="21"/>
                <w:highlight w:val="none"/>
                <w:lang w:eastAsia="zh-CN"/>
              </w:rPr>
              <w:t>、</w:t>
            </w:r>
            <w:r>
              <w:rPr>
                <w:rFonts w:hint="eastAsia" w:ascii="宋体" w:hAnsi="宋体" w:cs="宋体"/>
                <w:szCs w:val="21"/>
                <w:highlight w:val="none"/>
                <w:lang w:val="en-US" w:eastAsia="zh-CN"/>
              </w:rPr>
              <w:t>单日单户赎回上限</w:t>
            </w:r>
            <w:r>
              <w:rPr>
                <w:rFonts w:hint="eastAsia" w:ascii="宋体" w:hAnsi="宋体" w:cs="宋体"/>
                <w:szCs w:val="21"/>
                <w:highlight w:val="none"/>
              </w:rPr>
              <w:t>〖</w:t>
            </w:r>
            <w:r>
              <w:rPr>
                <w:rFonts w:hint="eastAsia" w:ascii="宋体" w:hAnsi="宋体" w:cs="宋体"/>
                <w:szCs w:val="21"/>
                <w:highlight w:val="none"/>
                <w:lang w:val="en-US" w:eastAsia="zh-CN"/>
              </w:rPr>
              <w:t>1亿</w:t>
            </w:r>
            <w:r>
              <w:rPr>
                <w:rFonts w:hint="eastAsia" w:ascii="宋体" w:hAnsi="宋体" w:cs="宋体"/>
                <w:szCs w:val="21"/>
                <w:highlight w:val="none"/>
              </w:rPr>
              <w:t>〗</w:t>
            </w:r>
            <w:r>
              <w:rPr>
                <w:rFonts w:hint="eastAsia" w:ascii="宋体" w:hAnsi="宋体" w:cs="宋体"/>
                <w:szCs w:val="21"/>
                <w:highlight w:val="none"/>
                <w:lang w:val="en-US" w:eastAsia="zh-CN"/>
              </w:rPr>
              <w:t>份</w:t>
            </w:r>
          </w:p>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lang w:val="en-US" w:eastAsia="zh-CN"/>
              </w:rPr>
              <w:t>其他份额：</w:t>
            </w:r>
            <w:r>
              <w:rPr>
                <w:rFonts w:hint="eastAsia" w:ascii="宋体" w:hAnsi="宋体" w:cs="宋体"/>
                <w:szCs w:val="21"/>
                <w:highlight w:val="none"/>
              </w:rPr>
              <w:t>单户持有上限〖</w:t>
            </w:r>
            <w:r>
              <w:rPr>
                <w:rFonts w:hint="eastAsia" w:ascii="宋体" w:hAnsi="宋体" w:cs="宋体"/>
                <w:szCs w:val="21"/>
                <w:highlight w:val="none"/>
                <w:lang w:val="en-US" w:eastAsia="zh-CN"/>
              </w:rPr>
              <w:t>1亿</w:t>
            </w:r>
            <w:r>
              <w:rPr>
                <w:rFonts w:hint="eastAsia" w:ascii="宋体" w:hAnsi="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申购份额=申购金额/确认日前一日的单位净值</w:t>
            </w:r>
            <w:r>
              <w:rPr>
                <w:rFonts w:hint="eastAsia" w:ascii="宋体" w:hAnsi="宋体" w:cs="宋体"/>
                <w:bCs/>
                <w:szCs w:val="21"/>
                <w:highlight w:val="none"/>
                <w:lang w:eastAsia="zh-CN"/>
              </w:rPr>
              <w:t>。</w:t>
            </w:r>
            <w:r>
              <w:rPr>
                <w:rFonts w:hint="eastAsia" w:ascii="宋体" w:hAnsi="宋体" w:cs="宋体"/>
                <w:bCs/>
                <w:szCs w:val="21"/>
                <w:highlight w:val="none"/>
              </w:rPr>
              <w:t>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赎回金额</w:t>
            </w:r>
          </w:p>
        </w:tc>
        <w:tc>
          <w:tcPr>
            <w:tcW w:w="7281" w:type="dxa"/>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单位净值=理财计划估值日理财计划总净值/理财计划总份额，单位净值保留小数点后</w:t>
            </w:r>
            <w:r>
              <w:rPr>
                <w:rFonts w:hint="eastAsia" w:ascii="宋体" w:hAnsi="宋体" w:cs="宋体"/>
                <w:color w:val="000000"/>
                <w:szCs w:val="21"/>
                <w:highlight w:val="none"/>
                <w:lang w:val="en-US" w:eastAsia="zh-CN"/>
              </w:rPr>
              <w:t>六</w:t>
            </w:r>
            <w:r>
              <w:rPr>
                <w:rFonts w:hint="eastAsia" w:ascii="宋体" w:hAnsi="宋体" w:cs="宋体"/>
                <w:color w:val="000000"/>
                <w:szCs w:val="21"/>
                <w:highlight w:val="none"/>
              </w:rPr>
              <w:t>位</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小数点六位以后去尾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理财计划总净值=理财计划认购总额+理财计划所获总收益-理财计划总费用（包括但不限于管理费、托管费、销售服务费等）。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color w:val="000000"/>
                <w:szCs w:val="21"/>
                <w:highlight w:val="none"/>
                <w:lang w:val="en-US" w:eastAsia="zh-CN"/>
              </w:rPr>
              <w:t>于确认日当日</w:t>
            </w:r>
            <w:r>
              <w:rPr>
                <w:rFonts w:hint="eastAsia" w:ascii="宋体" w:hAnsi="宋体" w:cs="宋体"/>
                <w:color w:val="000000"/>
                <w:szCs w:val="21"/>
                <w:highlight w:val="none"/>
              </w:rPr>
              <w:t>，最晚</w:t>
            </w:r>
            <w:r>
              <w:rPr>
                <w:rFonts w:hint="eastAsia" w:ascii="宋体" w:hAnsi="宋体" w:cs="宋体"/>
                <w:color w:val="000000"/>
                <w:szCs w:val="21"/>
                <w:highlight w:val="none"/>
                <w:lang w:val="en-US" w:eastAsia="zh-CN"/>
              </w:rPr>
              <w:t>于确认日后</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color w:val="000000"/>
                <w:szCs w:val="21"/>
                <w:highlight w:val="none"/>
              </w:rPr>
              <w:t>个交易日，最晚</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281" w:type="dxa"/>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281" w:type="dxa"/>
            <w:vAlign w:val="center"/>
          </w:tcPr>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D份额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E份额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F份额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7天通知存款利率+0.15%</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G份额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H份额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7天通知存款利率+0.15%</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Y份额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Z份额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szCs w:val="21"/>
                <w:lang w:val="en-US" w:eastAsia="zh-CN"/>
              </w:rPr>
              <w:t>7天通知存款利率+0.20%</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业绩基准测算依据：产品重点投资于同业存单</w:t>
            </w:r>
            <w:r>
              <w:rPr>
                <w:rFonts w:hint="eastAsia" w:ascii="宋体" w:hAnsi="宋体" w:cs="宋体"/>
                <w:b/>
                <w:bCs/>
                <w:szCs w:val="21"/>
                <w:highlight w:val="none"/>
                <w:lang w:eastAsia="zh-CN"/>
              </w:rPr>
              <w:t>、</w:t>
            </w:r>
            <w:r>
              <w:rPr>
                <w:rFonts w:hint="eastAsia" w:ascii="宋体" w:hAnsi="宋体" w:cs="宋体"/>
                <w:b/>
                <w:bCs/>
                <w:szCs w:val="21"/>
                <w:highlight w:val="none"/>
              </w:rPr>
              <w:t>信用债等资产，根据当前市场环境，拟投资产收益率在</w:t>
            </w:r>
            <w:r>
              <w:rPr>
                <w:rFonts w:hint="eastAsia" w:ascii="宋体" w:hAnsi="宋体" w:cs="宋体"/>
                <w:b/>
                <w:bCs/>
                <w:szCs w:val="21"/>
                <w:highlight w:val="none"/>
                <w:lang w:val="en-US" w:eastAsia="zh-CN"/>
              </w:rPr>
              <w:t>1.5</w:t>
            </w:r>
            <w:r>
              <w:rPr>
                <w:rFonts w:hint="eastAsia" w:ascii="宋体" w:hAnsi="宋体" w:cs="宋体"/>
                <w:b/>
                <w:bCs/>
                <w:szCs w:val="21"/>
                <w:highlight w:val="none"/>
              </w:rPr>
              <w:t>%</w:t>
            </w:r>
            <w:r>
              <w:rPr>
                <w:rFonts w:hint="eastAsia" w:ascii="宋体" w:hAnsi="宋体" w:cs="宋体"/>
                <w:b/>
                <w:bCs/>
                <w:szCs w:val="21"/>
                <w:highlight w:val="none"/>
                <w:lang w:val="en-US" w:eastAsia="zh-CN"/>
              </w:rPr>
              <w:t>-3.5%</w:t>
            </w:r>
            <w:r>
              <w:rPr>
                <w:rFonts w:hint="eastAsia" w:ascii="宋体" w:hAnsi="宋体" w:cs="宋体"/>
                <w:b/>
                <w:bCs/>
                <w:szCs w:val="21"/>
                <w:highlight w:val="none"/>
              </w:rPr>
              <w:t>左右，同时根据流动性管理需要和监管要求配置不低于5%的高流动性资产。</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w:t>
            </w:r>
            <w:r>
              <w:rPr>
                <w:rFonts w:hint="eastAsia" w:ascii="宋体" w:hAnsi="宋体" w:cs="宋体"/>
                <w:szCs w:val="21"/>
                <w:highlight w:val="none"/>
                <w:lang w:val="en-US" w:eastAsia="zh-CN"/>
              </w:rPr>
              <w:t>理财计划</w:t>
            </w:r>
            <w:r>
              <w:rPr>
                <w:rFonts w:hint="eastAsia" w:ascii="宋体" w:hAnsi="宋体" w:cs="宋体"/>
                <w:szCs w:val="21"/>
                <w:highlight w:val="none"/>
              </w:rPr>
              <w:t>运作情况调整业绩基准，并至少于新业绩基准启用前</w:t>
            </w:r>
            <w:r>
              <w:rPr>
                <w:rFonts w:hint="eastAsia" w:ascii="宋体" w:hAnsi="宋体" w:cs="宋体"/>
                <w:kern w:val="0"/>
                <w:highlight w:val="none"/>
              </w:rPr>
              <w:t>〖2〗</w:t>
            </w:r>
            <w:r>
              <w:rPr>
                <w:rFonts w:hint="eastAsia" w:ascii="宋体" w:hAnsi="宋体" w:cs="宋体"/>
                <w:szCs w:val="21"/>
                <w:highlight w:val="none"/>
              </w:rPr>
              <w:t>个工作日公告。</w:t>
            </w:r>
          </w:p>
          <w:p>
            <w:pPr>
              <w:widowControl/>
              <w:spacing w:line="360" w:lineRule="auto"/>
              <w:jc w:val="left"/>
              <w:rPr>
                <w:rFonts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w:t>
            </w:r>
            <w:r>
              <w:rPr>
                <w:rFonts w:hint="eastAsia" w:ascii="宋体" w:hAnsi="宋体" w:cs="宋体"/>
                <w:b/>
                <w:sz w:val="21"/>
                <w:szCs w:val="21"/>
                <w:highlight w:val="none"/>
              </w:rPr>
              <w:t>理财计划的未来表现和实际收益，也不构成对理财计划收益的承诺</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281" w:type="dxa"/>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D</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E</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0.05</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H</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0.05</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Y</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color w:val="000000"/>
                <w:szCs w:val="21"/>
                <w:highlight w:val="none"/>
              </w:rPr>
              <w:t>的销售服务费。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2.托管费：收取年化</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szCs w:val="21"/>
                <w:highlight w:val="none"/>
              </w:rPr>
              <w:t>%〗</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D份额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E份额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F</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G</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H份额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Y份额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Z</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hint="eastAsia"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7.浮动管理费：本理财计划免除浮动管理费。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2</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提前终止</w:t>
            </w:r>
          </w:p>
        </w:tc>
        <w:tc>
          <w:tcPr>
            <w:tcW w:w="7281" w:type="dxa"/>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281" w:type="dxa"/>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281" w:type="dxa"/>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4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2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Cs w:val="21"/>
                <w:highlight w:val="none"/>
              </w:rPr>
            </w:pPr>
            <w:r>
              <w:rPr>
                <w:rFonts w:hint="eastAsia" w:ascii="宋体" w:hAnsi="宋体" w:cs="宋体"/>
                <w:color w:val="000000"/>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0"/>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2"/>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固定收益类资产：包括但不限于各类债券、存款、货币市场金融工具等高流动性资产、货币市场基金、债券基金、质押式及买断式回购，其他符合监管要求的固定收益类资产及资产管理产品。</w:t>
      </w:r>
    </w:p>
    <w:p>
      <w:pPr>
        <w:numPr>
          <w:ilvl w:val="0"/>
          <w:numId w:val="12"/>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权益类资产：包括国内发行上市优先股以及其他符合监管要求的权益类资产（不包括未上市企业股权）。</w:t>
      </w:r>
    </w:p>
    <w:p>
      <w:pPr>
        <w:numPr>
          <w:ilvl w:val="0"/>
          <w:numId w:val="12"/>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10</w:t>
            </w: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highlight w:val="none"/>
              </w:rPr>
            </w:pPr>
          </w:p>
        </w:tc>
        <w:tc>
          <w:tcPr>
            <w:tcW w:w="4740" w:type="dxa"/>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本着稳健投资的理念，基于宏观经济形势、货币政策、固定收益资产价格走势，采用安全性和流动性优先、优选投资品种，采取久期策略、杠杆策略和信用策略来获取稳定收益。本产品以固定收益投资为主，主要投资于债券、存款、货币基金等高流动性资产并通过开展债券回购等融入或融出资金，以应对流动性需要和提高资金使用效率。</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投资限制</w:t>
      </w:r>
      <w:r>
        <w:rPr>
          <w:rFonts w:hint="eastAsia" w:ascii="宋体" w:hAnsi="宋体" w:cs="宋体"/>
          <w:bCs/>
          <w:sz w:val="24"/>
          <w:highlight w:val="none"/>
        </w:rPr>
        <w:t>中列示的资产品种不代表管理人的实际投向，本理财计划投资范围以“投资范围”章节表述为准</w:t>
      </w:r>
      <w:r>
        <w:rPr>
          <w:rFonts w:hint="eastAsia" w:ascii="宋体" w:hAnsi="宋体" w:cs="宋体"/>
          <w:bCs/>
          <w:sz w:val="24"/>
          <w:highlight w:val="none"/>
          <w:lang w:eastAsia="zh-CN"/>
        </w:rPr>
        <w:t>。</w:t>
      </w:r>
    </w:p>
    <w:p>
      <w:pPr>
        <w:numPr>
          <w:ilvl w:val="0"/>
          <w:numId w:val="13"/>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3"/>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18"/>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9"/>
        <w:tblW w:w="779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53" w:type="dxa"/>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53" w:type="dxa"/>
          </w:tcPr>
          <w:p>
            <w:pPr>
              <w:spacing w:line="36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lang w:val="en-US" w:eastAsia="zh-CN"/>
              </w:rPr>
              <w:t>兴业</w:t>
            </w:r>
            <w:r>
              <w:rPr>
                <w:rFonts w:hint="eastAsia" w:ascii="宋体" w:hAnsi="宋体" w:cs="宋体"/>
                <w:bCs/>
                <w:szCs w:val="21"/>
                <w:highlight w:val="none"/>
              </w:rPr>
              <w:t>银行股份有限公司</w:t>
            </w:r>
          </w:p>
        </w:tc>
        <w:tc>
          <w:tcPr>
            <w:tcW w:w="1155"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vAlign w:val="center"/>
          </w:tcPr>
          <w:p>
            <w:pPr>
              <w:widowControl/>
              <w:jc w:val="center"/>
              <w:rPr>
                <w:rFonts w:ascii="宋体" w:hAnsi="宋体" w:cs="宋体"/>
                <w:bCs/>
                <w:szCs w:val="21"/>
                <w:highlight w:val="none"/>
              </w:rPr>
            </w:pPr>
            <w:r>
              <w:rPr>
                <w:rFonts w:hint="eastAsia" w:ascii="宋体" w:hAnsi="宋体" w:cs="宋体"/>
                <w:bCs/>
                <w:szCs w:val="21"/>
                <w:highlight w:val="none"/>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spacing w:line="360" w:lineRule="auto"/>
              <w:jc w:val="center"/>
              <w:rPr>
                <w:rFonts w:ascii="宋体" w:hAnsi="宋体" w:cs="宋体"/>
                <w:bCs/>
                <w:szCs w:val="21"/>
                <w:highlight w:val="none"/>
              </w:rPr>
            </w:pPr>
          </w:p>
        </w:tc>
        <w:tc>
          <w:tcPr>
            <w:tcW w:w="1155"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vAlign w:val="center"/>
          </w:tcPr>
          <w:p>
            <w:pPr>
              <w:spacing w:line="360" w:lineRule="auto"/>
              <w:jc w:val="center"/>
              <w:rPr>
                <w:rFonts w:hint="default" w:ascii="宋体" w:hAnsi="宋体" w:eastAsia="宋体" w:cs="宋体"/>
                <w:bCs/>
                <w:szCs w:val="21"/>
                <w:highlight w:val="none"/>
                <w:lang w:val="en-US" w:eastAsia="zh-CN"/>
              </w:rPr>
            </w:pPr>
            <w:r>
              <w:rPr>
                <w:rFonts w:hint="eastAsia" w:ascii="宋体" w:hAnsi="宋体" w:cs="宋体"/>
                <w:bCs/>
                <w:szCs w:val="21"/>
                <w:highlight w:val="none"/>
              </w:rPr>
              <w:t>95</w:t>
            </w:r>
            <w:r>
              <w:rPr>
                <w:rFonts w:hint="eastAsia" w:ascii="宋体" w:hAnsi="宋体" w:cs="宋体"/>
                <w:bCs/>
                <w:szCs w:val="21"/>
                <w:highlight w:val="none"/>
                <w:lang w:val="en-US" w:eastAsia="zh-CN"/>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restart"/>
            <w:vAlign w:val="center"/>
          </w:tcPr>
          <w:p>
            <w:pPr>
              <w:widowControl/>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杭州银行</w:t>
            </w:r>
            <w:r>
              <w:rPr>
                <w:rFonts w:hint="eastAsia" w:ascii="宋体" w:hAnsi="宋体" w:cs="宋体"/>
                <w:bCs/>
                <w:szCs w:val="21"/>
                <w:highlight w:val="none"/>
              </w:rPr>
              <w:t>股份有限公司</w:t>
            </w: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vAlign w:val="center"/>
          </w:tcPr>
          <w:p>
            <w:pPr>
              <w:widowControl/>
              <w:jc w:val="center"/>
              <w:rPr>
                <w:rFonts w:hint="eastAsia" w:ascii="宋体" w:hAnsi="宋体" w:eastAsia="宋体" w:cs="宋体"/>
                <w:color w:val="000000"/>
                <w:kern w:val="0"/>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widowControl/>
              <w:jc w:val="center"/>
              <w:rPr>
                <w:rFonts w:hint="eastAsia" w:ascii="宋体" w:hAnsi="宋体" w:cs="宋体"/>
                <w:color w:val="000000"/>
                <w:kern w:val="0"/>
                <w:highlight w:val="none"/>
              </w:rPr>
            </w:pPr>
          </w:p>
        </w:tc>
        <w:tc>
          <w:tcPr>
            <w:tcW w:w="1155" w:type="dxa"/>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vAlign w:val="center"/>
          </w:tcPr>
          <w:p>
            <w:pPr>
              <w:widowControl/>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highlight w:val="none"/>
                <w:lang w:val="en-US" w:eastAsia="zh-CN"/>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restart"/>
            <w:vAlign w:val="center"/>
          </w:tcPr>
          <w:p>
            <w:pPr>
              <w:widowControl/>
              <w:jc w:val="center"/>
              <w:rPr>
                <w:rFonts w:ascii="宋体" w:hAnsi="宋体" w:cs="宋体"/>
                <w:bCs/>
                <w:szCs w:val="21"/>
                <w:highlight w:val="none"/>
              </w:rPr>
            </w:pPr>
            <w:r>
              <w:rPr>
                <w:rFonts w:hint="eastAsia" w:ascii="宋体" w:hAnsi="宋体" w:cs="宋体"/>
                <w:color w:val="000000"/>
                <w:kern w:val="0"/>
                <w:highlight w:val="none"/>
              </w:rPr>
              <w:t>杭银理财有限责任公司</w:t>
            </w:r>
          </w:p>
        </w:tc>
        <w:tc>
          <w:tcPr>
            <w:tcW w:w="1155" w:type="dxa"/>
            <w:vAlign w:val="center"/>
          </w:tcPr>
          <w:p>
            <w:pPr>
              <w:widowControl/>
              <w:jc w:val="center"/>
              <w:rPr>
                <w:rFonts w:hint="eastAsia" w:ascii="宋体" w:hAnsi="宋体" w:cs="宋体"/>
                <w:bCs/>
                <w:szCs w:val="21"/>
                <w:highlight w:val="none"/>
              </w:rPr>
            </w:pPr>
            <w:r>
              <w:rPr>
                <w:rFonts w:hint="eastAsia" w:ascii="宋体" w:hAnsi="宋体" w:cs="宋体"/>
                <w:color w:val="000000"/>
                <w:kern w:val="0"/>
                <w:highlight w:val="none"/>
              </w:rPr>
              <w:t>住所</w:t>
            </w:r>
          </w:p>
        </w:tc>
        <w:tc>
          <w:tcPr>
            <w:tcW w:w="3210" w:type="dxa"/>
            <w:vAlign w:val="center"/>
          </w:tcPr>
          <w:p>
            <w:pPr>
              <w:widowControl/>
              <w:jc w:val="center"/>
              <w:rPr>
                <w:rFonts w:hint="eastAsia" w:ascii="宋体" w:hAnsi="宋体" w:cs="宋体"/>
                <w:bCs/>
                <w:szCs w:val="21"/>
                <w:highlight w:val="none"/>
              </w:rPr>
            </w:pPr>
            <w:r>
              <w:rPr>
                <w:rFonts w:hint="eastAsia" w:ascii="宋体" w:hAnsi="宋体" w:cs="宋体"/>
                <w:color w:val="000000"/>
                <w:kern w:val="0"/>
                <w:highlight w:val="none"/>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tcPr>
          <w:p>
            <w:pPr>
              <w:spacing w:line="360" w:lineRule="auto"/>
              <w:jc w:val="left"/>
              <w:rPr>
                <w:rFonts w:ascii="宋体" w:hAnsi="宋体" w:cs="宋体"/>
                <w:bCs/>
                <w:szCs w:val="21"/>
                <w:highlight w:val="none"/>
              </w:rPr>
            </w:pPr>
          </w:p>
        </w:tc>
        <w:tc>
          <w:tcPr>
            <w:tcW w:w="2475" w:type="dxa"/>
            <w:vMerge w:val="continue"/>
            <w:vAlign w:val="center"/>
          </w:tcPr>
          <w:p>
            <w:pPr>
              <w:widowControl/>
              <w:jc w:val="left"/>
              <w:rPr>
                <w:rFonts w:ascii="宋体" w:hAnsi="宋体" w:cs="宋体"/>
                <w:bCs/>
                <w:szCs w:val="21"/>
                <w:highlight w:val="none"/>
              </w:rPr>
            </w:pPr>
          </w:p>
        </w:tc>
        <w:tc>
          <w:tcPr>
            <w:tcW w:w="1155" w:type="dxa"/>
            <w:vAlign w:val="center"/>
          </w:tcPr>
          <w:p>
            <w:pPr>
              <w:widowControl/>
              <w:jc w:val="center"/>
              <w:rPr>
                <w:rFonts w:hint="eastAsia" w:ascii="宋体" w:hAnsi="宋体" w:cs="宋体"/>
                <w:bCs/>
                <w:szCs w:val="21"/>
                <w:highlight w:val="none"/>
              </w:rPr>
            </w:pPr>
            <w:r>
              <w:rPr>
                <w:rFonts w:hint="eastAsia" w:ascii="宋体" w:hAnsi="宋体" w:cs="宋体"/>
                <w:color w:val="000000"/>
                <w:kern w:val="0"/>
                <w:highlight w:val="none"/>
              </w:rPr>
              <w:t>客服热线</w:t>
            </w:r>
          </w:p>
        </w:tc>
        <w:tc>
          <w:tcPr>
            <w:tcW w:w="3210" w:type="dxa"/>
            <w:vAlign w:val="center"/>
          </w:tcPr>
          <w:p>
            <w:pPr>
              <w:widowControl/>
              <w:jc w:val="center"/>
              <w:rPr>
                <w:rFonts w:hint="eastAsia" w:ascii="宋体" w:hAnsi="宋体" w:cs="宋体"/>
                <w:bCs/>
                <w:szCs w:val="21"/>
                <w:highlight w:val="none"/>
              </w:rPr>
            </w:pPr>
            <w:r>
              <w:rPr>
                <w:rFonts w:hint="eastAsia" w:ascii="宋体" w:hAnsi="宋体" w:cs="宋体"/>
                <w:color w:val="000000"/>
                <w:kern w:val="0"/>
                <w:highlight w:val="none"/>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tcPr>
          <w:p>
            <w:pPr>
              <w:spacing w:line="360" w:lineRule="auto"/>
              <w:jc w:val="left"/>
              <w:rPr>
                <w:rFonts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p>
    <w:p>
      <w:pPr>
        <w:spacing w:line="360" w:lineRule="auto"/>
        <w:jc w:val="left"/>
        <w:rPr>
          <w:rFonts w:hint="eastAsia" w:ascii="宋体" w:hAnsi="宋体" w:cs="宋体"/>
          <w:bCs/>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8"/>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8"/>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 xml:space="preserve">估值差错处理 </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23"/>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24"/>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本理财计划涉及费用包括销售服务费、托管费、固定管理费、认购费、申购费、赎回费、浮动管理费以及理财计划运作和清算中产生的其他费用等。</w:t>
      </w:r>
    </w:p>
    <w:p>
      <w:pPr>
        <w:numPr>
          <w:ilvl w:val="0"/>
          <w:numId w:val="24"/>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Cs w:val="21"/>
          <w:highlight w:val="none"/>
        </w:rPr>
        <w:t>〖</w:t>
      </w:r>
      <w:r>
        <w:rPr>
          <w:rFonts w:hint="eastAsia" w:ascii="宋体" w:hAnsi="宋体" w:cs="宋体"/>
          <w:bCs/>
          <w:color w:val="000000"/>
          <w:sz w:val="24"/>
          <w:highlight w:val="none"/>
          <w:lang w:val="en-US" w:eastAsia="zh-CN"/>
        </w:rPr>
        <w:t>A份额</w:t>
      </w:r>
      <w:r>
        <w:rPr>
          <w:rFonts w:hint="eastAsia" w:ascii="宋体" w:hAnsi="宋体" w:cs="宋体"/>
          <w:szCs w:val="21"/>
          <w:highlight w:val="none"/>
        </w:rPr>
        <w:t>〗</w:t>
      </w:r>
      <w:r>
        <w:rPr>
          <w:rFonts w:hint="eastAsia" w:ascii="宋体" w:hAnsi="宋体" w:cs="宋体"/>
          <w:bCs/>
          <w:color w:val="000000"/>
          <w:sz w:val="24"/>
          <w:highlight w:val="none"/>
        </w:rPr>
        <w:t>年化销售服务费率为</w:t>
      </w:r>
      <w:r>
        <w:rPr>
          <w:rFonts w:hint="eastAsia" w:ascii="宋体" w:hAnsi="宋体" w:cs="宋体"/>
          <w:szCs w:val="21"/>
          <w:highlight w:val="none"/>
        </w:rPr>
        <w:t>〖</w:t>
      </w:r>
      <w:r>
        <w:rPr>
          <w:rFonts w:hint="eastAsia" w:ascii="宋体" w:hAnsi="宋体" w:cs="宋体"/>
          <w:sz w:val="24"/>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 w:val="24"/>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〗年化固定管理费率为</w:t>
      </w:r>
      <w:r>
        <w:rPr>
          <w:rFonts w:hint="eastAsia" w:ascii="宋体" w:hAnsi="宋体" w:cs="宋体"/>
          <w:sz w:val="24"/>
          <w:highlight w:val="none"/>
        </w:rPr>
        <w:t>〖</w:t>
      </w:r>
      <w:r>
        <w:rPr>
          <w:rFonts w:hint="eastAsia" w:ascii="宋体" w:hAnsi="宋体" w:cs="宋体"/>
          <w:sz w:val="24"/>
          <w:highlight w:val="none"/>
          <w:lang w:val="en-US" w:eastAsia="zh-CN"/>
        </w:rPr>
        <w:t>0.20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0.20</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w:t>
      </w:r>
      <w:r>
        <w:rPr>
          <w:rFonts w:hint="eastAsia" w:ascii="宋体" w:hAnsi="宋体" w:cs="宋体"/>
          <w:bCs/>
          <w:color w:val="000000"/>
          <w:sz w:val="24"/>
          <w:highlight w:val="none"/>
          <w:lang w:eastAsia="zh-CN"/>
        </w:rPr>
        <w:t>下限</w:t>
      </w:r>
      <w:r>
        <w:rPr>
          <w:rFonts w:hint="eastAsia" w:ascii="宋体" w:hAnsi="宋体" w:cs="宋体"/>
          <w:bCs/>
          <w:color w:val="000000"/>
          <w:sz w:val="24"/>
          <w:highlight w:val="none"/>
        </w:rPr>
        <w:t>时，管理人有权减免固定管理费。</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6"/>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6"/>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numPr>
          <w:ilvl w:val="0"/>
          <w:numId w:val="0"/>
        </w:num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27"/>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本理财计划免除浮动管理费。</w:t>
      </w:r>
    </w:p>
    <w:p>
      <w:pPr>
        <w:numPr>
          <w:ilvl w:val="0"/>
          <w:numId w:val="28"/>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31"/>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1"/>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投资者理财收益＝赎回份额×确认日（提前终止日）前一日单位净值+份额持有期间累计分红</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如有</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w:t>
      </w:r>
      <w:r>
        <w:rPr>
          <w:rFonts w:hint="eastAsia" w:ascii="宋体" w:hAnsi="宋体" w:cs="宋体"/>
          <w:bCs/>
          <w:color w:val="000000"/>
          <w:sz w:val="24"/>
          <w:highlight w:val="none"/>
          <w:lang w:val="en-US" w:eastAsia="zh-CN"/>
        </w:rPr>
        <w:t>认购</w:t>
      </w:r>
      <w:r>
        <w:rPr>
          <w:rFonts w:hint="eastAsia" w:ascii="宋体" w:hAnsi="宋体" w:cs="宋体"/>
          <w:bCs/>
          <w:color w:val="000000"/>
          <w:sz w:val="24"/>
          <w:highlight w:val="none"/>
        </w:rPr>
        <w:t>或确认日前一日的单位净值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确认日（提前终止日）前一日单位净值为提取相关费用及税费后的单位理财计划份额净值。</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ascii="宋体" w:hAnsi="宋体" w:cs="宋体"/>
          <w:b/>
          <w:sz w:val="24"/>
          <w:highlight w:val="none"/>
        </w:rPr>
      </w:pPr>
      <w:r>
        <w:rPr>
          <w:rFonts w:hint="eastAsia" w:ascii="宋体" w:hAnsi="宋体" w:cs="宋体"/>
          <w:b/>
          <w:color w:val="000000"/>
          <w:sz w:val="24"/>
          <w:highlight w:val="none"/>
        </w:rPr>
        <w:t>扣除托管费、固定管理费、销售服务费（如有）后，投资产生盈利。</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元，折算份额为100,000.00份，假设投资理财计划364天。赎回时扣除托管费、固定管理费、销售服务费后，如理财计划单位净值为1.02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7%，即投资收益达到〖2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7%〗，投资者最终收益为：100,000.00×(1.0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60.00（元）</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扣除托管费、固定管理费、销售服务费（如有）后，投资发生亏损。</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2" w:firstLineChars="200"/>
        <w:jc w:val="left"/>
        <w:rPr>
          <w:rFonts w:hint="eastAsia" w:ascii="宋体" w:hAnsi="宋体" w:cs="宋体"/>
          <w:b/>
          <w:color w:val="000000"/>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35"/>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35"/>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3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6"/>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3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本理财计划在每个开放期的工作时间可进行申购</w:t>
      </w:r>
      <w:r>
        <w:rPr>
          <w:rFonts w:hint="eastAsia" w:ascii="宋体" w:hAnsi="宋体" w:cs="宋体"/>
          <w:bCs/>
          <w:sz w:val="24"/>
          <w:highlight w:val="none"/>
          <w:lang w:val="en-US" w:eastAsia="zh-CN"/>
        </w:rPr>
        <w:t>、赎回和撤单申请</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申请将在确认日进行确认，即开放期后的第〖1〗个交易日进行确认。</w:t>
      </w:r>
    </w:p>
    <w:p>
      <w:pPr>
        <w:numPr>
          <w:ilvl w:val="0"/>
          <w:numId w:val="3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工作时间为每个交易日上午〖9:00〗至下午〖</w:t>
      </w:r>
      <w:r>
        <w:rPr>
          <w:rFonts w:hint="eastAsia" w:ascii="宋体" w:hAnsi="宋体" w:cs="宋体"/>
          <w:bCs/>
          <w:sz w:val="24"/>
          <w:highlight w:val="none"/>
          <w:lang w:eastAsia="zh-CN"/>
        </w:rPr>
        <w:t>1</w:t>
      </w:r>
      <w:r>
        <w:rPr>
          <w:rFonts w:hint="eastAsia" w:ascii="宋体" w:hAnsi="宋体" w:cs="宋体"/>
          <w:bCs/>
          <w:sz w:val="24"/>
          <w:highlight w:val="none"/>
          <w:lang w:val="en-US" w:eastAsia="zh-CN"/>
        </w:rPr>
        <w:t>7</w:t>
      </w:r>
      <w:r>
        <w:rPr>
          <w:rFonts w:hint="eastAsia" w:ascii="宋体" w:hAnsi="宋体" w:cs="宋体"/>
          <w:bCs/>
          <w:sz w:val="24"/>
          <w:highlight w:val="none"/>
          <w:lang w:eastAsia="zh-CN"/>
        </w:rPr>
        <w:t>:</w:t>
      </w:r>
      <w:r>
        <w:rPr>
          <w:rFonts w:hint="eastAsia" w:ascii="宋体" w:hAnsi="宋体" w:cs="宋体"/>
          <w:bCs/>
          <w:sz w:val="24"/>
          <w:highlight w:val="none"/>
          <w:lang w:val="en-US" w:eastAsia="zh-CN"/>
        </w:rPr>
        <w:t>00</w:t>
      </w:r>
      <w:r>
        <w:rPr>
          <w:rFonts w:hint="eastAsia" w:ascii="宋体" w:hAnsi="宋体" w:cs="宋体"/>
          <w:bCs/>
          <w:sz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具体以销售机构销售要素为准</w:t>
      </w:r>
      <w:r>
        <w:rPr>
          <w:rFonts w:hint="eastAsia" w:ascii="宋体" w:hAnsi="宋体" w:cs="宋体"/>
          <w:bCs/>
          <w:color w:val="auto"/>
          <w:sz w:val="24"/>
          <w:szCs w:val="24"/>
          <w:highlight w:val="none"/>
          <w:lang w:eastAsia="zh-CN"/>
        </w:rPr>
        <w:t>）</w:t>
      </w:r>
      <w:r>
        <w:rPr>
          <w:rFonts w:hint="eastAsia" w:ascii="宋体" w:hAnsi="宋体" w:cs="宋体"/>
          <w:bCs/>
          <w:sz w:val="24"/>
          <w:highlight w:val="none"/>
        </w:rPr>
        <w:t>。</w:t>
      </w:r>
    </w:p>
    <w:p>
      <w:pPr>
        <w:numPr>
          <w:ilvl w:val="0"/>
          <w:numId w:val="38"/>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auto"/>
          <w:sz w:val="24"/>
          <w:szCs w:val="24"/>
          <w:highlight w:val="none"/>
        </w:rPr>
        <w:t>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工作时间内提交的申购/赎回申请，将作为当日申请处理；在开放期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工作时间结束后及非开放期提交的申购/赎回申请，将作为下一开放期的申请处理。</w:t>
      </w:r>
    </w:p>
    <w:p>
      <w:pPr>
        <w:numPr>
          <w:ilvl w:val="0"/>
          <w:numId w:val="3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w:t>
      </w:r>
      <w:r>
        <w:rPr>
          <w:rFonts w:hint="eastAsia" w:ascii="宋体" w:hAnsi="宋体" w:cs="宋体"/>
          <w:bCs/>
          <w:color w:val="auto"/>
          <w:sz w:val="24"/>
          <w:szCs w:val="24"/>
          <w:highlight w:val="none"/>
        </w:rPr>
        <w:t>最快</w:t>
      </w:r>
      <w:r>
        <w:rPr>
          <w:rFonts w:hint="eastAsia" w:ascii="宋体" w:hAnsi="宋体" w:cs="宋体"/>
          <w:bCs/>
          <w:color w:val="auto"/>
          <w:sz w:val="24"/>
          <w:szCs w:val="24"/>
          <w:highlight w:val="none"/>
          <w:lang w:val="en-US" w:eastAsia="zh-CN"/>
        </w:rPr>
        <w:t>于确认日当日</w:t>
      </w:r>
      <w:r>
        <w:rPr>
          <w:rFonts w:hint="eastAsia" w:ascii="宋体" w:hAnsi="宋体" w:cs="宋体"/>
          <w:bCs/>
          <w:color w:val="auto"/>
          <w:sz w:val="24"/>
          <w:szCs w:val="24"/>
          <w:highlight w:val="none"/>
        </w:rPr>
        <w:t>，最晚</w:t>
      </w:r>
      <w:r>
        <w:rPr>
          <w:rFonts w:hint="eastAsia" w:ascii="宋体" w:hAnsi="宋体" w:cs="宋体"/>
          <w:bCs/>
          <w:color w:val="auto"/>
          <w:sz w:val="24"/>
          <w:szCs w:val="24"/>
          <w:highlight w:val="none"/>
          <w:lang w:val="en-US" w:eastAsia="zh-CN"/>
        </w:rPr>
        <w:t>于确认日后</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w:t>
      </w:r>
      <w:r>
        <w:rPr>
          <w:rFonts w:hint="eastAsia" w:ascii="宋体" w:hAnsi="宋体" w:cs="宋体"/>
          <w:bCs/>
          <w:color w:val="auto"/>
          <w:sz w:val="24"/>
          <w:szCs w:val="24"/>
          <w:highlight w:val="none"/>
        </w:rPr>
        <w:t>个交易日内</w:t>
      </w:r>
      <w:r>
        <w:rPr>
          <w:rFonts w:hint="eastAsia" w:ascii="宋体" w:hAnsi="宋体" w:cs="宋体"/>
          <w:bCs/>
          <w:sz w:val="24"/>
          <w:highlight w:val="none"/>
        </w:rPr>
        <w:t>（遇节假日顺延）理财资金与收益将一次性支付。如遇资金在途或法定工作日调整，实际资金到账日以公告为准。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3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3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37"/>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2"/>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〗个交易日内（遇节假日顺延）将资金按规定的要求划入投资者授权指定的理财账户。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3"/>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3"/>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val="en-US" w:eastAsia="zh-CN"/>
        </w:rPr>
        <w:t>管理人</w:t>
      </w:r>
      <w:r>
        <w:rPr>
          <w:rFonts w:hint="eastAsia" w:ascii="宋体" w:hAnsi="宋体" w:cs="宋体"/>
          <w:b/>
          <w:sz w:val="24"/>
          <w:highlight w:val="none"/>
        </w:rPr>
        <w:t>认为应该提前终止的其他情形。</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理财计划合同：管理人应在正式办理理财计划份额认购前披露，包括但不限于风险揭示书、产品说明书、投资者权益须知、理财计划投资协议书以及</w:t>
      </w:r>
      <w:r>
        <w:rPr>
          <w:rFonts w:hint="eastAsia" w:ascii="宋体" w:hAnsi="宋体" w:cs="宋体"/>
          <w:bCs/>
          <w:sz w:val="24"/>
          <w:highlight w:val="none"/>
        </w:rPr>
        <w:t>理财计划销售协议书</w:t>
      </w:r>
      <w:r>
        <w:rPr>
          <w:rFonts w:hint="eastAsia" w:ascii="宋体" w:hAnsi="宋体" w:cs="宋体"/>
          <w:bCs/>
          <w:color w:val="000000"/>
          <w:sz w:val="24"/>
          <w:highlight w:val="none"/>
        </w:rPr>
        <w:t>。</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4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ascii="宋体" w:hAnsi="宋体" w:cs="宋体"/>
          <w:b/>
          <w:sz w:val="24"/>
          <w:highlight w:val="none"/>
        </w:rPr>
      </w:pP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4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49"/>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rPr>
          <w:rFonts w:hint="eastAsia"/>
          <w:b/>
          <w:sz w:val="44"/>
          <w:szCs w:val="4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Cd2ib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kdq88Ir+cpuQROGW&#10;KxxhT4VxaEXdacHyVvx5L1kvv8H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J3aJ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5">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6">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7">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8">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19">
    <w:nsid w:val="D8D75090"/>
    <w:multiLevelType w:val="singleLevel"/>
    <w:tmpl w:val="D8D75090"/>
    <w:lvl w:ilvl="0" w:tentative="0">
      <w:start w:val="1"/>
      <w:numFmt w:val="decimal"/>
      <w:suff w:val="nothing"/>
      <w:lvlText w:val="（%1）"/>
      <w:lvlJc w:val="left"/>
      <w:rPr>
        <w:rFonts w:hint="default"/>
        <w:b w:val="0"/>
        <w:bCs w:val="0"/>
      </w:rPr>
    </w:lvl>
  </w:abstractNum>
  <w:abstractNum w:abstractNumId="20">
    <w:nsid w:val="DD2251DF"/>
    <w:multiLevelType w:val="singleLevel"/>
    <w:tmpl w:val="DD2251DF"/>
    <w:lvl w:ilvl="0" w:tentative="0">
      <w:start w:val="1"/>
      <w:numFmt w:val="decimal"/>
      <w:suff w:val="nothing"/>
      <w:lvlText w:val="（%1）"/>
      <w:lvlJc w:val="left"/>
      <w:rPr>
        <w:rFonts w:hint="default"/>
        <w:b w:val="0"/>
        <w:bCs w:val="0"/>
      </w:rPr>
    </w:lvl>
  </w:abstractNum>
  <w:abstractNum w:abstractNumId="21">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2">
    <w:nsid w:val="E70DF796"/>
    <w:multiLevelType w:val="singleLevel"/>
    <w:tmpl w:val="E70DF796"/>
    <w:lvl w:ilvl="0" w:tentative="0">
      <w:start w:val="1"/>
      <w:numFmt w:val="decimal"/>
      <w:suff w:val="nothing"/>
      <w:lvlText w:val="（%1）"/>
      <w:lvlJc w:val="left"/>
    </w:lvl>
  </w:abstractNum>
  <w:abstractNum w:abstractNumId="23">
    <w:nsid w:val="EFF37F09"/>
    <w:multiLevelType w:val="singleLevel"/>
    <w:tmpl w:val="EFF37F09"/>
    <w:lvl w:ilvl="0" w:tentative="0">
      <w:start w:val="1"/>
      <w:numFmt w:val="decimal"/>
      <w:suff w:val="nothing"/>
      <w:lvlText w:val="（%1）"/>
      <w:lvlJc w:val="left"/>
      <w:rPr>
        <w:rFonts w:hint="default"/>
        <w:b w:val="0"/>
        <w:bCs w:val="0"/>
      </w:rPr>
    </w:lvl>
  </w:abstractNum>
  <w:abstractNum w:abstractNumId="24">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5">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6">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7">
    <w:nsid w:val="F574F5B6"/>
    <w:multiLevelType w:val="singleLevel"/>
    <w:tmpl w:val="F574F5B6"/>
    <w:lvl w:ilvl="0" w:tentative="0">
      <w:start w:val="1"/>
      <w:numFmt w:val="decimal"/>
      <w:suff w:val="nothing"/>
      <w:lvlText w:val="（%1）"/>
      <w:lvlJc w:val="left"/>
    </w:lvl>
  </w:abstractNum>
  <w:abstractNum w:abstractNumId="28">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29">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0">
    <w:nsid w:val="084A6179"/>
    <w:multiLevelType w:val="singleLevel"/>
    <w:tmpl w:val="084A6179"/>
    <w:lvl w:ilvl="0" w:tentative="0">
      <w:start w:val="1"/>
      <w:numFmt w:val="decimal"/>
      <w:suff w:val="nothing"/>
      <w:lvlText w:val="（%1）"/>
      <w:lvlJc w:val="left"/>
    </w:lvl>
  </w:abstractNum>
  <w:abstractNum w:abstractNumId="31">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2">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4">
    <w:nsid w:val="167B0BB4"/>
    <w:multiLevelType w:val="singleLevel"/>
    <w:tmpl w:val="167B0BB4"/>
    <w:lvl w:ilvl="0" w:tentative="0">
      <w:start w:val="1"/>
      <w:numFmt w:val="decimal"/>
      <w:suff w:val="nothing"/>
      <w:lvlText w:val="（%1）"/>
      <w:lvlJc w:val="left"/>
    </w:lvl>
  </w:abstractNum>
  <w:abstractNum w:abstractNumId="35">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7">
    <w:nsid w:val="2CB63BE6"/>
    <w:multiLevelType w:val="singleLevel"/>
    <w:tmpl w:val="2CB63BE6"/>
    <w:lvl w:ilvl="0" w:tentative="0">
      <w:start w:val="1"/>
      <w:numFmt w:val="decimal"/>
      <w:suff w:val="nothing"/>
      <w:lvlText w:val="（%1）"/>
      <w:lvlJc w:val="left"/>
      <w:rPr>
        <w:rFonts w:hint="default"/>
        <w:b w:val="0"/>
        <w:bCs w:val="0"/>
      </w:rPr>
    </w:lvl>
  </w:abstractNum>
  <w:abstractNum w:abstractNumId="3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3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1">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3">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4">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5">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6">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7">
    <w:nsid w:val="5BA91325"/>
    <w:multiLevelType w:val="singleLevel"/>
    <w:tmpl w:val="5BA91325"/>
    <w:lvl w:ilvl="0" w:tentative="0">
      <w:start w:val="1"/>
      <w:numFmt w:val="decimal"/>
      <w:suff w:val="nothing"/>
      <w:lvlText w:val="（%1）"/>
      <w:lvlJc w:val="left"/>
    </w:lvl>
  </w:abstractNum>
  <w:abstractNum w:abstractNumId="48">
    <w:nsid w:val="61F30F62"/>
    <w:multiLevelType w:val="singleLevel"/>
    <w:tmpl w:val="61F30F62"/>
    <w:lvl w:ilvl="0" w:tentative="0">
      <w:start w:val="1"/>
      <w:numFmt w:val="decimal"/>
      <w:suff w:val="nothing"/>
      <w:lvlText w:val="（%1）"/>
      <w:lvlJc w:val="left"/>
      <w:rPr>
        <w:rFonts w:hint="default"/>
        <w:b w:val="0"/>
        <w:bCs w:val="0"/>
      </w:rPr>
    </w:lvl>
  </w:abstractNum>
  <w:abstractNum w:abstractNumId="49">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5"/>
  </w:num>
  <w:num w:numId="2">
    <w:abstractNumId w:val="42"/>
  </w:num>
  <w:num w:numId="3">
    <w:abstractNumId w:val="28"/>
  </w:num>
  <w:num w:numId="4">
    <w:abstractNumId w:val="25"/>
  </w:num>
  <w:num w:numId="5">
    <w:abstractNumId w:val="32"/>
  </w:num>
  <w:num w:numId="6">
    <w:abstractNumId w:val="24"/>
  </w:num>
  <w:num w:numId="7">
    <w:abstractNumId w:val="16"/>
  </w:num>
  <w:num w:numId="8">
    <w:abstractNumId w:val="10"/>
  </w:num>
  <w:num w:numId="9">
    <w:abstractNumId w:val="7"/>
  </w:num>
  <w:num w:numId="10">
    <w:abstractNumId w:val="8"/>
  </w:num>
  <w:num w:numId="11">
    <w:abstractNumId w:val="6"/>
  </w:num>
  <w:num w:numId="12">
    <w:abstractNumId w:val="31"/>
  </w:num>
  <w:num w:numId="13">
    <w:abstractNumId w:val="41"/>
  </w:num>
  <w:num w:numId="14">
    <w:abstractNumId w:val="27"/>
  </w:num>
  <w:num w:numId="15">
    <w:abstractNumId w:val="47"/>
  </w:num>
  <w:num w:numId="16">
    <w:abstractNumId w:val="15"/>
  </w:num>
  <w:num w:numId="17">
    <w:abstractNumId w:val="36"/>
  </w:num>
  <w:num w:numId="18">
    <w:abstractNumId w:val="18"/>
  </w:num>
  <w:num w:numId="19">
    <w:abstractNumId w:val="5"/>
  </w:num>
  <w:num w:numId="20">
    <w:abstractNumId w:val="44"/>
  </w:num>
  <w:num w:numId="21">
    <w:abstractNumId w:val="4"/>
  </w:num>
  <w:num w:numId="22">
    <w:abstractNumId w:val="30"/>
  </w:num>
  <w:num w:numId="23">
    <w:abstractNumId w:val="35"/>
  </w:num>
  <w:num w:numId="24">
    <w:abstractNumId w:val="49"/>
  </w:num>
  <w:num w:numId="25">
    <w:abstractNumId w:val="29"/>
  </w:num>
  <w:num w:numId="26">
    <w:abstractNumId w:val="17"/>
  </w:num>
  <w:num w:numId="27">
    <w:abstractNumId w:val="38"/>
  </w:num>
  <w:num w:numId="28">
    <w:abstractNumId w:val="0"/>
  </w:num>
  <w:num w:numId="29">
    <w:abstractNumId w:val="20"/>
  </w:num>
  <w:num w:numId="30">
    <w:abstractNumId w:val="40"/>
  </w:num>
  <w:num w:numId="31">
    <w:abstractNumId w:val="2"/>
  </w:num>
  <w:num w:numId="32">
    <w:abstractNumId w:val="21"/>
  </w:num>
  <w:num w:numId="33">
    <w:abstractNumId w:val="13"/>
  </w:num>
  <w:num w:numId="34">
    <w:abstractNumId w:val="43"/>
  </w:num>
  <w:num w:numId="35">
    <w:abstractNumId w:val="33"/>
  </w:num>
  <w:num w:numId="36">
    <w:abstractNumId w:val="14"/>
  </w:num>
  <w:num w:numId="37">
    <w:abstractNumId w:val="26"/>
  </w:num>
  <w:num w:numId="38">
    <w:abstractNumId w:val="22"/>
  </w:num>
  <w:num w:numId="39">
    <w:abstractNumId w:val="23"/>
  </w:num>
  <w:num w:numId="40">
    <w:abstractNumId w:val="48"/>
  </w:num>
  <w:num w:numId="41">
    <w:abstractNumId w:val="37"/>
  </w:num>
  <w:num w:numId="42">
    <w:abstractNumId w:val="1"/>
  </w:num>
  <w:num w:numId="43">
    <w:abstractNumId w:val="46"/>
  </w:num>
  <w:num w:numId="44">
    <w:abstractNumId w:val="11"/>
  </w:num>
  <w:num w:numId="45">
    <w:abstractNumId w:val="9"/>
  </w:num>
  <w:num w:numId="46">
    <w:abstractNumId w:val="12"/>
  </w:num>
  <w:num w:numId="47">
    <w:abstractNumId w:val="34"/>
  </w:num>
  <w:num w:numId="48">
    <w:abstractNumId w:val="19"/>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68177F"/>
    <w:rsid w:val="04845B79"/>
    <w:rsid w:val="06605967"/>
    <w:rsid w:val="06DF1F61"/>
    <w:rsid w:val="07F57DA4"/>
    <w:rsid w:val="0825466B"/>
    <w:rsid w:val="08C06B57"/>
    <w:rsid w:val="0AEF3D0C"/>
    <w:rsid w:val="0B413915"/>
    <w:rsid w:val="0B8251C9"/>
    <w:rsid w:val="0B9C1C2D"/>
    <w:rsid w:val="0B9E090F"/>
    <w:rsid w:val="0CD50D95"/>
    <w:rsid w:val="0E7B6A15"/>
    <w:rsid w:val="0E9E528B"/>
    <w:rsid w:val="0EEF1A49"/>
    <w:rsid w:val="0F777231"/>
    <w:rsid w:val="0F8072BB"/>
    <w:rsid w:val="0F866D61"/>
    <w:rsid w:val="0FA604D1"/>
    <w:rsid w:val="0FAD023A"/>
    <w:rsid w:val="10267CF2"/>
    <w:rsid w:val="10D07610"/>
    <w:rsid w:val="10E505B7"/>
    <w:rsid w:val="1141717E"/>
    <w:rsid w:val="11C946E2"/>
    <w:rsid w:val="125A7678"/>
    <w:rsid w:val="126D33E8"/>
    <w:rsid w:val="127D7AC5"/>
    <w:rsid w:val="132F20ED"/>
    <w:rsid w:val="14233F1C"/>
    <w:rsid w:val="144F2413"/>
    <w:rsid w:val="14CB7308"/>
    <w:rsid w:val="15025C38"/>
    <w:rsid w:val="15507D31"/>
    <w:rsid w:val="155A68E0"/>
    <w:rsid w:val="17F36337"/>
    <w:rsid w:val="18A92B8D"/>
    <w:rsid w:val="1BFC63BA"/>
    <w:rsid w:val="1C692544"/>
    <w:rsid w:val="1C79739D"/>
    <w:rsid w:val="1C8F465C"/>
    <w:rsid w:val="1CDE544D"/>
    <w:rsid w:val="1E135651"/>
    <w:rsid w:val="1E544E3F"/>
    <w:rsid w:val="1EF50B96"/>
    <w:rsid w:val="1F7D3106"/>
    <w:rsid w:val="1FDA2F63"/>
    <w:rsid w:val="21A67B64"/>
    <w:rsid w:val="2297514B"/>
    <w:rsid w:val="22B23AF8"/>
    <w:rsid w:val="242D0854"/>
    <w:rsid w:val="247755D9"/>
    <w:rsid w:val="24976248"/>
    <w:rsid w:val="25D26B04"/>
    <w:rsid w:val="25DA3557"/>
    <w:rsid w:val="25E74F4E"/>
    <w:rsid w:val="26B7240F"/>
    <w:rsid w:val="26B84FF0"/>
    <w:rsid w:val="27505FBA"/>
    <w:rsid w:val="2BCD0352"/>
    <w:rsid w:val="2BFB4554"/>
    <w:rsid w:val="2C9B2A75"/>
    <w:rsid w:val="2CA02CA1"/>
    <w:rsid w:val="2CB41CDE"/>
    <w:rsid w:val="2D4B4C9F"/>
    <w:rsid w:val="2E804153"/>
    <w:rsid w:val="2F5B1280"/>
    <w:rsid w:val="2F7A6DFD"/>
    <w:rsid w:val="2FAF3B79"/>
    <w:rsid w:val="2FF60969"/>
    <w:rsid w:val="31750334"/>
    <w:rsid w:val="3182057B"/>
    <w:rsid w:val="32485F31"/>
    <w:rsid w:val="34824A12"/>
    <w:rsid w:val="35105209"/>
    <w:rsid w:val="36810EC8"/>
    <w:rsid w:val="370319F6"/>
    <w:rsid w:val="37501DF6"/>
    <w:rsid w:val="37AE7D0A"/>
    <w:rsid w:val="3888715E"/>
    <w:rsid w:val="389B7D8D"/>
    <w:rsid w:val="39CE7544"/>
    <w:rsid w:val="39DC1BD6"/>
    <w:rsid w:val="3AFE2EA6"/>
    <w:rsid w:val="3B613958"/>
    <w:rsid w:val="3B7A06B4"/>
    <w:rsid w:val="3C162EE1"/>
    <w:rsid w:val="3C72467E"/>
    <w:rsid w:val="3D803185"/>
    <w:rsid w:val="3D952002"/>
    <w:rsid w:val="3DAF1A5E"/>
    <w:rsid w:val="3E267866"/>
    <w:rsid w:val="3E446F72"/>
    <w:rsid w:val="3E6260D1"/>
    <w:rsid w:val="3F9428BE"/>
    <w:rsid w:val="401D42F0"/>
    <w:rsid w:val="40FA2D1A"/>
    <w:rsid w:val="41F97743"/>
    <w:rsid w:val="42E329DD"/>
    <w:rsid w:val="433D378B"/>
    <w:rsid w:val="434C7FF3"/>
    <w:rsid w:val="463B593D"/>
    <w:rsid w:val="46CB2C58"/>
    <w:rsid w:val="48402042"/>
    <w:rsid w:val="48424A1F"/>
    <w:rsid w:val="48975A3F"/>
    <w:rsid w:val="49DD0ED4"/>
    <w:rsid w:val="4A2263FF"/>
    <w:rsid w:val="4A562519"/>
    <w:rsid w:val="4ADD3BE3"/>
    <w:rsid w:val="4B841650"/>
    <w:rsid w:val="4BE505DD"/>
    <w:rsid w:val="4C5C40B1"/>
    <w:rsid w:val="4CC53366"/>
    <w:rsid w:val="4D2E049A"/>
    <w:rsid w:val="4D693017"/>
    <w:rsid w:val="4D7F06C0"/>
    <w:rsid w:val="4D8D1273"/>
    <w:rsid w:val="4F1B6F35"/>
    <w:rsid w:val="4F20048B"/>
    <w:rsid w:val="4F212124"/>
    <w:rsid w:val="4F4A03F3"/>
    <w:rsid w:val="503B586A"/>
    <w:rsid w:val="508D75C7"/>
    <w:rsid w:val="51F56F6B"/>
    <w:rsid w:val="52091595"/>
    <w:rsid w:val="5221238A"/>
    <w:rsid w:val="5246747D"/>
    <w:rsid w:val="525024E8"/>
    <w:rsid w:val="52D20572"/>
    <w:rsid w:val="5349716A"/>
    <w:rsid w:val="53916CC5"/>
    <w:rsid w:val="543B6C03"/>
    <w:rsid w:val="5452022E"/>
    <w:rsid w:val="550A7003"/>
    <w:rsid w:val="554B520C"/>
    <w:rsid w:val="55967810"/>
    <w:rsid w:val="55A42FA5"/>
    <w:rsid w:val="55D73C36"/>
    <w:rsid w:val="56192B5A"/>
    <w:rsid w:val="5764451A"/>
    <w:rsid w:val="58DD72C6"/>
    <w:rsid w:val="59B25F66"/>
    <w:rsid w:val="5A0B1227"/>
    <w:rsid w:val="5A1E2133"/>
    <w:rsid w:val="5B2F0B8B"/>
    <w:rsid w:val="5BFA606A"/>
    <w:rsid w:val="5C7E7C83"/>
    <w:rsid w:val="5D6E6559"/>
    <w:rsid w:val="5DF93585"/>
    <w:rsid w:val="5E531617"/>
    <w:rsid w:val="5F087411"/>
    <w:rsid w:val="5FE37D04"/>
    <w:rsid w:val="60A362BD"/>
    <w:rsid w:val="60C809E8"/>
    <w:rsid w:val="60DD604A"/>
    <w:rsid w:val="612B3563"/>
    <w:rsid w:val="61AF074A"/>
    <w:rsid w:val="62D35EDA"/>
    <w:rsid w:val="64606D9B"/>
    <w:rsid w:val="66853343"/>
    <w:rsid w:val="66A95B28"/>
    <w:rsid w:val="66B655AC"/>
    <w:rsid w:val="67075395"/>
    <w:rsid w:val="67B46A51"/>
    <w:rsid w:val="68982F49"/>
    <w:rsid w:val="68C43CF2"/>
    <w:rsid w:val="68E6218C"/>
    <w:rsid w:val="697836CF"/>
    <w:rsid w:val="698C75AE"/>
    <w:rsid w:val="69A5600A"/>
    <w:rsid w:val="69FF60E8"/>
    <w:rsid w:val="6B5C27F1"/>
    <w:rsid w:val="6C1A61DA"/>
    <w:rsid w:val="6CB00E61"/>
    <w:rsid w:val="6DCE5B48"/>
    <w:rsid w:val="6E822944"/>
    <w:rsid w:val="6F443EC4"/>
    <w:rsid w:val="709F5E89"/>
    <w:rsid w:val="70DE1F58"/>
    <w:rsid w:val="723B4B2B"/>
    <w:rsid w:val="72CF076E"/>
    <w:rsid w:val="73040C29"/>
    <w:rsid w:val="736047B8"/>
    <w:rsid w:val="739F7200"/>
    <w:rsid w:val="74F55397"/>
    <w:rsid w:val="753F4B02"/>
    <w:rsid w:val="7790260C"/>
    <w:rsid w:val="779E2189"/>
    <w:rsid w:val="77B52AAE"/>
    <w:rsid w:val="780A669C"/>
    <w:rsid w:val="789E1844"/>
    <w:rsid w:val="79C90C2C"/>
    <w:rsid w:val="7A3B2905"/>
    <w:rsid w:val="7AC953A0"/>
    <w:rsid w:val="7AFD2104"/>
    <w:rsid w:val="7B0F21D0"/>
    <w:rsid w:val="7C0B400E"/>
    <w:rsid w:val="7CC17505"/>
    <w:rsid w:val="7E09751D"/>
    <w:rsid w:val="7E113679"/>
    <w:rsid w:val="7EA570C5"/>
    <w:rsid w:val="7F074098"/>
    <w:rsid w:val="7F7D20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16"/>
    <w:qFormat/>
    <w:uiPriority w:val="0"/>
    <w:pPr>
      <w:jc w:val="left"/>
    </w:pPr>
    <w:rPr>
      <w:rFonts w:cs="Times New Roman"/>
    </w:rPr>
  </w:style>
  <w:style w:type="paragraph" w:styleId="4">
    <w:name w:val="Balloon Text"/>
    <w:basedOn w:val="1"/>
    <w:link w:val="15"/>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4"/>
    <w:qFormat/>
    <w:uiPriority w:val="0"/>
    <w:rPr>
      <w:rFonts w:cs="Times New Roman"/>
      <w:b/>
      <w:bCs/>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主题 Char"/>
    <w:link w:val="8"/>
    <w:qFormat/>
    <w:uiPriority w:val="0"/>
    <w:rPr>
      <w:rFonts w:ascii="Calibri" w:hAnsi="Calibri" w:cs="黑体"/>
      <w:b/>
      <w:bCs/>
      <w:kern w:val="2"/>
      <w:sz w:val="21"/>
      <w:szCs w:val="24"/>
    </w:rPr>
  </w:style>
  <w:style w:type="character" w:customStyle="1" w:styleId="15">
    <w:name w:val="批注框文本 Char"/>
    <w:link w:val="4"/>
    <w:qFormat/>
    <w:uiPriority w:val="0"/>
    <w:rPr>
      <w:rFonts w:ascii="Calibri" w:hAnsi="Calibri" w:cs="黑体"/>
      <w:kern w:val="2"/>
      <w:sz w:val="18"/>
      <w:szCs w:val="18"/>
    </w:rPr>
  </w:style>
  <w:style w:type="character" w:customStyle="1" w:styleId="16">
    <w:name w:val="批注文字 Char"/>
    <w:link w:val="3"/>
    <w:qFormat/>
    <w:uiPriority w:val="0"/>
    <w:rPr>
      <w:rFonts w:ascii="Calibri" w:hAnsi="Calibri" w:cs="黑体"/>
      <w:kern w:val="2"/>
      <w:sz w:val="21"/>
      <w:szCs w:val="24"/>
    </w:rPr>
  </w:style>
  <w:style w:type="paragraph" w:customStyle="1" w:styleId="17">
    <w:name w:val="List Paragraph"/>
    <w:basedOn w:val="1"/>
    <w:unhideWhenUsed/>
    <w:qFormat/>
    <w:uiPriority w:val="99"/>
    <w:pPr>
      <w:ind w:firstLine="420" w:firstLineChars="200"/>
    </w:p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35320</Words>
  <Characters>37062</Characters>
  <Lines>255</Lines>
  <Paragraphs>71</Paragraphs>
  <TotalTime>1</TotalTime>
  <ScaleCrop>false</ScaleCrop>
  <LinksUpToDate>false</LinksUpToDate>
  <CharactersWithSpaces>37513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2025-03-24T08:40:15Z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A70A2227A99B4340974191B47870DEF5</vt:lpwstr>
  </property>
  <property fmtid="{D5CDD505-2E9C-101B-9397-08002B2CF9AE}" pid="3" name="KSOProductBuildVer">
    <vt:lpwstr>2052-11.8.2.8411</vt:lpwstr>
  </property>
</Properties>
</file>