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rPr>
      </w:pPr>
      <w:bookmarkStart w:id="0" w:name="_GoBack"/>
      <w:bookmarkEnd w:id="0"/>
      <w:r>
        <w:rPr>
          <w:rFonts w:hint="eastAsia"/>
        </w:rPr>
        <w:t xml:space="preserve"> </w:t>
      </w:r>
    </w:p>
    <w:p/>
    <w:p/>
    <w:p/>
    <w:p/>
    <w:p/>
    <w:p/>
    <w:p/>
    <w:p/>
    <w:p>
      <w:pPr>
        <w:jc w:val="center"/>
        <w:rPr>
          <w:rFonts w:hint="eastAsia" w:ascii="宋体" w:hAnsi="宋体" w:cs="宋体"/>
          <w:b/>
          <w:bCs/>
          <w:sz w:val="44"/>
          <w:szCs w:val="44"/>
        </w:rPr>
      </w:pPr>
      <w:r>
        <w:rPr>
          <w:rFonts w:hint="eastAsia" w:ascii="宋体" w:hAnsi="宋体" w:cs="宋体"/>
          <w:b/>
          <w:bCs/>
          <w:sz w:val="44"/>
          <w:szCs w:val="44"/>
        </w:rPr>
        <w:t>幸福99丰裕固收763天25071期理财合同</w:t>
      </w: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32"/>
          <w:szCs w:val="32"/>
        </w:rPr>
      </w:pPr>
      <w:r>
        <w:rPr>
          <w:rFonts w:hint="eastAsia" w:ascii="宋体" w:hAnsi="宋体" w:cs="宋体"/>
          <w:sz w:val="32"/>
          <w:szCs w:val="32"/>
        </w:rPr>
        <w:t>理财计划管理人：杭银理财有限责任公司</w:t>
      </w:r>
    </w:p>
    <w:p>
      <w:pPr>
        <w:ind w:firstLine="1280" w:firstLineChars="400"/>
        <w:jc w:val="left"/>
        <w:rPr>
          <w:rFonts w:hint="eastAsia" w:ascii="宋体" w:hAnsi="宋体" w:cs="宋体"/>
          <w:sz w:val="32"/>
          <w:szCs w:val="32"/>
        </w:rPr>
      </w:pPr>
      <w:r>
        <w:rPr>
          <w:rFonts w:hint="eastAsia" w:ascii="宋体" w:hAnsi="宋体" w:cs="宋体"/>
          <w:sz w:val="32"/>
          <w:szCs w:val="32"/>
        </w:rPr>
        <w:t>理财计划托管人：杭州银行股份有限公司</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r>
        <w:rPr>
          <w:rFonts w:ascii="宋体" w:hAnsi="宋体" w:cs="宋体"/>
          <w:sz w:val="32"/>
          <w:szCs w:val="32"/>
        </w:rPr>
        <w:br w:type="page"/>
      </w:r>
    </w:p>
    <w:p>
      <w:pPr>
        <w:jc w:val="center"/>
        <w:rPr>
          <w:rFonts w:hint="eastAsia" w:ascii="宋体" w:hAnsi="宋体" w:cs="宋体"/>
          <w:sz w:val="32"/>
          <w:szCs w:val="32"/>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outlineLvl w:val="0"/>
        <w:rPr>
          <w:rFonts w:hint="eastAsia" w:ascii="宋体" w:hAnsi="宋体" w:cs="宋体"/>
          <w:b/>
          <w:bCs/>
          <w:sz w:val="44"/>
          <w:szCs w:val="44"/>
        </w:rPr>
      </w:pPr>
      <w:r>
        <w:rPr>
          <w:rFonts w:hint="eastAsia" w:ascii="宋体" w:hAnsi="宋体" w:cs="宋体"/>
          <w:b/>
          <w:bCs/>
          <w:sz w:val="44"/>
          <w:szCs w:val="44"/>
        </w:rPr>
        <w:t>幸福99丰裕固收763天25071期理财合同文件</w:t>
      </w:r>
    </w:p>
    <w:p>
      <w:pPr>
        <w:jc w:val="center"/>
        <w:rPr>
          <w:rFonts w:hint="eastAsia" w:ascii="宋体" w:hAnsi="宋体" w:cs="宋体"/>
          <w:sz w:val="44"/>
          <w:szCs w:val="44"/>
        </w:rPr>
      </w:pPr>
    </w:p>
    <w:p>
      <w:pPr>
        <w:jc w:val="center"/>
        <w:rPr>
          <w:rFonts w:hint="eastAsia" w:ascii="宋体" w:hAnsi="宋体" w:cs="宋体"/>
          <w:sz w:val="44"/>
          <w:szCs w:val="44"/>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幸福99丰裕固收763天25071期理财风险揭示书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幸福99丰裕固收763天25071期理财产品说明书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理财计划销售协议书</w:t>
            </w:r>
          </w:p>
        </w:tc>
      </w:tr>
    </w:tbl>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rPr>
          <w:rFonts w:hint="eastAsia" w:ascii="宋体" w:hAnsi="宋体" w:cs="宋体"/>
          <w:b/>
          <w:bCs/>
          <w:sz w:val="44"/>
          <w:szCs w:val="44"/>
        </w:rPr>
      </w:pPr>
    </w:p>
    <w:p>
      <w:pPr>
        <w:jc w:val="center"/>
        <w:outlineLvl w:val="0"/>
        <w:rPr>
          <w:rFonts w:hint="eastAsia" w:ascii="宋体" w:hAnsi="宋体" w:cs="宋体"/>
          <w:b/>
          <w:bCs/>
          <w:sz w:val="44"/>
          <w:szCs w:val="44"/>
        </w:rPr>
      </w:pPr>
      <w:r>
        <w:rPr>
          <w:rFonts w:hint="eastAsia" w:ascii="宋体" w:hAnsi="宋体" w:cs="宋体"/>
          <w:b/>
          <w:bCs/>
          <w:sz w:val="44"/>
          <w:szCs w:val="44"/>
        </w:rPr>
        <w:br w:type="page"/>
      </w:r>
      <w:r>
        <w:rPr>
          <w:rFonts w:hint="eastAsia" w:ascii="宋体" w:hAnsi="宋体" w:cs="宋体"/>
          <w:b/>
          <w:bCs/>
          <w:sz w:val="44"/>
          <w:szCs w:val="44"/>
        </w:rPr>
        <w:t>幸福99丰裕固收763天25071期理财风险揭示书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left"/>
        <w:rPr>
          <w:rFonts w:hint="eastAsia" w:ascii="宋体" w:hAnsi="宋体" w:cs="宋体"/>
          <w:sz w:val="24"/>
        </w:rPr>
      </w:pPr>
      <w:r>
        <w:rPr>
          <w:rFonts w:hint="eastAsia" w:ascii="宋体" w:hAnsi="宋体" w:cs="宋体"/>
          <w:sz w:val="24"/>
        </w:rPr>
        <w:t>尊敬的理财投资者：</w:t>
      </w:r>
    </w:p>
    <w:p>
      <w:pPr>
        <w:spacing w:line="360" w:lineRule="auto"/>
        <w:jc w:val="center"/>
        <w:rPr>
          <w:rFonts w:hint="eastAsia" w:ascii="宋体" w:hAnsi="宋体" w:cs="宋体"/>
          <w:b/>
          <w:bCs/>
          <w:sz w:val="24"/>
          <w:u w:val="single"/>
        </w:rPr>
      </w:pPr>
      <w:r>
        <w:rPr>
          <w:rFonts w:hint="eastAsia" w:ascii="宋体" w:hAnsi="宋体" w:cs="宋体"/>
          <w:b/>
          <w:bCs/>
          <w:sz w:val="24"/>
          <w:u w:val="single"/>
        </w:rPr>
        <w:t>理财非存款、产品有风险、投资须谨慎</w:t>
      </w:r>
    </w:p>
    <w:p>
      <w:pPr>
        <w:spacing w:line="360" w:lineRule="auto"/>
        <w:ind w:firstLine="480" w:firstLineChars="200"/>
        <w:jc w:val="left"/>
        <w:rPr>
          <w:rFonts w:hint="eastAsia" w:ascii="宋体" w:hAnsi="宋体" w:cs="宋体"/>
          <w:b/>
          <w:sz w:val="24"/>
        </w:rPr>
      </w:pPr>
      <w:r>
        <w:rPr>
          <w:rFonts w:hint="eastAsia" w:ascii="宋体" w:hAnsi="宋体" w:cs="宋体"/>
          <w:bCs/>
          <w:sz w:val="24"/>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rPr>
        <w:t>若通过电子渠道购买的，成功交易后视同为投资者与管理人已完成理财计划交易合同的签订</w:t>
      </w:r>
      <w:r>
        <w:rPr>
          <w:rFonts w:hint="eastAsia" w:ascii="宋体" w:hAnsi="宋体" w:cs="宋体"/>
          <w:bCs/>
          <w:sz w:val="24"/>
        </w:rPr>
        <w:t>），了解理财计划相关具体情况，并确保已评估自身的风险承受能力和理财计划相关风险后，谨慎投资。</w:t>
      </w:r>
      <w:r>
        <w:rPr>
          <w:rFonts w:hint="eastAsia" w:ascii="宋体" w:hAnsi="宋体" w:cs="宋体"/>
          <w:b/>
          <w:sz w:val="24"/>
        </w:rPr>
        <w:t>如影响您风险承受能力的因素发生变化，请及时更新风险承受能力评估。</w:t>
      </w:r>
    </w:p>
    <w:p>
      <w:pPr>
        <w:spacing w:line="360" w:lineRule="auto"/>
        <w:ind w:firstLine="480" w:firstLineChars="200"/>
        <w:jc w:val="left"/>
        <w:rPr>
          <w:rFonts w:hint="eastAsia" w:ascii="宋体" w:hAnsi="宋体" w:cs="宋体"/>
          <w:bCs/>
          <w:sz w:val="24"/>
        </w:rPr>
      </w:pPr>
      <w:r>
        <w:rPr>
          <w:rFonts w:hint="eastAsia" w:ascii="宋体" w:hAnsi="宋体" w:cs="宋体"/>
          <w:bCs/>
          <w:sz w:val="24"/>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rPr>
      </w:pPr>
      <w:r>
        <w:rPr>
          <w:rFonts w:hint="eastAsia" w:ascii="宋体" w:hAnsi="宋体" w:cs="宋体"/>
          <w:b/>
          <w:sz w:val="24"/>
        </w:rPr>
        <w:t>理财计划共性风险</w:t>
      </w:r>
    </w:p>
    <w:p>
      <w:pPr>
        <w:numPr>
          <w:ilvl w:val="0"/>
          <w:numId w:val="2"/>
        </w:numPr>
        <w:spacing w:line="360" w:lineRule="auto"/>
        <w:jc w:val="left"/>
        <w:outlineLvl w:val="2"/>
        <w:rPr>
          <w:rFonts w:ascii="宋体" w:hAnsi="宋体" w:cs="宋体"/>
          <w:b/>
          <w:sz w:val="24"/>
        </w:rPr>
      </w:pPr>
      <w:r>
        <w:rPr>
          <w:rFonts w:hint="eastAsia" w:ascii="宋体" w:hAnsi="宋体" w:cs="宋体"/>
          <w:b/>
          <w:sz w:val="24"/>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rPr>
      </w:pPr>
      <w:r>
        <w:rPr>
          <w:rFonts w:hint="eastAsia" w:ascii="宋体" w:hAnsi="宋体" w:cs="宋体"/>
          <w:b/>
          <w:sz w:val="24"/>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rPr>
      </w:pPr>
      <w:r>
        <w:rPr>
          <w:rFonts w:hint="eastAsia" w:ascii="宋体" w:hAnsi="宋体" w:cs="宋体"/>
          <w:b/>
          <w:sz w:val="24"/>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rPr>
      </w:pPr>
      <w:r>
        <w:rPr>
          <w:rFonts w:hint="eastAsia" w:ascii="宋体" w:hAnsi="宋体" w:cs="宋体"/>
          <w:b/>
          <w:sz w:val="24"/>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rPr>
      </w:pPr>
      <w:r>
        <w:rPr>
          <w:rFonts w:hint="eastAsia" w:ascii="宋体" w:hAnsi="宋体" w:cs="宋体"/>
          <w:b/>
          <w:sz w:val="24"/>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rPr>
      </w:pPr>
      <w:r>
        <w:rPr>
          <w:rFonts w:hint="eastAsia" w:ascii="宋体" w:hAnsi="宋体" w:cs="宋体"/>
          <w:b/>
          <w:sz w:val="24"/>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rPr>
      </w:pPr>
      <w:r>
        <w:rPr>
          <w:rFonts w:hint="eastAsia" w:ascii="宋体" w:hAnsi="宋体" w:cs="宋体"/>
          <w:b/>
          <w:sz w:val="24"/>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rPr>
      </w:pPr>
      <w:r>
        <w:rPr>
          <w:rFonts w:hint="eastAsia" w:ascii="宋体" w:hAnsi="宋体" w:cs="宋体"/>
          <w:b/>
          <w:sz w:val="24"/>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rPr>
      </w:pPr>
      <w:r>
        <w:rPr>
          <w:rFonts w:hint="eastAsia" w:ascii="宋体" w:hAnsi="宋体" w:cs="宋体"/>
          <w:b/>
          <w:sz w:val="24"/>
        </w:rPr>
        <w:t>政策风险：理财计划根据当前的相关法规和政策设计，如国家宏观政策以及相关市场法律、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rPr>
      </w:pPr>
      <w:r>
        <w:rPr>
          <w:rFonts w:hint="eastAsia" w:ascii="宋体" w:hAnsi="宋体" w:cs="宋体"/>
          <w:b/>
          <w:sz w:val="24"/>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rPr>
      </w:pPr>
      <w:r>
        <w:rPr>
          <w:rFonts w:hint="eastAsia" w:ascii="宋体" w:hAnsi="宋体" w:cs="宋体"/>
          <w:b/>
          <w:sz w:val="24"/>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rPr>
      </w:pPr>
      <w:r>
        <w:rPr>
          <w:rFonts w:hint="eastAsia" w:ascii="宋体" w:hAnsi="宋体" w:cs="宋体"/>
          <w:b/>
          <w:sz w:val="24"/>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rPr>
      </w:pPr>
      <w:r>
        <w:rPr>
          <w:rFonts w:hint="eastAsia" w:ascii="宋体" w:hAnsi="宋体" w:cs="宋体"/>
          <w:b/>
          <w:sz w:val="24"/>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rPr>
      </w:pPr>
      <w:r>
        <w:rPr>
          <w:rFonts w:hint="eastAsia" w:ascii="宋体" w:hAnsi="宋体" w:cs="宋体"/>
          <w:b/>
          <w:sz w:val="24"/>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rPr>
      </w:pPr>
      <w:r>
        <w:rPr>
          <w:rFonts w:hint="eastAsia" w:ascii="宋体" w:hAnsi="宋体" w:cs="宋体"/>
          <w:b/>
          <w:sz w:val="24"/>
        </w:rPr>
        <w:t>信息传递风险：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numPr>
          <w:ilvl w:val="0"/>
          <w:numId w:val="4"/>
        </w:numPr>
        <w:spacing w:line="360" w:lineRule="auto"/>
        <w:jc w:val="left"/>
        <w:outlineLvl w:val="2"/>
        <w:rPr>
          <w:rFonts w:ascii="宋体" w:hAnsi="宋体" w:cs="宋体"/>
          <w:b/>
          <w:sz w:val="24"/>
        </w:rPr>
      </w:pPr>
      <w:r>
        <w:rPr>
          <w:rFonts w:hint="eastAsia" w:ascii="宋体" w:hAnsi="宋体" w:cs="宋体"/>
          <w:b/>
          <w:sz w:val="24"/>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rPr>
      </w:pPr>
      <w:r>
        <w:rPr>
          <w:rFonts w:hint="eastAsia" w:ascii="宋体" w:hAnsi="宋体" w:cs="宋体"/>
          <w:b/>
          <w:sz w:val="24"/>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rPr>
      </w:pPr>
      <w:r>
        <w:rPr>
          <w:rFonts w:hint="eastAsia" w:ascii="宋体" w:hAnsi="宋体" w:cs="宋体"/>
          <w:b/>
          <w:sz w:val="24"/>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rPr>
      </w:pPr>
      <w:r>
        <w:rPr>
          <w:rFonts w:hint="eastAsia" w:ascii="宋体" w:hAnsi="宋体" w:cs="宋体"/>
          <w:b/>
          <w:sz w:val="24"/>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rPr>
      </w:pPr>
      <w:r>
        <w:rPr>
          <w:rFonts w:hint="eastAsia" w:ascii="宋体" w:hAnsi="宋体" w:cs="宋体"/>
          <w:b/>
          <w:sz w:val="24"/>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rPr>
      </w:pPr>
      <w:r>
        <w:rPr>
          <w:rFonts w:hint="eastAsia" w:ascii="宋体" w:hAnsi="宋体" w:cs="宋体"/>
          <w:b/>
          <w:sz w:val="24"/>
        </w:rPr>
        <w:t>关</w:t>
      </w:r>
      <w:r>
        <w:rPr>
          <w:rFonts w:ascii="宋体" w:hAnsi="宋体" w:cs="宋体"/>
          <w:b/>
          <w:sz w:val="24"/>
        </w:rPr>
        <w:t>联关系风险：本理财</w:t>
      </w:r>
      <w:r>
        <w:rPr>
          <w:rFonts w:hint="eastAsia" w:ascii="宋体" w:hAnsi="宋体" w:cs="宋体"/>
          <w:b/>
          <w:sz w:val="24"/>
        </w:rPr>
        <w:t>计划</w:t>
      </w:r>
      <w:r>
        <w:rPr>
          <w:rFonts w:ascii="宋体" w:hAnsi="宋体" w:cs="宋体"/>
          <w:b/>
          <w:sz w:val="24"/>
        </w:rPr>
        <w:t>销售机构</w:t>
      </w:r>
      <w:r>
        <w:rPr>
          <w:rFonts w:hint="eastAsia" w:ascii="宋体" w:hAnsi="宋体" w:cs="宋体"/>
          <w:b/>
          <w:sz w:val="24"/>
        </w:rPr>
        <w:t>之一</w:t>
      </w:r>
      <w:r>
        <w:rPr>
          <w:rFonts w:ascii="宋体" w:hAnsi="宋体" w:cs="宋体"/>
          <w:b/>
          <w:sz w:val="24"/>
        </w:rPr>
        <w:t>为杭州银行股份有限公司，杭银理财系杭州银行全资子公司，双方存在关联关系。杭州银行作为本理财</w:t>
      </w:r>
      <w:r>
        <w:rPr>
          <w:rFonts w:hint="eastAsia" w:ascii="宋体" w:hAnsi="宋体" w:cs="宋体"/>
          <w:b/>
          <w:sz w:val="24"/>
        </w:rPr>
        <w:t>计划</w:t>
      </w:r>
      <w:r>
        <w:rPr>
          <w:rFonts w:ascii="宋体" w:hAnsi="宋体" w:cs="宋体"/>
          <w:b/>
          <w:sz w:val="24"/>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rPr>
        <w:t>理财计划</w:t>
      </w:r>
      <w:r>
        <w:rPr>
          <w:rFonts w:ascii="宋体" w:hAnsi="宋体" w:cs="宋体"/>
          <w:b/>
          <w:sz w:val="24"/>
        </w:rPr>
        <w:t>收益，不承担</w:t>
      </w:r>
      <w:r>
        <w:rPr>
          <w:rFonts w:hint="eastAsia" w:ascii="宋体" w:hAnsi="宋体" w:cs="宋体"/>
          <w:b/>
          <w:sz w:val="24"/>
        </w:rPr>
        <w:t>理财计划</w:t>
      </w:r>
      <w:r>
        <w:rPr>
          <w:rFonts w:ascii="宋体" w:hAnsi="宋体" w:cs="宋体"/>
          <w:b/>
          <w:sz w:val="24"/>
        </w:rPr>
        <w:t>的投资、兑付和风险管理责任。</w:t>
      </w:r>
    </w:p>
    <w:p>
      <w:pPr>
        <w:numPr>
          <w:ilvl w:val="0"/>
          <w:numId w:val="1"/>
        </w:numPr>
        <w:spacing w:line="360" w:lineRule="auto"/>
        <w:jc w:val="left"/>
        <w:outlineLvl w:val="1"/>
        <w:rPr>
          <w:rFonts w:ascii="宋体" w:hAnsi="宋体" w:cs="宋体"/>
          <w:b/>
          <w:sz w:val="24"/>
        </w:rPr>
      </w:pPr>
      <w:r>
        <w:rPr>
          <w:rFonts w:hint="eastAsia" w:ascii="宋体" w:hAnsi="宋体" w:cs="宋体"/>
          <w:b/>
          <w:sz w:val="24"/>
        </w:rPr>
        <w:t>理财计划特定风险</w:t>
      </w:r>
    </w:p>
    <w:p>
      <w:pPr>
        <w:numPr>
          <w:ilvl w:val="0"/>
          <w:numId w:val="5"/>
        </w:numPr>
        <w:spacing w:line="360" w:lineRule="auto"/>
        <w:jc w:val="left"/>
        <w:rPr>
          <w:rFonts w:hint="eastAsia" w:ascii="宋体" w:hAnsi="宋体" w:cs="宋体"/>
          <w:b/>
          <w:sz w:val="24"/>
        </w:rPr>
      </w:pPr>
      <w:r>
        <w:rPr>
          <w:rFonts w:hint="eastAsia" w:ascii="宋体" w:hAnsi="宋体" w:cs="宋体"/>
          <w:b/>
          <w:sz w:val="24"/>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rPr>
      </w:pPr>
      <w:r>
        <w:rPr>
          <w:rFonts w:hint="eastAsia" w:ascii="宋体" w:hAnsi="宋体" w:cs="宋体"/>
          <w:b/>
          <w:sz w:val="24"/>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rPr>
      </w:pPr>
      <w:r>
        <w:rPr>
          <w:rFonts w:hint="eastAsia" w:ascii="宋体" w:hAnsi="宋体" w:cs="宋体"/>
          <w:b/>
          <w:sz w:val="24"/>
        </w:rPr>
        <w:t xml:space="preserve">    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jc w:val="left"/>
        <w:outlineLvl w:val="1"/>
        <w:rPr>
          <w:rFonts w:ascii="宋体" w:hAnsi="宋体" w:cs="宋体"/>
          <w:b/>
          <w:sz w:val="24"/>
        </w:rPr>
      </w:pPr>
      <w:r>
        <w:rPr>
          <w:rFonts w:hint="eastAsia" w:ascii="宋体" w:hAnsi="宋体" w:cs="宋体"/>
          <w:b/>
          <w:sz w:val="24"/>
        </w:rPr>
        <w:t>其他信息提示</w:t>
      </w:r>
    </w:p>
    <w:p>
      <w:pPr>
        <w:spacing w:line="360" w:lineRule="auto"/>
        <w:jc w:val="left"/>
        <w:rPr>
          <w:rFonts w:ascii="宋体" w:hAnsi="宋体" w:cs="宋体"/>
          <w:b/>
          <w:sz w:val="24"/>
        </w:rPr>
      </w:pPr>
      <w:r>
        <w:rPr>
          <w:rFonts w:hint="eastAsia" w:ascii="宋体" w:hAnsi="宋体" w:cs="宋体"/>
          <w:b/>
          <w:sz w:val="24"/>
        </w:rPr>
        <w:t xml:space="preserve">    </w:t>
      </w:r>
      <w:r>
        <w:rPr>
          <w:rFonts w:hint="eastAsia" w:ascii="宋体" w:hAnsi="宋体" w:cs="宋体"/>
          <w:bCs/>
          <w:sz w:val="24"/>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rPr>
      </w:pPr>
      <w:r>
        <w:rPr>
          <w:rFonts w:hint="eastAsia" w:ascii="宋体" w:hAnsi="宋体" w:cs="宋体"/>
          <w:b/>
          <w:sz w:val="24"/>
        </w:rPr>
        <w:t>根据募集方式的不同，理财产品分为公募理财产品和私募理财产品。</w:t>
      </w:r>
      <w:r>
        <w:rPr>
          <w:rFonts w:hint="eastAsia" w:ascii="宋体" w:hAnsi="宋体" w:cs="宋体"/>
          <w:bCs/>
          <w:sz w:val="24"/>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rPr>
      </w:pPr>
      <w:r>
        <w:rPr>
          <w:rFonts w:hint="eastAsia" w:ascii="宋体" w:hAnsi="宋体" w:cs="宋体"/>
          <w:bCs/>
          <w:sz w:val="24"/>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rPr>
      </w:pPr>
      <w:r>
        <w:rPr>
          <w:rFonts w:hint="eastAsia" w:ascii="宋体" w:hAnsi="宋体" w:cs="宋体"/>
          <w:bCs/>
          <w:sz w:val="24"/>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rPr>
      </w:pPr>
      <w:r>
        <w:rPr>
          <w:rFonts w:hint="eastAsia" w:ascii="宋体" w:hAnsi="宋体" w:cs="宋体"/>
          <w:bCs/>
          <w:sz w:val="24"/>
        </w:rPr>
        <w:t>国务院银行业监督管理机构规定的其他情形。</w:t>
      </w:r>
    </w:p>
    <w:p>
      <w:pPr>
        <w:numPr>
          <w:ilvl w:val="0"/>
          <w:numId w:val="8"/>
        </w:numPr>
        <w:spacing w:line="360" w:lineRule="auto"/>
        <w:jc w:val="left"/>
        <w:outlineLvl w:val="2"/>
        <w:rPr>
          <w:rFonts w:hint="eastAsia" w:ascii="宋体" w:hAnsi="宋体" w:cs="宋体"/>
          <w:bCs/>
          <w:sz w:val="24"/>
        </w:rPr>
      </w:pPr>
      <w:r>
        <w:rPr>
          <w:rFonts w:hint="eastAsia" w:ascii="宋体" w:hAnsi="宋体" w:cs="宋体"/>
          <w:b/>
          <w:sz w:val="24"/>
        </w:rPr>
        <w:t>根据投资性质的不同，理财产品分为固定收益类理财产品、权益类理财产品、商品及金融衍生品类理财产品和混合类理财产品。</w:t>
      </w:r>
      <w:r>
        <w:rPr>
          <w:rFonts w:hint="eastAsia" w:ascii="宋体" w:hAnsi="宋体" w:cs="宋体"/>
          <w:bCs/>
          <w:sz w:val="24"/>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rPr>
      </w:pPr>
      <w:r>
        <w:rPr>
          <w:rFonts w:hint="eastAsia" w:ascii="宋体" w:hAnsi="宋体" w:cs="宋体"/>
          <w:b/>
          <w:sz w:val="24"/>
        </w:rPr>
        <w:t>根据运作方式的不同，将理财产品分为封闭式理财产品和开放式理财产品。</w:t>
      </w:r>
      <w:r>
        <w:rPr>
          <w:rFonts w:hint="eastAsia" w:ascii="宋体" w:hAnsi="宋体" w:cs="宋体"/>
          <w:bCs/>
          <w:sz w:val="24"/>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rPr>
      </w:pPr>
    </w:p>
    <w:p>
      <w:pPr>
        <w:spacing w:line="360" w:lineRule="auto"/>
        <w:ind w:firstLine="482" w:firstLineChars="200"/>
        <w:jc w:val="left"/>
        <w:rPr>
          <w:rFonts w:hint="eastAsia" w:ascii="宋体" w:hAnsi="宋体" w:cs="宋体"/>
          <w:bCs/>
          <w:sz w:val="24"/>
        </w:rPr>
      </w:pPr>
      <w:r>
        <w:rPr>
          <w:rFonts w:hint="eastAsia" w:ascii="宋体" w:hAnsi="宋体" w:cs="宋体"/>
          <w:b/>
          <w:sz w:val="24"/>
        </w:rPr>
        <w:t>本理财计划为公募、封闭式、〖固定收益类〗净值型理财计划，〖763天〗</w:t>
      </w:r>
      <w:r>
        <w:rPr>
          <w:rFonts w:hint="eastAsia" w:ascii="宋体" w:hAnsi="宋体" w:cs="宋体"/>
          <w:bCs/>
          <w:color w:val="000000"/>
          <w:sz w:val="24"/>
        </w:rPr>
        <w:t>，</w:t>
      </w:r>
      <w:r>
        <w:rPr>
          <w:rFonts w:hint="eastAsia" w:ascii="宋体" w:hAnsi="宋体" w:cs="宋体"/>
          <w:b/>
          <w:sz w:val="24"/>
        </w:rPr>
        <w:t>不保证本金与收益。根据本公司理财产品内部风险评级，该理财计划风险评级结果为〖R2〗,〖中低〗风险</w:t>
      </w:r>
      <w:r>
        <w:rPr>
          <w:rFonts w:hint="eastAsia" w:ascii="宋体" w:hAnsi="宋体" w:cs="宋体"/>
          <w:bCs/>
          <w:sz w:val="24"/>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rPr>
        <w:t>总体风险〖程度较低，收益波动较小，虽然存在一些可能对产品本金和收益安全产生不利影响的因素，但产品本金出现损失的可能性较小〗。本理财计划适合〖机构投资者〗以及〖稳健型、平衡型、成长型、进取型〗的个人投资者，个人投资者的风险承受能力评估以销售机构为准。</w:t>
      </w:r>
      <w:r>
        <w:rPr>
          <w:rFonts w:hint="eastAsia" w:ascii="宋体" w:hAnsi="宋体" w:cs="宋体"/>
          <w:bCs/>
          <w:sz w:val="24"/>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rPr>
      </w:pPr>
      <w:r>
        <w:rPr>
          <w:rFonts w:hint="eastAsia" w:ascii="宋体" w:hAnsi="宋体" w:cs="宋体"/>
          <w:bCs/>
          <w:sz w:val="24"/>
        </w:rPr>
        <w:t>上述风险客观存在，敬请投资者予以充分关注！</w:t>
      </w:r>
    </w:p>
    <w:p>
      <w:pPr>
        <w:spacing w:line="360" w:lineRule="auto"/>
        <w:ind w:firstLine="480" w:firstLineChars="200"/>
        <w:jc w:val="left"/>
        <w:rPr>
          <w:rFonts w:hint="eastAsia" w:ascii="宋体" w:hAnsi="宋体" w:cs="宋体"/>
          <w:bCs/>
          <w:sz w:val="24"/>
        </w:rPr>
      </w:pPr>
    </w:p>
    <w:p>
      <w:pPr>
        <w:spacing w:line="360" w:lineRule="auto"/>
        <w:ind w:firstLine="480" w:firstLineChars="200"/>
        <w:jc w:val="left"/>
        <w:rPr>
          <w:rFonts w:hint="eastAsia" w:ascii="宋体" w:hAnsi="宋体" w:cs="宋体"/>
          <w:bCs/>
          <w:sz w:val="24"/>
        </w:rPr>
      </w:pPr>
      <w:r>
        <w:rPr>
          <w:rFonts w:hint="eastAsia" w:ascii="宋体" w:hAnsi="宋体" w:cs="宋体"/>
          <w:bCs/>
          <w:sz w:val="24"/>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rPr>
      </w:pPr>
    </w:p>
    <w:p>
      <w:pPr>
        <w:spacing w:line="360" w:lineRule="auto"/>
        <w:ind w:firstLine="480" w:firstLineChars="200"/>
        <w:jc w:val="left"/>
        <w:rPr>
          <w:rFonts w:hint="eastAsia" w:ascii="宋体" w:hAnsi="宋体" w:cs="宋体"/>
          <w:bCs/>
          <w:sz w:val="24"/>
        </w:rPr>
      </w:pPr>
    </w:p>
    <w:p>
      <w:pPr>
        <w:spacing w:line="360" w:lineRule="auto"/>
        <w:ind w:firstLine="480" w:firstLineChars="200"/>
        <w:jc w:val="right"/>
        <w:rPr>
          <w:rFonts w:hint="eastAsia" w:ascii="宋体" w:hAnsi="宋体" w:cs="宋体"/>
          <w:bCs/>
          <w:sz w:val="24"/>
        </w:rPr>
      </w:pPr>
      <w:r>
        <w:rPr>
          <w:rFonts w:hint="eastAsia" w:ascii="宋体" w:hAnsi="宋体" w:cs="宋体"/>
          <w:bCs/>
          <w:sz w:val="24"/>
        </w:rPr>
        <w:t>风险提示方：杭银理财有限责任公司</w:t>
      </w:r>
    </w:p>
    <w:p>
      <w:pPr>
        <w:pStyle w:val="14"/>
        <w:spacing w:line="360" w:lineRule="auto"/>
        <w:jc w:val="center"/>
        <w:outlineLvl w:val="1"/>
        <w:rPr>
          <w:rFonts w:hint="eastAsia" w:ascii="宋体" w:hAnsi="宋体" w:cs="宋体"/>
          <w:b/>
          <w:color w:val="auto"/>
        </w:rPr>
      </w:pPr>
      <w:r>
        <w:rPr>
          <w:rFonts w:hint="eastAsia" w:ascii="宋体" w:hAnsi="宋体" w:cs="宋体"/>
          <w:b/>
          <w:color w:val="auto"/>
        </w:rPr>
        <w:br w:type="page"/>
      </w:r>
      <w:r>
        <w:rPr>
          <w:rFonts w:hint="eastAsia" w:ascii="宋体" w:hAnsi="宋体" w:cs="宋体"/>
          <w:b/>
          <w:color w:val="auto"/>
        </w:rPr>
        <w:t>投资者确认栏（个人投资者填写）</w:t>
      </w:r>
    </w:p>
    <w:p>
      <w:pPr>
        <w:pStyle w:val="14"/>
        <w:spacing w:line="360" w:lineRule="auto"/>
        <w:jc w:val="both"/>
        <w:rPr>
          <w:rFonts w:hint="eastAsia" w:ascii="宋体" w:hAnsi="宋体" w:cs="宋体"/>
          <w:b/>
          <w:color w:val="auto"/>
        </w:rPr>
      </w:pPr>
    </w:p>
    <w:p>
      <w:pPr>
        <w:pStyle w:val="14"/>
        <w:spacing w:line="360" w:lineRule="auto"/>
        <w:jc w:val="both"/>
        <w:rPr>
          <w:rFonts w:hint="eastAsia" w:ascii="宋体" w:hAnsi="宋体" w:cs="宋体"/>
          <w:color w:val="auto"/>
        </w:rPr>
      </w:pPr>
      <w:r>
        <w:rPr>
          <w:rFonts w:hint="eastAsia" w:ascii="宋体" w:hAnsi="宋体" w:cs="宋体"/>
          <w:color w:val="auto"/>
        </w:rPr>
        <w:t>本人经销售机构评估的风险承受能力等级为（投资者填写）：</w:t>
      </w:r>
    </w:p>
    <w:p>
      <w:pPr>
        <w:pStyle w:val="14"/>
        <w:spacing w:line="360" w:lineRule="auto"/>
        <w:jc w:val="both"/>
        <w:rPr>
          <w:rFonts w:hint="eastAsia" w:ascii="宋体" w:hAnsi="宋体" w:cs="宋体"/>
          <w:color w:val="auto"/>
          <w:u w:val="single"/>
        </w:rPr>
      </w:pPr>
      <w:r>
        <w:rPr>
          <w:rFonts w:hint="eastAsia" w:ascii="宋体" w:hAnsi="宋体" w:cs="宋体"/>
          <w:color w:val="auto"/>
          <w:u w:val="single"/>
        </w:rPr>
        <w:t xml:space="preserve">□保守型       □稳健型       □平衡型       □成长型       □进取型    </w:t>
      </w:r>
    </w:p>
    <w:p>
      <w:pPr>
        <w:pStyle w:val="14"/>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如超过一年未进行风险承受能力评估或影响本人风险承受能力的因素发生变化，本人将于再次购买理财计划时及时完成风险承受能力评估。</w:t>
      </w:r>
    </w:p>
    <w:p>
      <w:pPr>
        <w:pStyle w:val="14"/>
        <w:spacing w:line="360" w:lineRule="auto"/>
        <w:ind w:firstLine="472" w:firstLineChars="196"/>
        <w:jc w:val="both"/>
        <w:rPr>
          <w:rFonts w:hint="eastAsia" w:ascii="宋体" w:hAnsi="宋体" w:cs="宋体"/>
          <w:b/>
          <w:bCs/>
          <w:color w:val="auto"/>
          <w:u w:val="single"/>
        </w:rPr>
      </w:pPr>
      <w:r>
        <w:rPr>
          <w:rFonts w:hint="eastAsia" w:ascii="宋体" w:hAnsi="宋体" w:cs="宋体"/>
          <w:b/>
          <w:bCs/>
          <w:color w:val="auto"/>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72" w:firstLineChars="196"/>
        <w:jc w:val="both"/>
        <w:rPr>
          <w:rFonts w:ascii="宋体" w:hAnsi="宋体" w:cs="宋体"/>
          <w:b/>
          <w:bCs/>
          <w:color w:val="auto"/>
          <w:u w:val="single"/>
        </w:rPr>
      </w:pPr>
      <w:r>
        <w:rPr>
          <w:rFonts w:hint="eastAsia" w:ascii="宋体" w:hAnsi="宋体" w:cs="宋体"/>
          <w:b/>
          <w:bCs/>
          <w:color w:val="auto"/>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4"/>
        <w:spacing w:line="360" w:lineRule="auto"/>
        <w:ind w:firstLine="360" w:firstLineChars="150"/>
        <w:jc w:val="both"/>
        <w:rPr>
          <w:rFonts w:hint="eastAsia" w:ascii="宋体" w:hAnsi="宋体" w:cs="宋体"/>
          <w:b/>
          <w:color w:val="auto"/>
        </w:rPr>
      </w:pPr>
      <w:r>
        <w:rPr>
          <w:rFonts w:hint="eastAsia" w:ascii="宋体" w:hAnsi="宋体" w:cs="宋体"/>
          <w:color w:val="auto"/>
        </w:rPr>
        <w:t>（投资者需全文抄录以下文字以完成确认：</w:t>
      </w:r>
      <w:r>
        <w:rPr>
          <w:rFonts w:hint="eastAsia" w:ascii="宋体" w:hAnsi="宋体" w:cs="宋体"/>
          <w:b/>
          <w:color w:val="auto"/>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4"/>
        <w:spacing w:line="360" w:lineRule="auto"/>
        <w:jc w:val="both"/>
        <w:rPr>
          <w:rFonts w:hint="eastAsia" w:ascii="宋体" w:hAnsi="宋体" w:cs="宋体"/>
          <w:color w:val="auto"/>
          <w:u w:val="single"/>
        </w:rPr>
      </w:pPr>
      <w:r>
        <w:rPr>
          <w:rFonts w:hint="eastAsia" w:ascii="宋体" w:hAnsi="宋体" w:cs="宋体"/>
          <w:color w:val="auto"/>
        </w:rPr>
        <w:t>本人同时确认如下：</w:t>
      </w:r>
      <w:r>
        <w:rPr>
          <w:rFonts w:hint="eastAsia" w:ascii="宋体" w:hAnsi="宋体" w:cs="宋体"/>
          <w:color w:val="auto"/>
          <w:u w:val="single"/>
        </w:rPr>
        <w:t xml:space="preserve">                                                          </w:t>
      </w:r>
    </w:p>
    <w:p>
      <w:pPr>
        <w:pStyle w:val="14"/>
        <w:spacing w:line="360" w:lineRule="auto"/>
        <w:jc w:val="both"/>
        <w:rPr>
          <w:rFonts w:hint="eastAsia" w:ascii="宋体" w:hAnsi="宋体" w:cs="宋体"/>
          <w:color w:val="auto"/>
        </w:rPr>
      </w:pPr>
      <w:r>
        <w:rPr>
          <w:rFonts w:hint="eastAsia" w:ascii="宋体" w:hAnsi="宋体" w:cs="宋体"/>
          <w:color w:val="auto"/>
          <w:u w:val="single"/>
        </w:rPr>
        <w:t xml:space="preserve">                                                                                </w:t>
      </w:r>
    </w:p>
    <w:p>
      <w:pPr>
        <w:spacing w:line="360" w:lineRule="auto"/>
        <w:rPr>
          <w:rFonts w:hint="eastAsia" w:ascii="宋体" w:hAnsi="宋体" w:cs="宋体"/>
          <w:kern w:val="0"/>
          <w:sz w:val="24"/>
        </w:rPr>
      </w:pPr>
    </w:p>
    <w:p>
      <w:pPr>
        <w:spacing w:line="360" w:lineRule="auto"/>
        <w:rPr>
          <w:rFonts w:hint="eastAsia" w:ascii="宋体" w:hAnsi="宋体" w:cs="宋体"/>
          <w:kern w:val="0"/>
          <w:sz w:val="24"/>
        </w:rPr>
      </w:pPr>
      <w:r>
        <w:rPr>
          <w:rFonts w:hint="eastAsia" w:ascii="宋体" w:hAnsi="宋体" w:cs="宋体"/>
          <w:kern w:val="0"/>
          <w:sz w:val="24"/>
        </w:rPr>
        <w:t>确认人（签字）：</w:t>
      </w:r>
      <w:r>
        <w:rPr>
          <w:rFonts w:hint="eastAsia" w:ascii="宋体" w:hAnsi="宋体" w:cs="宋体"/>
          <w:kern w:val="0"/>
          <w:sz w:val="24"/>
          <w:u w:val="single"/>
        </w:rPr>
        <w:t xml:space="preserve">                    </w:t>
      </w:r>
      <w:r>
        <w:rPr>
          <w:rFonts w:hint="eastAsia" w:ascii="宋体" w:hAnsi="宋体" w:cs="宋体"/>
          <w:kern w:val="0"/>
          <w:sz w:val="24"/>
        </w:rPr>
        <w:t xml:space="preserve">       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napToGrid w:val="0"/>
        <w:rPr>
          <w:rFonts w:hint="eastAsia" w:ascii="宋体" w:hAnsi="宋体"/>
          <w:kern w:val="0"/>
          <w:szCs w:val="21"/>
          <w:u w:val="single"/>
        </w:rPr>
      </w:pPr>
    </w:p>
    <w:p>
      <w:pPr>
        <w:autoSpaceDE w:val="0"/>
        <w:autoSpaceDN w:val="0"/>
        <w:adjustRightInd w:val="0"/>
        <w:spacing w:line="420" w:lineRule="exact"/>
        <w:jc w:val="center"/>
        <w:rPr>
          <w:rFonts w:hint="eastAsia" w:ascii="宋体" w:hAnsi="宋体"/>
          <w:b/>
          <w:kern w:val="0"/>
          <w:szCs w:val="21"/>
        </w:rPr>
      </w:pPr>
    </w:p>
    <w:p>
      <w:pPr>
        <w:autoSpaceDE w:val="0"/>
        <w:autoSpaceDN w:val="0"/>
        <w:adjustRightInd w:val="0"/>
        <w:spacing w:line="360" w:lineRule="auto"/>
        <w:jc w:val="center"/>
        <w:rPr>
          <w:rFonts w:hint="eastAsia" w:ascii="宋体" w:hAnsi="宋体"/>
          <w:b/>
          <w:kern w:val="0"/>
          <w:szCs w:val="21"/>
        </w:rPr>
      </w:pPr>
    </w:p>
    <w:p>
      <w:pPr>
        <w:autoSpaceDE w:val="0"/>
        <w:autoSpaceDN w:val="0"/>
        <w:adjustRightInd w:val="0"/>
        <w:spacing w:line="360" w:lineRule="auto"/>
        <w:jc w:val="center"/>
        <w:rPr>
          <w:rFonts w:hint="eastAsia" w:ascii="宋体" w:hAnsi="宋体"/>
          <w:b/>
          <w:kern w:val="0"/>
          <w:szCs w:val="21"/>
        </w:rPr>
      </w:pPr>
    </w:p>
    <w:p>
      <w:pPr>
        <w:autoSpaceDE w:val="0"/>
        <w:autoSpaceDN w:val="0"/>
        <w:adjustRightInd w:val="0"/>
        <w:spacing w:line="360" w:lineRule="auto"/>
        <w:rPr>
          <w:rFonts w:hint="eastAsia" w:ascii="宋体" w:hAnsi="宋体"/>
          <w:b/>
          <w:kern w:val="0"/>
          <w:szCs w:val="21"/>
        </w:rPr>
      </w:pPr>
    </w:p>
    <w:p>
      <w:pPr>
        <w:pStyle w:val="14"/>
        <w:spacing w:line="360" w:lineRule="auto"/>
        <w:ind w:firstLine="482" w:firstLineChars="200"/>
        <w:jc w:val="center"/>
        <w:outlineLvl w:val="1"/>
        <w:rPr>
          <w:rFonts w:hint="eastAsia" w:ascii="宋体" w:hAnsi="宋体" w:cs="宋体"/>
          <w:b/>
          <w:bCs/>
          <w:color w:val="auto"/>
        </w:rPr>
      </w:pPr>
      <w:r>
        <w:rPr>
          <w:rFonts w:hint="eastAsia" w:ascii="宋体" w:hAnsi="宋体" w:cs="宋体"/>
          <w:b/>
          <w:bCs/>
          <w:color w:val="auto"/>
        </w:rPr>
        <w:t>投资者确认栏（机构投资者）</w:t>
      </w:r>
    </w:p>
    <w:p>
      <w:pPr>
        <w:pStyle w:val="14"/>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u w:val="single"/>
        </w:rPr>
        <w:t>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4"/>
        <w:spacing w:line="360" w:lineRule="auto"/>
        <w:ind w:firstLine="480" w:firstLineChars="200"/>
        <w:jc w:val="right"/>
        <w:rPr>
          <w:rFonts w:hint="eastAsia" w:ascii="宋体" w:hAnsi="宋体" w:cs="宋体"/>
          <w:color w:val="auto"/>
        </w:rPr>
      </w:pPr>
    </w:p>
    <w:p>
      <w:pPr>
        <w:pStyle w:val="14"/>
        <w:spacing w:line="360" w:lineRule="auto"/>
        <w:ind w:firstLine="480" w:firstLineChars="200"/>
        <w:jc w:val="right"/>
        <w:rPr>
          <w:rFonts w:hint="eastAsia" w:ascii="宋体" w:hAnsi="宋体" w:cs="宋体"/>
          <w:color w:val="auto"/>
        </w:rPr>
      </w:pPr>
    </w:p>
    <w:p>
      <w:pPr>
        <w:pStyle w:val="14"/>
        <w:spacing w:line="360" w:lineRule="auto"/>
        <w:ind w:firstLine="480" w:firstLineChars="200"/>
        <w:jc w:val="right"/>
        <w:rPr>
          <w:rFonts w:hint="eastAsia" w:ascii="宋体" w:hAnsi="宋体" w:cs="宋体"/>
          <w:color w:val="auto"/>
        </w:rPr>
      </w:pPr>
    </w:p>
    <w:p>
      <w:pPr>
        <w:pStyle w:val="14"/>
        <w:spacing w:line="360" w:lineRule="auto"/>
        <w:ind w:firstLine="480" w:firstLineChars="200"/>
        <w:jc w:val="right"/>
        <w:rPr>
          <w:rFonts w:hint="eastAsia" w:ascii="宋体" w:hAnsi="宋体" w:cs="宋体"/>
          <w:color w:val="auto"/>
        </w:rPr>
      </w:pPr>
    </w:p>
    <w:p>
      <w:pPr>
        <w:pStyle w:val="14"/>
        <w:spacing w:line="360" w:lineRule="auto"/>
        <w:jc w:val="both"/>
        <w:rPr>
          <w:rFonts w:hint="eastAsia" w:ascii="宋体" w:hAnsi="宋体" w:cs="宋体"/>
          <w:color w:val="auto"/>
        </w:rPr>
      </w:pPr>
      <w:r>
        <w:rPr>
          <w:rFonts w:hint="eastAsia" w:ascii="宋体" w:hAnsi="宋体" w:cs="宋体"/>
          <w:color w:val="auto"/>
        </w:rPr>
        <w:t>投资者（公章）                          法定代表人或授权代理人（签章）</w:t>
      </w:r>
    </w:p>
    <w:p>
      <w:pPr>
        <w:pStyle w:val="14"/>
        <w:spacing w:line="360" w:lineRule="auto"/>
        <w:ind w:firstLine="480" w:firstLineChars="200"/>
        <w:jc w:val="right"/>
        <w:rPr>
          <w:rFonts w:hint="eastAsia" w:ascii="宋体" w:hAnsi="宋体" w:cs="宋体"/>
          <w:color w:val="auto"/>
        </w:rPr>
      </w:pPr>
    </w:p>
    <w:p>
      <w:pPr>
        <w:pStyle w:val="14"/>
        <w:spacing w:line="360" w:lineRule="auto"/>
        <w:ind w:firstLine="480" w:firstLineChars="200"/>
        <w:jc w:val="right"/>
        <w:rPr>
          <w:rFonts w:hint="eastAsia" w:ascii="宋体" w:hAnsi="宋体" w:cs="宋体"/>
          <w:color w:val="auto"/>
        </w:rPr>
      </w:pPr>
    </w:p>
    <w:p>
      <w:pPr>
        <w:pStyle w:val="14"/>
        <w:spacing w:line="360" w:lineRule="auto"/>
        <w:ind w:firstLine="480" w:firstLineChars="200"/>
        <w:jc w:val="right"/>
        <w:rPr>
          <w:rFonts w:hint="eastAsia" w:ascii="宋体" w:hAnsi="宋体" w:cs="宋体"/>
          <w:color w:val="auto"/>
        </w:rPr>
      </w:pPr>
    </w:p>
    <w:p>
      <w:pPr>
        <w:pStyle w:val="14"/>
        <w:spacing w:line="360" w:lineRule="auto"/>
        <w:ind w:firstLine="480" w:firstLineChars="200"/>
        <w:jc w:val="right"/>
        <w:rPr>
          <w:rFonts w:hint="eastAsia" w:ascii="宋体" w:hAnsi="宋体" w:cs="宋体"/>
          <w:color w:val="auto"/>
        </w:rPr>
      </w:pPr>
      <w:r>
        <w:rPr>
          <w:rFonts w:hint="eastAsia" w:ascii="宋体" w:hAnsi="宋体" w:cs="宋体"/>
          <w:color w:val="auto"/>
        </w:rPr>
        <w:t>日期：</w:t>
      </w:r>
      <w:r>
        <w:rPr>
          <w:rFonts w:hint="eastAsia" w:ascii="宋体" w:hAnsi="宋体" w:cs="宋体"/>
          <w:u w:val="single"/>
        </w:rPr>
        <w:t xml:space="preserve">      </w:t>
      </w:r>
      <w:r>
        <w:rPr>
          <w:rFonts w:hint="eastAsia" w:ascii="宋体" w:hAnsi="宋体" w:cs="宋体"/>
          <w:color w:val="auto"/>
        </w:rPr>
        <w:t>年</w:t>
      </w:r>
      <w:r>
        <w:rPr>
          <w:rFonts w:hint="eastAsia" w:ascii="宋体" w:hAnsi="宋体" w:cs="宋体"/>
          <w:u w:val="single"/>
        </w:rPr>
        <w:t xml:space="preserve">    </w:t>
      </w:r>
      <w:r>
        <w:rPr>
          <w:rFonts w:hint="eastAsia" w:ascii="宋体" w:hAnsi="宋体" w:cs="宋体"/>
          <w:color w:val="auto"/>
        </w:rPr>
        <w:t>月</w:t>
      </w:r>
      <w:r>
        <w:rPr>
          <w:rFonts w:hint="eastAsia" w:ascii="宋体" w:hAnsi="宋体" w:cs="宋体"/>
          <w:u w:val="single"/>
        </w:rPr>
        <w:t xml:space="preserve">    </w:t>
      </w:r>
      <w:r>
        <w:rPr>
          <w:rFonts w:hint="eastAsia" w:ascii="宋体" w:hAnsi="宋体" w:cs="宋体"/>
          <w:color w:val="auto"/>
        </w:rPr>
        <w:t>日</w:t>
      </w:r>
    </w:p>
    <w:p>
      <w:pPr>
        <w:spacing w:line="360" w:lineRule="auto"/>
        <w:jc w:val="center"/>
        <w:outlineLvl w:val="0"/>
        <w:rPr>
          <w:rFonts w:hint="eastAsia" w:ascii="宋体" w:hAnsi="宋体" w:cs="宋体"/>
          <w:b/>
          <w:bCs/>
          <w:sz w:val="44"/>
          <w:szCs w:val="44"/>
        </w:rPr>
      </w:pPr>
      <w:r>
        <w:rPr>
          <w:rFonts w:hint="eastAsia" w:ascii="宋体" w:hAnsi="宋体" w:cs="宋体"/>
          <w:bCs/>
          <w:sz w:val="24"/>
        </w:rPr>
        <w:br w:type="page"/>
      </w:r>
      <w:r>
        <w:rPr>
          <w:rFonts w:hint="eastAsia" w:ascii="宋体" w:hAnsi="宋体" w:cs="宋体"/>
          <w:b/>
          <w:bCs/>
          <w:sz w:val="44"/>
          <w:szCs w:val="44"/>
        </w:rPr>
        <w:t>幸福99丰裕固收763天25071期理财产品说明书</w:t>
      </w:r>
    </w:p>
    <w:p>
      <w:pPr>
        <w:jc w:val="center"/>
        <w:rPr>
          <w:rFonts w:hint="eastAsia" w:ascii="宋体" w:hAnsi="宋体" w:cs="宋体"/>
          <w:b/>
          <w:bCs/>
          <w:sz w:val="44"/>
          <w:szCs w:val="44"/>
        </w:rPr>
      </w:pPr>
      <w:r>
        <w:rPr>
          <w:rFonts w:hint="eastAsia" w:ascii="宋体" w:hAnsi="宋体" w:cs="宋体"/>
          <w:sz w:val="28"/>
          <w:szCs w:val="28"/>
        </w:rPr>
        <w:t>（202201版）</w:t>
      </w:r>
    </w:p>
    <w:p>
      <w:pPr>
        <w:spacing w:line="360" w:lineRule="auto"/>
        <w:jc w:val="right"/>
        <w:rPr>
          <w:rFonts w:hint="eastAsia" w:ascii="宋体" w:hAnsi="宋体" w:cs="宋体"/>
          <w:bCs/>
          <w:sz w:val="24"/>
        </w:rPr>
      </w:pPr>
      <w:r>
        <w:rPr>
          <w:rFonts w:hint="eastAsia" w:ascii="宋体" w:hAnsi="宋体" w:cs="宋体"/>
          <w:color w:val="000000"/>
          <w:sz w:val="24"/>
        </w:rPr>
        <w:t>备案编号</w:t>
      </w:r>
      <w:r>
        <w:rPr>
          <w:rFonts w:hint="eastAsia" w:ascii="宋体" w:hAnsi="宋体" w:cs="宋体"/>
          <w:sz w:val="24"/>
        </w:rPr>
        <w:t>:</w:t>
      </w:r>
      <w:r>
        <w:rPr>
          <w:rFonts w:hint="eastAsia" w:ascii="宋体" w:hAnsi="宋体" w:cs="宋体"/>
          <w:bCs/>
          <w:sz w:val="24"/>
        </w:rPr>
        <w:t>〖</w:t>
      </w:r>
      <w:r>
        <w:rPr>
          <w:rFonts w:hint="eastAsia" w:ascii="宋体" w:hAnsi="宋体" w:cs="宋体"/>
          <w:color w:val="000000"/>
          <w:sz w:val="24"/>
        </w:rPr>
        <w:t>Z7002225000119</w:t>
      </w:r>
      <w:r>
        <w:rPr>
          <w:rFonts w:hint="eastAsia" w:ascii="宋体" w:hAnsi="宋体" w:cs="宋体"/>
          <w:bCs/>
          <w:sz w:val="24"/>
        </w:rPr>
        <w:t>〗</w:t>
      </w:r>
    </w:p>
    <w:p>
      <w:pPr>
        <w:spacing w:line="360" w:lineRule="auto"/>
        <w:jc w:val="center"/>
        <w:rPr>
          <w:rFonts w:hint="eastAsia" w:ascii="宋体" w:hAnsi="宋体" w:cs="宋体"/>
          <w:bCs/>
          <w:sz w:val="24"/>
        </w:rPr>
      </w:pPr>
    </w:p>
    <w:p>
      <w:pPr>
        <w:numPr>
          <w:ilvl w:val="0"/>
          <w:numId w:val="9"/>
        </w:numPr>
        <w:spacing w:line="360" w:lineRule="auto"/>
        <w:jc w:val="left"/>
        <w:outlineLvl w:val="1"/>
        <w:rPr>
          <w:rFonts w:ascii="宋体" w:hAnsi="宋体" w:cs="宋体"/>
          <w:b/>
          <w:sz w:val="24"/>
        </w:rPr>
      </w:pPr>
      <w:r>
        <w:rPr>
          <w:rFonts w:hint="eastAsia" w:ascii="宋体" w:hAnsi="宋体" w:cs="宋体"/>
          <w:b/>
          <w:sz w:val="24"/>
        </w:rPr>
        <w:t>重要须知</w:t>
      </w:r>
    </w:p>
    <w:p>
      <w:pPr>
        <w:numPr>
          <w:ilvl w:val="0"/>
          <w:numId w:val="10"/>
        </w:numPr>
        <w:spacing w:line="360" w:lineRule="auto"/>
        <w:jc w:val="left"/>
        <w:outlineLvl w:val="2"/>
        <w:rPr>
          <w:rFonts w:hint="eastAsia" w:ascii="宋体" w:hAnsi="宋体" w:cs="宋体"/>
          <w:bCs/>
          <w:sz w:val="24"/>
        </w:rPr>
      </w:pPr>
      <w:r>
        <w:rPr>
          <w:rFonts w:hint="eastAsia" w:ascii="宋体" w:hAnsi="宋体" w:cs="宋体"/>
          <w:bCs/>
          <w:sz w:val="24"/>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rPr>
      </w:pPr>
      <w:r>
        <w:rPr>
          <w:rFonts w:hint="eastAsia" w:ascii="宋体" w:hAnsi="宋体" w:cs="宋体"/>
          <w:bCs/>
          <w:sz w:val="24"/>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rPr>
      </w:pPr>
      <w:r>
        <w:rPr>
          <w:rFonts w:hint="eastAsia" w:ascii="宋体" w:hAnsi="宋体" w:cs="宋体"/>
          <w:bCs/>
          <w:sz w:val="24"/>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rPr>
      </w:pPr>
      <w:r>
        <w:rPr>
          <w:rFonts w:hint="eastAsia" w:ascii="宋体" w:hAnsi="宋体" w:cs="宋体"/>
          <w:b/>
          <w:sz w:val="24"/>
        </w:rPr>
        <w:t>本理财计划是非保本净值型产品。管理人对本理财计划的本金和收益不提供保证承诺。</w:t>
      </w:r>
      <w:r>
        <w:rPr>
          <w:rFonts w:hint="eastAsia" w:ascii="宋体" w:hAnsi="宋体" w:cs="宋体"/>
          <w:bCs/>
          <w:sz w:val="24"/>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rPr>
      </w:pPr>
      <w:r>
        <w:rPr>
          <w:rFonts w:hint="eastAsia" w:ascii="宋体" w:hAnsi="宋体" w:cs="宋体"/>
          <w:bCs/>
          <w:sz w:val="24"/>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交易合同。</w:t>
      </w:r>
    </w:p>
    <w:p>
      <w:pPr>
        <w:numPr>
          <w:ilvl w:val="0"/>
          <w:numId w:val="10"/>
        </w:numPr>
        <w:spacing w:line="360" w:lineRule="auto"/>
        <w:jc w:val="left"/>
        <w:outlineLvl w:val="2"/>
        <w:rPr>
          <w:rFonts w:hint="eastAsia" w:ascii="宋体" w:hAnsi="宋体" w:cs="宋体"/>
          <w:bCs/>
          <w:sz w:val="24"/>
        </w:rPr>
      </w:pPr>
      <w:r>
        <w:rPr>
          <w:rFonts w:hint="eastAsia" w:ascii="宋体" w:hAnsi="宋体" w:cs="宋体"/>
          <w:bCs/>
          <w:sz w:val="24"/>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rPr>
      </w:pPr>
      <w:r>
        <w:rPr>
          <w:rFonts w:hint="eastAsia" w:ascii="宋体" w:hAnsi="宋体" w:cs="宋体"/>
          <w:bCs/>
          <w:sz w:val="24"/>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rPr>
      </w:pPr>
      <w:r>
        <w:rPr>
          <w:rFonts w:hint="eastAsia" w:ascii="宋体" w:hAnsi="宋体" w:cs="宋体"/>
          <w:bCs/>
          <w:sz w:val="24"/>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rPr>
      </w:pPr>
      <w:r>
        <w:rPr>
          <w:rFonts w:hint="eastAsia" w:ascii="宋体" w:hAnsi="宋体" w:cs="宋体"/>
          <w:bCs/>
          <w:sz w:val="24"/>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rPr>
      </w:pPr>
      <w:r>
        <w:rPr>
          <w:rFonts w:hint="eastAsia" w:ascii="宋体" w:hAnsi="宋体" w:cs="宋体"/>
          <w:bCs/>
          <w:sz w:val="24"/>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rPr>
      </w:pPr>
      <w:r>
        <w:rPr>
          <w:rFonts w:hint="eastAsia" w:ascii="宋体" w:hAnsi="宋体" w:cs="宋体"/>
          <w:bCs/>
          <w:sz w:val="24"/>
        </w:rPr>
        <w:t>在本理财计划存续期内，如因监管政策或法律法规发生变化，在不损害投资者利益的前提下，管理人有权单方对本理财计划说明书条款进行修订。</w:t>
      </w:r>
    </w:p>
    <w:p>
      <w:pPr>
        <w:numPr>
          <w:ilvl w:val="0"/>
          <w:numId w:val="10"/>
        </w:numPr>
        <w:spacing w:line="360" w:lineRule="auto"/>
        <w:jc w:val="left"/>
        <w:outlineLvl w:val="2"/>
        <w:rPr>
          <w:rFonts w:hint="eastAsia" w:ascii="宋体" w:hAnsi="宋体" w:cs="宋体"/>
          <w:bCs/>
          <w:sz w:val="24"/>
        </w:rPr>
      </w:pPr>
      <w:r>
        <w:rPr>
          <w:rFonts w:hint="eastAsia" w:ascii="宋体" w:hAnsi="宋体" w:cs="宋体"/>
          <w:bCs/>
          <w:sz w:val="24"/>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rPr>
      </w:pPr>
      <w:r>
        <w:rPr>
          <w:rFonts w:hint="eastAsia" w:ascii="宋体" w:hAnsi="宋体" w:cs="宋体"/>
          <w:bCs/>
          <w:sz w:val="24"/>
        </w:rPr>
        <w:t>管理人有权依法对本理财计划产品说明书进行解释。</w:t>
      </w:r>
    </w:p>
    <w:p>
      <w:pPr>
        <w:spacing w:line="360" w:lineRule="auto"/>
        <w:jc w:val="left"/>
        <w:rPr>
          <w:rFonts w:hint="eastAsia" w:ascii="宋体" w:hAnsi="宋体" w:cs="宋体"/>
          <w:bCs/>
          <w:sz w:val="24"/>
        </w:rPr>
      </w:pPr>
    </w:p>
    <w:p>
      <w:pPr>
        <w:numPr>
          <w:ilvl w:val="0"/>
          <w:numId w:val="11"/>
        </w:numPr>
        <w:spacing w:line="360" w:lineRule="auto"/>
        <w:jc w:val="left"/>
        <w:outlineLvl w:val="1"/>
        <w:rPr>
          <w:rFonts w:ascii="宋体" w:hAnsi="宋体" w:cs="宋体"/>
          <w:b/>
          <w:sz w:val="24"/>
        </w:rPr>
      </w:pPr>
      <w:r>
        <w:rPr>
          <w:rFonts w:hint="eastAsia" w:ascii="宋体" w:hAnsi="宋体" w:cs="宋体"/>
          <w:b/>
          <w:sz w:val="24"/>
        </w:rPr>
        <w:t>释义</w:t>
      </w:r>
    </w:p>
    <w:p>
      <w:pPr>
        <w:pStyle w:val="14"/>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本说明书中，除非另有明确说明，否则下列词语或简称具有如下含义：</w:t>
      </w:r>
    </w:p>
    <w:p>
      <w:pPr>
        <w:pStyle w:val="14"/>
        <w:numPr>
          <w:ilvl w:val="0"/>
          <w:numId w:val="12"/>
        </w:numPr>
        <w:adjustRightInd/>
        <w:spacing w:line="360" w:lineRule="auto"/>
        <w:outlineLvl w:val="2"/>
        <w:rPr>
          <w:rFonts w:hint="eastAsia" w:ascii="宋体" w:hAnsi="宋体" w:cs="宋体"/>
          <w:b/>
          <w:color w:val="auto"/>
          <w:kern w:val="2"/>
        </w:rPr>
      </w:pPr>
      <w:r>
        <w:rPr>
          <w:rFonts w:hint="eastAsia" w:ascii="宋体" w:hAnsi="宋体" w:cs="宋体"/>
          <w:b/>
          <w:color w:val="auto"/>
          <w:kern w:val="2"/>
        </w:rPr>
        <w:t>参与主体用语</w:t>
      </w:r>
    </w:p>
    <w:p>
      <w:pPr>
        <w:pStyle w:val="14"/>
        <w:numPr>
          <w:ilvl w:val="0"/>
          <w:numId w:val="13"/>
        </w:numPr>
        <w:adjustRightInd/>
        <w:spacing w:line="360" w:lineRule="auto"/>
        <w:rPr>
          <w:rFonts w:hint="eastAsia" w:ascii="宋体" w:hAnsi="宋体" w:cs="宋体"/>
          <w:b/>
          <w:color w:val="auto"/>
          <w:kern w:val="2"/>
        </w:rPr>
      </w:pPr>
      <w:r>
        <w:rPr>
          <w:rFonts w:hint="eastAsia" w:ascii="宋体" w:hAnsi="宋体" w:cs="宋体"/>
          <w:b/>
          <w:color w:val="auto"/>
          <w:kern w:val="2"/>
        </w:rPr>
        <w:t>理财计划管理人/产品管理人/管理人/本公司：</w:t>
      </w:r>
      <w:r>
        <w:rPr>
          <w:rFonts w:hint="eastAsia" w:ascii="宋体" w:hAnsi="宋体" w:cs="宋体"/>
          <w:bCs/>
          <w:color w:val="auto"/>
          <w:kern w:val="2"/>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u w:val="single"/>
        </w:rPr>
        <w:t>https://www.hzbankwealth.com.cn。</w:t>
      </w:r>
    </w:p>
    <w:p>
      <w:pPr>
        <w:pStyle w:val="14"/>
        <w:numPr>
          <w:ilvl w:val="0"/>
          <w:numId w:val="13"/>
        </w:numPr>
        <w:adjustRightInd/>
        <w:spacing w:line="360" w:lineRule="auto"/>
        <w:rPr>
          <w:rFonts w:hint="eastAsia" w:ascii="宋体" w:hAnsi="宋体" w:cs="宋体"/>
          <w:b/>
          <w:color w:val="auto"/>
          <w:kern w:val="2"/>
        </w:rPr>
      </w:pPr>
      <w:r>
        <w:rPr>
          <w:rFonts w:hint="eastAsia" w:ascii="宋体" w:hAnsi="宋体" w:cs="宋体"/>
          <w:b/>
          <w:color w:val="auto"/>
          <w:kern w:val="2"/>
        </w:rPr>
        <w:t>销售机构：</w:t>
      </w:r>
      <w:r>
        <w:rPr>
          <w:rFonts w:hint="eastAsia" w:ascii="宋体" w:hAnsi="宋体" w:cs="宋体"/>
          <w:bCs/>
          <w:color w:val="auto"/>
          <w:kern w:val="2"/>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u w:val="single"/>
        </w:rPr>
        <w:instrText xml:space="preserve"> HYPERLINK "http://www.hzbank.com.cn" </w:instrText>
      </w:r>
      <w:r>
        <w:fldChar w:fldCharType="separate"/>
      </w:r>
      <w:r>
        <w:rPr>
          <w:rFonts w:hint="eastAsia" w:ascii="宋体" w:hAnsi="宋体" w:cs="宋体"/>
          <w:bCs/>
          <w:color w:val="auto"/>
          <w:kern w:val="2"/>
          <w:u w:val="single"/>
        </w:rPr>
        <w:t>www.hzbank.com.cn</w:t>
      </w:r>
      <w:r>
        <w:fldChar w:fldCharType="end"/>
      </w:r>
      <w:r>
        <w:rPr>
          <w:rFonts w:hint="eastAsia" w:ascii="宋体" w:hAnsi="宋体" w:cs="宋体"/>
          <w:bCs/>
          <w:color w:val="auto"/>
          <w:kern w:val="2"/>
        </w:rPr>
        <w:t>，客服热线为95398。</w:t>
      </w:r>
    </w:p>
    <w:p>
      <w:pPr>
        <w:pStyle w:val="14"/>
        <w:numPr>
          <w:ilvl w:val="0"/>
          <w:numId w:val="13"/>
        </w:numPr>
        <w:adjustRightInd/>
        <w:spacing w:line="360" w:lineRule="auto"/>
        <w:rPr>
          <w:rFonts w:hint="eastAsia" w:ascii="宋体" w:hAnsi="宋体" w:cs="宋体"/>
          <w:b/>
          <w:color w:val="auto"/>
          <w:kern w:val="2"/>
        </w:rPr>
      </w:pPr>
      <w:r>
        <w:rPr>
          <w:rFonts w:hint="eastAsia" w:ascii="宋体" w:hAnsi="宋体" w:cs="宋体"/>
          <w:b/>
          <w:color w:val="auto"/>
          <w:kern w:val="2"/>
        </w:rPr>
        <w:t>理财计划托管人/产品托管人/托管人：</w:t>
      </w:r>
      <w:r>
        <w:rPr>
          <w:rFonts w:hint="eastAsia" w:ascii="宋体" w:hAnsi="宋体" w:cs="宋体"/>
          <w:bCs/>
          <w:color w:val="auto"/>
          <w:kern w:val="2"/>
        </w:rPr>
        <w:t>指</w:t>
      </w:r>
      <w:r>
        <w:rPr>
          <w:rFonts w:hint="eastAsia" w:ascii="宋体" w:hAnsi="宋体" w:cs="宋体"/>
        </w:rPr>
        <w:t>〖</w:t>
      </w:r>
      <w:r>
        <w:rPr>
          <w:rFonts w:hint="eastAsia" w:ascii="宋体" w:hAnsi="宋体" w:cs="宋体"/>
          <w:bCs/>
          <w:color w:val="auto"/>
          <w:kern w:val="2"/>
        </w:rPr>
        <w:t>杭州银行股份有限公司</w:t>
      </w:r>
      <w:r>
        <w:rPr>
          <w:rFonts w:hint="eastAsia" w:ascii="宋体" w:hAnsi="宋体" w:cs="宋体"/>
        </w:rPr>
        <w:t>〗</w:t>
      </w:r>
      <w:r>
        <w:rPr>
          <w:rFonts w:hint="eastAsia" w:ascii="宋体" w:hAnsi="宋体" w:cs="宋体"/>
          <w:bCs/>
          <w:color w:val="auto"/>
          <w:kern w:val="2"/>
        </w:rPr>
        <w:t>。</w:t>
      </w:r>
    </w:p>
    <w:p>
      <w:pPr>
        <w:pStyle w:val="14"/>
        <w:numPr>
          <w:ilvl w:val="0"/>
          <w:numId w:val="13"/>
        </w:numPr>
        <w:adjustRightInd/>
        <w:spacing w:line="360" w:lineRule="auto"/>
        <w:rPr>
          <w:rFonts w:hint="eastAsia" w:ascii="宋体" w:hAnsi="宋体" w:cs="宋体"/>
          <w:b/>
          <w:color w:val="auto"/>
          <w:kern w:val="2"/>
        </w:rPr>
      </w:pPr>
      <w:r>
        <w:rPr>
          <w:rFonts w:hint="eastAsia" w:ascii="宋体" w:hAnsi="宋体" w:cs="宋体"/>
          <w:b/>
          <w:color w:val="auto"/>
          <w:kern w:val="2"/>
        </w:rPr>
        <w:t>认购人：</w:t>
      </w:r>
      <w:r>
        <w:rPr>
          <w:rFonts w:hint="eastAsia" w:ascii="宋体" w:hAnsi="宋体" w:cs="宋体"/>
          <w:bCs/>
          <w:color w:val="auto"/>
          <w:kern w:val="2"/>
        </w:rPr>
        <w:t>指在理财计划认购期间签署理财计划合同并向理财计划管理人交付认购资金的个人、机构投资者。</w:t>
      </w:r>
    </w:p>
    <w:p>
      <w:pPr>
        <w:pStyle w:val="14"/>
        <w:numPr>
          <w:ilvl w:val="0"/>
          <w:numId w:val="13"/>
        </w:numPr>
        <w:adjustRightInd/>
        <w:spacing w:line="360" w:lineRule="auto"/>
        <w:rPr>
          <w:rFonts w:hint="eastAsia" w:ascii="宋体" w:hAnsi="宋体" w:cs="宋体"/>
          <w:b/>
          <w:color w:val="auto"/>
          <w:kern w:val="2"/>
        </w:rPr>
      </w:pPr>
      <w:r>
        <w:rPr>
          <w:rFonts w:hint="eastAsia" w:ascii="宋体" w:hAnsi="宋体" w:cs="宋体"/>
          <w:b/>
          <w:color w:val="auto"/>
          <w:kern w:val="2"/>
        </w:rPr>
        <w:t>理财计划份额持有人/持有人：</w:t>
      </w:r>
      <w:r>
        <w:rPr>
          <w:rFonts w:hint="eastAsia" w:ascii="宋体" w:hAnsi="宋体" w:cs="宋体"/>
          <w:bCs/>
          <w:color w:val="auto"/>
          <w:kern w:val="2"/>
        </w:rPr>
        <w:t>指认购/申购申请后，经过管理人确认成功后，从而持有理财计划份额的投资者。</w:t>
      </w:r>
    </w:p>
    <w:p>
      <w:pPr>
        <w:pStyle w:val="14"/>
        <w:numPr>
          <w:ilvl w:val="0"/>
          <w:numId w:val="13"/>
        </w:numPr>
        <w:adjustRightInd/>
        <w:spacing w:line="360" w:lineRule="auto"/>
        <w:rPr>
          <w:rFonts w:hint="eastAsia" w:ascii="宋体" w:hAnsi="宋体" w:cs="宋体"/>
          <w:b/>
          <w:color w:val="auto"/>
          <w:kern w:val="2"/>
        </w:rPr>
      </w:pPr>
      <w:r>
        <w:rPr>
          <w:rFonts w:hint="eastAsia" w:ascii="宋体" w:hAnsi="宋体" w:cs="宋体"/>
          <w:b/>
          <w:color w:val="auto"/>
          <w:kern w:val="2"/>
        </w:rPr>
        <w:t>监管机构：</w:t>
      </w:r>
      <w:r>
        <w:rPr>
          <w:rFonts w:hint="eastAsia" w:ascii="宋体" w:hAnsi="宋体" w:cs="宋体"/>
          <w:bCs/>
          <w:color w:val="auto"/>
          <w:kern w:val="2"/>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4"/>
        <w:numPr>
          <w:ilvl w:val="0"/>
          <w:numId w:val="12"/>
        </w:numPr>
        <w:adjustRightInd/>
        <w:spacing w:line="360" w:lineRule="auto"/>
        <w:outlineLvl w:val="2"/>
        <w:rPr>
          <w:rFonts w:hint="eastAsia" w:ascii="宋体" w:hAnsi="宋体" w:cs="宋体"/>
          <w:b/>
          <w:color w:val="auto"/>
          <w:kern w:val="2"/>
        </w:rPr>
      </w:pPr>
      <w:r>
        <w:rPr>
          <w:rFonts w:hint="eastAsia" w:ascii="宋体" w:hAnsi="宋体" w:cs="宋体"/>
          <w:b/>
          <w:color w:val="auto"/>
          <w:kern w:val="2"/>
        </w:rPr>
        <w:t>法律文件用语</w:t>
      </w:r>
    </w:p>
    <w:p>
      <w:pPr>
        <w:pStyle w:val="14"/>
        <w:numPr>
          <w:ilvl w:val="0"/>
          <w:numId w:val="14"/>
        </w:numPr>
        <w:adjustRightInd/>
        <w:spacing w:line="360" w:lineRule="auto"/>
        <w:rPr>
          <w:rFonts w:hint="eastAsia" w:ascii="宋体" w:hAnsi="宋体" w:cs="宋体"/>
          <w:b/>
          <w:color w:val="auto"/>
          <w:kern w:val="2"/>
        </w:rPr>
      </w:pPr>
      <w:r>
        <w:rPr>
          <w:rFonts w:hint="eastAsia" w:ascii="宋体" w:hAnsi="宋体" w:cs="宋体"/>
          <w:b/>
          <w:color w:val="auto"/>
          <w:kern w:val="2"/>
        </w:rPr>
        <w:t>理财计划说明书/产品说明书：</w:t>
      </w:r>
      <w:r>
        <w:rPr>
          <w:rFonts w:hint="eastAsia" w:ascii="宋体" w:hAnsi="宋体" w:cs="宋体"/>
          <w:bCs/>
          <w:color w:val="auto"/>
          <w:kern w:val="2"/>
        </w:rPr>
        <w:t>指《幸福99丰裕固收763天25071期理财</w:t>
      </w:r>
      <w:r>
        <w:rPr>
          <w:rFonts w:hint="eastAsia" w:ascii="宋体" w:hAnsi="宋体" w:cs="宋体"/>
          <w:bCs/>
        </w:rPr>
        <w:t>产品说明书</w:t>
      </w:r>
      <w:r>
        <w:rPr>
          <w:rFonts w:hint="eastAsia" w:ascii="宋体" w:hAnsi="宋体" w:cs="宋体"/>
          <w:bCs/>
          <w:color w:val="auto"/>
          <w:kern w:val="2"/>
        </w:rPr>
        <w:t>》，以及对该文件的有效修改与补充。</w:t>
      </w:r>
    </w:p>
    <w:p>
      <w:pPr>
        <w:pStyle w:val="14"/>
        <w:numPr>
          <w:ilvl w:val="0"/>
          <w:numId w:val="14"/>
        </w:numPr>
        <w:adjustRightInd/>
        <w:spacing w:line="360" w:lineRule="auto"/>
        <w:rPr>
          <w:rFonts w:hint="eastAsia" w:ascii="宋体" w:hAnsi="宋体" w:cs="宋体"/>
          <w:b/>
          <w:color w:val="auto"/>
          <w:kern w:val="2"/>
        </w:rPr>
      </w:pPr>
      <w:r>
        <w:rPr>
          <w:rFonts w:hint="eastAsia" w:ascii="宋体" w:hAnsi="宋体" w:cs="宋体"/>
          <w:b/>
          <w:color w:val="auto"/>
          <w:kern w:val="2"/>
        </w:rPr>
        <w:t>风险揭示书：</w:t>
      </w:r>
      <w:r>
        <w:rPr>
          <w:rFonts w:hint="eastAsia" w:ascii="宋体" w:hAnsi="宋体" w:cs="宋体"/>
          <w:bCs/>
          <w:color w:val="auto"/>
          <w:kern w:val="2"/>
        </w:rPr>
        <w:t>指作为幸福99丰裕固收763天25071期理财</w:t>
      </w:r>
      <w:r>
        <w:rPr>
          <w:rFonts w:hint="eastAsia" w:ascii="宋体" w:hAnsi="宋体" w:cs="宋体"/>
          <w:bCs/>
        </w:rPr>
        <w:t>合同不可分割组成部分的风险揭示书，</w:t>
      </w:r>
      <w:r>
        <w:rPr>
          <w:rFonts w:hint="eastAsia" w:ascii="宋体" w:hAnsi="宋体" w:cs="宋体"/>
          <w:bCs/>
          <w:color w:val="auto"/>
          <w:kern w:val="2"/>
        </w:rPr>
        <w:t>以及对该文件的有效修改与补充。</w:t>
      </w:r>
    </w:p>
    <w:p>
      <w:pPr>
        <w:pStyle w:val="14"/>
        <w:numPr>
          <w:ilvl w:val="0"/>
          <w:numId w:val="14"/>
        </w:numPr>
        <w:adjustRightInd/>
        <w:spacing w:line="360" w:lineRule="auto"/>
        <w:rPr>
          <w:rFonts w:hint="eastAsia" w:ascii="宋体" w:hAnsi="宋体" w:cs="宋体"/>
          <w:b/>
          <w:color w:val="auto"/>
          <w:kern w:val="2"/>
        </w:rPr>
      </w:pPr>
      <w:r>
        <w:rPr>
          <w:rFonts w:hint="eastAsia" w:ascii="宋体" w:hAnsi="宋体" w:cs="宋体"/>
          <w:b/>
          <w:color w:val="auto"/>
          <w:kern w:val="2"/>
        </w:rPr>
        <w:t>投资者权益须知：</w:t>
      </w:r>
      <w:r>
        <w:rPr>
          <w:rFonts w:hint="eastAsia" w:ascii="宋体" w:hAnsi="宋体" w:cs="宋体"/>
          <w:bCs/>
          <w:color w:val="auto"/>
          <w:kern w:val="2"/>
        </w:rPr>
        <w:t>指作为幸福99丰裕固收763天25071期理财</w:t>
      </w:r>
      <w:r>
        <w:rPr>
          <w:rFonts w:hint="eastAsia" w:ascii="宋体" w:hAnsi="宋体" w:cs="宋体"/>
          <w:bCs/>
        </w:rPr>
        <w:t>合同不可分割组成部分的投资者权益须知，</w:t>
      </w:r>
      <w:r>
        <w:rPr>
          <w:rFonts w:hint="eastAsia" w:ascii="宋体" w:hAnsi="宋体" w:cs="宋体"/>
          <w:bCs/>
          <w:color w:val="auto"/>
          <w:kern w:val="2"/>
        </w:rPr>
        <w:t>以及对该文件的有效修改与补充。</w:t>
      </w:r>
    </w:p>
    <w:p>
      <w:pPr>
        <w:pStyle w:val="14"/>
        <w:numPr>
          <w:ilvl w:val="0"/>
          <w:numId w:val="14"/>
        </w:numPr>
        <w:adjustRightInd/>
        <w:spacing w:line="360" w:lineRule="auto"/>
        <w:rPr>
          <w:rFonts w:hint="eastAsia" w:ascii="宋体" w:hAnsi="宋体" w:cs="宋体"/>
          <w:b/>
          <w:color w:val="auto"/>
          <w:kern w:val="2"/>
        </w:rPr>
      </w:pPr>
      <w:r>
        <w:rPr>
          <w:rFonts w:hint="eastAsia" w:ascii="宋体" w:hAnsi="宋体" w:cs="宋体"/>
          <w:b/>
          <w:color w:val="auto"/>
          <w:kern w:val="2"/>
        </w:rPr>
        <w:t>理财计划投资协议书：</w:t>
      </w:r>
      <w:r>
        <w:rPr>
          <w:rFonts w:hint="eastAsia" w:ascii="宋体" w:hAnsi="宋体" w:cs="宋体"/>
          <w:bCs/>
          <w:color w:val="auto"/>
          <w:kern w:val="2"/>
        </w:rPr>
        <w:t>指作为幸福99丰裕固收763天25071期理财</w:t>
      </w:r>
      <w:r>
        <w:rPr>
          <w:rFonts w:hint="eastAsia" w:ascii="宋体" w:hAnsi="宋体" w:cs="宋体"/>
          <w:bCs/>
        </w:rPr>
        <w:t>合同不可分割组成部分的理财计划投资协议书，</w:t>
      </w:r>
      <w:r>
        <w:rPr>
          <w:rFonts w:hint="eastAsia" w:ascii="宋体" w:hAnsi="宋体" w:cs="宋体"/>
          <w:bCs/>
          <w:color w:val="auto"/>
          <w:kern w:val="2"/>
        </w:rPr>
        <w:t>以及对该文件的有效修改与补充。</w:t>
      </w:r>
    </w:p>
    <w:p>
      <w:pPr>
        <w:pStyle w:val="14"/>
        <w:numPr>
          <w:ilvl w:val="0"/>
          <w:numId w:val="14"/>
        </w:numPr>
        <w:adjustRightInd/>
        <w:spacing w:line="360" w:lineRule="auto"/>
        <w:rPr>
          <w:rFonts w:hint="eastAsia" w:ascii="宋体" w:hAnsi="宋体" w:cs="宋体"/>
          <w:b/>
          <w:color w:val="auto"/>
          <w:kern w:val="2"/>
        </w:rPr>
      </w:pPr>
      <w:r>
        <w:rPr>
          <w:rFonts w:hint="eastAsia" w:ascii="宋体" w:hAnsi="宋体" w:cs="宋体"/>
          <w:b/>
          <w:color w:val="auto"/>
          <w:kern w:val="2"/>
        </w:rPr>
        <w:t>理财计划销售协议书：</w:t>
      </w:r>
      <w:r>
        <w:rPr>
          <w:rFonts w:hint="eastAsia" w:ascii="宋体" w:hAnsi="宋体" w:cs="宋体"/>
          <w:bCs/>
          <w:color w:val="auto"/>
          <w:kern w:val="2"/>
        </w:rPr>
        <w:t>指作为幸福99丰裕固收763天25071期理财合同不可分割组成部分的理财计划销售协议书，以及对该文件的有效修改与补充。</w:t>
      </w:r>
    </w:p>
    <w:p>
      <w:pPr>
        <w:pStyle w:val="14"/>
        <w:numPr>
          <w:ilvl w:val="0"/>
          <w:numId w:val="14"/>
        </w:numPr>
        <w:adjustRightInd/>
        <w:spacing w:line="360" w:lineRule="auto"/>
        <w:rPr>
          <w:rFonts w:hint="eastAsia" w:ascii="宋体" w:hAnsi="宋体" w:cs="宋体"/>
          <w:b/>
          <w:color w:val="auto"/>
          <w:kern w:val="2"/>
        </w:rPr>
      </w:pPr>
      <w:r>
        <w:rPr>
          <w:rFonts w:hint="eastAsia" w:ascii="宋体" w:hAnsi="宋体" w:cs="宋体"/>
          <w:b/>
          <w:color w:val="auto"/>
          <w:kern w:val="2"/>
        </w:rPr>
        <w:t>理财计划合同/销售文件：</w:t>
      </w:r>
      <w:r>
        <w:rPr>
          <w:rFonts w:hint="eastAsia" w:ascii="宋体" w:hAnsi="宋体" w:cs="宋体"/>
          <w:bCs/>
          <w:color w:val="auto"/>
          <w:kern w:val="2"/>
        </w:rPr>
        <w:t>指《理财计划风险揭示书》《理财计划产品说明书》《投资者权益须知》《理财计划投资协议书》《理财计划销售协议书》五个部分。</w:t>
      </w:r>
    </w:p>
    <w:p>
      <w:pPr>
        <w:pStyle w:val="14"/>
        <w:numPr>
          <w:ilvl w:val="0"/>
          <w:numId w:val="12"/>
        </w:numPr>
        <w:adjustRightInd/>
        <w:spacing w:line="360" w:lineRule="auto"/>
        <w:outlineLvl w:val="2"/>
        <w:rPr>
          <w:rFonts w:hint="eastAsia" w:ascii="宋体" w:hAnsi="宋体" w:cs="宋体"/>
          <w:b/>
          <w:color w:val="auto"/>
          <w:kern w:val="2"/>
        </w:rPr>
      </w:pPr>
      <w:r>
        <w:rPr>
          <w:rFonts w:hint="eastAsia" w:ascii="宋体" w:hAnsi="宋体" w:cs="宋体"/>
          <w:b/>
          <w:color w:val="auto"/>
          <w:kern w:val="2"/>
        </w:rPr>
        <w:t>理财产品用语</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理财计划/理财产品/产品：</w:t>
      </w:r>
      <w:r>
        <w:rPr>
          <w:rFonts w:hint="eastAsia" w:ascii="宋体" w:hAnsi="宋体" w:cs="宋体"/>
          <w:bCs/>
          <w:color w:val="auto"/>
          <w:kern w:val="2"/>
        </w:rPr>
        <w:t>指幸福99丰裕固收763天25071期理财</w:t>
      </w:r>
      <w:r>
        <w:rPr>
          <w:rFonts w:hint="eastAsia" w:ascii="宋体" w:hAnsi="宋体" w:cs="宋体"/>
          <w:bCs/>
        </w:rPr>
        <w:t>。</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rPr>
        <w:t>理财计划份额/产品份额：</w:t>
      </w:r>
      <w:r>
        <w:rPr>
          <w:rFonts w:hint="eastAsia" w:ascii="宋体" w:hAnsi="宋体" w:cs="宋体"/>
          <w:bCs/>
        </w:rPr>
        <w:t>指管理人根据理财计划合同向投资者发行的资产收益凭证。理财计划份额持有人基于其所持有的理财计划份额享有理财计划相关利益、承担理财计划相关风险。</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rPr>
        <w:t>理财计划份额净值/产品份额净值：</w:t>
      </w:r>
      <w:r>
        <w:rPr>
          <w:rFonts w:hint="eastAsia" w:ascii="宋体" w:hAnsi="宋体" w:cs="宋体"/>
          <w:bCs/>
        </w:rPr>
        <w:t>指理财计划份额的单位净值，即每1份理财计划份额以人民币或外币（以产品说明书交易币种为准）计价的价格。</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rPr>
        <w:t>理财计划份额累计净值/产品份额累计净值：</w:t>
      </w:r>
      <w:r>
        <w:rPr>
          <w:rFonts w:hint="eastAsia" w:ascii="宋体" w:hAnsi="宋体" w:cs="宋体"/>
          <w:bCs/>
        </w:rPr>
        <w:t>指理财计划份额的单位净值与理财计划成立后历次累计单位收益分配的总和。</w:t>
      </w:r>
    </w:p>
    <w:p>
      <w:pPr>
        <w:pStyle w:val="14"/>
        <w:numPr>
          <w:ilvl w:val="0"/>
          <w:numId w:val="15"/>
        </w:numPr>
        <w:adjustRightInd/>
        <w:spacing w:line="360" w:lineRule="auto"/>
        <w:rPr>
          <w:rFonts w:hint="eastAsia" w:ascii="宋体" w:hAnsi="宋体" w:cs="宋体"/>
          <w:b/>
        </w:rPr>
      </w:pPr>
      <w:r>
        <w:rPr>
          <w:rFonts w:hint="eastAsia" w:ascii="宋体" w:hAnsi="宋体" w:cs="宋体"/>
          <w:b/>
        </w:rPr>
        <w:t>工作日：</w:t>
      </w:r>
      <w:r>
        <w:rPr>
          <w:rFonts w:hint="eastAsia" w:ascii="宋体" w:hAnsi="宋体" w:cs="宋体"/>
          <w:bCs/>
        </w:rPr>
        <w:t>指除国家法定节假日和休息日外的日期。</w:t>
      </w:r>
    </w:p>
    <w:p>
      <w:pPr>
        <w:pStyle w:val="14"/>
        <w:numPr>
          <w:ilvl w:val="0"/>
          <w:numId w:val="15"/>
        </w:numPr>
        <w:adjustRightInd/>
        <w:spacing w:line="360" w:lineRule="auto"/>
        <w:rPr>
          <w:rFonts w:hint="eastAsia" w:ascii="宋体" w:hAnsi="宋体" w:cs="宋体"/>
          <w:b/>
        </w:rPr>
      </w:pPr>
      <w:r>
        <w:rPr>
          <w:rFonts w:hint="eastAsia" w:ascii="宋体" w:hAnsi="宋体" w:cs="宋体"/>
          <w:b/>
        </w:rPr>
        <w:t>交易日：</w:t>
      </w:r>
      <w:r>
        <w:rPr>
          <w:rFonts w:hint="eastAsia" w:ascii="宋体" w:hAnsi="宋体" w:cs="宋体"/>
          <w:bCs/>
        </w:rPr>
        <w:t>指上海证券交易所、深圳证券交易所的正常交易日。</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rPr>
        <w:t>成立日：</w:t>
      </w:r>
      <w:r>
        <w:rPr>
          <w:rFonts w:hint="eastAsia" w:ascii="宋体" w:hAnsi="宋体" w:cs="宋体"/>
          <w:bCs/>
        </w:rPr>
        <w:t>指理财计划完成首次募集发行后正式成立运作日。</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认购期：</w:t>
      </w:r>
      <w:r>
        <w:rPr>
          <w:rFonts w:hint="eastAsia" w:ascii="宋体" w:hAnsi="宋体" w:cs="宋体"/>
          <w:bCs/>
          <w:color w:val="auto"/>
          <w:kern w:val="2"/>
        </w:rPr>
        <w:t>指理财计划成立前，理财计划管理人接受理财计划认购的时间。</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封闭期：</w:t>
      </w:r>
      <w:r>
        <w:rPr>
          <w:rFonts w:hint="eastAsia" w:ascii="宋体" w:hAnsi="宋体" w:cs="宋体"/>
          <w:bCs/>
          <w:color w:val="auto"/>
          <w:kern w:val="2"/>
        </w:rPr>
        <w:t>指理财计划成立后，理财计划不接受投资者申购赎回的时间。</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建仓期：</w:t>
      </w:r>
      <w:r>
        <w:rPr>
          <w:rFonts w:hint="eastAsia" w:ascii="宋体" w:hAnsi="宋体" w:cs="宋体"/>
          <w:bCs/>
          <w:color w:val="auto"/>
          <w:kern w:val="2"/>
        </w:rPr>
        <w:t>指理财计划成立后，在一定期限内投资比例无法满足本理财计划约定的投资比例要求。</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到期日：</w:t>
      </w:r>
      <w:r>
        <w:rPr>
          <w:rFonts w:hint="eastAsia" w:ascii="宋体" w:hAnsi="宋体" w:cs="宋体"/>
          <w:bCs/>
          <w:color w:val="auto"/>
          <w:kern w:val="2"/>
        </w:rPr>
        <w:t>指理财计划终止运作的日期。</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收益分配基准日：</w:t>
      </w:r>
      <w:r>
        <w:rPr>
          <w:rFonts w:hint="eastAsia" w:ascii="宋体" w:hAnsi="宋体" w:cs="宋体"/>
          <w:bCs/>
          <w:color w:val="auto"/>
          <w:kern w:val="2"/>
        </w:rPr>
        <w:t>指理财计划进行收益分配时用以确认分配收益金额的最终确认日期。</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节假日临时调整：</w:t>
      </w:r>
      <w:r>
        <w:rPr>
          <w:rFonts w:hint="eastAsia" w:ascii="宋体" w:hAnsi="宋体" w:cs="宋体"/>
          <w:bCs/>
          <w:color w:val="auto"/>
          <w:kern w:val="2"/>
        </w:rPr>
        <w:t>如因国家相关主管部门临时调整节假日安排，导致原定成立日、到期日、估值日等日期安排发生变化的，原则上采用顺延方式对原定日期进行调整，如有特殊安排，以管理人对外披露的公告为准。</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提前终止权：</w:t>
      </w:r>
      <w:r>
        <w:rPr>
          <w:rFonts w:hint="eastAsia" w:ascii="宋体" w:hAnsi="宋体" w:cs="宋体"/>
          <w:bCs/>
        </w:rPr>
        <w:t>指在本理财计划存续期内，管理人单方面决定全部提前终止本理财计划的权利。</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提前终止日：</w:t>
      </w:r>
      <w:r>
        <w:rPr>
          <w:rFonts w:hint="eastAsia" w:ascii="宋体" w:hAnsi="宋体" w:cs="宋体"/>
          <w:bCs/>
          <w:color w:val="auto"/>
          <w:kern w:val="2"/>
        </w:rPr>
        <w:t>指</w:t>
      </w:r>
      <w:r>
        <w:rPr>
          <w:rFonts w:hint="eastAsia" w:ascii="宋体" w:hAnsi="宋体" w:cs="宋体"/>
          <w:bCs/>
        </w:rPr>
        <w:t>管理人行使提前终止权的日期，即本理财计划被提前终止、开始停止计算收益的日期。</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资金到账日：</w:t>
      </w:r>
      <w:r>
        <w:rPr>
          <w:rFonts w:hint="eastAsia" w:ascii="宋体" w:hAnsi="宋体" w:cs="宋体"/>
          <w:bCs/>
        </w:rPr>
        <w:t>指理财计划终止运作后，资金返还至投资者账户的日期。</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认购：</w:t>
      </w:r>
      <w:r>
        <w:rPr>
          <w:rFonts w:hint="eastAsia" w:ascii="宋体" w:hAnsi="宋体" w:cs="宋体"/>
          <w:bCs/>
          <w:color w:val="auto"/>
          <w:kern w:val="2"/>
        </w:rPr>
        <w:t>指投资者根据理财计划约定申请购买本理财计划份额的行为。</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收益分配：</w:t>
      </w:r>
      <w:r>
        <w:rPr>
          <w:rFonts w:hint="eastAsia" w:ascii="宋体" w:hAnsi="宋体" w:cs="宋体"/>
          <w:bCs/>
          <w:color w:val="auto"/>
          <w:kern w:val="2"/>
        </w:rPr>
        <w:t>指管理人在满足收益分配基准日理财计划份额净值大于1元的情况下，定期或不定期将大于1元部分的收益进行全部或部分分配的行为。</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rPr>
        <w:t>理财计划费用/产品费用：</w:t>
      </w:r>
      <w:r>
        <w:rPr>
          <w:rFonts w:hint="eastAsia" w:ascii="宋体" w:hAnsi="宋体" w:cs="宋体"/>
          <w:bCs/>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rPr>
        <w:t>其他费用：</w:t>
      </w:r>
      <w:r>
        <w:rPr>
          <w:rFonts w:hint="eastAsia" w:ascii="宋体" w:hAnsi="宋体" w:cs="宋体"/>
          <w:bCs/>
        </w:rPr>
        <w:t>指除理财计划费用以外，理财计划涉及的其他相关费用，包括但不限于认购费、申购费、赎回费、投顾费等，具体以本说明书第八条约定为准。</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rPr>
        <w:t>理财计划估值：</w:t>
      </w:r>
      <w:r>
        <w:rPr>
          <w:rFonts w:hint="eastAsia" w:ascii="宋体" w:hAnsi="宋体" w:cs="宋体"/>
          <w:bCs/>
        </w:rPr>
        <w:t>指计算评估理财计划资产以确定理财计划份额净值的过程。</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理财业绩比较基准：</w:t>
      </w:r>
      <w:r>
        <w:rPr>
          <w:rFonts w:hint="eastAsia" w:ascii="宋体" w:hAnsi="宋体" w:cs="宋体"/>
          <w:bCs/>
          <w:color w:val="auto"/>
          <w:kern w:val="2"/>
        </w:rPr>
        <w:t>指管理人基于过往投资经验及对市场波动的判断与预测而对本理财计划设定的投资目标，不代表本理财计划的未来表现和实际收益，或管理人对本理财计划的收益承诺。</w:t>
      </w:r>
    </w:p>
    <w:p>
      <w:pPr>
        <w:pStyle w:val="14"/>
        <w:numPr>
          <w:ilvl w:val="0"/>
          <w:numId w:val="15"/>
        </w:numPr>
        <w:adjustRightInd/>
        <w:spacing w:line="360" w:lineRule="auto"/>
        <w:rPr>
          <w:rFonts w:hint="eastAsia" w:ascii="宋体" w:hAnsi="宋体" w:cs="宋体"/>
          <w:b/>
          <w:color w:val="auto"/>
          <w:kern w:val="2"/>
        </w:rPr>
      </w:pPr>
      <w:r>
        <w:rPr>
          <w:rFonts w:hint="eastAsia" w:ascii="宋体" w:hAnsi="宋体" w:cs="宋体"/>
          <w:b/>
          <w:color w:val="auto"/>
          <w:kern w:val="2"/>
        </w:rPr>
        <w:t>指定账户：</w:t>
      </w:r>
      <w:r>
        <w:rPr>
          <w:rFonts w:hint="eastAsia" w:ascii="宋体" w:hAnsi="宋体" w:cs="宋体"/>
          <w:bCs/>
          <w:color w:val="auto"/>
          <w:kern w:val="2"/>
        </w:rPr>
        <w:t>指投资者开立的，在理财计划认/申购时指定扣划本金、返还本金或收益的银行账户。</w:t>
      </w:r>
    </w:p>
    <w:p>
      <w:pPr>
        <w:pStyle w:val="14"/>
        <w:numPr>
          <w:ilvl w:val="0"/>
          <w:numId w:val="12"/>
        </w:numPr>
        <w:adjustRightInd/>
        <w:spacing w:line="360" w:lineRule="auto"/>
        <w:outlineLvl w:val="2"/>
        <w:rPr>
          <w:rFonts w:hint="eastAsia" w:ascii="宋体" w:hAnsi="宋体" w:cs="宋体"/>
          <w:b/>
          <w:color w:val="auto"/>
          <w:kern w:val="2"/>
        </w:rPr>
      </w:pPr>
      <w:r>
        <w:rPr>
          <w:rFonts w:hint="eastAsia" w:ascii="宋体" w:hAnsi="宋体" w:cs="宋体"/>
          <w:b/>
          <w:color w:val="auto"/>
          <w:kern w:val="2"/>
        </w:rPr>
        <w:t>相关事件用语</w:t>
      </w:r>
    </w:p>
    <w:p>
      <w:pPr>
        <w:pStyle w:val="14"/>
        <w:numPr>
          <w:ilvl w:val="0"/>
          <w:numId w:val="16"/>
        </w:numPr>
        <w:adjustRightInd/>
        <w:spacing w:line="360" w:lineRule="auto"/>
        <w:rPr>
          <w:rFonts w:hint="eastAsia" w:ascii="宋体" w:hAnsi="宋体" w:cs="宋体"/>
          <w:bCs/>
          <w:color w:val="auto"/>
          <w:kern w:val="2"/>
        </w:rPr>
      </w:pPr>
      <w:r>
        <w:rPr>
          <w:rFonts w:hint="eastAsia" w:ascii="宋体" w:hAnsi="宋体" w:cs="宋体"/>
          <w:b/>
          <w:color w:val="auto"/>
          <w:kern w:val="2"/>
        </w:rPr>
        <w:t>不可抗力：</w:t>
      </w:r>
      <w:r>
        <w:rPr>
          <w:rFonts w:hint="eastAsia" w:ascii="宋体" w:hAnsi="宋体" w:cs="宋体"/>
          <w:bCs/>
          <w:color w:val="auto"/>
          <w:kern w:val="2"/>
        </w:rPr>
        <w:t>指理财计划各方不能预见、不能避免且不能克服的客观情况，该事件妨碍、影响或延误任何一方依据相关理财计划文件履行其全面或部分义务。该事件包括但不限于:</w:t>
      </w:r>
    </w:p>
    <w:p>
      <w:pPr>
        <w:pStyle w:val="14"/>
        <w:adjustRightInd/>
        <w:spacing w:line="360" w:lineRule="auto"/>
        <w:ind w:firstLine="480" w:firstLineChars="200"/>
        <w:rPr>
          <w:bCs/>
        </w:rPr>
      </w:pPr>
      <w:r>
        <w:rPr>
          <w:rFonts w:hint="eastAsia" w:ascii="宋体" w:hAnsi="宋体" w:cs="宋体"/>
          <w:bCs/>
          <w:color w:val="auto"/>
          <w:kern w:val="2"/>
        </w:rPr>
        <w:t>（1）地震、台风、海啸、洪水、火灾、停电、瘟疫、突发公共卫生事件；</w:t>
      </w:r>
    </w:p>
    <w:p>
      <w:pPr>
        <w:pStyle w:val="14"/>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（2）战争、政变、恐怖主义行动、骚乱、罢工；</w:t>
      </w:r>
    </w:p>
    <w:p>
      <w:pPr>
        <w:pStyle w:val="14"/>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（3）新的适用法律或国家政策的颁布或实施、对原适用法律或国家政策的修改；</w:t>
      </w:r>
    </w:p>
    <w:p>
      <w:pPr>
        <w:pStyle w:val="14"/>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（4）金融管理部门强制要求终止理财计划（该等强制要求不可归咎于任何一方）；</w:t>
      </w:r>
    </w:p>
    <w:p>
      <w:pPr>
        <w:pStyle w:val="14"/>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（5）因理财计划各方和/或其关联方运营网络系统遭受黑客攻击、电信部门技术调整或故障等原因而造成的理财计划各方和/或其关联方之服务、营业的中断或者延迟。</w:t>
      </w:r>
    </w:p>
    <w:p>
      <w:pPr>
        <w:pStyle w:val="14"/>
        <w:adjustRightInd/>
        <w:spacing w:line="360" w:lineRule="auto"/>
        <w:rPr>
          <w:rFonts w:hint="eastAsia" w:ascii="宋体" w:hAnsi="宋体" w:cs="宋体"/>
          <w:bCs/>
          <w:color w:val="auto"/>
          <w:kern w:val="2"/>
        </w:rPr>
      </w:pPr>
    </w:p>
    <w:p>
      <w:pPr>
        <w:pStyle w:val="14"/>
        <w:numPr>
          <w:ilvl w:val="0"/>
          <w:numId w:val="17"/>
        </w:numPr>
        <w:adjustRightInd/>
        <w:spacing w:line="360" w:lineRule="auto"/>
        <w:outlineLvl w:val="1"/>
        <w:rPr>
          <w:rFonts w:hint="eastAsia" w:ascii="宋体" w:hAnsi="宋体" w:cs="宋体"/>
          <w:b/>
          <w:color w:val="auto"/>
          <w:kern w:val="2"/>
        </w:rPr>
      </w:pPr>
      <w:r>
        <w:rPr>
          <w:rFonts w:hint="eastAsia" w:ascii="宋体" w:hAnsi="宋体" w:cs="宋体"/>
          <w:b/>
          <w:color w:val="auto"/>
          <w:kern w:val="2"/>
        </w:rPr>
        <w:t>风险评级</w:t>
      </w:r>
    </w:p>
    <w:p>
      <w:pPr>
        <w:pStyle w:val="14"/>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rPr>
        <w:t>本理财计划的风险等级为〖</w:t>
      </w:r>
      <w:r>
        <w:rPr>
          <w:rFonts w:hint="eastAsia" w:ascii="宋体" w:hAnsi="宋体" w:cs="宋体"/>
          <w:b/>
        </w:rPr>
        <w:t>R2</w:t>
      </w:r>
      <w:r>
        <w:rPr>
          <w:rFonts w:hint="eastAsia" w:ascii="宋体" w:hAnsi="宋体" w:cs="宋体"/>
          <w:b/>
          <w:color w:val="auto"/>
          <w:kern w:val="2"/>
        </w:rPr>
        <w:t>〗，〖</w:t>
      </w:r>
      <w:r>
        <w:rPr>
          <w:rFonts w:hint="eastAsia" w:ascii="宋体" w:hAnsi="宋体" w:cs="宋体"/>
          <w:b/>
        </w:rPr>
        <w:t>中低</w:t>
      </w:r>
      <w:r>
        <w:rPr>
          <w:rFonts w:hint="eastAsia" w:ascii="宋体" w:hAnsi="宋体" w:cs="宋体"/>
          <w:b/>
          <w:color w:val="auto"/>
          <w:kern w:val="2"/>
        </w:rPr>
        <w:t>〗风险。</w:t>
      </w:r>
      <w:r>
        <w:rPr>
          <w:rFonts w:hint="eastAsia" w:ascii="宋体" w:hAnsi="宋体" w:cs="宋体"/>
          <w:bCs/>
          <w:color w:val="auto"/>
          <w:kern w:val="2"/>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内部风险评级</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风险程度</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R1</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R2</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中低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R3</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中</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R4</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中高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R5</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进取型</w:t>
            </w:r>
          </w:p>
        </w:tc>
      </w:tr>
    </w:tbl>
    <w:p>
      <w:pPr>
        <w:pStyle w:val="14"/>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投资者风险承受能力评级水平以销售机构评估为准。</w:t>
      </w:r>
    </w:p>
    <w:p>
      <w:pPr>
        <w:pStyle w:val="14"/>
        <w:adjustRightInd/>
        <w:spacing w:line="360" w:lineRule="auto"/>
        <w:rPr>
          <w:rFonts w:hint="eastAsia" w:ascii="宋体" w:hAnsi="宋体" w:cs="宋体"/>
          <w:bCs/>
          <w:color w:val="auto"/>
          <w:kern w:val="2"/>
        </w:rPr>
      </w:pPr>
    </w:p>
    <w:p>
      <w:pPr>
        <w:pStyle w:val="14"/>
        <w:numPr>
          <w:ilvl w:val="0"/>
          <w:numId w:val="17"/>
        </w:numPr>
        <w:adjustRightInd/>
        <w:spacing w:line="360" w:lineRule="auto"/>
        <w:outlineLvl w:val="1"/>
        <w:rPr>
          <w:rFonts w:hint="eastAsia" w:ascii="宋体" w:hAnsi="宋体" w:cs="宋体"/>
          <w:b/>
          <w:color w:val="auto"/>
          <w:kern w:val="2"/>
        </w:rPr>
      </w:pPr>
      <w:r>
        <w:rPr>
          <w:rFonts w:hint="eastAsia" w:ascii="宋体" w:hAnsi="宋体" w:cs="宋体"/>
          <w:b/>
          <w:color w:val="auto"/>
          <w:kern w:val="2"/>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val="en-US" w:eastAsia="zh-CN" w:bidi="ar-SA"/>
              </w:rPr>
              <w:t>幸福99丰裕固收763天25071期理财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丰裕固收25071期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val="en-US" w:eastAsia="zh-CN" w:bidi="ar-SA"/>
              </w:rPr>
              <w:t>〖FYG25071〗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本理财计划在全国银行业理财信息登记系统的登记编码是〖Z7002225000119〗，投资者可依据该编码在“中国理财网（www.chinawealth.com.cn）”查询本理财计划信息。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本理财计划适合</w:t>
            </w:r>
            <w:r>
              <w:rPr>
                <w:rFonts w:hint="eastAsia" w:ascii="宋体" w:hAnsi="宋体" w:eastAsia="宋体" w:cs="宋体"/>
                <w:b/>
                <w:kern w:val="2"/>
                <w:sz w:val="21"/>
                <w:szCs w:val="21"/>
                <w:lang w:val="en-US" w:eastAsia="zh-CN" w:bidi="ar-SA"/>
              </w:rPr>
              <w:t>〖</w:t>
            </w:r>
            <w:r>
              <w:rPr>
                <w:rFonts w:hint="eastAsia" w:ascii="宋体" w:hAnsi="宋体" w:eastAsia="宋体" w:cs="宋体"/>
                <w:b/>
                <w:color w:val="000000"/>
                <w:kern w:val="2"/>
                <w:sz w:val="21"/>
                <w:szCs w:val="21"/>
                <w:lang w:val="en-US" w:eastAsia="zh-CN" w:bidi="ar-SA"/>
              </w:rPr>
              <w:t>机构投资者〗以及〖稳健型、平衡型、成长型、进取型〗的个人投资者。</w:t>
            </w:r>
            <w:r>
              <w:rPr>
                <w:rFonts w:hint="eastAsia" w:ascii="宋体" w:hAnsi="宋体" w:eastAsia="宋体" w:cs="宋体"/>
                <w:bCs/>
                <w:kern w:val="2"/>
                <w:sz w:val="21"/>
                <w:szCs w:val="24"/>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其中：</w:t>
            </w:r>
            <w:r>
              <w:rPr>
                <w:rFonts w:hint="eastAsia" w:ascii="宋体" w:hAnsi="宋体" w:eastAsia="宋体" w:cs="黑体"/>
                <w:color w:val="000000"/>
                <w:kern w:val="2"/>
                <w:sz w:val="21"/>
                <w:szCs w:val="21"/>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A份额（销售代码〖FYG25071A〗）：代销机构所有个人及机构客户。</w:t>
            </w:r>
            <w:r>
              <w:rPr>
                <w:rFonts w:hint="eastAsia" w:ascii="宋体" w:hAnsi="宋体" w:eastAsia="宋体" w:cs="宋体"/>
                <w:bCs/>
                <w:color w:val="000000"/>
                <w:kern w:val="2"/>
                <w:sz w:val="21"/>
                <w:szCs w:val="21"/>
                <w:lang w:val="en-US" w:eastAsia="zh-CN" w:bidi="ar-SA"/>
              </w:rPr>
              <w:br w:type="textWrapping"/>
            </w:r>
            <w:r>
              <w:rPr>
                <w:rFonts w:hint="eastAsia" w:ascii="宋体" w:hAnsi="宋体" w:eastAsia="宋体" w:cs="宋体"/>
                <w:bCs/>
                <w:color w:val="000000"/>
                <w:kern w:val="2"/>
                <w:sz w:val="21"/>
                <w:szCs w:val="21"/>
                <w:lang w:val="en-US" w:eastAsia="zh-CN" w:bidi="ar-SA"/>
              </w:rPr>
              <w:t>B份额（销售代码〖FYG25071B〗）：部分代销机构客户。</w:t>
            </w:r>
            <w:r>
              <w:rPr>
                <w:rFonts w:hint="eastAsia" w:ascii="宋体" w:hAnsi="宋体" w:eastAsia="宋体" w:cs="宋体"/>
                <w:bCs/>
                <w:color w:val="000000"/>
                <w:kern w:val="2"/>
                <w:sz w:val="21"/>
                <w:szCs w:val="21"/>
                <w:lang w:val="en-US" w:eastAsia="zh-CN" w:bidi="ar-SA"/>
              </w:rPr>
              <w:br w:type="textWrapping"/>
            </w:r>
            <w:r>
              <w:rPr>
                <w:rFonts w:hint="eastAsia" w:ascii="宋体" w:hAnsi="宋体" w:eastAsia="宋体" w:cs="宋体"/>
                <w:bCs/>
                <w:color w:val="000000"/>
                <w:kern w:val="2"/>
                <w:sz w:val="21"/>
                <w:szCs w:val="21"/>
                <w:lang w:val="en-US" w:eastAsia="zh-CN" w:bidi="ar-SA"/>
              </w:rPr>
              <w:t>C份额（销售代码〖FYG25071C〗）：部分代销机构客户。</w:t>
            </w:r>
            <w:r>
              <w:rPr>
                <w:rFonts w:hint="eastAsia" w:ascii="宋体" w:hAnsi="宋体" w:eastAsia="宋体" w:cs="宋体"/>
                <w:bCs/>
                <w:color w:val="000000"/>
                <w:kern w:val="2"/>
                <w:sz w:val="21"/>
                <w:szCs w:val="21"/>
                <w:lang w:val="en-US" w:eastAsia="zh-CN" w:bidi="ar-SA"/>
              </w:rPr>
              <w:br w:type="textWrapping"/>
            </w:r>
            <w:r>
              <w:rPr>
                <w:rFonts w:hint="eastAsia" w:ascii="宋体" w:hAnsi="宋体" w:eastAsia="宋体" w:cs="宋体"/>
                <w:bCs/>
                <w:color w:val="000000"/>
                <w:kern w:val="2"/>
                <w:sz w:val="21"/>
                <w:szCs w:val="21"/>
                <w:lang w:val="en-US" w:eastAsia="zh-CN" w:bidi="ar-SA"/>
              </w:rPr>
              <w:t>D份额（销售代码〖FYG25071D〗）：部分代销机构客户。</w:t>
            </w:r>
            <w:r>
              <w:rPr>
                <w:rFonts w:hint="eastAsia" w:ascii="宋体" w:hAnsi="宋体" w:eastAsia="宋体" w:cs="宋体"/>
                <w:bCs/>
                <w:color w:val="000000"/>
                <w:kern w:val="2"/>
                <w:sz w:val="21"/>
                <w:szCs w:val="21"/>
                <w:lang w:val="en-US" w:eastAsia="zh-CN" w:bidi="ar-SA"/>
              </w:rPr>
              <w:br w:type="textWrapping"/>
            </w:r>
            <w:r>
              <w:rPr>
                <w:rFonts w:hint="eastAsia" w:ascii="宋体" w:hAnsi="宋体" w:eastAsia="宋体" w:cs="宋体"/>
                <w:bCs/>
                <w:color w:val="000000"/>
                <w:kern w:val="2"/>
                <w:sz w:val="21"/>
                <w:szCs w:val="21"/>
                <w:lang w:val="en-US" w:eastAsia="zh-CN" w:bidi="ar-SA"/>
              </w:rPr>
              <w:t>E份额(幸福金桂)（销售代码〖FYG25071E〗）：部分代销机构客户。</w:t>
            </w:r>
            <w:r>
              <w:rPr>
                <w:rFonts w:hint="eastAsia" w:ascii="宋体" w:hAnsi="宋体" w:eastAsia="宋体" w:cs="宋体"/>
                <w:bCs/>
                <w:color w:val="000000"/>
                <w:kern w:val="2"/>
                <w:sz w:val="21"/>
                <w:szCs w:val="21"/>
                <w:lang w:val="en-US" w:eastAsia="zh-CN" w:bidi="ar-SA"/>
              </w:rPr>
              <w:br w:type="textWrapping"/>
            </w:r>
            <w:r>
              <w:rPr>
                <w:rFonts w:hint="eastAsia" w:ascii="宋体" w:hAnsi="宋体" w:eastAsia="宋体" w:cs="宋体"/>
                <w:bCs/>
                <w:color w:val="000000"/>
                <w:kern w:val="2"/>
                <w:sz w:val="21"/>
                <w:szCs w:val="21"/>
                <w:lang w:val="en-US" w:eastAsia="zh-CN" w:bidi="ar-SA"/>
              </w:rPr>
              <w:t>F份额(幸福金桂)（销售代码〖FYG25071F〗）：特邀客户。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val="en-US" w:eastAsia="zh-CN" w:bidi="ar-SA"/>
              </w:rPr>
              <w:t>〖固定收益类〗</w:t>
            </w:r>
            <w:r>
              <w:rPr>
                <w:rFonts w:hint="eastAsia" w:ascii="宋体" w:hAnsi="宋体" w:eastAsia="宋体" w:cs="宋体"/>
                <w:color w:val="000000"/>
                <w:kern w:val="2"/>
                <w:sz w:val="21"/>
                <w:szCs w:val="21"/>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ascii="宋体" w:hAnsi="宋体" w:eastAsia="宋体" w:cs="宋体"/>
                <w:color w:val="000000"/>
                <w:kern w:val="2"/>
                <w:sz w:val="21"/>
                <w:szCs w:val="21"/>
                <w:lang w:val="en-US" w:eastAsia="zh-CN" w:bidi="ar-SA"/>
              </w:rPr>
              <w:t>全国</w:t>
            </w:r>
            <w:r>
              <w:rPr>
                <w:rFonts w:hint="eastAsia" w:ascii="宋体" w:hAnsi="宋体" w:eastAsia="宋体" w:cs="宋体"/>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可通过杭银理财直销渠道和代理销售机构的</w:t>
            </w:r>
            <w:r>
              <w:rPr>
                <w:rFonts w:hint="eastAsia" w:ascii="宋体" w:hAnsi="宋体" w:eastAsia="宋体" w:cs="宋体"/>
                <w:kern w:val="2"/>
                <w:sz w:val="21"/>
                <w:szCs w:val="21"/>
                <w:lang w:val="en-US" w:eastAsia="zh-CN" w:bidi="ar-SA"/>
              </w:rPr>
              <w:t>〖</w:t>
            </w:r>
            <w:r>
              <w:rPr>
                <w:rFonts w:hint="eastAsia" w:ascii="宋体" w:hAnsi="宋体" w:eastAsia="宋体" w:cs="宋体"/>
                <w:color w:val="000000"/>
                <w:kern w:val="2"/>
                <w:sz w:val="21"/>
                <w:szCs w:val="21"/>
                <w:lang w:val="en-US" w:eastAsia="zh-CN" w:bidi="ar-SA"/>
              </w:rPr>
              <w:t>营业网点、网上银行、手机银行</w:t>
            </w:r>
            <w:r>
              <w:rPr>
                <w:rFonts w:hint="eastAsia" w:ascii="宋体" w:hAnsi="宋体" w:eastAsia="宋体" w:cs="宋体"/>
                <w:kern w:val="2"/>
                <w:sz w:val="21"/>
                <w:szCs w:val="21"/>
                <w:lang w:val="en-US" w:eastAsia="zh-CN" w:bidi="ar-SA"/>
              </w:rPr>
              <w:t>〗</w:t>
            </w:r>
            <w:r>
              <w:rPr>
                <w:rFonts w:hint="eastAsia" w:ascii="宋体" w:hAnsi="宋体" w:eastAsia="宋体" w:cs="宋体"/>
                <w:color w:val="000000"/>
                <w:kern w:val="2"/>
                <w:sz w:val="21"/>
                <w:szCs w:val="21"/>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〖2025〗年〖4〗月〖3〗日-〖2025〗年〖4〗月〖9〗日</w:t>
            </w:r>
            <w:r>
              <w:rPr>
                <w:rFonts w:hint="eastAsia" w:ascii="宋体" w:hAnsi="宋体" w:eastAsia="宋体" w:cs="宋体"/>
                <w:color w:val="000000"/>
                <w:kern w:val="0"/>
                <w:sz w:val="21"/>
                <w:szCs w:val="21"/>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认购期首日〖9：00〗至认购结束日〖17：00〗</w:t>
            </w:r>
            <w:r>
              <w:rPr>
                <w:rFonts w:hint="eastAsia" w:ascii="宋体" w:hAnsi="宋体" w:eastAsia="宋体" w:cs="宋体"/>
                <w:color w:val="000000"/>
                <w:kern w:val="0"/>
                <w:sz w:val="21"/>
                <w:szCs w:val="21"/>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〖2025〗年〖4〗月〖10〗日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〖2027〗年〖5〗月〖13〗日，若到期日为非工作日则顺延至下一个工作日。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〖763〗天（实际理财期限受制于管理人提前终止权等条款）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产品续期</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本理财计划在到期日前如遇部分资产无法变现，为保障投资者权益，管理人有权进行一次或多次续期，并在到期日前〖5〗</w:t>
            </w:r>
            <w:r>
              <w:rPr>
                <w:rFonts w:hint="eastAsia" w:ascii="宋体" w:hAnsi="宋体" w:eastAsia="宋体" w:cs="宋体"/>
                <w:bCs/>
                <w:kern w:val="2"/>
                <w:sz w:val="21"/>
                <w:szCs w:val="21"/>
                <w:lang w:val="en-US" w:eastAsia="zh-CN" w:bidi="ar-SA"/>
              </w:rPr>
              <w:t>个工作日对外公告续期事宜及续期时间。理财计划在续期期间不得进行申购和赎回。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〖A份额〗起点〖1〗元整，超过认购起点部分，应为〖1〗元的整数倍</w:t>
            </w:r>
            <w:r>
              <w:rPr>
                <w:rFonts w:hint="eastAsia" w:ascii="宋体" w:hAnsi="宋体" w:eastAsia="宋体" w:cs="宋体"/>
                <w:color w:val="000000"/>
                <w:kern w:val="0"/>
                <w:sz w:val="21"/>
                <w:szCs w:val="21"/>
                <w:lang w:val="en-US" w:eastAsia="zh-CN" w:bidi="ar-SA"/>
              </w:rPr>
              <w:br w:type="textWrapping"/>
            </w:r>
            <w:r>
              <w:rPr>
                <w:rFonts w:hint="eastAsia" w:ascii="宋体" w:hAnsi="宋体" w:eastAsia="宋体" w:cs="宋体"/>
                <w:color w:val="000000"/>
                <w:kern w:val="0"/>
                <w:sz w:val="21"/>
                <w:szCs w:val="21"/>
                <w:lang w:val="en-US" w:eastAsia="zh-CN" w:bidi="ar-SA"/>
              </w:rPr>
              <w:t>〖B份额〗起点〖1〗元整，超过认购起点部分，应为〖1〗元的整数倍</w:t>
            </w:r>
            <w:r>
              <w:rPr>
                <w:rFonts w:hint="eastAsia" w:ascii="宋体" w:hAnsi="宋体" w:eastAsia="宋体" w:cs="宋体"/>
                <w:color w:val="000000"/>
                <w:kern w:val="0"/>
                <w:sz w:val="21"/>
                <w:szCs w:val="21"/>
                <w:lang w:val="en-US" w:eastAsia="zh-CN" w:bidi="ar-SA"/>
              </w:rPr>
              <w:br w:type="textWrapping"/>
            </w:r>
            <w:r>
              <w:rPr>
                <w:rFonts w:hint="eastAsia" w:ascii="宋体" w:hAnsi="宋体" w:eastAsia="宋体" w:cs="宋体"/>
                <w:color w:val="000000"/>
                <w:kern w:val="0"/>
                <w:sz w:val="21"/>
                <w:szCs w:val="21"/>
                <w:lang w:val="en-US" w:eastAsia="zh-CN" w:bidi="ar-SA"/>
              </w:rPr>
              <w:t>〖C份额〗起点〖1〗元整，超过认购起点部分，应为〖1〗元的整数倍</w:t>
            </w:r>
            <w:r>
              <w:rPr>
                <w:rFonts w:hint="eastAsia" w:ascii="宋体" w:hAnsi="宋体" w:eastAsia="宋体" w:cs="宋体"/>
                <w:color w:val="000000"/>
                <w:kern w:val="0"/>
                <w:sz w:val="21"/>
                <w:szCs w:val="21"/>
                <w:lang w:val="en-US" w:eastAsia="zh-CN" w:bidi="ar-SA"/>
              </w:rPr>
              <w:br w:type="textWrapping"/>
            </w:r>
            <w:r>
              <w:rPr>
                <w:rFonts w:hint="eastAsia" w:ascii="宋体" w:hAnsi="宋体" w:eastAsia="宋体" w:cs="宋体"/>
                <w:color w:val="000000"/>
                <w:kern w:val="0"/>
                <w:sz w:val="21"/>
                <w:szCs w:val="21"/>
                <w:lang w:val="en-US" w:eastAsia="zh-CN" w:bidi="ar-SA"/>
              </w:rPr>
              <w:t>〖D份额〗起点〖1〗元整，超过认购起点部分，应为〖1〗元的整数倍</w:t>
            </w:r>
            <w:r>
              <w:rPr>
                <w:rFonts w:hint="eastAsia" w:ascii="宋体" w:hAnsi="宋体" w:eastAsia="宋体" w:cs="宋体"/>
                <w:color w:val="000000"/>
                <w:kern w:val="0"/>
                <w:sz w:val="21"/>
                <w:szCs w:val="21"/>
                <w:lang w:val="en-US" w:eastAsia="zh-CN" w:bidi="ar-SA"/>
              </w:rPr>
              <w:br w:type="textWrapping"/>
            </w:r>
            <w:r>
              <w:rPr>
                <w:rFonts w:hint="eastAsia" w:ascii="宋体" w:hAnsi="宋体" w:eastAsia="宋体" w:cs="宋体"/>
                <w:color w:val="000000"/>
                <w:kern w:val="0"/>
                <w:sz w:val="21"/>
                <w:szCs w:val="21"/>
                <w:lang w:val="en-US" w:eastAsia="zh-CN" w:bidi="ar-SA"/>
              </w:rPr>
              <w:t>〖E份额〗起点〖1〗元整，超过认购起点部分，应为〖1〗元的整数倍</w:t>
            </w:r>
            <w:r>
              <w:rPr>
                <w:rFonts w:hint="eastAsia" w:ascii="宋体" w:hAnsi="宋体" w:eastAsia="宋体" w:cs="宋体"/>
                <w:color w:val="000000"/>
                <w:kern w:val="0"/>
                <w:sz w:val="21"/>
                <w:szCs w:val="21"/>
                <w:lang w:val="en-US" w:eastAsia="zh-CN" w:bidi="ar-SA"/>
              </w:rPr>
              <w:br w:type="textWrapping"/>
            </w:r>
            <w:r>
              <w:rPr>
                <w:rFonts w:hint="eastAsia" w:ascii="宋体" w:hAnsi="宋体" w:eastAsia="宋体" w:cs="宋体"/>
                <w:color w:val="000000"/>
                <w:kern w:val="0"/>
                <w:sz w:val="21"/>
                <w:szCs w:val="21"/>
                <w:lang w:val="en-US" w:eastAsia="zh-CN" w:bidi="ar-SA"/>
              </w:rPr>
              <w:t>〖F份额〗起点〖1〗元整，超过认购起点部分，应为〖1〗元的整数倍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lang w:val="en-US" w:eastAsia="zh-CN" w:bidi="ar-SA"/>
              </w:rPr>
              <w:t>〖3000〗</w:t>
            </w:r>
            <w:r>
              <w:rPr>
                <w:rFonts w:hint="eastAsia" w:ascii="宋体" w:hAnsi="宋体" w:eastAsia="宋体" w:cs="宋体"/>
                <w:color w:val="000000"/>
                <w:kern w:val="2"/>
                <w:sz w:val="21"/>
                <w:szCs w:val="21"/>
                <w:lang w:val="en-US" w:eastAsia="zh-CN" w:bidi="ar-SA"/>
              </w:rPr>
              <w:t>万元，则管理人可宣布本理财计划不成立并在原定理财计划成立日后</w:t>
            </w:r>
            <w:r>
              <w:rPr>
                <w:rFonts w:hint="eastAsia" w:ascii="宋体" w:hAnsi="宋体" w:eastAsia="宋体" w:cs="宋体"/>
                <w:kern w:val="2"/>
                <w:sz w:val="21"/>
                <w:szCs w:val="21"/>
                <w:lang w:val="en-US" w:eastAsia="zh-CN" w:bidi="ar-SA"/>
              </w:rPr>
              <w:t>〖</w:t>
            </w:r>
            <w:r>
              <w:rPr>
                <w:rFonts w:hint="eastAsia" w:ascii="宋体" w:hAnsi="宋体" w:eastAsia="宋体" w:cs="宋体"/>
                <w:color w:val="000000"/>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ascii="宋体" w:hAnsi="宋体" w:eastAsia="宋体" w:cs="宋体"/>
                <w:color w:val="000000"/>
                <w:kern w:val="2"/>
                <w:sz w:val="21"/>
                <w:szCs w:val="21"/>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单位净值=理财计划估值日理财计划总净值/理财计划总份额，单位净值保留小数点后四位。</w:t>
            </w:r>
          </w:p>
          <w:p>
            <w:pPr>
              <w:widowControl/>
              <w:spacing w:line="360" w:lineRule="auto"/>
              <w:contextualSpacing/>
              <w:jc w:val="both"/>
              <w:rPr>
                <w:rFonts w:hint="eastAsia" w:ascii="宋体" w:hAnsi="宋体" w:eastAsia="宋体" w:cs="宋体"/>
                <w:b/>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理财计划到期后，最快</w:t>
            </w:r>
            <w:r>
              <w:rPr>
                <w:rFonts w:hint="eastAsia" w:ascii="宋体" w:hAnsi="宋体" w:eastAsia="宋体" w:cs="宋体"/>
                <w:kern w:val="2"/>
                <w:sz w:val="21"/>
                <w:szCs w:val="21"/>
                <w:lang w:val="en-US" w:eastAsia="zh-CN" w:bidi="ar-SA"/>
              </w:rPr>
              <w:t>〖1〗</w:t>
            </w:r>
            <w:r>
              <w:rPr>
                <w:rFonts w:hint="eastAsia" w:ascii="宋体" w:hAnsi="宋体" w:eastAsia="宋体" w:cs="宋体"/>
                <w:color w:val="000000"/>
                <w:kern w:val="2"/>
                <w:sz w:val="21"/>
                <w:szCs w:val="21"/>
                <w:lang w:val="en-US" w:eastAsia="zh-CN" w:bidi="ar-SA"/>
              </w:rPr>
              <w:t>个工作日，最晚</w:t>
            </w:r>
            <w:r>
              <w:rPr>
                <w:rFonts w:hint="eastAsia" w:ascii="宋体" w:hAnsi="宋体" w:eastAsia="宋体" w:cs="宋体"/>
                <w:kern w:val="2"/>
                <w:sz w:val="21"/>
                <w:szCs w:val="21"/>
                <w:lang w:val="en-US" w:eastAsia="zh-CN" w:bidi="ar-SA"/>
              </w:rPr>
              <w:t>〖3〗</w:t>
            </w:r>
            <w:r>
              <w:rPr>
                <w:rFonts w:hint="eastAsia" w:ascii="宋体" w:hAnsi="宋体" w:eastAsia="宋体" w:cs="宋体"/>
                <w:color w:val="000000"/>
                <w:kern w:val="2"/>
                <w:sz w:val="21"/>
                <w:szCs w:val="21"/>
                <w:lang w:val="en-US" w:eastAsia="zh-CN" w:bidi="ar-SA"/>
              </w:rPr>
              <w:t>个工作日内（遇节假日顺延）理财资金与收益一次性支付。如遇资金在途或法定工作日调整，实际资金到账日以公告为准。</w:t>
            </w:r>
            <w:r>
              <w:rPr>
                <w:rFonts w:hint="eastAsia" w:ascii="宋体" w:hAnsi="宋体" w:eastAsia="宋体" w:cs="宋体"/>
                <w:color w:val="000000"/>
                <w:kern w:val="0"/>
                <w:sz w:val="21"/>
                <w:szCs w:val="21"/>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本理财计划〖A份额〗业绩比较基准为〖2.65%-2.95%〗（年化）。</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本理财计划〖B份额〗业绩比较基准为〖2.75%-3.05%〗（年化）。</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本理财计划〖C份额〗业绩比较基准为〖2.85%-3.15%〗（年化）。</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本理财计划〖D份额〗业绩比较基准为〖2.80%-3.10%〗（年化）。</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本理财计划〖E份额〗业绩比较基准为〖2.75%-3.05%〗（年化）。</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本理财计划〖F份额〗业绩比较基准为〖2.80%-3.10%〗（年化）。</w:t>
            </w:r>
          </w:p>
          <w:p>
            <w:pPr>
              <w:widowControl/>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lang w:val="en-US" w:eastAsia="zh-CN" w:bidi="ar-SA"/>
              </w:rPr>
            </w:pPr>
            <w:r>
              <w:rPr>
                <w:rFonts w:hint="eastAsia" w:ascii="宋体" w:hAnsi="宋体" w:eastAsia="宋体" w:cs="宋体"/>
                <w:kern w:val="2"/>
                <w:sz w:val="21"/>
                <w:szCs w:val="21"/>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lang w:val="en-US" w:eastAsia="zh-CN" w:bidi="ar-SA"/>
              </w:rPr>
              <w:t>〖2〗</w:t>
            </w:r>
            <w:r>
              <w:rPr>
                <w:rFonts w:hint="eastAsia" w:ascii="宋体" w:hAnsi="宋体" w:eastAsia="宋体" w:cs="宋体"/>
                <w:kern w:val="2"/>
                <w:sz w:val="21"/>
                <w:szCs w:val="21"/>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kern w:val="2"/>
                <w:sz w:val="21"/>
                <w:szCs w:val="21"/>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1.销售服务费：〖A份额〗收取年化〖0.30%〗的销售服务费, 〖B份额〗收取年化〖0.20%〗的销售服务费, 〖C份额〗收取年化〖0.10%〗的销售服务费, 〖D份额〗收取年化〖0.15%〗的销售服务费, 〖E份额〗收取年化〖0.20%〗的销售服务费, 〖F份额〗收取年化〖0.15%〗的销售服务费。</w:t>
            </w:r>
          </w:p>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2.托管费：收取年化</w:t>
            </w:r>
            <w:r>
              <w:rPr>
                <w:rFonts w:hint="eastAsia" w:ascii="宋体" w:hAnsi="宋体" w:eastAsia="宋体" w:cs="宋体"/>
                <w:kern w:val="2"/>
                <w:sz w:val="21"/>
                <w:szCs w:val="21"/>
                <w:lang w:val="en-US" w:eastAsia="zh-CN" w:bidi="ar-SA"/>
              </w:rPr>
              <w:t>〖0.025%〗</w:t>
            </w:r>
            <w:r>
              <w:rPr>
                <w:rFonts w:hint="eastAsia" w:ascii="宋体" w:hAnsi="宋体" w:eastAsia="宋体" w:cs="宋体"/>
                <w:color w:val="000000"/>
                <w:kern w:val="2"/>
                <w:sz w:val="21"/>
                <w:szCs w:val="21"/>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3.固定管理费：〖A份额〗收取年化〖0.20%〗的固定管理费, 〖B份额〗收取年化〖0.20%〗的固定管理费, 〖C份额〗收取年化〖0.20%〗的固定管理费, 〖D份额〗收取年化〖0.20%〗的固定管理费, 〖E份额〗收取年化〖0.20%〗的固定管理费, 〖F份额〗收取年化〖0.20%〗的固定管理费。</w:t>
            </w:r>
          </w:p>
          <w:p>
            <w:pPr>
              <w:widowControl/>
              <w:spacing w:line="360" w:lineRule="auto"/>
              <w:contextualSpacing/>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lang w:val="en-US" w:eastAsia="zh-CN" w:bidi="ar-SA"/>
              </w:rPr>
              <w:t>（含）</w:t>
            </w:r>
            <w:r>
              <w:rPr>
                <w:rFonts w:hint="eastAsia" w:ascii="宋体" w:hAnsi="宋体" w:eastAsia="宋体" w:cs="宋体"/>
                <w:color w:val="000000"/>
                <w:kern w:val="2"/>
                <w:sz w:val="21"/>
                <w:szCs w:val="21"/>
                <w:lang w:val="en-US" w:eastAsia="zh-CN" w:bidi="ar-SA"/>
              </w:rPr>
              <w:t>至上限</w:t>
            </w:r>
            <w:r>
              <w:rPr>
                <w:rFonts w:hint="eastAsia" w:ascii="宋体" w:hAnsi="宋体" w:eastAsia="宋体" w:cs="宋体"/>
                <w:kern w:val="2"/>
                <w:sz w:val="21"/>
                <w:szCs w:val="21"/>
                <w:lang w:val="en-US" w:eastAsia="zh-CN" w:bidi="ar-SA"/>
              </w:rPr>
              <w:t>（含）</w:t>
            </w:r>
            <w:r>
              <w:rPr>
                <w:rFonts w:hint="eastAsia" w:ascii="宋体" w:hAnsi="宋体" w:eastAsia="宋体" w:cs="宋体"/>
                <w:color w:val="000000"/>
                <w:kern w:val="2"/>
                <w:sz w:val="21"/>
                <w:szCs w:val="21"/>
                <w:lang w:val="en-US" w:eastAsia="zh-CN" w:bidi="ar-SA"/>
              </w:rPr>
              <w:t>〗的部分,</w:t>
            </w:r>
            <w:r>
              <w:rPr>
                <w:rFonts w:hint="eastAsia" w:ascii="宋体" w:hAnsi="宋体" w:eastAsia="宋体" w:cs="宋体"/>
                <w:b/>
                <w:color w:val="000000"/>
                <w:kern w:val="2"/>
                <w:sz w:val="21"/>
                <w:szCs w:val="21"/>
                <w:lang w:val="en-US" w:eastAsia="zh-CN" w:bidi="ar-SA"/>
              </w:rPr>
              <w:t>管理人提取</w:t>
            </w:r>
            <w:r>
              <w:rPr>
                <w:rFonts w:hint="eastAsia" w:ascii="宋体" w:hAnsi="宋体" w:eastAsia="宋体" w:cs="宋体"/>
                <w:b/>
                <w:kern w:val="2"/>
                <w:sz w:val="21"/>
                <w:szCs w:val="21"/>
                <w:lang w:val="en-US" w:eastAsia="zh-CN" w:bidi="ar-SA"/>
              </w:rPr>
              <w:t>〖50%〗</w:t>
            </w:r>
            <w:r>
              <w:rPr>
                <w:rFonts w:hint="eastAsia" w:ascii="宋体" w:hAnsi="宋体" w:eastAsia="宋体" w:cs="宋体"/>
                <w:b/>
                <w:color w:val="000000"/>
                <w:kern w:val="2"/>
                <w:sz w:val="21"/>
                <w:szCs w:val="21"/>
                <w:lang w:val="en-US" w:eastAsia="zh-CN" w:bidi="ar-SA"/>
              </w:rPr>
              <w:t>作为浮动管理费</w:t>
            </w:r>
            <w:r>
              <w:rPr>
                <w:rFonts w:hint="eastAsia" w:ascii="宋体" w:hAnsi="宋体" w:eastAsia="宋体" w:cs="宋体"/>
                <w:bCs/>
                <w:color w:val="000000"/>
                <w:kern w:val="2"/>
                <w:sz w:val="21"/>
                <w:szCs w:val="21"/>
                <w:lang w:val="en-US" w:eastAsia="zh-CN" w:bidi="ar-SA"/>
              </w:rPr>
              <w:t>,在超过〖</w:t>
            </w:r>
            <w:r>
              <w:rPr>
                <w:rFonts w:hint="eastAsia" w:ascii="宋体" w:hAnsi="宋体" w:eastAsia="宋体" w:cs="宋体"/>
                <w:bCs/>
                <w:kern w:val="2"/>
                <w:sz w:val="21"/>
                <w:szCs w:val="21"/>
                <w:lang w:val="en-US" w:eastAsia="zh-CN" w:bidi="ar-SA"/>
              </w:rPr>
              <w:t>业绩比较基准上限</w:t>
            </w:r>
            <w:r>
              <w:rPr>
                <w:rFonts w:hint="eastAsia" w:ascii="宋体" w:hAnsi="宋体" w:eastAsia="宋体" w:cs="宋体"/>
                <w:bCs/>
                <w:color w:val="000000"/>
                <w:kern w:val="2"/>
                <w:sz w:val="21"/>
                <w:szCs w:val="21"/>
                <w:lang w:val="en-US" w:eastAsia="zh-CN" w:bidi="ar-SA"/>
              </w:rPr>
              <w:t>〗的部分,</w:t>
            </w:r>
            <w:r>
              <w:rPr>
                <w:rFonts w:hint="eastAsia" w:ascii="宋体" w:hAnsi="宋体" w:eastAsia="宋体" w:cs="宋体"/>
                <w:b/>
                <w:color w:val="000000"/>
                <w:kern w:val="2"/>
                <w:sz w:val="21"/>
                <w:szCs w:val="21"/>
                <w:lang w:val="en-US" w:eastAsia="zh-CN" w:bidi="ar-SA"/>
              </w:rPr>
              <w:t>管理人提取</w:t>
            </w:r>
            <w:r>
              <w:rPr>
                <w:rFonts w:hint="eastAsia" w:ascii="宋体" w:hAnsi="宋体" w:eastAsia="宋体" w:cs="宋体"/>
                <w:b/>
                <w:kern w:val="2"/>
                <w:sz w:val="21"/>
                <w:szCs w:val="21"/>
                <w:lang w:val="en-US" w:eastAsia="zh-CN" w:bidi="ar-SA"/>
              </w:rPr>
              <w:t>〖80%〗</w:t>
            </w:r>
            <w:r>
              <w:rPr>
                <w:rFonts w:hint="eastAsia" w:ascii="宋体" w:hAnsi="宋体" w:eastAsia="宋体" w:cs="宋体"/>
                <w:b/>
                <w:color w:val="000000"/>
                <w:kern w:val="2"/>
                <w:sz w:val="21"/>
                <w:szCs w:val="21"/>
                <w:lang w:val="en-US" w:eastAsia="zh-CN" w:bidi="ar-SA"/>
              </w:rPr>
              <w:t>作为浮动管理费</w:t>
            </w:r>
            <w:r>
              <w:rPr>
                <w:rFonts w:hint="eastAsia" w:ascii="宋体" w:hAnsi="宋体" w:eastAsia="宋体" w:cs="宋体"/>
                <w:bCs/>
                <w:color w:val="00000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lang w:val="en-US" w:eastAsia="zh-CN" w:bidi="ar-SA"/>
              </w:rPr>
            </w:pPr>
            <w:r>
              <w:rPr>
                <w:rFonts w:hint="eastAsia" w:ascii="宋体" w:hAnsi="宋体" w:eastAsia="宋体" w:cs="宋体"/>
                <w:b/>
                <w:color w:val="000000"/>
                <w:kern w:val="0"/>
                <w:sz w:val="21"/>
                <w:szCs w:val="21"/>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2"/>
                <w:sz w:val="21"/>
                <w:szCs w:val="21"/>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lang w:val="en-US" w:eastAsia="zh-CN" w:bidi="ar-SA"/>
              </w:rPr>
            </w:pPr>
            <w:r>
              <w:rPr>
                <w:rFonts w:hint="eastAsia" w:ascii="宋体" w:hAnsi="宋体" w:eastAsia="宋体" w:cs="宋体"/>
                <w:b/>
                <w:color w:val="000000"/>
                <w:kern w:val="2"/>
                <w:sz w:val="21"/>
                <w:szCs w:val="21"/>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2"/>
                <w:sz w:val="21"/>
                <w:szCs w:val="21"/>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rPr>
      </w:pPr>
      <w:r>
        <w:rPr>
          <w:rFonts w:hint="eastAsia" w:ascii="宋体" w:hAnsi="宋体"/>
          <w:b/>
          <w:color w:val="000000"/>
          <w:sz w:val="24"/>
        </w:rPr>
        <w:t>特别说明：</w:t>
      </w:r>
      <w:r>
        <w:rPr>
          <w:rFonts w:hint="eastAsia" w:ascii="宋体" w:hAnsi="宋体" w:cs="宋体"/>
          <w:b/>
          <w:color w:val="000000"/>
          <w:sz w:val="24"/>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rPr>
      </w:pPr>
    </w:p>
    <w:p>
      <w:pPr>
        <w:numPr>
          <w:ilvl w:val="0"/>
          <w:numId w:val="18"/>
        </w:numPr>
        <w:spacing w:line="360" w:lineRule="auto"/>
        <w:outlineLvl w:val="1"/>
        <w:rPr>
          <w:rFonts w:hint="eastAsia" w:ascii="宋体" w:hAnsi="宋体" w:cs="宋体"/>
          <w:b/>
          <w:color w:val="000000"/>
          <w:sz w:val="24"/>
        </w:rPr>
      </w:pPr>
      <w:r>
        <w:rPr>
          <w:rFonts w:hint="eastAsia" w:ascii="宋体" w:hAnsi="宋体" w:cs="宋体"/>
          <w:b/>
          <w:color w:val="000000"/>
          <w:sz w:val="24"/>
        </w:rPr>
        <w:t>投资管理</w:t>
      </w:r>
    </w:p>
    <w:p>
      <w:pPr>
        <w:numPr>
          <w:ilvl w:val="0"/>
          <w:numId w:val="19"/>
        </w:numPr>
        <w:spacing w:line="360" w:lineRule="auto"/>
        <w:jc w:val="left"/>
        <w:outlineLvl w:val="2"/>
        <w:rPr>
          <w:rFonts w:hint="eastAsia" w:ascii="宋体" w:hAnsi="宋体" w:cs="宋体"/>
          <w:b/>
          <w:sz w:val="24"/>
        </w:rPr>
      </w:pPr>
      <w:r>
        <w:rPr>
          <w:rFonts w:hint="eastAsia" w:ascii="宋体" w:hAnsi="宋体" w:cs="宋体"/>
          <w:b/>
          <w:sz w:val="24"/>
        </w:rPr>
        <w:t>投资范围</w:t>
      </w:r>
    </w:p>
    <w:p>
      <w:pPr>
        <w:spacing w:line="360" w:lineRule="auto"/>
        <w:ind w:firstLine="480" w:firstLineChars="200"/>
        <w:jc w:val="left"/>
        <w:rPr>
          <w:rFonts w:hint="eastAsia" w:ascii="宋体" w:hAnsi="宋体" w:cs="宋体"/>
          <w:bCs/>
          <w:sz w:val="24"/>
        </w:rPr>
      </w:pPr>
      <w:r>
        <w:rPr>
          <w:rFonts w:hint="eastAsia" w:ascii="宋体" w:hAnsi="宋体" w:cs="宋体"/>
          <w:bCs/>
          <w:sz w:val="24"/>
        </w:rPr>
        <w:t>本理财计划主要投资于符合监管要求的各类资产：</w:t>
      </w:r>
    </w:p>
    <w:p>
      <w:pPr>
        <w:numPr>
          <w:ilvl w:val="0"/>
          <w:numId w:val="20"/>
        </w:numPr>
        <w:spacing w:line="360" w:lineRule="auto"/>
        <w:jc w:val="left"/>
        <w:rPr>
          <w:rFonts w:hint="eastAsia" w:ascii="宋体" w:hAnsi="宋体" w:cs="宋体"/>
          <w:bCs/>
          <w:sz w:val="24"/>
        </w:rPr>
      </w:pPr>
      <w:r>
        <w:rPr>
          <w:rFonts w:hint="eastAsia" w:ascii="宋体" w:hAnsi="宋体" w:cs="宋体"/>
          <w:bCs/>
          <w:sz w:val="24"/>
        </w:rPr>
        <w:t>固定收益类资产：包括但不限于各类债券、存款、货币市场金融工具、债券基金、质押式及买断式回购、非标准化债权类资产，其他符合监管要求的固定收益类资产及资产管理产品。</w:t>
      </w:r>
    </w:p>
    <w:p>
      <w:pPr>
        <w:numPr>
          <w:ilvl w:val="0"/>
          <w:numId w:val="20"/>
        </w:numPr>
        <w:spacing w:line="360" w:lineRule="auto"/>
        <w:jc w:val="left"/>
        <w:rPr>
          <w:rFonts w:hint="eastAsia" w:ascii="宋体" w:hAnsi="宋体" w:cs="宋体"/>
          <w:bCs/>
          <w:sz w:val="24"/>
        </w:rPr>
      </w:pPr>
      <w:r>
        <w:rPr>
          <w:rFonts w:hint="eastAsia" w:ascii="宋体" w:hAnsi="宋体" w:cs="宋体"/>
          <w:bCs/>
          <w:sz w:val="24"/>
        </w:rPr>
        <w:t>权益类资产：包括国内发行上市优先股、上市公司股票、定向增发、员工持股计划、以及其他符合监管要求的权益类资产及资产管理产品（不包括未上市企业股权）。</w:t>
      </w:r>
    </w:p>
    <w:p>
      <w:pPr>
        <w:numPr>
          <w:ilvl w:val="0"/>
          <w:numId w:val="19"/>
        </w:numPr>
        <w:spacing w:line="360" w:lineRule="auto"/>
        <w:jc w:val="left"/>
        <w:outlineLvl w:val="2"/>
        <w:rPr>
          <w:rFonts w:hint="eastAsia" w:ascii="宋体" w:hAnsi="宋体" w:cs="宋体"/>
          <w:b/>
          <w:sz w:val="24"/>
        </w:rPr>
      </w:pPr>
      <w:r>
        <w:rPr>
          <w:rFonts w:hint="eastAsia" w:ascii="宋体" w:hAnsi="宋体" w:cs="宋体"/>
          <w:b/>
          <w:sz w:val="24"/>
        </w:rPr>
        <w:t>投资比例</w:t>
      </w:r>
    </w:p>
    <w:p>
      <w:pPr>
        <w:spacing w:line="360" w:lineRule="auto"/>
        <w:ind w:firstLine="480" w:firstLineChars="200"/>
        <w:jc w:val="left"/>
        <w:rPr>
          <w:rFonts w:hint="eastAsia" w:ascii="宋体" w:hAnsi="宋体" w:cs="宋体"/>
          <w:bCs/>
          <w:sz w:val="24"/>
        </w:rPr>
      </w:pPr>
      <w:r>
        <w:rPr>
          <w:rFonts w:hint="eastAsia" w:ascii="宋体" w:hAnsi="宋体" w:cs="宋体"/>
          <w:bCs/>
          <w:sz w:val="24"/>
        </w:rPr>
        <w:t>本理财计划各投资资产占总资产的配置比例如下：</w:t>
      </w:r>
      <w:r>
        <w:rPr>
          <w:rFonts w:hint="eastAsia" w:ascii="宋体" w:hAnsi="宋体" w:cs="宋体"/>
          <w:bCs/>
          <w:color w:val="FF0000"/>
          <w:sz w:val="24"/>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4"/>
        <w:adjustRightInd/>
        <w:spacing w:line="360" w:lineRule="auto"/>
        <w:ind w:firstLine="456" w:firstLineChars="190"/>
        <w:rPr>
          <w:rFonts w:hint="eastAsia" w:ascii="宋体" w:hAnsi="宋体" w:cs="宋体"/>
          <w:bCs/>
          <w:color w:val="auto"/>
          <w:kern w:val="2"/>
        </w:rPr>
      </w:pPr>
      <w:r>
        <w:rPr>
          <w:rFonts w:hint="eastAsia" w:ascii="宋体" w:hAnsi="宋体" w:cs="宋体"/>
          <w:bCs/>
          <w:color w:val="auto"/>
          <w:kern w:val="2"/>
        </w:rPr>
        <w:t>本理财计划自成立日起</w:t>
      </w:r>
      <w:r>
        <w:rPr>
          <w:rFonts w:hint="eastAsia" w:ascii="宋体" w:hAnsi="宋体" w:cs="宋体"/>
        </w:rPr>
        <w:t>〖</w:t>
      </w:r>
      <w:r>
        <w:rPr>
          <w:rFonts w:hint="eastAsia" w:ascii="宋体" w:hAnsi="宋体" w:cs="宋体"/>
          <w:bCs/>
          <w:color w:val="auto"/>
          <w:kern w:val="2"/>
        </w:rPr>
        <w:t>1个月</w:t>
      </w:r>
      <w:r>
        <w:rPr>
          <w:rFonts w:hint="eastAsia" w:ascii="宋体" w:hAnsi="宋体" w:cs="宋体"/>
        </w:rPr>
        <w:t>〗</w:t>
      </w:r>
      <w:r>
        <w:rPr>
          <w:rFonts w:hint="eastAsia" w:ascii="宋体" w:hAnsi="宋体" w:cs="宋体"/>
          <w:bCs/>
          <w:color w:val="auto"/>
          <w:kern w:val="2"/>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4"/>
        <w:adjustRightInd/>
        <w:spacing w:line="360" w:lineRule="auto"/>
        <w:ind w:firstLine="456" w:firstLineChars="190"/>
        <w:rPr>
          <w:rFonts w:ascii="宋体" w:hAnsi="宋体" w:cs="宋体"/>
          <w:bCs/>
          <w:color w:val="auto"/>
          <w:kern w:val="2"/>
        </w:rPr>
      </w:pPr>
      <w:r>
        <w:rPr>
          <w:rFonts w:hint="eastAsia" w:ascii="宋体" w:hAnsi="宋体" w:cs="宋体"/>
          <w:bCs/>
          <w:color w:val="auto"/>
          <w:kern w:val="2"/>
        </w:rPr>
        <w:t>本理财计划可以投资不存在活跃交易市场并且需要采用估值技术确定公允价值的资产，上述资产比例可以达到50%以上。</w:t>
      </w:r>
    </w:p>
    <w:p>
      <w:pPr>
        <w:numPr>
          <w:ilvl w:val="0"/>
          <w:numId w:val="19"/>
        </w:numPr>
        <w:spacing w:line="360" w:lineRule="auto"/>
        <w:jc w:val="left"/>
        <w:outlineLvl w:val="2"/>
        <w:rPr>
          <w:rFonts w:hint="eastAsia" w:ascii="宋体" w:hAnsi="宋体" w:cs="宋体"/>
          <w:b/>
          <w:sz w:val="24"/>
        </w:rPr>
      </w:pPr>
      <w:r>
        <w:rPr>
          <w:rFonts w:hint="eastAsia" w:ascii="宋体" w:hAnsi="宋体" w:cs="宋体"/>
          <w:b/>
          <w:sz w:val="24"/>
        </w:rPr>
        <w:t>投资策略</w:t>
      </w:r>
    </w:p>
    <w:p>
      <w:pPr>
        <w:pStyle w:val="14"/>
        <w:numPr>
          <w:ilvl w:val="0"/>
          <w:numId w:val="21"/>
        </w:numPr>
        <w:adjustRightInd/>
        <w:spacing w:line="360" w:lineRule="auto"/>
        <w:rPr>
          <w:rFonts w:hint="eastAsia" w:ascii="宋体" w:hAnsi="宋体" w:cs="宋体"/>
          <w:bCs/>
          <w:color w:val="auto"/>
          <w:kern w:val="2"/>
        </w:rPr>
      </w:pPr>
      <w:r>
        <w:rPr>
          <w:rFonts w:hint="eastAsia" w:ascii="宋体" w:hAnsi="宋体" w:cs="宋体"/>
          <w:bCs/>
          <w:color w:val="auto"/>
          <w:kern w:val="2"/>
        </w:rPr>
        <w:t>资产配置策略</w:t>
      </w:r>
    </w:p>
    <w:p>
      <w:pPr>
        <w:pStyle w:val="14"/>
        <w:adjustRightInd/>
        <w:spacing w:line="360" w:lineRule="auto"/>
        <w:rPr>
          <w:rFonts w:ascii="宋体" w:cs="宋体"/>
          <w:sz w:val="21"/>
          <w:szCs w:val="21"/>
        </w:rPr>
      </w:pPr>
      <w:r>
        <w:rPr>
          <w:rFonts w:hint="eastAsia" w:ascii="宋体" w:hAnsi="宋体" w:cs="宋体"/>
          <w:bCs/>
          <w:color w:val="auto"/>
          <w:kern w:val="2"/>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2"/>
        </w:numPr>
        <w:spacing w:line="360" w:lineRule="auto"/>
        <w:jc w:val="left"/>
        <w:rPr>
          <w:rFonts w:hint="eastAsia" w:ascii="宋体" w:hAnsi="宋体" w:cs="宋体"/>
          <w:bCs/>
          <w:sz w:val="24"/>
        </w:rPr>
      </w:pPr>
      <w:r>
        <w:rPr>
          <w:rFonts w:hint="eastAsia" w:ascii="宋体" w:hAnsi="宋体" w:cs="宋体"/>
          <w:bCs/>
          <w:sz w:val="24"/>
        </w:rPr>
        <w:t>债券投资策略</w:t>
      </w:r>
    </w:p>
    <w:p>
      <w:pPr>
        <w:pStyle w:val="14"/>
        <w:adjustRightInd/>
        <w:spacing w:line="360" w:lineRule="auto"/>
        <w:ind w:firstLine="480" w:firstLineChars="200"/>
        <w:rPr>
          <w:rFonts w:hint="eastAsia" w:ascii="宋体" w:hAnsi="宋体" w:cs="宋体"/>
          <w:bCs/>
        </w:rPr>
      </w:pPr>
      <w:r>
        <w:rPr>
          <w:rFonts w:hint="eastAsia" w:ascii="宋体" w:hAnsi="宋体" w:cs="宋体"/>
          <w:bCs/>
          <w:color w:val="auto"/>
          <w:kern w:val="2"/>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2"/>
        </w:numPr>
        <w:spacing w:line="360" w:lineRule="auto"/>
        <w:jc w:val="left"/>
        <w:rPr>
          <w:rFonts w:hint="eastAsia" w:ascii="宋体" w:hAnsi="宋体" w:cs="宋体"/>
          <w:bCs/>
          <w:sz w:val="24"/>
        </w:rPr>
      </w:pPr>
      <w:r>
        <w:rPr>
          <w:rFonts w:hint="eastAsia" w:ascii="宋体" w:hAnsi="宋体" w:cs="宋体"/>
          <w:bCs/>
          <w:sz w:val="24"/>
        </w:rPr>
        <w:t>非标准化债权类资产投资策略</w:t>
      </w:r>
    </w:p>
    <w:p>
      <w:pPr>
        <w:spacing w:line="360" w:lineRule="auto"/>
        <w:ind w:firstLine="480" w:firstLineChars="200"/>
        <w:jc w:val="left"/>
        <w:rPr>
          <w:rFonts w:hint="eastAsia" w:ascii="宋体" w:hAnsi="宋体" w:cs="宋体"/>
          <w:bCs/>
          <w:sz w:val="24"/>
        </w:rPr>
      </w:pPr>
      <w:r>
        <w:rPr>
          <w:rFonts w:hint="eastAsia" w:ascii="宋体" w:hAnsi="宋体" w:cs="宋体"/>
          <w:bCs/>
          <w:sz w:val="24"/>
        </w:rPr>
        <w:t>管理人发挥自身能力优势，在合规前提下开展风险可控、期限匹配的非标准化债权类资产投资，力争获取稳定收益。</w:t>
      </w:r>
    </w:p>
    <w:p>
      <w:pPr>
        <w:numPr>
          <w:ilvl w:val="0"/>
          <w:numId w:val="19"/>
        </w:numPr>
        <w:spacing w:line="360" w:lineRule="auto"/>
        <w:jc w:val="left"/>
        <w:outlineLvl w:val="2"/>
        <w:rPr>
          <w:rFonts w:hint="eastAsia" w:ascii="宋体" w:hAnsi="宋体" w:cs="宋体"/>
          <w:b/>
          <w:sz w:val="24"/>
        </w:rPr>
      </w:pPr>
      <w:r>
        <w:rPr>
          <w:rFonts w:hint="eastAsia" w:ascii="宋体" w:hAnsi="宋体" w:cs="宋体"/>
          <w:b/>
          <w:sz w:val="24"/>
        </w:rPr>
        <w:t>投资限制</w:t>
      </w:r>
    </w:p>
    <w:p>
      <w:pPr>
        <w:numPr>
          <w:ilvl w:val="0"/>
          <w:numId w:val="23"/>
        </w:numPr>
        <w:spacing w:line="360" w:lineRule="auto"/>
        <w:jc w:val="left"/>
        <w:rPr>
          <w:rFonts w:hint="eastAsia" w:ascii="宋体" w:hAnsi="宋体" w:cs="宋体"/>
          <w:bCs/>
          <w:sz w:val="24"/>
        </w:rPr>
      </w:pPr>
      <w:r>
        <w:rPr>
          <w:rFonts w:hint="eastAsia" w:ascii="宋体" w:hAnsi="宋体" w:cs="宋体"/>
          <w:bCs/>
          <w:sz w:val="24"/>
        </w:rPr>
        <w:t>投资集中度限制</w:t>
      </w:r>
    </w:p>
    <w:p>
      <w:pPr>
        <w:numPr>
          <w:ilvl w:val="0"/>
          <w:numId w:val="24"/>
        </w:numPr>
        <w:spacing w:line="360" w:lineRule="auto"/>
        <w:ind w:firstLine="480" w:firstLineChars="200"/>
        <w:jc w:val="left"/>
        <w:rPr>
          <w:rFonts w:hint="eastAsia" w:ascii="宋体" w:hAnsi="宋体" w:cs="宋体"/>
          <w:bCs/>
          <w:sz w:val="24"/>
        </w:rPr>
      </w:pPr>
      <w:r>
        <w:rPr>
          <w:rFonts w:hint="eastAsia" w:ascii="宋体" w:hAnsi="宋体" w:cs="宋体"/>
          <w:bCs/>
          <w:color w:val="000000"/>
          <w:sz w:val="24"/>
        </w:rPr>
        <w:t>本理</w:t>
      </w:r>
      <w:r>
        <w:rPr>
          <w:rFonts w:hint="eastAsia" w:ascii="宋体" w:hAnsi="宋体" w:cs="宋体"/>
          <w:bCs/>
          <w:sz w:val="24"/>
        </w:rPr>
        <w:t>财计划持有单只证券或单只公募</w:t>
      </w:r>
      <w:r>
        <w:fldChar w:fldCharType="begin"/>
      </w:r>
      <w:r>
        <w:rPr>
          <w:rFonts w:ascii="宋体" w:hAnsi="宋体" w:cs="宋体"/>
          <w:bCs/>
          <w:sz w:val="24"/>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rPr>
        <w:t>证券投资基金</w:t>
      </w:r>
      <w:r>
        <w:fldChar w:fldCharType="end"/>
      </w:r>
      <w:r>
        <w:rPr>
          <w:rFonts w:ascii="宋体" w:hAnsi="宋体" w:cs="宋体"/>
          <w:bCs/>
          <w:sz w:val="24"/>
        </w:rPr>
        <w:t>的市值不得超过该理财</w:t>
      </w:r>
      <w:r>
        <w:rPr>
          <w:rFonts w:hint="eastAsia" w:ascii="宋体" w:hAnsi="宋体" w:cs="宋体"/>
          <w:bCs/>
          <w:sz w:val="24"/>
        </w:rPr>
        <w:t>计划</w:t>
      </w:r>
      <w:r>
        <w:rPr>
          <w:rFonts w:ascii="宋体" w:hAnsi="宋体" w:cs="宋体"/>
          <w:bCs/>
          <w:sz w:val="24"/>
        </w:rPr>
        <w:t>净资产</w:t>
      </w:r>
      <w:r>
        <w:rPr>
          <w:rFonts w:hint="eastAsia" w:ascii="宋体" w:hAnsi="宋体" w:cs="宋体"/>
          <w:bCs/>
          <w:sz w:val="24"/>
        </w:rPr>
        <w:t>的</w:t>
      </w:r>
      <w:r>
        <w:rPr>
          <w:rFonts w:ascii="宋体" w:hAnsi="宋体" w:cs="宋体"/>
          <w:bCs/>
          <w:sz w:val="24"/>
        </w:rPr>
        <w:t>10%</w:t>
      </w:r>
      <w:r>
        <w:rPr>
          <w:rFonts w:hint="eastAsia" w:ascii="宋体" w:hAnsi="宋体" w:cs="宋体"/>
          <w:bCs/>
          <w:sz w:val="24"/>
        </w:rPr>
        <w:t>。</w:t>
      </w:r>
    </w:p>
    <w:p>
      <w:pPr>
        <w:numPr>
          <w:ilvl w:val="0"/>
          <w:numId w:val="24"/>
        </w:numPr>
        <w:spacing w:line="360" w:lineRule="auto"/>
        <w:ind w:firstLine="480" w:firstLineChars="200"/>
        <w:jc w:val="left"/>
        <w:rPr>
          <w:rFonts w:ascii="宋体" w:hAnsi="宋体" w:cs="宋体"/>
          <w:bCs/>
          <w:sz w:val="24"/>
        </w:rPr>
      </w:pPr>
      <w:r>
        <w:rPr>
          <w:rFonts w:hint="eastAsia" w:ascii="宋体" w:hAnsi="宋体" w:cs="宋体"/>
          <w:bCs/>
          <w:sz w:val="24"/>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rPr>
      </w:pPr>
      <w:r>
        <w:rPr>
          <w:rFonts w:hint="eastAsia" w:ascii="宋体" w:hAnsi="宋体" w:cs="宋体"/>
          <w:bCs/>
          <w:sz w:val="24"/>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rPr>
      </w:pPr>
      <w:r>
        <w:rPr>
          <w:rFonts w:hint="eastAsia" w:ascii="宋体" w:hAnsi="宋体" w:cs="宋体"/>
          <w:bCs/>
          <w:sz w:val="24"/>
        </w:rPr>
        <w:t>国务院银行业监督管理机构另有规定的除外。</w:t>
      </w:r>
    </w:p>
    <w:p>
      <w:pPr>
        <w:spacing w:line="360" w:lineRule="auto"/>
        <w:ind w:firstLine="480" w:firstLineChars="200"/>
        <w:jc w:val="left"/>
        <w:rPr>
          <w:rFonts w:ascii="宋体" w:hAnsi="宋体" w:cs="宋体"/>
          <w:bCs/>
          <w:sz w:val="24"/>
        </w:rPr>
      </w:pPr>
      <w:r>
        <w:rPr>
          <w:rFonts w:hint="eastAsia" w:ascii="宋体" w:hAnsi="宋体" w:cs="宋体"/>
          <w:bCs/>
          <w:sz w:val="24"/>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jc w:val="left"/>
        <w:rPr>
          <w:rFonts w:hint="eastAsia" w:ascii="宋体" w:hAnsi="宋体" w:cs="宋体"/>
          <w:bCs/>
          <w:sz w:val="24"/>
        </w:rPr>
      </w:pPr>
      <w:r>
        <w:rPr>
          <w:rFonts w:hint="eastAsia" w:ascii="宋体" w:hAnsi="宋体" w:cs="宋体"/>
          <w:bCs/>
          <w:sz w:val="24"/>
        </w:rPr>
        <w:t>投资期限限制</w:t>
      </w:r>
    </w:p>
    <w:p>
      <w:pPr>
        <w:spacing w:line="360" w:lineRule="auto"/>
        <w:ind w:firstLine="480" w:firstLineChars="200"/>
        <w:jc w:val="left"/>
        <w:rPr>
          <w:rFonts w:hint="eastAsia" w:ascii="宋体" w:hAnsi="宋体" w:cs="宋体"/>
          <w:bCs/>
          <w:sz w:val="24"/>
        </w:rPr>
      </w:pPr>
      <w:r>
        <w:rPr>
          <w:rFonts w:hint="eastAsia" w:ascii="宋体" w:hAnsi="宋体" w:cs="宋体"/>
          <w:bCs/>
          <w:sz w:val="24"/>
        </w:rPr>
        <w:t>本理财计划投资的非标准化债权类资产到期日不得晚于理财计划到期日。</w:t>
      </w:r>
    </w:p>
    <w:p>
      <w:pPr>
        <w:numPr>
          <w:ilvl w:val="0"/>
          <w:numId w:val="23"/>
        </w:numPr>
        <w:spacing w:line="360" w:lineRule="auto"/>
        <w:jc w:val="left"/>
        <w:rPr>
          <w:rFonts w:hint="eastAsia" w:ascii="宋体" w:hAnsi="宋体" w:cs="宋体"/>
          <w:bCs/>
          <w:sz w:val="24"/>
        </w:rPr>
      </w:pPr>
      <w:r>
        <w:rPr>
          <w:rFonts w:hint="eastAsia" w:ascii="宋体" w:hAnsi="宋体" w:cs="宋体"/>
          <w:bCs/>
          <w:sz w:val="24"/>
        </w:rPr>
        <w:t>投资杠杆率限制</w:t>
      </w:r>
    </w:p>
    <w:p>
      <w:pPr>
        <w:spacing w:line="360" w:lineRule="auto"/>
        <w:ind w:firstLine="480" w:firstLineChars="200"/>
        <w:jc w:val="left"/>
        <w:rPr>
          <w:rFonts w:hint="eastAsia" w:ascii="宋体" w:hAnsi="宋体" w:cs="宋体"/>
          <w:bCs/>
          <w:sz w:val="24"/>
        </w:rPr>
      </w:pPr>
      <w:r>
        <w:rPr>
          <w:rFonts w:hint="eastAsia" w:ascii="宋体" w:hAnsi="宋体" w:cs="宋体"/>
          <w:bCs/>
          <w:sz w:val="24"/>
        </w:rPr>
        <w:t>本理财计划的总资产不得超过净资产的200%。</w:t>
      </w:r>
    </w:p>
    <w:p>
      <w:pPr>
        <w:numPr>
          <w:ilvl w:val="0"/>
          <w:numId w:val="23"/>
        </w:numPr>
        <w:spacing w:line="360" w:lineRule="auto"/>
        <w:jc w:val="left"/>
        <w:rPr>
          <w:rFonts w:hint="eastAsia" w:ascii="宋体" w:hAnsi="宋体" w:cs="宋体"/>
          <w:bCs/>
          <w:sz w:val="24"/>
        </w:rPr>
      </w:pPr>
      <w:r>
        <w:rPr>
          <w:rFonts w:hint="eastAsia" w:ascii="宋体" w:hAnsi="宋体" w:cs="宋体"/>
          <w:bCs/>
          <w:sz w:val="24"/>
        </w:rPr>
        <w:t>其他投资限制</w:t>
      </w:r>
    </w:p>
    <w:p>
      <w:pPr>
        <w:spacing w:line="360" w:lineRule="auto"/>
        <w:ind w:firstLine="480" w:firstLineChars="200"/>
        <w:jc w:val="left"/>
        <w:rPr>
          <w:rFonts w:hint="eastAsia" w:ascii="宋体" w:hAnsi="宋体" w:cs="宋体"/>
          <w:bCs/>
          <w:sz w:val="24"/>
        </w:rPr>
      </w:pPr>
      <w:r>
        <w:rPr>
          <w:rFonts w:hint="eastAsia" w:ascii="宋体" w:hAnsi="宋体" w:cs="宋体"/>
          <w:bCs/>
          <w:sz w:val="24"/>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rPr>
        <w:t>资产支持证券</w:t>
      </w:r>
      <w:r>
        <w:fldChar w:fldCharType="end"/>
      </w:r>
      <w:r>
        <w:rPr>
          <w:rFonts w:hint="eastAsia" w:ascii="宋体" w:hAnsi="宋体" w:cs="宋体"/>
          <w:bCs/>
          <w:sz w:val="24"/>
        </w:rPr>
        <w:t>，不得直接或间接投资于未上市公司股权及其受（收）益权。</w:t>
      </w:r>
    </w:p>
    <w:p>
      <w:pPr>
        <w:numPr>
          <w:ilvl w:val="0"/>
          <w:numId w:val="19"/>
        </w:numPr>
        <w:spacing w:line="360" w:lineRule="auto"/>
        <w:jc w:val="left"/>
        <w:outlineLvl w:val="2"/>
        <w:rPr>
          <w:rFonts w:hint="eastAsia" w:ascii="宋体" w:hAnsi="宋体" w:cs="宋体"/>
          <w:b/>
          <w:sz w:val="24"/>
        </w:rPr>
      </w:pPr>
      <w:r>
        <w:rPr>
          <w:rFonts w:hint="eastAsia" w:ascii="宋体" w:hAnsi="宋体" w:cs="宋体"/>
          <w:b/>
          <w:sz w:val="24"/>
        </w:rPr>
        <w:t>拟投资市场、资产的流动性风险评估</w:t>
      </w:r>
    </w:p>
    <w:p>
      <w:pPr>
        <w:spacing w:line="360" w:lineRule="auto"/>
        <w:ind w:left="420"/>
        <w:jc w:val="left"/>
        <w:rPr>
          <w:rFonts w:hint="eastAsia" w:ascii="宋体" w:hAnsi="宋体" w:cs="宋体"/>
          <w:bCs/>
          <w:sz w:val="24"/>
        </w:rPr>
      </w:pPr>
      <w:r>
        <w:rPr>
          <w:rFonts w:hint="eastAsia" w:ascii="宋体" w:hAnsi="宋体" w:cs="宋体"/>
          <w:bCs/>
          <w:sz w:val="24"/>
        </w:rPr>
        <w:t>本理财计划拟投资市场可能面临的流动性风险如下：</w:t>
      </w:r>
    </w:p>
    <w:p>
      <w:pPr>
        <w:numPr>
          <w:ilvl w:val="0"/>
          <w:numId w:val="25"/>
        </w:numPr>
        <w:spacing w:line="360" w:lineRule="auto"/>
        <w:jc w:val="left"/>
        <w:rPr>
          <w:rFonts w:hint="eastAsia" w:ascii="宋体" w:hAnsi="宋体" w:cs="宋体"/>
          <w:bCs/>
          <w:sz w:val="24"/>
        </w:rPr>
      </w:pPr>
      <w:r>
        <w:rPr>
          <w:rFonts w:hint="eastAsia" w:ascii="宋体" w:hAnsi="宋体" w:cs="宋体"/>
          <w:bCs/>
          <w:sz w:val="24"/>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5"/>
        </w:numPr>
        <w:spacing w:line="360" w:lineRule="auto"/>
        <w:jc w:val="left"/>
        <w:rPr>
          <w:rFonts w:hint="eastAsia" w:ascii="宋体" w:hAnsi="宋体" w:cs="宋体"/>
          <w:bCs/>
          <w:sz w:val="24"/>
        </w:rPr>
      </w:pPr>
      <w:r>
        <w:rPr>
          <w:rFonts w:hint="eastAsia" w:ascii="宋体" w:hAnsi="宋体" w:cs="宋体"/>
          <w:bCs/>
          <w:sz w:val="24"/>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5"/>
        </w:numPr>
        <w:spacing w:line="360" w:lineRule="auto"/>
        <w:jc w:val="left"/>
        <w:rPr>
          <w:rFonts w:hint="eastAsia" w:ascii="宋体" w:hAnsi="宋体" w:cs="宋体"/>
          <w:bCs/>
          <w:sz w:val="24"/>
        </w:rPr>
      </w:pPr>
      <w:r>
        <w:rPr>
          <w:rFonts w:hint="eastAsia" w:ascii="宋体" w:hAnsi="宋体" w:cs="宋体"/>
          <w:bCs/>
          <w:sz w:val="24"/>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rPr>
      </w:pPr>
      <w:r>
        <w:rPr>
          <w:rFonts w:hint="eastAsia" w:ascii="宋体" w:hAnsi="宋体" w:cs="宋体"/>
          <w:bCs/>
          <w:sz w:val="24"/>
        </w:rPr>
        <w:t>以上风险仅为列举性质，未能详尽列明拟投资市场和资产面临的全部流动性风险</w:t>
      </w:r>
      <w:r>
        <w:rPr>
          <w:rFonts w:ascii="宋体" w:hAnsi="宋体" w:cs="宋体"/>
          <w:bCs/>
          <w:sz w:val="24"/>
        </w:rPr>
        <w:t>可能导致投资者投资本金及收益损失</w:t>
      </w:r>
      <w:r>
        <w:rPr>
          <w:rFonts w:hint="eastAsia" w:ascii="宋体" w:hAnsi="宋体" w:cs="宋体"/>
          <w:bCs/>
          <w:sz w:val="24"/>
        </w:rPr>
        <w:t>或延期兑付</w:t>
      </w:r>
      <w:r>
        <w:rPr>
          <w:rFonts w:ascii="宋体" w:hAnsi="宋体" w:cs="宋体"/>
          <w:bCs/>
          <w:sz w:val="24"/>
        </w:rPr>
        <w:t>的所有因素</w:t>
      </w:r>
      <w:r>
        <w:rPr>
          <w:rFonts w:hint="eastAsia" w:ascii="宋体" w:hAnsi="宋体" w:cs="宋体"/>
          <w:bCs/>
          <w:sz w:val="24"/>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rPr>
      </w:pPr>
    </w:p>
    <w:p>
      <w:pPr>
        <w:numPr>
          <w:ilvl w:val="0"/>
          <w:numId w:val="26"/>
        </w:numPr>
        <w:spacing w:line="360" w:lineRule="auto"/>
        <w:jc w:val="left"/>
        <w:outlineLvl w:val="1"/>
        <w:rPr>
          <w:rFonts w:hint="eastAsia" w:ascii="宋体" w:hAnsi="宋体" w:cs="宋体"/>
          <w:b/>
          <w:sz w:val="24"/>
        </w:rPr>
      </w:pPr>
      <w:r>
        <w:rPr>
          <w:rFonts w:hint="eastAsia" w:ascii="宋体" w:hAnsi="宋体" w:cs="宋体"/>
          <w:b/>
          <w:sz w:val="24"/>
        </w:rPr>
        <w:t>合作机构及主要职责</w:t>
      </w:r>
    </w:p>
    <w:p>
      <w:pPr>
        <w:numPr>
          <w:ilvl w:val="0"/>
          <w:numId w:val="27"/>
        </w:numPr>
        <w:spacing w:line="360" w:lineRule="auto"/>
        <w:jc w:val="left"/>
        <w:outlineLvl w:val="2"/>
        <w:rPr>
          <w:rFonts w:hint="eastAsia" w:ascii="宋体" w:hAnsi="宋体" w:cs="宋体"/>
          <w:b/>
          <w:sz w:val="24"/>
        </w:rPr>
      </w:pPr>
      <w:r>
        <w:rPr>
          <w:rFonts w:hint="eastAsia" w:ascii="宋体" w:hAnsi="宋体" w:cs="宋体"/>
          <w:b/>
          <w:sz w:val="24"/>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主要提供包括账户开立、资金保管、资金结算、估值核对等理财产品托管服务。</w:t>
            </w:r>
          </w:p>
        </w:tc>
      </w:tr>
    </w:tbl>
    <w:p>
      <w:pPr>
        <w:numPr>
          <w:ilvl w:val="0"/>
          <w:numId w:val="28"/>
        </w:numPr>
        <w:spacing w:line="360" w:lineRule="auto"/>
        <w:ind w:firstLine="482"/>
        <w:jc w:val="left"/>
        <w:outlineLvl w:val="2"/>
        <w:rPr>
          <w:rFonts w:hint="eastAsia" w:ascii="宋体" w:hAnsi="宋体" w:cs="宋体"/>
          <w:bCs/>
          <w:color w:val="000000"/>
          <w:sz w:val="24"/>
        </w:rPr>
      </w:pPr>
      <w:r>
        <w:rPr>
          <w:rFonts w:hint="eastAsia" w:ascii="宋体" w:hAnsi="宋体" w:cs="宋体"/>
          <w:b/>
          <w:sz w:val="24"/>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bCs/>
                <w:kern w:val="2"/>
                <w:sz w:val="21"/>
                <w:szCs w:val="21"/>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96689</w:t>
            </w:r>
          </w:p>
        </w:tc>
      </w:tr>
      <w:tr>
        <w:tblPrEx>
          <w:tblLayout w:type="fixed"/>
          <w:tblCellMar>
            <w:top w:w="0" w:type="dxa"/>
            <w:left w:w="108" w:type="dxa"/>
            <w:bottom w:w="0" w:type="dxa"/>
            <w:right w:w="108" w:type="dxa"/>
          </w:tblCellMar>
        </w:tblPrEx>
        <w:trPr>
          <w:trHeight w:val="27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400-88-96666</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lang w:val="en-US" w:eastAsia="zh-CN" w:bidi="ar-SA"/>
              </w:rPr>
              <w:br w:type="textWrapping"/>
            </w:r>
            <w:r>
              <w:rPr>
                <w:rFonts w:hint="eastAsia" w:ascii="宋体" w:hAnsi="宋体" w:eastAsia="宋体" w:cs="宋体"/>
                <w:color w:val="000000"/>
                <w:kern w:val="0"/>
                <w:sz w:val="21"/>
                <w:szCs w:val="21"/>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本理财计划后续如新增/减少销售机构或销售机构信息变更，请以管理人最新公告或官方网站展示为准。</w:t>
      </w:r>
    </w:p>
    <w:p>
      <w:pPr>
        <w:spacing w:line="360" w:lineRule="auto"/>
        <w:ind w:firstLine="480" w:firstLineChars="200"/>
        <w:rPr>
          <w:rFonts w:hint="eastAsia" w:ascii="宋体" w:hAnsi="宋体" w:cs="宋体"/>
          <w:bCs/>
          <w:color w:val="000000"/>
          <w:sz w:val="24"/>
        </w:rPr>
      </w:pPr>
    </w:p>
    <w:p>
      <w:pPr>
        <w:numPr>
          <w:ilvl w:val="0"/>
          <w:numId w:val="26"/>
        </w:numPr>
        <w:spacing w:line="360" w:lineRule="auto"/>
        <w:jc w:val="left"/>
        <w:outlineLvl w:val="1"/>
        <w:rPr>
          <w:rFonts w:hint="eastAsia" w:ascii="宋体" w:hAnsi="宋体" w:cs="宋体"/>
          <w:b/>
          <w:sz w:val="24"/>
        </w:rPr>
      </w:pPr>
      <w:r>
        <w:rPr>
          <w:rFonts w:hint="eastAsia" w:ascii="宋体" w:hAnsi="宋体" w:cs="宋体"/>
          <w:b/>
          <w:sz w:val="24"/>
        </w:rPr>
        <w:t>估值</w:t>
      </w:r>
    </w:p>
    <w:p>
      <w:pPr>
        <w:numPr>
          <w:ilvl w:val="0"/>
          <w:numId w:val="29"/>
        </w:numPr>
        <w:spacing w:line="360" w:lineRule="auto"/>
        <w:jc w:val="left"/>
        <w:outlineLvl w:val="2"/>
        <w:rPr>
          <w:rFonts w:hint="eastAsia" w:ascii="宋体" w:hAnsi="宋体" w:cs="宋体"/>
          <w:b/>
          <w:sz w:val="24"/>
        </w:rPr>
      </w:pPr>
      <w:r>
        <w:rPr>
          <w:rFonts w:hint="eastAsia" w:ascii="宋体" w:hAnsi="宋体" w:cs="宋体"/>
          <w:b/>
          <w:sz w:val="24"/>
        </w:rPr>
        <w:t>估值日</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本理财计划估值日为每个工作日，定期由理财管理人和理财托管人核对估值结果并向投资者披露，具体日期以管理人公告为准。</w:t>
      </w:r>
    </w:p>
    <w:p>
      <w:pPr>
        <w:numPr>
          <w:ilvl w:val="0"/>
          <w:numId w:val="29"/>
        </w:numPr>
        <w:spacing w:line="360" w:lineRule="auto"/>
        <w:jc w:val="left"/>
        <w:outlineLvl w:val="2"/>
        <w:rPr>
          <w:rFonts w:hint="eastAsia" w:ascii="宋体" w:hAnsi="宋体" w:cs="宋体"/>
          <w:b/>
          <w:sz w:val="24"/>
        </w:rPr>
      </w:pPr>
      <w:r>
        <w:rPr>
          <w:rFonts w:hint="eastAsia" w:ascii="宋体" w:hAnsi="宋体" w:cs="宋体"/>
          <w:b/>
          <w:sz w:val="24"/>
        </w:rPr>
        <w:t>估值对象</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本理财计划所投资的所有资产及负债。</w:t>
      </w:r>
    </w:p>
    <w:p>
      <w:pPr>
        <w:numPr>
          <w:ilvl w:val="0"/>
          <w:numId w:val="29"/>
        </w:numPr>
        <w:spacing w:line="360" w:lineRule="auto"/>
        <w:jc w:val="left"/>
        <w:outlineLvl w:val="2"/>
        <w:rPr>
          <w:rFonts w:hint="eastAsia" w:ascii="宋体" w:hAnsi="宋体" w:cs="宋体"/>
          <w:b/>
          <w:sz w:val="24"/>
        </w:rPr>
      </w:pPr>
      <w:r>
        <w:rPr>
          <w:rFonts w:hint="eastAsia" w:ascii="宋体" w:hAnsi="宋体" w:cs="宋体"/>
          <w:b/>
          <w:sz w:val="24"/>
        </w:rPr>
        <w:t>估值目的</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客观、准确反映理财计划的价值。</w:t>
      </w:r>
    </w:p>
    <w:p>
      <w:pPr>
        <w:numPr>
          <w:ilvl w:val="0"/>
          <w:numId w:val="29"/>
        </w:numPr>
        <w:spacing w:line="360" w:lineRule="auto"/>
        <w:jc w:val="left"/>
        <w:outlineLvl w:val="2"/>
        <w:rPr>
          <w:rFonts w:hint="eastAsia" w:ascii="宋体" w:hAnsi="宋体" w:cs="宋体"/>
          <w:b/>
          <w:sz w:val="24"/>
        </w:rPr>
      </w:pPr>
      <w:r>
        <w:rPr>
          <w:rFonts w:hint="eastAsia" w:ascii="宋体" w:hAnsi="宋体" w:cs="宋体"/>
          <w:b/>
          <w:sz w:val="24"/>
        </w:rPr>
        <w:t>估值方法</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rPr>
      </w:pPr>
      <w:r>
        <w:rPr>
          <w:rFonts w:hint="eastAsia"/>
          <w:sz w:val="24"/>
        </w:rPr>
        <w:t>理财计划所投资各类资产按照会计准则和监管要求进行会计分类，并按如下规则进行计量：</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货币市场工具类资产</w:t>
      </w:r>
    </w:p>
    <w:p>
      <w:pPr>
        <w:pStyle w:val="14"/>
        <w:adjustRightInd/>
        <w:spacing w:line="360" w:lineRule="auto"/>
        <w:ind w:firstLine="480" w:firstLineChars="200"/>
        <w:rPr>
          <w:rFonts w:hint="eastAsia" w:ascii="宋体" w:hAnsi="宋体" w:cs="宋体"/>
          <w:bCs/>
          <w:kern w:val="2"/>
        </w:rPr>
      </w:pPr>
      <w:r>
        <w:rPr>
          <w:rFonts w:hint="eastAsia" w:ascii="宋体" w:hAnsi="宋体" w:cs="宋体"/>
          <w:bCs/>
          <w:kern w:val="2"/>
        </w:rPr>
        <w:t>银行存款及回购，以本金列示，按商定利率在实际持有期间内逐日计提利息。</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债券及同业存单类资产</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债权类资产</w:t>
      </w:r>
    </w:p>
    <w:p>
      <w:pPr>
        <w:spacing w:line="360" w:lineRule="auto"/>
        <w:rPr>
          <w:rFonts w:ascii="宋体" w:hAnsi="宋体" w:cs="宋体"/>
          <w:bCs/>
          <w:color w:val="000000"/>
          <w:sz w:val="24"/>
        </w:rPr>
      </w:pPr>
      <w:r>
        <w:rPr>
          <w:rFonts w:hint="eastAsia" w:ascii="宋体" w:hAnsi="宋体" w:cs="宋体"/>
          <w:bCs/>
          <w:color w:val="000000"/>
          <w:sz w:val="24"/>
        </w:rPr>
        <w:t xml:space="preserve">    对于符合监管要求的债权类资产，按照摊余成本法进行计量。其余债权类资产，按市价法估值。市价法不能确定其公允价值的，采用估值技术进行估值。</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股权类资产</w:t>
      </w:r>
    </w:p>
    <w:p>
      <w:pPr>
        <w:numPr>
          <w:ilvl w:val="0"/>
          <w:numId w:val="31"/>
        </w:numPr>
        <w:spacing w:line="360" w:lineRule="auto"/>
        <w:ind w:left="0" w:firstLine="480"/>
        <w:rPr>
          <w:rFonts w:ascii="宋体" w:hAnsi="宋体" w:cs="宋体"/>
          <w:bCs/>
          <w:color w:val="000000"/>
          <w:sz w:val="24"/>
        </w:rPr>
      </w:pPr>
      <w:r>
        <w:rPr>
          <w:rFonts w:hint="eastAsia" w:ascii="宋体" w:hAnsi="宋体" w:cs="宋体"/>
          <w:bCs/>
          <w:color w:val="000000"/>
          <w:sz w:val="24"/>
        </w:rPr>
        <w:t>上市流通股票按估值日其所在证券交易所的收盘价估值；估值日无交易，且最近交易日后未发生影响公允价值计量的重大事件的，以最近交易日的收盘价估值。</w:t>
      </w:r>
    </w:p>
    <w:p>
      <w:pPr>
        <w:numPr>
          <w:ilvl w:val="0"/>
          <w:numId w:val="31"/>
        </w:numPr>
        <w:spacing w:line="360" w:lineRule="auto"/>
        <w:ind w:left="0" w:firstLine="480"/>
        <w:rPr>
          <w:rFonts w:ascii="宋体" w:hAnsi="宋体" w:cs="宋体"/>
          <w:bCs/>
          <w:color w:val="000000"/>
          <w:sz w:val="24"/>
        </w:rPr>
      </w:pPr>
      <w:r>
        <w:rPr>
          <w:rFonts w:hint="eastAsia" w:ascii="宋体" w:hAnsi="宋体" w:cs="宋体"/>
          <w:bCs/>
          <w:color w:val="000000"/>
          <w:sz w:val="24"/>
        </w:rPr>
        <w:t>未上市股票的估值：</w:t>
      </w:r>
    </w:p>
    <w:p>
      <w:pPr>
        <w:spacing w:line="360" w:lineRule="auto"/>
        <w:rPr>
          <w:rFonts w:hint="eastAsia" w:ascii="宋体" w:hAnsi="宋体"/>
          <w:sz w:val="24"/>
        </w:rPr>
      </w:pPr>
      <w:r>
        <w:rPr>
          <w:rFonts w:hint="eastAsia" w:ascii="宋体" w:hAnsi="宋体" w:cs="宋体"/>
          <w:bCs/>
          <w:color w:val="000000"/>
          <w:sz w:val="24"/>
        </w:rPr>
        <w:t xml:space="preserve">      1）</w:t>
      </w:r>
      <w:r>
        <w:rPr>
          <w:rFonts w:hint="eastAsia" w:ascii="宋体" w:hAnsi="宋体"/>
          <w:sz w:val="24"/>
        </w:rPr>
        <w:t>送股、转增股、配股和公开增发新股等发行未上市的股票，按估值日在证券交易所挂牌的同一股票的市价估值；</w:t>
      </w:r>
    </w:p>
    <w:p>
      <w:pPr>
        <w:spacing w:line="360" w:lineRule="auto"/>
        <w:rPr>
          <w:rFonts w:hint="eastAsia" w:ascii="宋体" w:hAnsi="宋体"/>
          <w:sz w:val="24"/>
        </w:rPr>
      </w:pPr>
      <w:r>
        <w:rPr>
          <w:rFonts w:hint="eastAsia" w:ascii="宋体" w:hAnsi="宋体"/>
          <w:sz w:val="24"/>
        </w:rPr>
        <w:t xml:space="preserve">      2）首次公开发行有明确锁定期的股票，同一股票在交易所上市后，按交易所上市的同一股票的市价估值；</w:t>
      </w:r>
    </w:p>
    <w:p>
      <w:pPr>
        <w:spacing w:line="360" w:lineRule="auto"/>
        <w:rPr>
          <w:rFonts w:hint="eastAsia" w:ascii="宋体" w:hAnsi="宋体"/>
          <w:sz w:val="24"/>
        </w:rPr>
      </w:pPr>
      <w:r>
        <w:rPr>
          <w:rFonts w:hint="eastAsia" w:ascii="宋体" w:hAnsi="宋体"/>
          <w:sz w:val="24"/>
        </w:rPr>
        <w:t xml:space="preserve">      3）首次发行未上市的股票，按发行价格进行估值；</w:t>
      </w:r>
    </w:p>
    <w:p>
      <w:pPr>
        <w:spacing w:line="360" w:lineRule="auto"/>
        <w:rPr>
          <w:rFonts w:hint="eastAsia" w:ascii="宋体" w:hAnsi="宋体"/>
          <w:sz w:val="24"/>
        </w:rPr>
      </w:pPr>
      <w:r>
        <w:rPr>
          <w:rFonts w:hint="eastAsia" w:ascii="宋体" w:hAnsi="宋体"/>
          <w:sz w:val="24"/>
        </w:rPr>
        <w:t xml:space="preserve">      4）因持有股票而享有的配股权，采用估值技术确定公允价值。</w:t>
      </w:r>
    </w:p>
    <w:p>
      <w:pPr>
        <w:numPr>
          <w:ilvl w:val="0"/>
          <w:numId w:val="31"/>
        </w:numPr>
        <w:spacing w:line="360" w:lineRule="auto"/>
        <w:ind w:left="0" w:firstLine="480"/>
        <w:rPr>
          <w:rFonts w:ascii="宋体" w:hAnsi="宋体" w:cs="宋体"/>
          <w:bCs/>
          <w:color w:val="000000"/>
          <w:sz w:val="24"/>
        </w:rPr>
      </w:pPr>
      <w:r>
        <w:rPr>
          <w:rFonts w:hint="eastAsia" w:ascii="宋体" w:hAnsi="宋体" w:cs="宋体"/>
          <w:bCs/>
          <w:color w:val="000000"/>
          <w:sz w:val="24"/>
        </w:rPr>
        <w:t>非上市股权的估值：</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非上市股权类资产，按照国家最新规定，采用合理的估值技术进行估值。</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基金、资产管理计划类资产</w:t>
      </w:r>
    </w:p>
    <w:p>
      <w:pPr>
        <w:spacing w:line="360" w:lineRule="auto"/>
        <w:ind w:firstLine="480" w:firstLineChars="200"/>
        <w:rPr>
          <w:rFonts w:hint="eastAsia" w:ascii="宋体" w:hAnsi="宋体"/>
          <w:sz w:val="24"/>
        </w:rPr>
      </w:pPr>
      <w:r>
        <w:rPr>
          <w:rFonts w:hint="eastAsia" w:ascii="宋体" w:hAnsi="宋体" w:cs="宋体"/>
          <w:bCs/>
          <w:color w:val="000000"/>
          <w:sz w:val="24"/>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其他资产的估值方法</w:t>
      </w:r>
    </w:p>
    <w:p>
      <w:pPr>
        <w:pStyle w:val="14"/>
        <w:spacing w:line="360" w:lineRule="auto"/>
        <w:ind w:firstLine="480" w:firstLineChars="200"/>
        <w:rPr>
          <w:rFonts w:hint="eastAsia" w:ascii="宋体" w:hAnsi="宋体" w:cs="宋体"/>
          <w:bCs/>
          <w:kern w:val="2"/>
        </w:rPr>
      </w:pPr>
      <w:r>
        <w:rPr>
          <w:rFonts w:hint="eastAsia" w:ascii="宋体" w:hAnsi="宋体" w:cs="宋体"/>
          <w:bCs/>
          <w:kern w:val="2"/>
        </w:rPr>
        <w:t>其他资产存在公允价值的，按照监管要求进行公允价值估值，公允价值不能确定的按国家最新规定进行估值。</w:t>
      </w:r>
    </w:p>
    <w:p>
      <w:pPr>
        <w:pStyle w:val="14"/>
        <w:spacing w:line="360" w:lineRule="auto"/>
        <w:ind w:firstLine="480" w:firstLineChars="200"/>
        <w:rPr>
          <w:rFonts w:hint="eastAsia" w:ascii="宋体" w:hAnsi="宋体" w:cs="宋体"/>
          <w:bCs/>
        </w:rPr>
      </w:pPr>
      <w:r>
        <w:rPr>
          <w:rFonts w:hint="eastAsia" w:ascii="宋体" w:hAnsi="宋体" w:cs="宋体"/>
          <w:bCs/>
          <w:kern w:val="2"/>
        </w:rPr>
        <w:t>以</w:t>
      </w:r>
      <w:r>
        <w:rPr>
          <w:rFonts w:hint="eastAsia" w:ascii="宋体" w:hAnsi="宋体" w:cs="宋体"/>
          <w:bCs/>
        </w:rPr>
        <w:t>摊余成本法计量的资产，按照会计准则规定采用合理的减值计量模型或第三方减值计量结果进行减值计提。计提减值不等同于金融资产已发生损失，仅为对未来风险的审慎预期。</w:t>
      </w:r>
    </w:p>
    <w:p>
      <w:pPr>
        <w:pStyle w:val="14"/>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4"/>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如在本理财计划发行、募集、管理期间，有权管理机关对财务报告准则、估值核算方法标准进行调整，管理人有权根据相关机关要求对本理财计划的估值方法进行相应修改。</w:t>
      </w:r>
    </w:p>
    <w:p>
      <w:pPr>
        <w:numPr>
          <w:ilvl w:val="0"/>
          <w:numId w:val="29"/>
        </w:numPr>
        <w:spacing w:line="360" w:lineRule="auto"/>
        <w:jc w:val="left"/>
        <w:outlineLvl w:val="2"/>
        <w:rPr>
          <w:rFonts w:hint="eastAsia" w:ascii="宋体" w:hAnsi="宋体" w:cs="宋体"/>
          <w:b/>
          <w:sz w:val="24"/>
        </w:rPr>
      </w:pPr>
      <w:r>
        <w:rPr>
          <w:rFonts w:hint="eastAsia" w:ascii="宋体" w:hAnsi="宋体" w:cs="宋体"/>
          <w:b/>
          <w:sz w:val="24"/>
        </w:rPr>
        <w:t>估值差错处理</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9"/>
        </w:numPr>
        <w:spacing w:line="360" w:lineRule="auto"/>
        <w:jc w:val="left"/>
        <w:outlineLvl w:val="2"/>
        <w:rPr>
          <w:rFonts w:hint="eastAsia" w:ascii="宋体" w:hAnsi="宋体" w:cs="宋体"/>
          <w:b/>
          <w:sz w:val="24"/>
        </w:rPr>
      </w:pPr>
      <w:r>
        <w:rPr>
          <w:rFonts w:hint="eastAsia" w:ascii="宋体" w:hAnsi="宋体" w:cs="宋体"/>
          <w:b/>
          <w:sz w:val="24"/>
        </w:rPr>
        <w:t>暂停估值情形</w:t>
      </w:r>
    </w:p>
    <w:p>
      <w:pPr>
        <w:numPr>
          <w:ilvl w:val="0"/>
          <w:numId w:val="32"/>
        </w:numPr>
        <w:spacing w:line="360" w:lineRule="auto"/>
        <w:jc w:val="left"/>
        <w:rPr>
          <w:rFonts w:hint="eastAsia" w:ascii="宋体" w:hAnsi="宋体" w:cs="宋体"/>
          <w:bCs/>
          <w:color w:val="000000"/>
          <w:sz w:val="24"/>
        </w:rPr>
      </w:pPr>
      <w:r>
        <w:rPr>
          <w:rFonts w:hint="eastAsia" w:ascii="宋体" w:hAnsi="宋体" w:cs="宋体"/>
          <w:bCs/>
          <w:color w:val="000000"/>
          <w:sz w:val="24"/>
        </w:rPr>
        <w:t>理财计划投资所涉及的交易市场遇法定节假日或因其他原因暂停营业时暂停估值，该种情况理财计划估值日期提前到上一交易日。</w:t>
      </w:r>
    </w:p>
    <w:p>
      <w:pPr>
        <w:numPr>
          <w:ilvl w:val="0"/>
          <w:numId w:val="32"/>
        </w:numPr>
        <w:spacing w:line="360" w:lineRule="auto"/>
        <w:jc w:val="left"/>
        <w:rPr>
          <w:rFonts w:hint="eastAsia" w:ascii="宋体" w:hAnsi="宋体" w:cs="宋体"/>
          <w:bCs/>
          <w:color w:val="000000"/>
          <w:sz w:val="24"/>
        </w:rPr>
      </w:pPr>
      <w:r>
        <w:rPr>
          <w:rFonts w:hint="eastAsia" w:ascii="宋体" w:hAnsi="宋体" w:cs="宋体"/>
          <w:bCs/>
          <w:color w:val="000000"/>
          <w:sz w:val="24"/>
        </w:rPr>
        <w:t>因不可抗力或其他情形致使理财计划管理人、理财计划托管人无法准确评估资产价值时。</w:t>
      </w:r>
    </w:p>
    <w:p>
      <w:pPr>
        <w:numPr>
          <w:ilvl w:val="0"/>
          <w:numId w:val="32"/>
        </w:numPr>
        <w:spacing w:line="360" w:lineRule="auto"/>
        <w:jc w:val="left"/>
        <w:rPr>
          <w:rFonts w:hint="eastAsia" w:ascii="宋体" w:hAnsi="宋体" w:cs="宋体"/>
          <w:b/>
          <w:sz w:val="24"/>
        </w:rPr>
      </w:pPr>
      <w:r>
        <w:rPr>
          <w:rFonts w:hint="eastAsia" w:ascii="宋体" w:hAnsi="宋体" w:cs="宋体"/>
          <w:bCs/>
          <w:color w:val="000000"/>
          <w:sz w:val="24"/>
        </w:rPr>
        <w:t>理财计划管理人、托管人有合理理由认为将影响本理财计划估值的其他情形发生。</w:t>
      </w:r>
    </w:p>
    <w:p>
      <w:pPr>
        <w:numPr>
          <w:ilvl w:val="0"/>
          <w:numId w:val="29"/>
        </w:numPr>
        <w:spacing w:line="360" w:lineRule="auto"/>
        <w:jc w:val="left"/>
        <w:outlineLvl w:val="2"/>
        <w:rPr>
          <w:rFonts w:hint="eastAsia" w:ascii="宋体" w:hAnsi="宋体" w:cs="宋体"/>
          <w:b/>
          <w:sz w:val="24"/>
        </w:rPr>
      </w:pPr>
      <w:r>
        <w:rPr>
          <w:rFonts w:hint="eastAsia" w:ascii="宋体" w:hAnsi="宋体" w:cs="宋体"/>
          <w:b/>
          <w:sz w:val="24"/>
        </w:rPr>
        <w:t>资产账册的建立</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rPr>
      </w:pPr>
    </w:p>
    <w:p>
      <w:pPr>
        <w:numPr>
          <w:ilvl w:val="0"/>
          <w:numId w:val="26"/>
        </w:numPr>
        <w:spacing w:line="360" w:lineRule="auto"/>
        <w:jc w:val="left"/>
        <w:outlineLvl w:val="1"/>
        <w:rPr>
          <w:rFonts w:hint="eastAsia" w:ascii="宋体" w:hAnsi="宋体" w:cs="宋体"/>
          <w:b/>
          <w:sz w:val="24"/>
        </w:rPr>
      </w:pPr>
      <w:r>
        <w:rPr>
          <w:rFonts w:hint="eastAsia" w:ascii="宋体" w:hAnsi="宋体" w:cs="宋体"/>
          <w:b/>
          <w:sz w:val="24"/>
        </w:rPr>
        <w:t>费用及税收</w:t>
      </w:r>
    </w:p>
    <w:p>
      <w:pPr>
        <w:numPr>
          <w:ilvl w:val="0"/>
          <w:numId w:val="33"/>
        </w:numPr>
        <w:spacing w:line="360" w:lineRule="auto"/>
        <w:jc w:val="left"/>
        <w:outlineLvl w:val="2"/>
        <w:rPr>
          <w:rFonts w:hint="eastAsia" w:ascii="宋体" w:hAnsi="宋体" w:cs="宋体"/>
          <w:b/>
          <w:sz w:val="24"/>
        </w:rPr>
      </w:pPr>
      <w:r>
        <w:rPr>
          <w:rFonts w:hint="eastAsia" w:ascii="宋体" w:hAnsi="宋体" w:cs="宋体"/>
          <w:b/>
          <w:sz w:val="24"/>
        </w:rPr>
        <w:t>费用种类</w:t>
      </w:r>
    </w:p>
    <w:p>
      <w:pPr>
        <w:spacing w:line="360" w:lineRule="auto"/>
        <w:ind w:firstLine="480" w:firstLineChars="200"/>
        <w:jc w:val="left"/>
        <w:rPr>
          <w:rFonts w:ascii="宋体" w:hAnsi="宋体" w:cs="宋体"/>
          <w:b/>
          <w:sz w:val="24"/>
        </w:rPr>
      </w:pPr>
      <w:r>
        <w:rPr>
          <w:rFonts w:hint="eastAsia" w:ascii="宋体" w:hAnsi="宋体" w:cs="宋体"/>
          <w:bCs/>
          <w:color w:val="000000"/>
          <w:sz w:val="24"/>
        </w:rPr>
        <w:t>本理财计划涉及费用包括销售服务费、托管费、固定管理费、认购费、浮动管理费以及理财计划运作和清算中产生的其他费用等。</w:t>
      </w:r>
    </w:p>
    <w:p>
      <w:pPr>
        <w:numPr>
          <w:ilvl w:val="0"/>
          <w:numId w:val="33"/>
        </w:numPr>
        <w:spacing w:line="360" w:lineRule="auto"/>
        <w:jc w:val="left"/>
        <w:outlineLvl w:val="2"/>
        <w:rPr>
          <w:rFonts w:hint="eastAsia" w:ascii="宋体" w:hAnsi="宋体" w:cs="宋体"/>
          <w:b/>
          <w:sz w:val="24"/>
        </w:rPr>
      </w:pPr>
      <w:r>
        <w:rPr>
          <w:rFonts w:hint="eastAsia" w:ascii="宋体" w:hAnsi="宋体" w:cs="宋体"/>
          <w:b/>
          <w:sz w:val="24"/>
        </w:rPr>
        <w:t>费用计提方法、标准及支付方式</w:t>
      </w:r>
    </w:p>
    <w:p>
      <w:pPr>
        <w:numPr>
          <w:ilvl w:val="0"/>
          <w:numId w:val="34"/>
        </w:numPr>
        <w:spacing w:line="360" w:lineRule="auto"/>
        <w:jc w:val="left"/>
        <w:rPr>
          <w:rFonts w:hint="eastAsia" w:ascii="宋体" w:hAnsi="宋体" w:cs="宋体"/>
          <w:b/>
          <w:sz w:val="24"/>
        </w:rPr>
      </w:pPr>
      <w:r>
        <w:rPr>
          <w:rFonts w:hint="eastAsia" w:ascii="宋体" w:hAnsi="宋体" w:cs="宋体"/>
          <w:b/>
          <w:sz w:val="24"/>
        </w:rPr>
        <w:t>销售服务费</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理财计划财产A份额的年化销售服务费率为〖0.30%〗, B份额的年化销售服务费率为〖0.20%〗, C份额的年化销售服务费率为〖0.10%〗, D份额的年化销售服务费率为〖0.15%〗, E份额的年化销售服务费率为〖0.20%〗, F份额的年化销售服务费率为〖0.15%〗, 以〖A份额〗为例，计算方法如下：</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H＝E×</w:t>
      </w:r>
      <w:r>
        <w:rPr>
          <w:rFonts w:hint="eastAsia" w:ascii="宋体" w:hAnsi="宋体" w:cs="宋体"/>
          <w:szCs w:val="21"/>
        </w:rPr>
        <w:t>〖</w:t>
      </w:r>
      <w:r>
        <w:rPr>
          <w:rFonts w:hint="eastAsia" w:ascii="宋体" w:hAnsi="宋体" w:cs="宋体"/>
          <w:bCs/>
          <w:color w:val="000000"/>
          <w:sz w:val="24"/>
        </w:rPr>
        <w:t>0.30%</w:t>
      </w:r>
      <w:r>
        <w:rPr>
          <w:rFonts w:hint="eastAsia" w:ascii="宋体" w:hAnsi="宋体" w:cs="宋体"/>
          <w:szCs w:val="21"/>
        </w:rPr>
        <w:t>〗</w:t>
      </w:r>
      <w:r>
        <w:rPr>
          <w:rFonts w:hint="eastAsia" w:ascii="宋体" w:hAnsi="宋体" w:cs="宋体"/>
          <w:bCs/>
          <w:color w:val="000000"/>
          <w:sz w:val="24"/>
        </w:rPr>
        <w:t>/365</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H为</w:t>
      </w:r>
      <w:r>
        <w:rPr>
          <w:rFonts w:hint="eastAsia" w:ascii="宋体" w:hAnsi="宋体" w:cs="宋体"/>
          <w:sz w:val="24"/>
        </w:rPr>
        <w:t>A</w:t>
      </w:r>
      <w:r>
        <w:rPr>
          <w:rFonts w:hint="eastAsia" w:ascii="宋体" w:hAnsi="宋体" w:cs="宋体"/>
          <w:bCs/>
          <w:color w:val="000000"/>
          <w:sz w:val="24"/>
        </w:rPr>
        <w:t>份额每日应计提的销售服务费</w:t>
      </w:r>
    </w:p>
    <w:p>
      <w:pPr>
        <w:spacing w:line="360" w:lineRule="auto"/>
        <w:ind w:firstLine="480" w:firstLineChars="200"/>
        <w:jc w:val="left"/>
        <w:rPr>
          <w:rFonts w:hint="eastAsia" w:ascii="宋体" w:hAnsi="宋体" w:cs="宋体"/>
          <w:bCs/>
          <w:color w:val="FF0000"/>
          <w:sz w:val="24"/>
        </w:rPr>
      </w:pPr>
      <w:r>
        <w:rPr>
          <w:rFonts w:hint="eastAsia" w:ascii="宋体" w:hAnsi="宋体" w:cs="宋体"/>
          <w:bCs/>
          <w:color w:val="000000"/>
          <w:sz w:val="24"/>
        </w:rPr>
        <w:t>E为</w:t>
      </w:r>
      <w:r>
        <w:rPr>
          <w:rFonts w:hint="eastAsia" w:ascii="宋体" w:hAnsi="宋体" w:cs="宋体"/>
          <w:sz w:val="24"/>
        </w:rPr>
        <w:t>A</w:t>
      </w:r>
      <w:r>
        <w:rPr>
          <w:rFonts w:hint="eastAsia" w:ascii="宋体" w:hAnsi="宋体" w:cs="宋体"/>
          <w:bCs/>
          <w:color w:val="000000"/>
          <w:sz w:val="24"/>
        </w:rPr>
        <w:t>份额前一日资产净值</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销售服务费原则上按日计提。</w:t>
      </w:r>
    </w:p>
    <w:p>
      <w:pPr>
        <w:numPr>
          <w:ilvl w:val="0"/>
          <w:numId w:val="34"/>
        </w:numPr>
        <w:spacing w:line="360" w:lineRule="auto"/>
        <w:jc w:val="left"/>
        <w:rPr>
          <w:rFonts w:hint="eastAsia" w:ascii="宋体" w:hAnsi="宋体" w:cs="宋体"/>
          <w:b/>
          <w:sz w:val="24"/>
        </w:rPr>
      </w:pPr>
      <w:r>
        <w:rPr>
          <w:rFonts w:hint="eastAsia" w:ascii="宋体" w:hAnsi="宋体" w:cs="宋体"/>
          <w:b/>
          <w:sz w:val="24"/>
        </w:rPr>
        <w:t>托管费</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理财计划财产的年化托管费为〖0.025%〗，计算方法如下：</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H＝E×〖0.025%</w:t>
      </w:r>
      <w:r>
        <w:rPr>
          <w:rFonts w:hint="eastAsia" w:ascii="宋体" w:hAnsi="宋体" w:cs="宋体"/>
          <w:szCs w:val="21"/>
        </w:rPr>
        <w:t>〗</w:t>
      </w:r>
      <w:r>
        <w:rPr>
          <w:rFonts w:hint="eastAsia" w:ascii="宋体" w:hAnsi="宋体" w:cs="宋体"/>
          <w:bCs/>
          <w:color w:val="000000"/>
          <w:sz w:val="24"/>
        </w:rPr>
        <w:t>/365</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H为每日应计提的托管费</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E为本理财计划前一日资产净值</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托管费原则上按日计提。</w:t>
      </w:r>
    </w:p>
    <w:p>
      <w:pPr>
        <w:numPr>
          <w:ilvl w:val="0"/>
          <w:numId w:val="34"/>
        </w:numPr>
        <w:spacing w:line="360" w:lineRule="auto"/>
        <w:jc w:val="left"/>
        <w:rPr>
          <w:rFonts w:hint="eastAsia" w:ascii="宋体" w:hAnsi="宋体" w:cs="宋体"/>
          <w:b/>
          <w:sz w:val="24"/>
        </w:rPr>
      </w:pPr>
      <w:r>
        <w:rPr>
          <w:rFonts w:hint="eastAsia" w:ascii="宋体" w:hAnsi="宋体" w:cs="宋体"/>
          <w:b/>
          <w:sz w:val="24"/>
        </w:rPr>
        <w:t>固定管理费</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理财计划财产A份额的年化固定管理费率为〖0.20%〗, B份额的年化固定管理费率为〖0.20%〗, C份额的年化固定管理费率为〖0.20%〗, D份额的年化固定管理费率为〖0.20%〗, E份额的年化固定管理费率为〖0.20%〗, F份额的年化固定管理费率为〖0.20%〗, 以〖A份额〗为例，计算方法如下：</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H＝E×〖0.20%</w:t>
      </w:r>
      <w:r>
        <w:rPr>
          <w:rFonts w:hint="eastAsia" w:ascii="宋体" w:hAnsi="宋体" w:cs="宋体"/>
          <w:szCs w:val="21"/>
        </w:rPr>
        <w:t>〗</w:t>
      </w:r>
      <w:r>
        <w:rPr>
          <w:rFonts w:hint="eastAsia" w:ascii="宋体" w:hAnsi="宋体" w:cs="宋体"/>
          <w:bCs/>
          <w:color w:val="000000"/>
          <w:sz w:val="24"/>
        </w:rPr>
        <w:t>/365</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H为</w:t>
      </w:r>
      <w:r>
        <w:rPr>
          <w:rFonts w:hint="eastAsia" w:ascii="宋体" w:hAnsi="宋体" w:cs="宋体"/>
          <w:sz w:val="24"/>
        </w:rPr>
        <w:t>A</w:t>
      </w:r>
      <w:r>
        <w:rPr>
          <w:rFonts w:hint="eastAsia" w:ascii="宋体" w:hAnsi="宋体" w:cs="宋体"/>
          <w:bCs/>
          <w:color w:val="000000"/>
          <w:sz w:val="24"/>
        </w:rPr>
        <w:t>份额每日应计提的固定管理费</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E为</w:t>
      </w:r>
      <w:r>
        <w:rPr>
          <w:rFonts w:hint="eastAsia" w:ascii="宋体" w:hAnsi="宋体" w:cs="宋体"/>
          <w:sz w:val="24"/>
        </w:rPr>
        <w:t>A</w:t>
      </w:r>
      <w:r>
        <w:rPr>
          <w:rFonts w:hint="eastAsia" w:ascii="宋体" w:hAnsi="宋体" w:cs="宋体"/>
          <w:bCs/>
          <w:color w:val="000000"/>
          <w:sz w:val="24"/>
        </w:rPr>
        <w:t>份额前一日资产净值</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固定管理费原则上按日计提，如理财计划实际运作结果不达业绩比较基准下限时，管理人有权减免固定管理费。</w:t>
      </w:r>
    </w:p>
    <w:p>
      <w:pPr>
        <w:numPr>
          <w:ilvl w:val="0"/>
          <w:numId w:val="34"/>
        </w:numPr>
        <w:spacing w:line="360" w:lineRule="auto"/>
        <w:jc w:val="left"/>
        <w:rPr>
          <w:rFonts w:hint="eastAsia" w:ascii="宋体" w:hAnsi="宋体" w:cs="宋体"/>
          <w:b/>
          <w:sz w:val="24"/>
        </w:rPr>
      </w:pPr>
      <w:r>
        <w:rPr>
          <w:rFonts w:hint="eastAsia" w:ascii="宋体" w:hAnsi="宋体" w:cs="宋体"/>
          <w:b/>
          <w:sz w:val="24"/>
        </w:rPr>
        <w:t>认购费</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本理财计划免除认购费。</w:t>
      </w:r>
    </w:p>
    <w:p>
      <w:pPr>
        <w:numPr>
          <w:ilvl w:val="0"/>
          <w:numId w:val="34"/>
        </w:numPr>
        <w:spacing w:line="360" w:lineRule="auto"/>
        <w:jc w:val="left"/>
        <w:rPr>
          <w:rFonts w:hint="eastAsia" w:ascii="宋体" w:hAnsi="宋体" w:cs="宋体"/>
          <w:b/>
          <w:sz w:val="24"/>
        </w:rPr>
      </w:pPr>
      <w:r>
        <w:rPr>
          <w:rFonts w:hint="eastAsia" w:ascii="宋体" w:hAnsi="宋体" w:cs="宋体"/>
          <w:b/>
          <w:sz w:val="24"/>
        </w:rPr>
        <w:t>浮动管理费</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（1）若本理财计划到期日（提前终止日）的折合年化收益率超过业绩比较基准下限但未达到业绩比较基准上限，则超过业绩比较基准下限的部分管理人收取〖50%〗作为浮动管理费，即：</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H=E×NAV0×（K-S)×〖50%〗×N÷365</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其中，K=(NAV1-NAV0+T)÷NAV0×365÷N</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若本理财计划到期日（提前终止日）的折合年化收益率超过业绩比较基准上限，则〖业绩比较基准下限(含)至上限(含)〗的部分管理人收取〖50%〗作为浮动管理费，超过〖业绩比较基准上限〗的部分管理人收取〖80%〗作为浮动管理费，即：</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H=E×NAV0×[(K-R)×〖80%〗+(R-S)×〖50%〗]×N÷365</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其中，K=(NAV1-NAV0+T)÷NAV0×365÷N</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H为产品到期（提前终止）时应收取浮动管理费</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E为投资者持有份额</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NAV0为产品成立日之初单位净值</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NAV1为产品到期日未扣除浮动管理费前的单位净值</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N为理财计划份额成立日（含）至估值日（含）的区间天数</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T为产品运作期间每单位份额的实际分红金额合计（如有）</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R为产品业绩比较基准上限</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S为产品业绩比较基准下限</w:t>
      </w:r>
    </w:p>
    <w:p>
      <w:pPr>
        <w:numPr>
          <w:ilvl w:val="0"/>
          <w:numId w:val="34"/>
        </w:numPr>
        <w:spacing w:line="360" w:lineRule="auto"/>
        <w:jc w:val="left"/>
        <w:rPr>
          <w:rFonts w:hint="eastAsia" w:ascii="宋体" w:hAnsi="宋体" w:cs="宋体"/>
          <w:b/>
          <w:sz w:val="24"/>
        </w:rPr>
      </w:pPr>
      <w:r>
        <w:rPr>
          <w:rFonts w:hint="eastAsia" w:ascii="宋体" w:hAnsi="宋体" w:cs="宋体"/>
          <w:b/>
          <w:sz w:val="24"/>
        </w:rPr>
        <w:t>其他费用</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除上述费用外，由受托管理资产承担的费用包括但不限于：</w:t>
      </w:r>
    </w:p>
    <w:p>
      <w:pPr>
        <w:numPr>
          <w:ilvl w:val="0"/>
          <w:numId w:val="35"/>
        </w:numPr>
        <w:spacing w:line="360" w:lineRule="auto"/>
        <w:ind w:firstLine="480" w:firstLineChars="200"/>
        <w:jc w:val="left"/>
        <w:rPr>
          <w:rFonts w:ascii="宋体" w:hAnsi="宋体" w:cs="宋体"/>
          <w:bCs/>
          <w:sz w:val="24"/>
        </w:rPr>
      </w:pPr>
      <w:r>
        <w:rPr>
          <w:rFonts w:hint="eastAsia" w:ascii="宋体" w:hAnsi="宋体" w:cs="宋体"/>
          <w:bCs/>
          <w:sz w:val="24"/>
        </w:rPr>
        <w:t>财产管理、运用或处分过程中发生的税费。</w:t>
      </w:r>
    </w:p>
    <w:p>
      <w:pPr>
        <w:numPr>
          <w:ilvl w:val="0"/>
          <w:numId w:val="35"/>
        </w:numPr>
        <w:spacing w:line="360" w:lineRule="auto"/>
        <w:ind w:firstLine="480" w:firstLineChars="200"/>
        <w:jc w:val="left"/>
        <w:rPr>
          <w:rFonts w:ascii="宋体" w:hAnsi="宋体" w:cs="宋体"/>
          <w:bCs/>
          <w:sz w:val="24"/>
        </w:rPr>
      </w:pPr>
      <w:r>
        <w:rPr>
          <w:rFonts w:hint="eastAsia" w:ascii="宋体" w:hAnsi="宋体" w:cs="宋体"/>
          <w:bCs/>
          <w:sz w:val="24"/>
        </w:rPr>
        <w:t>代理机构手续费、管理费、财务顾问费、保管费。</w:t>
      </w:r>
    </w:p>
    <w:p>
      <w:pPr>
        <w:numPr>
          <w:ilvl w:val="0"/>
          <w:numId w:val="35"/>
        </w:numPr>
        <w:spacing w:line="360" w:lineRule="auto"/>
        <w:ind w:firstLine="480" w:firstLineChars="200"/>
        <w:jc w:val="left"/>
        <w:rPr>
          <w:rFonts w:ascii="宋体" w:hAnsi="宋体" w:cs="宋体"/>
          <w:bCs/>
          <w:sz w:val="24"/>
        </w:rPr>
      </w:pPr>
      <w:r>
        <w:rPr>
          <w:rFonts w:hint="eastAsia" w:ascii="宋体" w:hAnsi="宋体" w:cs="宋体"/>
          <w:bCs/>
          <w:sz w:val="24"/>
        </w:rPr>
        <w:t>审计费、律师费、公证费等费用。</w:t>
      </w:r>
    </w:p>
    <w:p>
      <w:pPr>
        <w:numPr>
          <w:ilvl w:val="0"/>
          <w:numId w:val="35"/>
        </w:numPr>
        <w:spacing w:line="360" w:lineRule="auto"/>
        <w:ind w:firstLine="480" w:firstLineChars="200"/>
        <w:jc w:val="left"/>
        <w:rPr>
          <w:rFonts w:ascii="宋体" w:hAnsi="宋体" w:cs="宋体"/>
          <w:bCs/>
          <w:sz w:val="24"/>
        </w:rPr>
      </w:pPr>
      <w:r>
        <w:rPr>
          <w:rFonts w:hint="eastAsia" w:ascii="宋体" w:hAnsi="宋体" w:cs="宋体"/>
          <w:bCs/>
          <w:sz w:val="24"/>
        </w:rPr>
        <w:t>管理人自行或委托第三方向本理财计划所投资产所涉及相关主体进行追偿所发生的费用（包括但不限于诉讼费、仲裁费、律师费、保全费等全部费用）。</w:t>
      </w:r>
    </w:p>
    <w:p>
      <w:pPr>
        <w:numPr>
          <w:ilvl w:val="0"/>
          <w:numId w:val="35"/>
        </w:numPr>
        <w:spacing w:line="360" w:lineRule="auto"/>
        <w:ind w:firstLine="480" w:firstLineChars="200"/>
        <w:jc w:val="left"/>
        <w:rPr>
          <w:rFonts w:ascii="宋体" w:hAnsi="宋体" w:cs="宋体"/>
          <w:bCs/>
          <w:sz w:val="24"/>
        </w:rPr>
      </w:pPr>
      <w:r>
        <w:rPr>
          <w:rFonts w:hint="eastAsia" w:ascii="宋体" w:hAnsi="宋体" w:cs="宋体"/>
          <w:bCs/>
          <w:sz w:val="24"/>
        </w:rPr>
        <w:t>理财计划的交易费用（包括但不限于交易佣金、相关账户费用等）及投资其他资管产品的费用。</w:t>
      </w:r>
    </w:p>
    <w:p>
      <w:pPr>
        <w:numPr>
          <w:ilvl w:val="0"/>
          <w:numId w:val="35"/>
        </w:numPr>
        <w:spacing w:line="360" w:lineRule="auto"/>
        <w:ind w:firstLine="480" w:firstLineChars="200"/>
        <w:jc w:val="left"/>
        <w:rPr>
          <w:rFonts w:ascii="宋体" w:hAnsi="宋体" w:cs="宋体"/>
          <w:bCs/>
          <w:sz w:val="24"/>
        </w:rPr>
      </w:pPr>
      <w:r>
        <w:rPr>
          <w:rFonts w:hint="eastAsia" w:ascii="宋体" w:hAnsi="宋体" w:cs="宋体"/>
          <w:bCs/>
          <w:sz w:val="24"/>
        </w:rPr>
        <w:t>监管规定的其他费用。</w:t>
      </w:r>
    </w:p>
    <w:p>
      <w:pPr>
        <w:spacing w:line="360" w:lineRule="auto"/>
        <w:jc w:val="left"/>
        <w:rPr>
          <w:rFonts w:ascii="宋体" w:hAnsi="宋体" w:cs="宋体"/>
          <w:bCs/>
          <w:sz w:val="24"/>
        </w:rPr>
      </w:pPr>
      <w:r>
        <w:rPr>
          <w:rFonts w:hint="eastAsia" w:ascii="宋体" w:hAnsi="宋体" w:cs="宋体"/>
          <w:bCs/>
          <w:sz w:val="24"/>
        </w:rPr>
        <w:t xml:space="preserve">    </w:t>
      </w:r>
      <w:r>
        <w:rPr>
          <w:rFonts w:hint="eastAsia" w:ascii="宋体" w:hAnsi="宋体" w:cs="宋体"/>
          <w:b/>
          <w:sz w:val="24"/>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6"/>
        </w:numPr>
        <w:spacing w:line="360" w:lineRule="auto"/>
        <w:jc w:val="left"/>
        <w:outlineLvl w:val="2"/>
        <w:rPr>
          <w:rFonts w:hint="eastAsia" w:ascii="宋体" w:hAnsi="宋体" w:cs="宋体"/>
          <w:b/>
          <w:sz w:val="24"/>
        </w:rPr>
      </w:pPr>
      <w:r>
        <w:rPr>
          <w:rFonts w:hint="eastAsia" w:ascii="宋体" w:hAnsi="宋体" w:cs="宋体"/>
          <w:b/>
          <w:sz w:val="24"/>
        </w:rPr>
        <w:t>税收说明</w:t>
      </w:r>
    </w:p>
    <w:p>
      <w:pPr>
        <w:numPr>
          <w:ilvl w:val="0"/>
          <w:numId w:val="37"/>
        </w:numPr>
        <w:spacing w:line="360" w:lineRule="auto"/>
        <w:jc w:val="left"/>
      </w:pPr>
      <w:r>
        <w:rPr>
          <w:rFonts w:hint="eastAsia" w:ascii="宋体" w:hAnsi="宋体" w:cs="宋体"/>
          <w:bCs/>
          <w:color w:val="000000"/>
          <w:sz w:val="24"/>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7"/>
        </w:numPr>
        <w:spacing w:line="360" w:lineRule="auto"/>
        <w:jc w:val="left"/>
        <w:rPr>
          <w:rFonts w:hint="eastAsia" w:ascii="宋体" w:hAnsi="宋体" w:cs="宋体"/>
          <w:bCs/>
          <w:color w:val="000000"/>
          <w:sz w:val="24"/>
        </w:rPr>
      </w:pPr>
      <w:r>
        <w:rPr>
          <w:rFonts w:hint="eastAsia" w:ascii="宋体" w:hAnsi="宋体" w:cs="宋体"/>
          <w:bCs/>
          <w:color w:val="000000"/>
          <w:sz w:val="24"/>
        </w:rPr>
        <w:t>除法律法规特别要求外，投资者应缴纳的税收由投资者自行缴纳，理财计划管理人不承担代扣代缴或纳税的义务。</w:t>
      </w:r>
    </w:p>
    <w:p>
      <w:pPr>
        <w:numPr>
          <w:ilvl w:val="0"/>
          <w:numId w:val="37"/>
        </w:numPr>
        <w:spacing w:line="360" w:lineRule="auto"/>
        <w:jc w:val="left"/>
        <w:rPr>
          <w:rFonts w:hint="eastAsia" w:ascii="宋体" w:hAnsi="宋体" w:cs="宋体"/>
          <w:b/>
          <w:sz w:val="24"/>
        </w:rPr>
      </w:pPr>
      <w:r>
        <w:rPr>
          <w:rFonts w:hint="eastAsia" w:ascii="宋体" w:hAnsi="宋体" w:cs="宋体"/>
          <w:bCs/>
          <w:color w:val="000000"/>
          <w:sz w:val="24"/>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rPr>
      </w:pPr>
    </w:p>
    <w:p>
      <w:pPr>
        <w:numPr>
          <w:ilvl w:val="0"/>
          <w:numId w:val="26"/>
        </w:numPr>
        <w:spacing w:line="360" w:lineRule="auto"/>
        <w:jc w:val="left"/>
        <w:outlineLvl w:val="1"/>
        <w:rPr>
          <w:rFonts w:hint="eastAsia" w:ascii="宋体" w:hAnsi="宋体" w:cs="宋体"/>
          <w:b/>
          <w:sz w:val="24"/>
        </w:rPr>
      </w:pPr>
      <w:r>
        <w:rPr>
          <w:rFonts w:hint="eastAsia" w:ascii="宋体" w:hAnsi="宋体" w:cs="宋体"/>
          <w:b/>
          <w:sz w:val="24"/>
        </w:rPr>
        <w:t>收益计算</w:t>
      </w:r>
    </w:p>
    <w:p>
      <w:pPr>
        <w:numPr>
          <w:ilvl w:val="0"/>
          <w:numId w:val="38"/>
        </w:numPr>
        <w:spacing w:line="360" w:lineRule="auto"/>
        <w:jc w:val="left"/>
        <w:outlineLvl w:val="2"/>
        <w:rPr>
          <w:rFonts w:hint="eastAsia" w:ascii="宋体" w:hAnsi="宋体" w:cs="宋体"/>
          <w:b/>
          <w:sz w:val="24"/>
        </w:rPr>
      </w:pPr>
      <w:r>
        <w:rPr>
          <w:rFonts w:hint="eastAsia" w:ascii="宋体" w:hAnsi="宋体" w:cs="宋体"/>
          <w:b/>
          <w:sz w:val="24"/>
        </w:rPr>
        <w:t>计算公式</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投资者理财收益＝认购份额×到期日（提前终止日）单位净值-认购金额</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认购份额=认购金额/1元。</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到期日（提前终止日）单位净值为提取相关费用及税费后的单位理财计划份额净值。</w:t>
      </w:r>
    </w:p>
    <w:p>
      <w:pPr>
        <w:numPr>
          <w:ilvl w:val="0"/>
          <w:numId w:val="38"/>
        </w:numPr>
        <w:spacing w:line="360" w:lineRule="auto"/>
        <w:jc w:val="left"/>
        <w:outlineLvl w:val="2"/>
        <w:rPr>
          <w:rFonts w:hint="eastAsia" w:ascii="宋体" w:hAnsi="宋体" w:cs="宋体"/>
          <w:b/>
          <w:sz w:val="24"/>
        </w:rPr>
      </w:pPr>
      <w:r>
        <w:rPr>
          <w:rFonts w:hint="eastAsia" w:ascii="宋体" w:hAnsi="宋体" w:cs="宋体"/>
          <w:b/>
          <w:sz w:val="24"/>
        </w:rPr>
        <w:t>示例说明</w:t>
      </w:r>
    </w:p>
    <w:p>
      <w:pPr>
        <w:numPr>
          <w:ilvl w:val="0"/>
          <w:numId w:val="39"/>
        </w:numPr>
        <w:spacing w:line="360" w:lineRule="auto"/>
        <w:jc w:val="left"/>
        <w:rPr>
          <w:rFonts w:hint="eastAsia" w:ascii="宋体" w:hAnsi="宋体" w:cs="宋体"/>
          <w:b/>
          <w:sz w:val="24"/>
        </w:rPr>
      </w:pPr>
      <w:r>
        <w:rPr>
          <w:rFonts w:hint="eastAsia" w:ascii="宋体" w:hAnsi="宋体" w:cs="宋体"/>
          <w:b/>
          <w:sz w:val="24"/>
        </w:rPr>
        <w:t>示例一</w:t>
      </w:r>
    </w:p>
    <w:p>
      <w:pPr>
        <w:spacing w:line="360" w:lineRule="auto"/>
        <w:ind w:firstLine="482" w:firstLineChars="200"/>
        <w:jc w:val="left"/>
        <w:rPr>
          <w:rFonts w:hint="eastAsia" w:ascii="宋体" w:hAnsi="宋体" w:cs="宋体"/>
          <w:bCs/>
          <w:color w:val="000000"/>
          <w:sz w:val="24"/>
        </w:rPr>
      </w:pPr>
      <w:r>
        <w:rPr>
          <w:rFonts w:hint="eastAsia" w:ascii="宋体" w:hAnsi="宋体" w:cs="宋体"/>
          <w:b/>
          <w:color w:val="000000"/>
          <w:sz w:val="24"/>
        </w:rPr>
        <w:t>扣除托管费、固定管理费、销售服务费（如有）后，投资收益率超过〖业绩比较基准上限〗。</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以某投资者投资10万元为例，假设购买时理财计划净值为1.0000元，折算份额为100,000.00份，假设份额成立日（含）至估值日（含）的区间天数为362天,业绩比较基准为4.0%-5.0%。假设理财产品到期时扣除托管费、固定管理费、销售服务费（如有）后，如理财计划净值为1.0615，此时，(1.0615/1.0000-1)×365/362=6.20%&gt;5.00%，即在〖4.00%-5.00%〗部分的投资收益管理人收取80%作为浮动管理费，超过〖5.00%〗部分的投资收益管理人收取100%作为浮动管理费，浮动管理费为：</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100,000×1.0000×[（1.0615/1.0000-1）×365/362-5.00%）×100%+(5.00%-4.00%)×80%)]×362/365=1,984.52（元）</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扣除浮动管理费后，投资者最终收益为：</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100,000.00×（1.0615-1.0000）-1,984.52= 4,165.48（元）。</w:t>
      </w:r>
    </w:p>
    <w:p>
      <w:pPr>
        <w:numPr>
          <w:ilvl w:val="0"/>
          <w:numId w:val="39"/>
        </w:numPr>
        <w:spacing w:line="360" w:lineRule="auto"/>
        <w:jc w:val="left"/>
        <w:rPr>
          <w:rFonts w:hint="eastAsia" w:ascii="宋体" w:hAnsi="宋体" w:cs="宋体"/>
          <w:b/>
          <w:sz w:val="24"/>
        </w:rPr>
      </w:pPr>
      <w:r>
        <w:rPr>
          <w:rFonts w:hint="eastAsia" w:ascii="宋体" w:hAnsi="宋体" w:cs="宋体"/>
          <w:b/>
          <w:sz w:val="24"/>
        </w:rPr>
        <w:t>示例二</w:t>
      </w:r>
    </w:p>
    <w:p>
      <w:pPr>
        <w:spacing w:line="360" w:lineRule="auto"/>
        <w:ind w:firstLine="482" w:firstLineChars="200"/>
        <w:jc w:val="left"/>
        <w:rPr>
          <w:rFonts w:hint="eastAsia" w:ascii="宋体" w:hAnsi="宋体" w:cs="宋体"/>
          <w:bCs/>
          <w:color w:val="000000"/>
          <w:sz w:val="24"/>
        </w:rPr>
      </w:pPr>
      <w:r>
        <w:rPr>
          <w:rFonts w:hint="eastAsia" w:ascii="宋体" w:hAnsi="宋体" w:cs="宋体"/>
          <w:b/>
          <w:color w:val="000000"/>
          <w:sz w:val="24"/>
        </w:rPr>
        <w:t>扣除托管费、固定管理费、销售服务费（如有）后，投资收益率超过业绩比较基准下限，但未达到业绩比较基准上限。</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以某投资者投资10万元为例，假设购买时理财计划净值为1.0000元，折算份额为100,000.00份,假设份额成立日（含）至估值日（含）的区间天数为362天,业绩比较基准为4.0%-5.0%。假设理财产品到期时扣除托管费、固定管理费、销售服务费（如有）后，如理财计划未扣除浮动管理费前的净值为1.0415，此时，(1.0415/1.0000-1)×365/362=4.18%，即投资收益超过〖4.00%〗但未达到〖5.00%〗，则超过〖4.00%〗部分的投资收益管理人收取80%作为浮动管理费，浮动管理费为：</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100,000.00×1.0000×[(1.0415/1.0000-1)×365/362-4.00%]×80%×362÷365=146.30（元）</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扣除浮动管理费后，投资者最终收益为：</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100,000.00×（1.0415-1.0000）-146.30 =4003.70（元）。</w:t>
      </w:r>
    </w:p>
    <w:p>
      <w:pPr>
        <w:numPr>
          <w:ilvl w:val="0"/>
          <w:numId w:val="39"/>
        </w:numPr>
        <w:spacing w:line="360" w:lineRule="auto"/>
        <w:jc w:val="left"/>
        <w:rPr>
          <w:rFonts w:hint="eastAsia" w:ascii="宋体" w:hAnsi="宋体" w:cs="宋体"/>
          <w:b/>
          <w:sz w:val="24"/>
        </w:rPr>
      </w:pPr>
      <w:r>
        <w:rPr>
          <w:rFonts w:hint="eastAsia" w:ascii="宋体" w:hAnsi="宋体" w:cs="宋体"/>
          <w:b/>
          <w:sz w:val="24"/>
        </w:rPr>
        <w:t>示例三</w:t>
      </w:r>
    </w:p>
    <w:p>
      <w:pPr>
        <w:spacing w:line="360" w:lineRule="auto"/>
        <w:ind w:firstLine="482" w:firstLineChars="200"/>
        <w:jc w:val="left"/>
        <w:rPr>
          <w:rFonts w:hint="eastAsia" w:ascii="宋体" w:hAnsi="宋体" w:cs="宋体"/>
          <w:bCs/>
          <w:color w:val="000000"/>
          <w:sz w:val="24"/>
        </w:rPr>
      </w:pPr>
      <w:r>
        <w:rPr>
          <w:rFonts w:hint="eastAsia" w:ascii="宋体" w:hAnsi="宋体" w:cs="宋体"/>
          <w:b/>
          <w:color w:val="000000"/>
          <w:sz w:val="24"/>
        </w:rPr>
        <w:t>扣除托管费、固定管理费、销售服务费（如有）后，投资收益率未达到〖业绩比较基准下限〗。</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以某投资者投资10万元为例，假设购买时理财计划净值为1.0000元，折算份额为100,000.00份，假设份额成立日（含）至估值日（含）的区间天数为362天,业绩比较基准为4.0%-5.0%。假设理财产品到期时扣除托管费、固定管理费、销售服务费（如有）后，如理财计划未扣除浮动管理费前的净值为1.0362，此时，(1.0362/1.0000-1)×365/362=3.65%&lt;4.00%，即投资收益未达到〖4.00%〗，则投资管理人不收取浮动管理费，投资者最终收益为：100,000.00×(1.0365-1.0000）=3,650.00（元）</w:t>
      </w:r>
    </w:p>
    <w:p>
      <w:pPr>
        <w:numPr>
          <w:ilvl w:val="0"/>
          <w:numId w:val="39"/>
        </w:numPr>
        <w:spacing w:line="360" w:lineRule="auto"/>
        <w:jc w:val="left"/>
        <w:rPr>
          <w:rFonts w:hint="eastAsia" w:ascii="宋体" w:hAnsi="宋体" w:cs="宋体"/>
          <w:b/>
          <w:sz w:val="24"/>
        </w:rPr>
      </w:pPr>
      <w:r>
        <w:rPr>
          <w:rFonts w:hint="eastAsia" w:ascii="宋体" w:hAnsi="宋体" w:cs="宋体"/>
          <w:b/>
          <w:sz w:val="24"/>
        </w:rPr>
        <w:t>示例四</w:t>
      </w:r>
    </w:p>
    <w:p>
      <w:pPr>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扣除托管费、固定管理费、销售服务费（如有）后，投资发生亏损。</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以某投资者投资10万元为例，假设购买时理财计划净值为1.00元，折算份额为100,000.00份，假设份额成立日（含）至估值日（含）的区间天数为362天,业绩比较基准为4.0%-5.0%。假设理财产品到期时扣除托管费、固定管理费、销售服务费（如有）后，如理财计划未扣除浮动管理费前的净值为0.9975，则投资管理人不收取浮动管理费，投资者最终收益为：100,000.00×（0.9975-1.0000）=-250.00（元）。</w:t>
      </w:r>
    </w:p>
    <w:p>
      <w:pPr>
        <w:numPr>
          <w:ilvl w:val="0"/>
          <w:numId w:val="38"/>
        </w:numPr>
        <w:spacing w:line="360" w:lineRule="auto"/>
        <w:jc w:val="left"/>
        <w:outlineLvl w:val="2"/>
        <w:rPr>
          <w:rFonts w:hint="eastAsia" w:ascii="宋体" w:hAnsi="宋体" w:cs="宋体"/>
          <w:b/>
          <w:sz w:val="24"/>
        </w:rPr>
      </w:pPr>
      <w:r>
        <w:rPr>
          <w:rFonts w:hint="eastAsia" w:ascii="宋体" w:hAnsi="宋体" w:cs="宋体"/>
          <w:b/>
          <w:sz w:val="24"/>
        </w:rPr>
        <w:t>最不利情况分析</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rPr>
      </w:pPr>
    </w:p>
    <w:p>
      <w:pPr>
        <w:numPr>
          <w:ilvl w:val="0"/>
          <w:numId w:val="26"/>
        </w:numPr>
        <w:spacing w:line="360" w:lineRule="auto"/>
        <w:jc w:val="left"/>
        <w:outlineLvl w:val="1"/>
        <w:rPr>
          <w:rFonts w:hint="eastAsia" w:ascii="宋体" w:hAnsi="宋体" w:cs="宋体"/>
          <w:b/>
          <w:sz w:val="24"/>
        </w:rPr>
      </w:pPr>
      <w:r>
        <w:rPr>
          <w:rFonts w:hint="eastAsia" w:ascii="宋体" w:hAnsi="宋体" w:cs="宋体"/>
          <w:b/>
          <w:sz w:val="24"/>
        </w:rPr>
        <w:t>交易规则</w:t>
      </w:r>
    </w:p>
    <w:p>
      <w:pPr>
        <w:numPr>
          <w:ilvl w:val="0"/>
          <w:numId w:val="40"/>
        </w:numPr>
        <w:spacing w:line="360" w:lineRule="auto"/>
        <w:jc w:val="left"/>
        <w:outlineLvl w:val="2"/>
        <w:rPr>
          <w:rFonts w:hint="eastAsia" w:ascii="宋体" w:hAnsi="宋体" w:cs="宋体"/>
          <w:b/>
          <w:sz w:val="24"/>
        </w:rPr>
      </w:pPr>
      <w:r>
        <w:rPr>
          <w:rFonts w:hint="eastAsia" w:ascii="宋体" w:hAnsi="宋体" w:cs="宋体"/>
          <w:b/>
          <w:sz w:val="24"/>
        </w:rPr>
        <w:t>认购</w:t>
      </w:r>
    </w:p>
    <w:p>
      <w:pPr>
        <w:numPr>
          <w:ilvl w:val="0"/>
          <w:numId w:val="41"/>
        </w:numPr>
        <w:spacing w:line="360" w:lineRule="auto"/>
        <w:jc w:val="left"/>
        <w:rPr>
          <w:rFonts w:hint="eastAsia" w:ascii="宋体" w:hAnsi="宋体" w:cs="宋体"/>
          <w:bCs/>
          <w:color w:val="000000"/>
          <w:sz w:val="24"/>
        </w:rPr>
      </w:pPr>
      <w:r>
        <w:rPr>
          <w:rFonts w:hint="eastAsia" w:ascii="宋体" w:hAnsi="宋体" w:cs="宋体"/>
          <w:bCs/>
          <w:color w:val="000000"/>
          <w:sz w:val="24"/>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1"/>
        </w:numPr>
        <w:spacing w:line="360" w:lineRule="auto"/>
        <w:jc w:val="left"/>
        <w:rPr>
          <w:rFonts w:hint="eastAsia" w:ascii="宋体" w:hAnsi="宋体" w:cs="宋体"/>
          <w:bCs/>
          <w:color w:val="000000"/>
          <w:sz w:val="24"/>
        </w:rPr>
      </w:pPr>
      <w:r>
        <w:rPr>
          <w:rFonts w:hint="eastAsia" w:ascii="宋体" w:hAnsi="宋体" w:cs="宋体"/>
          <w:bCs/>
          <w:color w:val="000000"/>
          <w:sz w:val="24"/>
        </w:rPr>
        <w:t>理财计划认购期内，投资者可以对本理财计划进行认购、追加、撤单，相应投资资金将在投资者指定账户中冻结。</w:t>
      </w:r>
    </w:p>
    <w:p>
      <w:pPr>
        <w:numPr>
          <w:ilvl w:val="0"/>
          <w:numId w:val="41"/>
        </w:numPr>
        <w:spacing w:line="360" w:lineRule="auto"/>
        <w:jc w:val="left"/>
        <w:rPr>
          <w:rFonts w:hint="eastAsia" w:ascii="宋体" w:hAnsi="宋体" w:cs="宋体"/>
          <w:bCs/>
          <w:color w:val="000000"/>
          <w:sz w:val="24"/>
        </w:rPr>
      </w:pPr>
      <w:r>
        <w:rPr>
          <w:rFonts w:hint="eastAsia" w:ascii="宋体" w:hAnsi="宋体" w:cs="宋体"/>
          <w:bCs/>
          <w:color w:val="000000"/>
          <w:sz w:val="24"/>
        </w:rPr>
        <w:t>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0"/>
        </w:numPr>
        <w:spacing w:line="360" w:lineRule="auto"/>
        <w:jc w:val="left"/>
        <w:outlineLvl w:val="2"/>
        <w:rPr>
          <w:rFonts w:hint="eastAsia" w:ascii="宋体" w:hAnsi="宋体" w:cs="宋体"/>
          <w:b/>
          <w:sz w:val="24"/>
        </w:rPr>
      </w:pPr>
      <w:r>
        <w:rPr>
          <w:rFonts w:hint="eastAsia" w:ascii="宋体" w:hAnsi="宋体" w:cs="宋体"/>
          <w:b/>
          <w:sz w:val="24"/>
        </w:rPr>
        <w:t>成立</w:t>
      </w:r>
    </w:p>
    <w:p>
      <w:pPr>
        <w:numPr>
          <w:ilvl w:val="0"/>
          <w:numId w:val="42"/>
        </w:numPr>
        <w:spacing w:line="360" w:lineRule="auto"/>
        <w:jc w:val="left"/>
        <w:rPr>
          <w:rFonts w:hint="eastAsia" w:ascii="宋体" w:hAnsi="宋体" w:cs="宋体"/>
          <w:bCs/>
          <w:color w:val="000000"/>
          <w:sz w:val="24"/>
        </w:rPr>
      </w:pPr>
      <w:r>
        <w:rPr>
          <w:rFonts w:hint="eastAsia" w:ascii="宋体" w:hAnsi="宋体" w:cs="宋体"/>
          <w:bCs/>
          <w:color w:val="000000"/>
          <w:sz w:val="24"/>
        </w:rPr>
        <w:t>销售机构有权以投资者的投资金额为限从投资者理财账户中进行资金扣划，无需投资者另行授权。</w:t>
      </w:r>
    </w:p>
    <w:p>
      <w:pPr>
        <w:numPr>
          <w:ilvl w:val="0"/>
          <w:numId w:val="42"/>
        </w:numPr>
        <w:spacing w:line="360" w:lineRule="auto"/>
        <w:jc w:val="left"/>
        <w:rPr>
          <w:rFonts w:hint="eastAsia" w:ascii="宋体" w:hAnsi="宋体" w:cs="宋体"/>
          <w:b/>
          <w:sz w:val="24"/>
        </w:rPr>
      </w:pPr>
      <w:r>
        <w:rPr>
          <w:rFonts w:hint="eastAsia" w:ascii="宋体" w:hAnsi="宋体" w:cs="宋体"/>
          <w:bCs/>
          <w:color w:val="000000"/>
          <w:sz w:val="24"/>
        </w:rPr>
        <w:t>管理人将在理财计划成立日对认购期的认购及追加申请进行确认和划款。</w:t>
      </w:r>
    </w:p>
    <w:p>
      <w:pPr>
        <w:numPr>
          <w:ilvl w:val="0"/>
          <w:numId w:val="40"/>
        </w:numPr>
        <w:spacing w:line="360" w:lineRule="auto"/>
        <w:jc w:val="left"/>
        <w:outlineLvl w:val="2"/>
        <w:rPr>
          <w:rFonts w:hint="eastAsia" w:ascii="宋体" w:hAnsi="宋体" w:cs="宋体"/>
          <w:b/>
          <w:sz w:val="24"/>
        </w:rPr>
      </w:pPr>
      <w:r>
        <w:rPr>
          <w:rFonts w:hint="eastAsia" w:ascii="宋体" w:hAnsi="宋体" w:cs="宋体"/>
          <w:b/>
          <w:sz w:val="24"/>
        </w:rPr>
        <w:t>申购及赎回</w:t>
      </w:r>
    </w:p>
    <w:p>
      <w:pPr>
        <w:spacing w:line="360" w:lineRule="auto"/>
        <w:ind w:firstLine="480" w:firstLineChars="200"/>
        <w:jc w:val="left"/>
        <w:rPr>
          <w:rFonts w:ascii="宋体" w:hAnsi="宋体" w:cs="宋体"/>
          <w:b/>
          <w:sz w:val="24"/>
        </w:rPr>
      </w:pPr>
      <w:r>
        <w:rPr>
          <w:rFonts w:hint="eastAsia" w:ascii="宋体" w:hAnsi="宋体" w:cs="宋体"/>
          <w:bCs/>
          <w:sz w:val="24"/>
        </w:rPr>
        <w:t>本理财计划封闭式运作，存续期间不开放申购和赎回。</w:t>
      </w:r>
    </w:p>
    <w:p>
      <w:pPr>
        <w:numPr>
          <w:ilvl w:val="0"/>
          <w:numId w:val="40"/>
        </w:numPr>
        <w:spacing w:line="360" w:lineRule="auto"/>
        <w:jc w:val="left"/>
        <w:outlineLvl w:val="2"/>
        <w:rPr>
          <w:rFonts w:hint="eastAsia" w:ascii="宋体" w:hAnsi="宋体" w:cs="宋体"/>
          <w:b/>
          <w:sz w:val="24"/>
        </w:rPr>
      </w:pPr>
      <w:r>
        <w:rPr>
          <w:rFonts w:hint="eastAsia" w:ascii="宋体" w:hAnsi="宋体" w:cs="宋体"/>
          <w:b/>
          <w:sz w:val="24"/>
        </w:rPr>
        <w:t>到期清算</w:t>
      </w:r>
    </w:p>
    <w:p>
      <w:pPr>
        <w:spacing w:line="360" w:lineRule="auto"/>
        <w:ind w:firstLine="480" w:firstLineChars="200"/>
        <w:jc w:val="left"/>
        <w:rPr>
          <w:rFonts w:ascii="宋体" w:hAnsi="宋体" w:cs="宋体"/>
          <w:bCs/>
          <w:sz w:val="24"/>
        </w:rPr>
      </w:pPr>
      <w:r>
        <w:rPr>
          <w:rFonts w:hint="eastAsia" w:ascii="宋体" w:hAnsi="宋体" w:cs="宋体"/>
          <w:bCs/>
          <w:sz w:val="24"/>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0"/>
        </w:numPr>
        <w:spacing w:line="360" w:lineRule="auto"/>
        <w:jc w:val="left"/>
        <w:outlineLvl w:val="2"/>
        <w:rPr>
          <w:rFonts w:hint="eastAsia" w:ascii="宋体" w:hAnsi="宋体" w:cs="宋体"/>
          <w:b/>
          <w:sz w:val="24"/>
        </w:rPr>
      </w:pPr>
      <w:r>
        <w:rPr>
          <w:rFonts w:hint="eastAsia" w:ascii="宋体" w:hAnsi="宋体" w:cs="宋体"/>
          <w:b/>
          <w:sz w:val="24"/>
        </w:rPr>
        <w:t>提前终止</w:t>
      </w:r>
    </w:p>
    <w:p>
      <w:pPr>
        <w:spacing w:line="360" w:lineRule="auto"/>
        <w:ind w:firstLine="480" w:firstLineChars="200"/>
        <w:jc w:val="left"/>
        <w:rPr>
          <w:rFonts w:hint="eastAsia" w:ascii="宋体" w:hAnsi="宋体" w:cs="宋体"/>
          <w:bCs/>
          <w:sz w:val="24"/>
        </w:rPr>
      </w:pPr>
      <w:r>
        <w:rPr>
          <w:rFonts w:hint="eastAsia" w:ascii="宋体" w:hAnsi="宋体" w:cs="宋体"/>
          <w:bCs/>
          <w:sz w:val="24"/>
        </w:rPr>
        <w:t>在理财计划期限内，管理人根据投资情况有提前终止权，于本理财计划提前终止日前</w:t>
      </w:r>
      <w:r>
        <w:rPr>
          <w:rFonts w:hint="eastAsia" w:ascii="宋体" w:hAnsi="宋体" w:cs="宋体"/>
          <w:sz w:val="24"/>
        </w:rPr>
        <w:t>〖</w:t>
      </w:r>
      <w:r>
        <w:rPr>
          <w:rFonts w:hint="eastAsia" w:ascii="宋体" w:hAnsi="宋体" w:cs="宋体"/>
          <w:bCs/>
          <w:sz w:val="24"/>
        </w:rPr>
        <w:t>2</w:t>
      </w:r>
      <w:r>
        <w:rPr>
          <w:rFonts w:hint="eastAsia" w:ascii="宋体" w:hAnsi="宋体" w:cs="宋体"/>
          <w:bCs/>
          <w:color w:val="000000"/>
          <w:sz w:val="24"/>
        </w:rPr>
        <w:t>〗</w:t>
      </w:r>
      <w:r>
        <w:rPr>
          <w:rFonts w:hint="eastAsia" w:ascii="宋体" w:hAnsi="宋体" w:cs="宋体"/>
          <w:bCs/>
          <w:sz w:val="24"/>
        </w:rPr>
        <w:t>个工作日通过管理人或销售机构发布提前终止公告，并于终止日后</w:t>
      </w:r>
      <w:r>
        <w:rPr>
          <w:rFonts w:hint="eastAsia" w:ascii="宋体" w:hAnsi="宋体" w:cs="宋体"/>
          <w:sz w:val="24"/>
        </w:rPr>
        <w:t>〖</w:t>
      </w:r>
      <w:r>
        <w:rPr>
          <w:rFonts w:hint="eastAsia" w:ascii="宋体" w:hAnsi="宋体" w:cs="宋体"/>
          <w:szCs w:val="21"/>
        </w:rPr>
        <w:t>3</w:t>
      </w:r>
      <w:r>
        <w:rPr>
          <w:rFonts w:hint="eastAsia" w:ascii="宋体" w:hAnsi="宋体" w:cs="宋体"/>
          <w:bCs/>
          <w:color w:val="000000"/>
          <w:sz w:val="24"/>
        </w:rPr>
        <w:t>〗</w:t>
      </w:r>
      <w:r>
        <w:rPr>
          <w:rFonts w:hint="eastAsia" w:ascii="宋体" w:hAnsi="宋体" w:cs="宋体"/>
          <w:bCs/>
          <w:sz w:val="24"/>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rPr>
      </w:pPr>
      <w:r>
        <w:rPr>
          <w:rFonts w:hint="eastAsia" w:ascii="宋体" w:hAnsi="宋体" w:cs="宋体"/>
          <w:b/>
          <w:sz w:val="24"/>
        </w:rPr>
        <w:t>如发生以下事项时，管理人可对本理财计划行使全部或部分提前终止权：</w:t>
      </w:r>
    </w:p>
    <w:p>
      <w:pPr>
        <w:numPr>
          <w:ilvl w:val="0"/>
          <w:numId w:val="43"/>
        </w:numPr>
        <w:spacing w:line="360" w:lineRule="auto"/>
        <w:jc w:val="left"/>
        <w:rPr>
          <w:rFonts w:ascii="宋体" w:hAnsi="宋体" w:cs="宋体"/>
          <w:b/>
          <w:sz w:val="24"/>
        </w:rPr>
      </w:pPr>
      <w:r>
        <w:rPr>
          <w:rFonts w:hint="eastAsia" w:ascii="宋体" w:hAnsi="宋体" w:cs="宋体"/>
          <w:b/>
          <w:sz w:val="24"/>
        </w:rPr>
        <w:t>如因本理财计划资产运作模式等与法律法规、规章的规定或者监管部门的要求等存在冲突导致理财计划必须提前终止的。</w:t>
      </w:r>
    </w:p>
    <w:p>
      <w:pPr>
        <w:numPr>
          <w:ilvl w:val="0"/>
          <w:numId w:val="43"/>
        </w:numPr>
        <w:spacing w:line="360" w:lineRule="auto"/>
        <w:jc w:val="left"/>
        <w:rPr>
          <w:rFonts w:ascii="宋体" w:hAnsi="宋体" w:cs="宋体"/>
          <w:b/>
          <w:sz w:val="24"/>
        </w:rPr>
      </w:pPr>
      <w:r>
        <w:rPr>
          <w:rFonts w:hint="eastAsia" w:ascii="宋体" w:hAnsi="宋体" w:cs="宋体"/>
          <w:b/>
          <w:sz w:val="24"/>
        </w:rPr>
        <w:t>国家有关法律、法规、规章、政策的改变、紧急措施的出台、理财市场环境发生重大变化等导致理财计划必须提前终止的。</w:t>
      </w:r>
    </w:p>
    <w:p>
      <w:pPr>
        <w:numPr>
          <w:ilvl w:val="0"/>
          <w:numId w:val="43"/>
        </w:numPr>
        <w:spacing w:line="360" w:lineRule="auto"/>
        <w:jc w:val="left"/>
        <w:rPr>
          <w:rFonts w:ascii="宋体" w:hAnsi="宋体" w:cs="宋体"/>
          <w:b/>
          <w:sz w:val="24"/>
        </w:rPr>
      </w:pPr>
      <w:r>
        <w:rPr>
          <w:rFonts w:hint="eastAsia" w:ascii="宋体" w:hAnsi="宋体" w:cs="宋体"/>
          <w:b/>
          <w:sz w:val="24"/>
        </w:rPr>
        <w:t>因不可抗力因素导致本理财计划必须提前终止的。</w:t>
      </w:r>
    </w:p>
    <w:p>
      <w:pPr>
        <w:numPr>
          <w:ilvl w:val="0"/>
          <w:numId w:val="43"/>
        </w:numPr>
        <w:spacing w:line="360" w:lineRule="auto"/>
        <w:jc w:val="left"/>
        <w:rPr>
          <w:rFonts w:ascii="宋体" w:hAnsi="宋体" w:cs="宋体"/>
          <w:b/>
          <w:sz w:val="24"/>
        </w:rPr>
      </w:pPr>
      <w:r>
        <w:rPr>
          <w:rFonts w:hint="eastAsia" w:ascii="宋体" w:hAnsi="宋体" w:cs="宋体"/>
          <w:b/>
          <w:sz w:val="24"/>
        </w:rPr>
        <w:t>理财计划的投资策略已不适合当前的市场环境的。</w:t>
      </w:r>
    </w:p>
    <w:p>
      <w:pPr>
        <w:numPr>
          <w:ilvl w:val="0"/>
          <w:numId w:val="43"/>
        </w:numPr>
        <w:spacing w:line="360" w:lineRule="auto"/>
        <w:jc w:val="left"/>
        <w:rPr>
          <w:rFonts w:ascii="宋体" w:hAnsi="宋体" w:cs="宋体"/>
          <w:b/>
          <w:sz w:val="24"/>
        </w:rPr>
      </w:pPr>
      <w:r>
        <w:rPr>
          <w:rFonts w:hint="eastAsia" w:ascii="宋体" w:hAnsi="宋体" w:cs="宋体"/>
          <w:b/>
          <w:sz w:val="24"/>
        </w:rPr>
        <w:t>融资人行使提前到期或还款权利的。</w:t>
      </w:r>
    </w:p>
    <w:p>
      <w:pPr>
        <w:numPr>
          <w:ilvl w:val="0"/>
          <w:numId w:val="43"/>
        </w:numPr>
        <w:spacing w:line="360" w:lineRule="auto"/>
        <w:jc w:val="left"/>
        <w:rPr>
          <w:rFonts w:ascii="宋体" w:hAnsi="宋体" w:cs="宋体"/>
          <w:b/>
          <w:sz w:val="24"/>
        </w:rPr>
      </w:pPr>
      <w:r>
        <w:rPr>
          <w:rFonts w:hint="eastAsia" w:ascii="宋体" w:hAnsi="宋体" w:cs="宋体"/>
          <w:b/>
          <w:sz w:val="24"/>
        </w:rPr>
        <w:t>管理人认为应该提前终止的其他情形。</w:t>
      </w:r>
    </w:p>
    <w:p>
      <w:pPr>
        <w:numPr>
          <w:ilvl w:val="0"/>
          <w:numId w:val="40"/>
        </w:numPr>
        <w:spacing w:line="360" w:lineRule="auto"/>
        <w:jc w:val="left"/>
        <w:outlineLvl w:val="2"/>
        <w:rPr>
          <w:rFonts w:hint="eastAsia" w:ascii="宋体" w:hAnsi="宋体" w:cs="宋体"/>
          <w:b/>
          <w:sz w:val="24"/>
        </w:rPr>
      </w:pPr>
      <w:r>
        <w:rPr>
          <w:rFonts w:hint="eastAsia" w:ascii="宋体" w:hAnsi="宋体" w:cs="宋体"/>
          <w:b/>
          <w:sz w:val="24"/>
        </w:rPr>
        <w:t>延期</w:t>
      </w:r>
    </w:p>
    <w:p>
      <w:pPr>
        <w:spacing w:line="360" w:lineRule="auto"/>
        <w:ind w:firstLine="480" w:firstLineChars="200"/>
        <w:jc w:val="left"/>
        <w:rPr>
          <w:rFonts w:hint="eastAsia" w:ascii="宋体" w:hAnsi="宋体" w:cs="宋体"/>
          <w:bCs/>
          <w:sz w:val="24"/>
        </w:rPr>
      </w:pPr>
      <w:r>
        <w:rPr>
          <w:rFonts w:hint="eastAsia" w:ascii="宋体" w:hAnsi="宋体" w:cs="宋体"/>
          <w:bCs/>
          <w:sz w:val="24"/>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4"/>
        </w:numPr>
        <w:spacing w:line="360" w:lineRule="auto"/>
        <w:jc w:val="left"/>
        <w:rPr>
          <w:rFonts w:ascii="宋体" w:hAnsi="宋体" w:cs="宋体"/>
          <w:b/>
          <w:sz w:val="24"/>
        </w:rPr>
      </w:pPr>
      <w:r>
        <w:rPr>
          <w:rFonts w:hint="eastAsia" w:ascii="宋体" w:hAnsi="宋体" w:cs="宋体"/>
          <w:b/>
          <w:sz w:val="24"/>
        </w:rPr>
        <w:t>预计在理财计划预计到期日，理财计划资产因市场风险、信用风险等原因无法全部变现。</w:t>
      </w:r>
    </w:p>
    <w:p>
      <w:pPr>
        <w:numPr>
          <w:ilvl w:val="0"/>
          <w:numId w:val="44"/>
        </w:numPr>
        <w:spacing w:line="360" w:lineRule="auto"/>
        <w:jc w:val="left"/>
        <w:rPr>
          <w:rFonts w:ascii="宋体" w:hAnsi="宋体" w:cs="宋体"/>
          <w:b/>
          <w:sz w:val="24"/>
        </w:rPr>
      </w:pPr>
      <w:r>
        <w:rPr>
          <w:rFonts w:hint="eastAsia" w:ascii="宋体" w:hAnsi="宋体" w:cs="宋体"/>
          <w:b/>
          <w:sz w:val="24"/>
        </w:rPr>
        <w:t>预计理财计划所投资的信托计划、资管计划、私募基金的受托人或管理人不能按时向管理人划付理财计划的本金和收益。</w:t>
      </w:r>
    </w:p>
    <w:p>
      <w:pPr>
        <w:numPr>
          <w:ilvl w:val="0"/>
          <w:numId w:val="44"/>
        </w:numPr>
        <w:spacing w:line="360" w:lineRule="auto"/>
        <w:jc w:val="left"/>
        <w:rPr>
          <w:rFonts w:ascii="宋体" w:hAnsi="宋体" w:cs="宋体"/>
          <w:b/>
          <w:sz w:val="24"/>
        </w:rPr>
      </w:pPr>
      <w:r>
        <w:rPr>
          <w:rFonts w:hint="eastAsia" w:ascii="宋体" w:hAnsi="宋体" w:cs="宋体"/>
          <w:b/>
          <w:sz w:val="24"/>
        </w:rPr>
        <w:t>理财计划财产涉及诉讼或仲裁，且预计诉讼或仲裁执行程序于理财计划到期日尚未终结。</w:t>
      </w:r>
    </w:p>
    <w:p>
      <w:pPr>
        <w:numPr>
          <w:ilvl w:val="0"/>
          <w:numId w:val="44"/>
        </w:numPr>
        <w:spacing w:line="360" w:lineRule="auto"/>
        <w:jc w:val="left"/>
        <w:rPr>
          <w:rFonts w:ascii="宋体" w:hAnsi="宋体" w:cs="宋体"/>
          <w:b/>
          <w:sz w:val="24"/>
        </w:rPr>
      </w:pPr>
      <w:r>
        <w:rPr>
          <w:rFonts w:hint="eastAsia" w:ascii="宋体" w:hAnsi="宋体" w:cs="宋体"/>
          <w:b/>
          <w:sz w:val="24"/>
        </w:rPr>
        <w:t>管理人与托管人、销售机构协商一致决定延期。</w:t>
      </w:r>
    </w:p>
    <w:p>
      <w:pPr>
        <w:numPr>
          <w:ilvl w:val="0"/>
          <w:numId w:val="44"/>
        </w:numPr>
        <w:spacing w:line="360" w:lineRule="auto"/>
        <w:jc w:val="left"/>
        <w:rPr>
          <w:rFonts w:ascii="宋体" w:hAnsi="宋体" w:cs="宋体"/>
          <w:b/>
          <w:sz w:val="24"/>
        </w:rPr>
      </w:pPr>
      <w:r>
        <w:rPr>
          <w:rFonts w:hint="eastAsia" w:ascii="宋体" w:hAnsi="宋体" w:cs="宋体"/>
          <w:b/>
          <w:sz w:val="24"/>
        </w:rPr>
        <w:t>法律法规规定的或管理人认为有必要延期的其他情形。</w:t>
      </w:r>
    </w:p>
    <w:p>
      <w:pPr>
        <w:spacing w:line="360" w:lineRule="auto"/>
        <w:jc w:val="left"/>
        <w:rPr>
          <w:rFonts w:ascii="宋体" w:hAnsi="宋体" w:cs="宋体"/>
          <w:b/>
          <w:sz w:val="24"/>
        </w:rPr>
      </w:pPr>
    </w:p>
    <w:p>
      <w:pPr>
        <w:numPr>
          <w:ilvl w:val="0"/>
          <w:numId w:val="26"/>
        </w:numPr>
        <w:spacing w:line="360" w:lineRule="auto"/>
        <w:jc w:val="left"/>
        <w:outlineLvl w:val="1"/>
        <w:rPr>
          <w:rFonts w:hint="eastAsia" w:ascii="宋体" w:hAnsi="宋体" w:cs="宋体"/>
          <w:b/>
          <w:sz w:val="24"/>
        </w:rPr>
      </w:pPr>
      <w:r>
        <w:rPr>
          <w:rFonts w:hint="eastAsia" w:ascii="宋体" w:hAnsi="宋体" w:cs="宋体"/>
          <w:b/>
          <w:sz w:val="24"/>
        </w:rPr>
        <w:t>信息披露</w:t>
      </w:r>
    </w:p>
    <w:p>
      <w:pPr>
        <w:numPr>
          <w:ilvl w:val="0"/>
          <w:numId w:val="45"/>
        </w:numPr>
        <w:spacing w:line="360" w:lineRule="auto"/>
        <w:jc w:val="left"/>
        <w:outlineLvl w:val="2"/>
        <w:rPr>
          <w:rFonts w:hint="eastAsia" w:ascii="宋体" w:hAnsi="宋体" w:cs="宋体"/>
          <w:b/>
          <w:sz w:val="24"/>
        </w:rPr>
      </w:pPr>
      <w:r>
        <w:rPr>
          <w:rFonts w:hint="eastAsia" w:ascii="宋体" w:hAnsi="宋体" w:cs="宋体"/>
          <w:b/>
          <w:sz w:val="24"/>
        </w:rPr>
        <w:t>披露内容及时间</w:t>
      </w:r>
    </w:p>
    <w:p>
      <w:pPr>
        <w:numPr>
          <w:ilvl w:val="0"/>
          <w:numId w:val="46"/>
        </w:numPr>
        <w:spacing w:line="360" w:lineRule="auto"/>
        <w:jc w:val="left"/>
        <w:rPr>
          <w:rFonts w:hint="eastAsia" w:ascii="宋体" w:hAnsi="宋体" w:cs="宋体"/>
          <w:b/>
          <w:sz w:val="24"/>
        </w:rPr>
      </w:pPr>
      <w:r>
        <w:rPr>
          <w:rFonts w:hint="eastAsia" w:ascii="宋体" w:hAnsi="宋体" w:cs="宋体"/>
          <w:b/>
          <w:sz w:val="24"/>
        </w:rPr>
        <w:t>认购信息披露</w:t>
      </w:r>
    </w:p>
    <w:p>
      <w:pPr>
        <w:numPr>
          <w:ilvl w:val="0"/>
          <w:numId w:val="47"/>
        </w:num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7"/>
        </w:numPr>
        <w:spacing w:line="360" w:lineRule="auto"/>
        <w:ind w:firstLine="480" w:firstLineChars="200"/>
        <w:rPr>
          <w:rFonts w:ascii="宋体" w:hAnsi="宋体" w:cs="宋体"/>
          <w:bCs/>
          <w:color w:val="000000"/>
          <w:sz w:val="24"/>
        </w:rPr>
      </w:pPr>
      <w:r>
        <w:rPr>
          <w:rFonts w:hint="eastAsia" w:ascii="宋体" w:hAnsi="宋体" w:cs="宋体"/>
          <w:bCs/>
          <w:color w:val="000000"/>
          <w:sz w:val="24"/>
        </w:rPr>
        <w:t>发行公告：管理人应在理财计划成立日后3个工作日内披露，包括成立日期、募集规模等信息。</w:t>
      </w:r>
    </w:p>
    <w:p>
      <w:pPr>
        <w:numPr>
          <w:ilvl w:val="0"/>
          <w:numId w:val="46"/>
        </w:numPr>
        <w:spacing w:line="360" w:lineRule="auto"/>
        <w:jc w:val="left"/>
        <w:rPr>
          <w:rFonts w:hint="eastAsia" w:ascii="宋体" w:hAnsi="宋体" w:cs="宋体"/>
          <w:b/>
          <w:sz w:val="24"/>
        </w:rPr>
      </w:pPr>
      <w:r>
        <w:rPr>
          <w:rFonts w:hint="eastAsia" w:ascii="宋体" w:hAnsi="宋体" w:cs="宋体"/>
          <w:b/>
          <w:sz w:val="24"/>
        </w:rPr>
        <w:t>运作信息披露</w:t>
      </w:r>
    </w:p>
    <w:p>
      <w:pPr>
        <w:numPr>
          <w:ilvl w:val="0"/>
          <w:numId w:val="48"/>
        </w:num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理财计划净值：管理人应在理财计划成立后，每周披露一次净值。</w:t>
      </w:r>
    </w:p>
    <w:p>
      <w:pPr>
        <w:numPr>
          <w:ilvl w:val="0"/>
          <w:numId w:val="48"/>
        </w:numPr>
        <w:spacing w:line="360" w:lineRule="auto"/>
        <w:ind w:firstLine="480" w:firstLineChars="200"/>
        <w:rPr>
          <w:rFonts w:hint="eastAsia" w:ascii="宋体" w:hAnsi="宋体" w:cs="宋体"/>
          <w:b/>
          <w:sz w:val="24"/>
        </w:rPr>
      </w:pPr>
      <w:r>
        <w:rPr>
          <w:rFonts w:hint="eastAsia" w:ascii="宋体" w:hAnsi="宋体" w:cs="宋体"/>
          <w:bCs/>
          <w:color w:val="000000"/>
          <w:sz w:val="24"/>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spacing w:line="360" w:lineRule="auto"/>
        <w:rPr>
          <w:rFonts w:hint="eastAsia" w:ascii="宋体" w:hAnsi="宋体" w:cs="宋体"/>
          <w:bCs/>
          <w:color w:val="000000"/>
          <w:sz w:val="24"/>
        </w:rPr>
      </w:pPr>
      <w:r>
        <w:rPr>
          <w:rFonts w:hint="eastAsia" w:ascii="宋体" w:hAnsi="宋体" w:cs="宋体"/>
          <w:bCs/>
          <w:color w:val="000000"/>
          <w:sz w:val="24"/>
        </w:rPr>
        <w:t>如本理财计划成立不足90个工作日或剩余存续期不超过90个工作日的，管理人可不编制当期的季度、半年和年度报告等运行报告。</w:t>
      </w:r>
    </w:p>
    <w:p>
      <w:pPr>
        <w:numPr>
          <w:ilvl w:val="0"/>
          <w:numId w:val="48"/>
        </w:numPr>
        <w:spacing w:line="360" w:lineRule="auto"/>
        <w:ind w:firstLine="480" w:firstLineChars="200"/>
        <w:rPr>
          <w:rFonts w:hint="eastAsia" w:ascii="宋体" w:hAnsi="宋体" w:cs="宋体"/>
          <w:b/>
          <w:sz w:val="24"/>
        </w:rPr>
      </w:pPr>
      <w:r>
        <w:rPr>
          <w:rFonts w:hint="eastAsia" w:ascii="宋体" w:hAnsi="宋体" w:cs="宋体"/>
          <w:bCs/>
          <w:color w:val="000000"/>
          <w:sz w:val="24"/>
        </w:rPr>
        <w:t>到期报告：管理人应在理财计划到期后5个工作日内披露，包括存续期限、到期兑付净值、收益分配情况等信息。</w:t>
      </w:r>
    </w:p>
    <w:p>
      <w:pPr>
        <w:numPr>
          <w:ilvl w:val="0"/>
          <w:numId w:val="46"/>
        </w:numPr>
        <w:spacing w:line="360" w:lineRule="auto"/>
        <w:jc w:val="left"/>
        <w:rPr>
          <w:rFonts w:hint="eastAsia" w:ascii="宋体" w:hAnsi="宋体" w:cs="宋体"/>
          <w:b/>
          <w:sz w:val="24"/>
        </w:rPr>
      </w:pPr>
      <w:r>
        <w:rPr>
          <w:rFonts w:hint="eastAsia" w:ascii="宋体" w:hAnsi="宋体" w:cs="宋体"/>
          <w:b/>
          <w:sz w:val="24"/>
        </w:rPr>
        <w:t>临时信息披露</w:t>
      </w:r>
    </w:p>
    <w:p>
      <w:pPr>
        <w:numPr>
          <w:ilvl w:val="0"/>
          <w:numId w:val="49"/>
        </w:num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49"/>
        </w:numPr>
        <w:spacing w:line="360" w:lineRule="auto"/>
        <w:ind w:firstLine="480" w:firstLineChars="200"/>
        <w:rPr>
          <w:rFonts w:hint="eastAsia" w:ascii="宋体" w:hAnsi="宋体" w:cs="宋体"/>
          <w:b/>
          <w:sz w:val="24"/>
        </w:rPr>
      </w:pPr>
      <w:r>
        <w:rPr>
          <w:rFonts w:hint="eastAsia" w:ascii="宋体" w:hAnsi="宋体" w:cs="宋体"/>
          <w:bCs/>
          <w:color w:val="000000"/>
          <w:sz w:val="24"/>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5"/>
        </w:numPr>
        <w:spacing w:line="360" w:lineRule="auto"/>
        <w:jc w:val="left"/>
        <w:outlineLvl w:val="2"/>
        <w:rPr>
          <w:rFonts w:hint="eastAsia" w:ascii="宋体" w:hAnsi="宋体" w:cs="宋体"/>
          <w:b/>
          <w:sz w:val="24"/>
        </w:rPr>
      </w:pPr>
      <w:r>
        <w:rPr>
          <w:rFonts w:hint="eastAsia" w:ascii="宋体" w:hAnsi="宋体" w:cs="宋体"/>
          <w:b/>
          <w:sz w:val="24"/>
        </w:rPr>
        <w:t>披露方式</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rPr>
      </w:pPr>
    </w:p>
    <w:p>
      <w:pPr>
        <w:numPr>
          <w:ilvl w:val="0"/>
          <w:numId w:val="26"/>
        </w:numPr>
        <w:spacing w:line="360" w:lineRule="auto"/>
        <w:jc w:val="left"/>
        <w:outlineLvl w:val="1"/>
        <w:rPr>
          <w:rFonts w:hint="eastAsia" w:ascii="宋体" w:hAnsi="宋体" w:cs="宋体"/>
          <w:b/>
          <w:sz w:val="24"/>
        </w:rPr>
      </w:pPr>
      <w:r>
        <w:rPr>
          <w:rFonts w:hint="eastAsia" w:ascii="宋体" w:hAnsi="宋体" w:cs="宋体"/>
          <w:b/>
          <w:sz w:val="24"/>
        </w:rPr>
        <w:t>其他</w:t>
      </w:r>
    </w:p>
    <w:p>
      <w:pPr>
        <w:numPr>
          <w:ilvl w:val="0"/>
          <w:numId w:val="50"/>
        </w:numPr>
        <w:spacing w:line="360" w:lineRule="auto"/>
        <w:jc w:val="left"/>
        <w:outlineLvl w:val="2"/>
        <w:rPr>
          <w:rFonts w:hint="eastAsia" w:ascii="宋体" w:hAnsi="宋体" w:cs="宋体"/>
          <w:b/>
          <w:sz w:val="24"/>
        </w:rPr>
      </w:pPr>
      <w:r>
        <w:rPr>
          <w:rFonts w:hint="eastAsia" w:ascii="宋体" w:hAnsi="宋体" w:cs="宋体"/>
          <w:b/>
          <w:sz w:val="24"/>
        </w:rPr>
        <w:t>追索条款</w:t>
      </w:r>
    </w:p>
    <w:p>
      <w:pPr>
        <w:spacing w:line="360" w:lineRule="auto"/>
        <w:ind w:firstLine="480" w:firstLineChars="200"/>
        <w:rPr>
          <w:rFonts w:hint="eastAsia" w:ascii="宋体" w:hAnsi="宋体" w:cs="宋体"/>
          <w:b/>
          <w:sz w:val="24"/>
        </w:rPr>
      </w:pPr>
      <w:r>
        <w:rPr>
          <w:rFonts w:hint="eastAsia" w:ascii="宋体" w:hAnsi="宋体" w:cs="宋体"/>
          <w:bCs/>
          <w:color w:val="000000"/>
          <w:sz w:val="24"/>
        </w:rPr>
        <w:t>若本理财计划所投资的金融资产到期不能全部偿付导致资产减值甚至本金大幅损失，则本公司将以管理人名义，代表投资者利益行使诉讼权利或者实施其他法律行为。</w:t>
      </w:r>
    </w:p>
    <w:p>
      <w:pPr>
        <w:numPr>
          <w:ilvl w:val="0"/>
          <w:numId w:val="50"/>
        </w:numPr>
        <w:tabs>
          <w:tab w:val="left" w:pos="6090"/>
        </w:tabs>
        <w:spacing w:line="360" w:lineRule="auto"/>
        <w:jc w:val="left"/>
        <w:outlineLvl w:val="2"/>
        <w:rPr>
          <w:rFonts w:hint="eastAsia" w:ascii="宋体" w:hAnsi="宋体" w:cs="宋体"/>
          <w:b/>
          <w:sz w:val="24"/>
        </w:rPr>
      </w:pPr>
      <w:r>
        <w:rPr>
          <w:rFonts w:hint="eastAsia" w:ascii="宋体" w:hAnsi="宋体" w:cs="宋体"/>
          <w:b/>
          <w:sz w:val="24"/>
        </w:rPr>
        <w:t>信息安全</w:t>
      </w:r>
    </w:p>
    <w:p>
      <w:pPr>
        <w:spacing w:line="360" w:lineRule="auto"/>
        <w:ind w:firstLine="480" w:firstLineChars="200"/>
        <w:rPr>
          <w:rFonts w:hint="eastAsia" w:ascii="宋体" w:hAnsi="宋体" w:cs="宋体"/>
          <w:b/>
          <w:sz w:val="24"/>
        </w:rPr>
      </w:pPr>
      <w:r>
        <w:rPr>
          <w:rFonts w:hint="eastAsia" w:ascii="宋体" w:hAnsi="宋体" w:cs="宋体"/>
          <w:bCs/>
          <w:color w:val="000000"/>
          <w:sz w:val="24"/>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0"/>
        </w:numPr>
        <w:spacing w:line="360" w:lineRule="auto"/>
        <w:jc w:val="left"/>
        <w:outlineLvl w:val="2"/>
        <w:rPr>
          <w:rFonts w:hint="eastAsia" w:ascii="宋体" w:hAnsi="宋体" w:cs="宋体"/>
          <w:b/>
          <w:sz w:val="24"/>
        </w:rPr>
      </w:pPr>
      <w:r>
        <w:rPr>
          <w:rFonts w:hint="eastAsia" w:ascii="宋体" w:hAnsi="宋体" w:cs="宋体"/>
          <w:b/>
          <w:sz w:val="24"/>
        </w:rPr>
        <w:t>争议解决</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销售机构或管理人所在地有管辖权的人民法院诉讼解决。</w:t>
      </w:r>
    </w:p>
    <w:p>
      <w:pPr>
        <w:numPr>
          <w:ilvl w:val="0"/>
          <w:numId w:val="50"/>
        </w:numPr>
        <w:spacing w:line="360" w:lineRule="auto"/>
        <w:jc w:val="left"/>
        <w:outlineLvl w:val="2"/>
        <w:rPr>
          <w:rFonts w:hint="eastAsia" w:ascii="宋体" w:hAnsi="宋体" w:cs="宋体"/>
          <w:b/>
          <w:sz w:val="24"/>
        </w:rPr>
      </w:pPr>
      <w:r>
        <w:rPr>
          <w:rFonts w:hint="eastAsia" w:ascii="宋体" w:hAnsi="宋体" w:cs="宋体"/>
          <w:b/>
          <w:sz w:val="24"/>
        </w:rPr>
        <w:t>特别提示</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rPr>
      </w:pPr>
      <w:r>
        <w:rPr>
          <w:rFonts w:hint="eastAsia" w:ascii="宋体" w:hAnsi="宋体" w:cs="宋体"/>
          <w:bCs/>
          <w:color w:val="000000"/>
          <w:sz w:val="24"/>
        </w:rPr>
        <w:br w:type="page"/>
      </w:r>
      <w:r>
        <w:rPr>
          <w:rFonts w:hint="eastAsia" w:ascii="宋体" w:hAnsi="宋体" w:cs="宋体"/>
          <w:b/>
          <w:bCs/>
          <w:color w:val="000000"/>
          <w:sz w:val="44"/>
          <w:szCs w:val="44"/>
        </w:rPr>
        <w:t>杭银理财投资者权益须知</w:t>
      </w:r>
    </w:p>
    <w:p>
      <w:pPr>
        <w:jc w:val="center"/>
        <w:rPr>
          <w:rFonts w:hint="eastAsia" w:ascii="宋体" w:hAnsi="宋体" w:cs="宋体"/>
          <w:b/>
          <w:bCs/>
          <w:color w:val="000000"/>
          <w:sz w:val="44"/>
          <w:szCs w:val="44"/>
        </w:rPr>
      </w:pPr>
      <w:r>
        <w:rPr>
          <w:rFonts w:hint="eastAsia" w:ascii="宋体" w:hAnsi="宋体" w:cs="宋体"/>
          <w:sz w:val="28"/>
          <w:szCs w:val="28"/>
        </w:rPr>
        <w:t>（202201版）</w:t>
      </w:r>
    </w:p>
    <w:p>
      <w:pPr>
        <w:spacing w:line="360" w:lineRule="auto"/>
        <w:jc w:val="center"/>
        <w:rPr>
          <w:rFonts w:hint="eastAsia" w:ascii="宋体" w:hAnsi="宋体" w:cs="宋体"/>
          <w:b/>
          <w:bCs/>
          <w:sz w:val="24"/>
          <w:u w:val="single"/>
        </w:rPr>
      </w:pPr>
      <w:r>
        <w:rPr>
          <w:rFonts w:hint="eastAsia" w:ascii="宋体" w:hAnsi="宋体" w:cs="宋体"/>
          <w:b/>
          <w:bCs/>
          <w:sz w:val="24"/>
          <w:u w:val="single"/>
        </w:rPr>
        <w:t>理财非存款、产品有风险、投资须谨慎</w:t>
      </w:r>
    </w:p>
    <w:p>
      <w:pPr>
        <w:spacing w:line="360" w:lineRule="auto"/>
        <w:rPr>
          <w:rFonts w:hint="eastAsia" w:ascii="宋体" w:hAnsi="宋体" w:cs="宋体"/>
          <w:kern w:val="0"/>
          <w:sz w:val="24"/>
        </w:rPr>
      </w:pPr>
      <w:r>
        <w:rPr>
          <w:rFonts w:hint="eastAsia" w:ascii="宋体" w:hAnsi="宋体" w:cs="宋体"/>
          <w:kern w:val="0"/>
          <w:sz w:val="24"/>
        </w:rPr>
        <w:t>尊敬的投资者：</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1"/>
        </w:numPr>
        <w:spacing w:line="360" w:lineRule="auto"/>
        <w:outlineLvl w:val="1"/>
        <w:rPr>
          <w:rFonts w:hint="eastAsia" w:ascii="宋体" w:hAnsi="宋体" w:cs="宋体"/>
          <w:b/>
          <w:kern w:val="0"/>
          <w:sz w:val="24"/>
        </w:rPr>
      </w:pPr>
      <w:r>
        <w:rPr>
          <w:rFonts w:hint="eastAsia" w:ascii="宋体" w:hAnsi="宋体" w:cs="宋体"/>
          <w:b/>
          <w:kern w:val="0"/>
          <w:sz w:val="24"/>
        </w:rPr>
        <w:t>理财计划办理流程</w:t>
      </w:r>
    </w:p>
    <w:p>
      <w:pPr>
        <w:numPr>
          <w:ilvl w:val="0"/>
          <w:numId w:val="52"/>
        </w:numPr>
        <w:spacing w:line="360" w:lineRule="auto"/>
        <w:outlineLvl w:val="2"/>
        <w:rPr>
          <w:rFonts w:hint="eastAsia" w:ascii="宋体" w:hAnsi="宋体" w:cs="宋体"/>
          <w:kern w:val="0"/>
          <w:sz w:val="24"/>
        </w:rPr>
      </w:pPr>
      <w:r>
        <w:rPr>
          <w:rFonts w:hint="eastAsia" w:ascii="宋体" w:hAnsi="宋体" w:cs="宋体"/>
          <w:kern w:val="0"/>
          <w:sz w:val="24"/>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2"/>
        </w:numPr>
        <w:spacing w:line="360" w:lineRule="auto"/>
        <w:outlineLvl w:val="2"/>
        <w:rPr>
          <w:rFonts w:hint="eastAsia" w:ascii="宋体" w:hAnsi="宋体" w:cs="宋体"/>
          <w:kern w:val="0"/>
          <w:sz w:val="24"/>
        </w:rPr>
      </w:pPr>
      <w:r>
        <w:rPr>
          <w:rFonts w:hint="eastAsia" w:ascii="宋体" w:hAnsi="宋体" w:cs="宋体"/>
          <w:kern w:val="0"/>
          <w:sz w:val="24"/>
        </w:rPr>
        <w:t>首次在销售机构购买杭银理财理财计划的个人投资者须接受并完成销售机构对您的风险承受能力评估，并确认风险承受能力等级不低于本理财计划风险评级。如销售机构对于机构投资者的风险承受能力评估有要求的，则参照销售机构相关评估标准或代理销售协议书执行。</w:t>
      </w:r>
    </w:p>
    <w:p>
      <w:pPr>
        <w:numPr>
          <w:ilvl w:val="0"/>
          <w:numId w:val="52"/>
        </w:numPr>
        <w:spacing w:line="360" w:lineRule="auto"/>
        <w:outlineLvl w:val="2"/>
        <w:rPr>
          <w:rFonts w:hint="eastAsia" w:ascii="宋体" w:hAnsi="宋体" w:cs="宋体"/>
          <w:kern w:val="0"/>
          <w:sz w:val="24"/>
        </w:rPr>
      </w:pPr>
      <w:r>
        <w:rPr>
          <w:rFonts w:hint="eastAsia" w:ascii="宋体" w:hAnsi="宋体" w:cs="宋体"/>
          <w:kern w:val="0"/>
          <w:sz w:val="24"/>
        </w:rPr>
        <w:t>投资者应仔细阅读本理财计划完整合同（包括但不限于理财计划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2"/>
        </w:numPr>
        <w:spacing w:line="360" w:lineRule="auto"/>
        <w:outlineLvl w:val="2"/>
        <w:rPr>
          <w:rFonts w:hint="eastAsia" w:ascii="宋体" w:hAnsi="宋体" w:cs="宋体"/>
          <w:kern w:val="0"/>
          <w:sz w:val="24"/>
        </w:rPr>
      </w:pPr>
      <w:r>
        <w:rPr>
          <w:rFonts w:hint="eastAsia" w:ascii="宋体" w:hAnsi="宋体" w:cs="宋体"/>
          <w:kern w:val="0"/>
          <w:sz w:val="24"/>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2"/>
        </w:numPr>
        <w:spacing w:line="360" w:lineRule="auto"/>
        <w:outlineLvl w:val="2"/>
        <w:rPr>
          <w:rFonts w:hint="eastAsia" w:ascii="宋体" w:hAnsi="宋体" w:cs="宋体"/>
          <w:kern w:val="0"/>
          <w:sz w:val="24"/>
        </w:rPr>
      </w:pPr>
      <w:r>
        <w:rPr>
          <w:rFonts w:hint="eastAsia" w:ascii="宋体" w:hAnsi="宋体" w:cs="宋体"/>
          <w:kern w:val="0"/>
          <w:sz w:val="24"/>
        </w:rPr>
        <w:t>如在银行营业场所购买杭银理财理财计划，销售机构需对每笔理财计划销售过程同步录音录像。</w:t>
      </w:r>
    </w:p>
    <w:p>
      <w:pPr>
        <w:numPr>
          <w:ilvl w:val="0"/>
          <w:numId w:val="52"/>
        </w:numPr>
        <w:spacing w:line="360" w:lineRule="auto"/>
        <w:outlineLvl w:val="2"/>
        <w:rPr>
          <w:rFonts w:hint="eastAsia" w:ascii="宋体" w:hAnsi="宋体" w:cs="宋体"/>
          <w:kern w:val="0"/>
          <w:sz w:val="24"/>
        </w:rPr>
      </w:pPr>
      <w:r>
        <w:rPr>
          <w:rFonts w:hint="eastAsia" w:ascii="宋体" w:hAnsi="宋体" w:cs="宋体"/>
          <w:kern w:val="0"/>
          <w:sz w:val="24"/>
        </w:rPr>
        <w:t>投资者确定交易金额，完成交易申请，并在确认份额后进行查询。</w:t>
      </w:r>
    </w:p>
    <w:p>
      <w:pPr>
        <w:numPr>
          <w:ilvl w:val="0"/>
          <w:numId w:val="53"/>
        </w:numPr>
        <w:spacing w:line="360" w:lineRule="auto"/>
        <w:outlineLvl w:val="1"/>
        <w:rPr>
          <w:rFonts w:hint="eastAsia" w:ascii="宋体" w:hAnsi="宋体" w:cs="宋体"/>
          <w:b/>
          <w:kern w:val="0"/>
          <w:sz w:val="24"/>
        </w:rPr>
      </w:pPr>
      <w:r>
        <w:rPr>
          <w:rFonts w:hint="eastAsia" w:ascii="宋体" w:hAnsi="宋体" w:cs="宋体"/>
          <w:b/>
          <w:kern w:val="0"/>
          <w:sz w:val="24"/>
        </w:rPr>
        <w:t>杭银理财产品风险评级</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黑体"/>
                <w:kern w:val="0"/>
                <w:sz w:val="24"/>
                <w:szCs w:val="24"/>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黑体"/>
                <w:kern w:val="0"/>
                <w:sz w:val="24"/>
                <w:szCs w:val="24"/>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黑体"/>
                <w:kern w:val="0"/>
                <w:sz w:val="24"/>
                <w:szCs w:val="24"/>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黑体"/>
                <w:kern w:val="0"/>
                <w:sz w:val="24"/>
                <w:szCs w:val="24"/>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黑体"/>
                <w:kern w:val="0"/>
                <w:sz w:val="24"/>
                <w:szCs w:val="24"/>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机构投资者及进取型的个人投资者</w:t>
            </w:r>
          </w:p>
        </w:tc>
      </w:tr>
    </w:tbl>
    <w:p>
      <w:pPr>
        <w:pStyle w:val="14"/>
        <w:adjustRightInd/>
        <w:spacing w:line="360" w:lineRule="auto"/>
        <w:ind w:firstLine="480" w:firstLineChars="200"/>
        <w:rPr>
          <w:rFonts w:ascii="宋体" w:hAnsi="宋体" w:cs="宋体"/>
          <w:b/>
        </w:rPr>
      </w:pPr>
      <w:r>
        <w:rPr>
          <w:rFonts w:hint="eastAsia" w:ascii="宋体" w:hAnsi="宋体" w:cs="宋体"/>
          <w:bCs/>
          <w:color w:val="auto"/>
          <w:kern w:val="2"/>
        </w:rPr>
        <w:t>投资者风险承受能力评级水平以销售机构评估为准。</w:t>
      </w:r>
    </w:p>
    <w:p>
      <w:pPr>
        <w:numPr>
          <w:ilvl w:val="0"/>
          <w:numId w:val="54"/>
        </w:numPr>
        <w:spacing w:line="360" w:lineRule="auto"/>
        <w:outlineLvl w:val="1"/>
        <w:rPr>
          <w:rFonts w:hint="eastAsia" w:ascii="宋体" w:hAnsi="宋体" w:cs="宋体"/>
          <w:b/>
          <w:kern w:val="0"/>
          <w:sz w:val="24"/>
        </w:rPr>
      </w:pPr>
      <w:r>
        <w:rPr>
          <w:rFonts w:hint="eastAsia" w:ascii="宋体" w:hAnsi="宋体" w:cs="宋体"/>
          <w:b/>
          <w:kern w:val="0"/>
          <w:sz w:val="24"/>
        </w:rPr>
        <w:t>投资者风险承受能力评估</w:t>
      </w:r>
    </w:p>
    <w:p>
      <w:pPr>
        <w:numPr>
          <w:ilvl w:val="0"/>
          <w:numId w:val="55"/>
        </w:numPr>
        <w:spacing w:line="360" w:lineRule="auto"/>
        <w:outlineLvl w:val="2"/>
        <w:rPr>
          <w:rFonts w:hint="eastAsia" w:ascii="宋体" w:hAnsi="宋体" w:cs="宋体"/>
          <w:kern w:val="0"/>
          <w:sz w:val="24"/>
        </w:rPr>
      </w:pPr>
      <w:r>
        <w:rPr>
          <w:rFonts w:hint="eastAsia" w:ascii="宋体" w:hAnsi="宋体" w:cs="宋体"/>
          <w:kern w:val="0"/>
          <w:sz w:val="24"/>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5"/>
        </w:numPr>
        <w:spacing w:line="360" w:lineRule="auto"/>
        <w:outlineLvl w:val="2"/>
        <w:rPr>
          <w:rFonts w:hint="eastAsia" w:ascii="宋体" w:hAnsi="宋体" w:cs="宋体"/>
          <w:kern w:val="0"/>
          <w:sz w:val="24"/>
        </w:rPr>
      </w:pPr>
      <w:r>
        <w:rPr>
          <w:rFonts w:hint="eastAsia" w:ascii="宋体" w:hAnsi="宋体" w:cs="宋体"/>
          <w:kern w:val="0"/>
          <w:sz w:val="24"/>
        </w:rPr>
        <w:t>个人投资者风险承受能力评估结果有效期为一年，如风险承受能力评估时效已超过一年，或影响风险承受能力的因素发生变化，请及时完成风险承受能力的重新评估。</w:t>
      </w:r>
    </w:p>
    <w:p>
      <w:pPr>
        <w:numPr>
          <w:ilvl w:val="0"/>
          <w:numId w:val="55"/>
        </w:numPr>
        <w:spacing w:line="360" w:lineRule="auto"/>
        <w:outlineLvl w:val="2"/>
        <w:rPr>
          <w:rFonts w:hint="eastAsia" w:ascii="宋体" w:hAnsi="宋体" w:cs="宋体"/>
          <w:kern w:val="0"/>
          <w:sz w:val="24"/>
        </w:rPr>
      </w:pPr>
      <w:r>
        <w:rPr>
          <w:rFonts w:hint="eastAsia" w:ascii="宋体" w:hAnsi="宋体" w:cs="宋体"/>
          <w:kern w:val="0"/>
          <w:sz w:val="24"/>
        </w:rPr>
        <w:t>个人投资者风险承受能力评估流程（详询销售机构工作人员）</w:t>
      </w:r>
    </w:p>
    <w:p>
      <w:pPr>
        <w:numPr>
          <w:ilvl w:val="0"/>
          <w:numId w:val="56"/>
        </w:numPr>
        <w:spacing w:line="360" w:lineRule="auto"/>
        <w:rPr>
          <w:rFonts w:hint="eastAsia" w:ascii="宋体" w:hAnsi="宋体" w:cs="宋体"/>
          <w:kern w:val="0"/>
          <w:sz w:val="24"/>
        </w:rPr>
      </w:pPr>
      <w:r>
        <w:rPr>
          <w:rFonts w:hint="eastAsia" w:ascii="宋体" w:hAnsi="宋体" w:cs="宋体"/>
          <w:kern w:val="0"/>
          <w:sz w:val="24"/>
        </w:rPr>
        <w:t>个人投资者在销售机构进行风险承受能力评估；</w:t>
      </w:r>
    </w:p>
    <w:p>
      <w:pPr>
        <w:numPr>
          <w:ilvl w:val="0"/>
          <w:numId w:val="56"/>
        </w:numPr>
        <w:spacing w:line="360" w:lineRule="auto"/>
        <w:rPr>
          <w:rFonts w:hint="eastAsia" w:ascii="宋体" w:hAnsi="宋体" w:cs="宋体"/>
          <w:kern w:val="0"/>
          <w:sz w:val="24"/>
        </w:rPr>
      </w:pPr>
      <w:r>
        <w:rPr>
          <w:rFonts w:hint="eastAsia" w:ascii="宋体" w:hAnsi="宋体" w:cs="宋体"/>
          <w:kern w:val="0"/>
          <w:sz w:val="24"/>
        </w:rPr>
        <w:t>填写销售机构个人投资者风险承受能力测试问卷；</w:t>
      </w:r>
    </w:p>
    <w:p>
      <w:pPr>
        <w:numPr>
          <w:ilvl w:val="0"/>
          <w:numId w:val="56"/>
        </w:numPr>
        <w:spacing w:line="360" w:lineRule="auto"/>
        <w:rPr>
          <w:rFonts w:hint="eastAsia" w:ascii="宋体" w:hAnsi="宋体" w:cs="宋体"/>
          <w:kern w:val="0"/>
          <w:sz w:val="24"/>
        </w:rPr>
      </w:pPr>
      <w:r>
        <w:rPr>
          <w:rFonts w:hint="eastAsia" w:ascii="宋体" w:hAnsi="宋体" w:cs="宋体"/>
          <w:kern w:val="0"/>
          <w:sz w:val="24"/>
        </w:rPr>
        <w:t>生成相应的个人投资者风险承受能力评估结果；</w:t>
      </w:r>
    </w:p>
    <w:p>
      <w:pPr>
        <w:numPr>
          <w:ilvl w:val="0"/>
          <w:numId w:val="56"/>
        </w:numPr>
        <w:spacing w:line="360" w:lineRule="auto"/>
        <w:rPr>
          <w:rFonts w:hint="eastAsia" w:ascii="宋体" w:hAnsi="宋体" w:cs="宋体"/>
          <w:kern w:val="0"/>
          <w:sz w:val="24"/>
        </w:rPr>
      </w:pPr>
      <w:r>
        <w:rPr>
          <w:rFonts w:hint="eastAsia" w:ascii="宋体" w:hAnsi="宋体" w:cs="宋体"/>
          <w:kern w:val="0"/>
          <w:sz w:val="24"/>
        </w:rPr>
        <w:t>投资者对评估结果进行确认。</w:t>
      </w:r>
    </w:p>
    <w:p>
      <w:pPr>
        <w:numPr>
          <w:ilvl w:val="0"/>
          <w:numId w:val="57"/>
        </w:numPr>
        <w:spacing w:line="360" w:lineRule="auto"/>
        <w:outlineLvl w:val="2"/>
        <w:rPr>
          <w:rFonts w:hint="eastAsia" w:ascii="宋体" w:hAnsi="宋体" w:cs="宋体"/>
          <w:kern w:val="0"/>
          <w:sz w:val="24"/>
        </w:rPr>
      </w:pPr>
      <w:r>
        <w:rPr>
          <w:rFonts w:hint="eastAsia" w:ascii="宋体" w:hAnsi="宋体" w:cs="宋体"/>
          <w:kern w:val="0"/>
          <w:sz w:val="24"/>
        </w:rPr>
        <w:t>风险承受能力评估结果将作为评价个人投资者是否适合购买理财计划的重要因素，风险承受能力评级越高适合购买的理财计划风险评级越高，适合购买的理财计划类型越丰富。</w:t>
      </w:r>
    </w:p>
    <w:p>
      <w:pPr>
        <w:numPr>
          <w:ilvl w:val="0"/>
          <w:numId w:val="57"/>
        </w:numPr>
        <w:spacing w:line="360" w:lineRule="auto"/>
        <w:outlineLvl w:val="2"/>
        <w:rPr>
          <w:rFonts w:hint="eastAsia" w:ascii="宋体" w:hAnsi="宋体" w:cs="宋体"/>
          <w:kern w:val="0"/>
          <w:sz w:val="24"/>
        </w:rPr>
      </w:pPr>
      <w:r>
        <w:rPr>
          <w:rFonts w:hint="eastAsia" w:ascii="宋体" w:hAnsi="宋体" w:cs="宋体"/>
          <w:kern w:val="0"/>
          <w:sz w:val="24"/>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7"/>
        </w:numPr>
        <w:spacing w:line="360" w:lineRule="auto"/>
        <w:outlineLvl w:val="2"/>
        <w:rPr>
          <w:rFonts w:hint="eastAsia" w:ascii="宋体" w:hAnsi="宋体" w:cs="宋体"/>
          <w:kern w:val="0"/>
          <w:sz w:val="24"/>
        </w:rPr>
      </w:pPr>
      <w:r>
        <w:rPr>
          <w:rFonts w:hint="eastAsia" w:ascii="宋体" w:hAnsi="宋体" w:cs="宋体"/>
          <w:kern w:val="0"/>
          <w:sz w:val="24"/>
        </w:rPr>
        <w:t>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书、理财计划投资协议书和理财计划销售协议书的基础上，充分认识投资本理财计划需要承担的风险。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rPr>
      </w:pPr>
      <w:r>
        <w:rPr>
          <w:rFonts w:hint="eastAsia" w:ascii="宋体" w:hAnsi="宋体" w:cs="宋体"/>
          <w:b/>
          <w:kern w:val="0"/>
          <w:sz w:val="24"/>
        </w:rPr>
        <w:t>四、理财计划信息披露</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rPr>
      </w:pPr>
      <w:r>
        <w:rPr>
          <w:rFonts w:hint="eastAsia" w:ascii="宋体" w:hAnsi="宋体" w:cs="宋体"/>
          <w:b/>
          <w:kern w:val="0"/>
          <w:sz w:val="24"/>
        </w:rPr>
        <w:t>五、投资者信息管理</w:t>
      </w:r>
    </w:p>
    <w:p>
      <w:pPr>
        <w:spacing w:line="360" w:lineRule="auto"/>
        <w:ind w:firstLine="480" w:firstLineChars="200"/>
        <w:rPr>
          <w:rFonts w:hint="eastAsia" w:ascii="宋体" w:hAnsi="宋体" w:cs="宋体"/>
          <w:kern w:val="0"/>
          <w:sz w:val="24"/>
        </w:rPr>
      </w:pPr>
      <w:r>
        <w:rPr>
          <w:rFonts w:hint="eastAsia" w:ascii="宋体" w:hAnsi="宋体" w:cs="宋体"/>
          <w:kern w:val="0"/>
          <w:sz w:val="24"/>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rPr>
      </w:pPr>
      <w:r>
        <w:rPr>
          <w:rFonts w:hint="eastAsia" w:ascii="宋体" w:hAnsi="宋体" w:cs="宋体"/>
          <w:b/>
          <w:kern w:val="0"/>
          <w:sz w:val="24"/>
        </w:rPr>
        <w:t>六、投诉与建议</w:t>
      </w:r>
    </w:p>
    <w:p>
      <w:pPr>
        <w:numPr>
          <w:ilvl w:val="0"/>
          <w:numId w:val="58"/>
        </w:numPr>
        <w:spacing w:line="360" w:lineRule="auto"/>
        <w:outlineLvl w:val="2"/>
        <w:rPr>
          <w:rFonts w:hint="eastAsia" w:ascii="宋体" w:hAnsi="宋体" w:cs="宋体"/>
          <w:kern w:val="0"/>
          <w:sz w:val="24"/>
        </w:rPr>
      </w:pPr>
      <w:r>
        <w:rPr>
          <w:rFonts w:hint="eastAsia" w:ascii="宋体" w:hAnsi="宋体" w:cs="宋体"/>
          <w:kern w:val="0"/>
          <w:sz w:val="24"/>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58"/>
        </w:numPr>
        <w:spacing w:line="360" w:lineRule="auto"/>
        <w:outlineLvl w:val="2"/>
        <w:rPr>
          <w:rFonts w:hint="eastAsia" w:ascii="宋体" w:hAnsi="宋体" w:cs="宋体"/>
          <w:kern w:val="0"/>
          <w:sz w:val="24"/>
        </w:rPr>
      </w:pPr>
      <w:r>
        <w:rPr>
          <w:rFonts w:hint="eastAsia" w:ascii="宋体" w:hAnsi="宋体" w:cs="宋体"/>
          <w:kern w:val="0"/>
          <w:sz w:val="24"/>
        </w:rPr>
        <w:t>联络方式</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在杭州银行（作为销售机构）购买本理财计划的请联系杭州银行，杭州银行客户服务热线：95398、4008888508，杭州银行官方网站：www.hzbank.com.cn。</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在其他销售机构购买理财计划的，请联系其他销售机构，联系方式以其披露为准。</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杭银理财联络方式：</w:t>
      </w:r>
    </w:p>
    <w:p>
      <w:pPr>
        <w:numPr>
          <w:ilvl w:val="0"/>
          <w:numId w:val="59"/>
        </w:numPr>
        <w:spacing w:line="360" w:lineRule="auto"/>
        <w:rPr>
          <w:rFonts w:hint="eastAsia" w:ascii="宋体" w:hAnsi="宋体" w:cs="宋体"/>
          <w:kern w:val="0"/>
          <w:sz w:val="24"/>
        </w:rPr>
      </w:pPr>
      <w:r>
        <w:rPr>
          <w:rFonts w:hint="eastAsia" w:ascii="宋体" w:hAnsi="宋体" w:cs="宋体"/>
          <w:kern w:val="0"/>
          <w:sz w:val="24"/>
        </w:rPr>
        <w:t>杭银理财联络方式：</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官方网站：</w:t>
      </w:r>
      <w:r>
        <w:fldChar w:fldCharType="begin"/>
      </w:r>
      <w:r>
        <w:rPr>
          <w:rFonts w:ascii="宋体" w:hAnsi="宋体" w:cs="宋体"/>
          <w:kern w:val="0"/>
          <w:sz w:val="24"/>
        </w:rPr>
        <w:instrText xml:space="preserve"> HYPERLINK "https://www.hzbankwealth.com.cn/" \t "_blank" </w:instrText>
      </w:r>
      <w:r>
        <w:fldChar w:fldCharType="separate"/>
      </w:r>
      <w:r>
        <w:rPr>
          <w:rFonts w:ascii="宋体" w:hAnsi="宋体" w:cs="宋体"/>
          <w:kern w:val="0"/>
          <w:sz w:val="24"/>
        </w:rPr>
        <w:t>https://www.hzbankwealth.com.cn</w:t>
      </w:r>
      <w:r>
        <w:fldChar w:fldCharType="end"/>
      </w:r>
    </w:p>
    <w:p>
      <w:pPr>
        <w:spacing w:line="360" w:lineRule="auto"/>
        <w:ind w:firstLine="480" w:firstLineChars="200"/>
        <w:rPr>
          <w:rFonts w:ascii="宋体" w:hAnsi="宋体" w:cs="宋体"/>
          <w:kern w:val="0"/>
          <w:sz w:val="24"/>
        </w:rPr>
      </w:pPr>
      <w:r>
        <w:rPr>
          <w:rFonts w:hint="eastAsia" w:ascii="宋体" w:hAnsi="宋体" w:cs="宋体"/>
          <w:kern w:val="0"/>
          <w:sz w:val="24"/>
        </w:rPr>
        <w:t>客户服务热线：400-8950-999</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公司地址：杭州市拱墅区庆春路38号金龙财富中心6楼</w:t>
      </w:r>
    </w:p>
    <w:p>
      <w:pPr>
        <w:spacing w:line="360" w:lineRule="auto"/>
        <w:ind w:firstLine="480" w:firstLineChars="200"/>
        <w:rPr>
          <w:rFonts w:hint="eastAsia" w:ascii="宋体" w:hAnsi="宋体" w:cs="宋体"/>
          <w:kern w:val="0"/>
          <w:sz w:val="24"/>
        </w:rPr>
      </w:pPr>
      <w:r>
        <w:rPr>
          <w:rFonts w:hint="eastAsia" w:ascii="宋体" w:hAnsi="宋体" w:cs="宋体"/>
          <w:kern w:val="0"/>
          <w:sz w:val="24"/>
        </w:rPr>
        <w:t>若上述联系方式变更，杭银理财将提前通过官方网站及时告知投资者。</w:t>
      </w:r>
    </w:p>
    <w:p>
      <w:pPr>
        <w:numPr>
          <w:ilvl w:val="0"/>
          <w:numId w:val="59"/>
        </w:numPr>
        <w:spacing w:line="360" w:lineRule="auto"/>
        <w:rPr>
          <w:rFonts w:hint="eastAsia" w:ascii="宋体" w:hAnsi="宋体" w:cs="宋体"/>
          <w:kern w:val="0"/>
          <w:sz w:val="24"/>
        </w:rPr>
      </w:pPr>
      <w:r>
        <w:rPr>
          <w:rFonts w:hint="eastAsia" w:ascii="宋体" w:hAnsi="宋体" w:cs="宋体"/>
          <w:kern w:val="0"/>
          <w:sz w:val="24"/>
        </w:rPr>
        <w:t>杭州银行（作为销售机构）联络方式：</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 xml:space="preserve">官方网站: </w:t>
      </w:r>
      <w:r>
        <w:fldChar w:fldCharType="begin"/>
      </w:r>
      <w:r>
        <w:rPr>
          <w:rStyle w:val="11"/>
          <w:rFonts w:hint="eastAsia" w:ascii="宋体" w:hAnsi="宋体" w:cs="宋体"/>
          <w:kern w:val="0"/>
          <w:sz w:val="24"/>
        </w:rPr>
        <w:instrText xml:space="preserve"> HYPERLINK "http://www.hzbankwealth.cn" </w:instrText>
      </w:r>
      <w:r>
        <w:fldChar w:fldCharType="separate"/>
      </w:r>
      <w:r>
        <w:rPr>
          <w:rStyle w:val="11"/>
          <w:rFonts w:hint="eastAsia" w:ascii="宋体" w:hAnsi="宋体" w:cs="宋体"/>
          <w:kern w:val="0"/>
          <w:sz w:val="24"/>
        </w:rPr>
        <w:t>www.hzbank.com.cn</w:t>
      </w:r>
      <w:r>
        <w:fldChar w:fldCharType="end"/>
      </w:r>
    </w:p>
    <w:p>
      <w:pPr>
        <w:spacing w:line="360" w:lineRule="auto"/>
        <w:ind w:firstLine="480" w:firstLineChars="200"/>
        <w:rPr>
          <w:rFonts w:ascii="宋体" w:hAnsi="宋体" w:cs="宋体"/>
          <w:kern w:val="0"/>
          <w:sz w:val="24"/>
        </w:rPr>
      </w:pPr>
      <w:r>
        <w:rPr>
          <w:rFonts w:hint="eastAsia" w:ascii="宋体" w:hAnsi="宋体" w:cs="宋体"/>
          <w:kern w:val="0"/>
          <w:sz w:val="24"/>
        </w:rPr>
        <w:t>客户服务热线：95398、4008888508</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在其他销售机构购买理财计划的，请联系其他销售机构，联系方式以其披露为准。</w:t>
      </w:r>
    </w:p>
    <w:p>
      <w:pPr>
        <w:jc w:val="center"/>
        <w:outlineLvl w:val="0"/>
        <w:rPr>
          <w:rFonts w:hint="eastAsia"/>
          <w:b/>
          <w:sz w:val="44"/>
          <w:szCs w:val="44"/>
        </w:rPr>
      </w:pPr>
      <w:r>
        <w:rPr>
          <w:rFonts w:hint="eastAsia"/>
          <w:b/>
          <w:sz w:val="44"/>
          <w:szCs w:val="44"/>
        </w:rPr>
        <w:br w:type="page"/>
      </w:r>
      <w:r>
        <w:rPr>
          <w:rFonts w:hint="eastAsia"/>
          <w:b/>
          <w:sz w:val="44"/>
          <w:szCs w:val="44"/>
        </w:rPr>
        <w:t>杭银理财理财计划投资协议书</w:t>
      </w:r>
    </w:p>
    <w:p>
      <w:pPr>
        <w:jc w:val="center"/>
        <w:rPr>
          <w:rFonts w:hint="eastAsia"/>
          <w:b/>
          <w:sz w:val="44"/>
          <w:szCs w:val="44"/>
        </w:rPr>
      </w:pPr>
      <w:r>
        <w:rPr>
          <w:rFonts w:hint="eastAsia" w:ascii="宋体" w:hAnsi="宋体" w:cs="宋体"/>
          <w:sz w:val="28"/>
          <w:szCs w:val="28"/>
        </w:rPr>
        <w:t>（202201版）</w:t>
      </w:r>
    </w:p>
    <w:p>
      <w:pPr>
        <w:spacing w:line="360" w:lineRule="auto"/>
        <w:jc w:val="center"/>
        <w:rPr>
          <w:rFonts w:hint="eastAsia"/>
          <w:b/>
          <w:sz w:val="32"/>
          <w:szCs w:val="32"/>
        </w:rPr>
      </w:pPr>
      <w:r>
        <w:rPr>
          <w:rFonts w:hint="eastAsia" w:ascii="宋体" w:hAnsi="宋体" w:cs="宋体"/>
          <w:b/>
          <w:bCs/>
          <w:sz w:val="24"/>
          <w:u w:val="single"/>
        </w:rPr>
        <w:t>理财非存款、产品有风险、投资须谨慎</w:t>
      </w:r>
    </w:p>
    <w:p>
      <w:pPr>
        <w:spacing w:line="360" w:lineRule="auto"/>
        <w:ind w:firstLine="482" w:firstLineChars="200"/>
        <w:rPr>
          <w:rFonts w:hint="eastAsia"/>
          <w:b/>
          <w:bCs/>
          <w:sz w:val="24"/>
        </w:rPr>
      </w:pPr>
      <w:r>
        <w:rPr>
          <w:rFonts w:hint="eastAsia"/>
          <w:b/>
          <w:bCs/>
          <w:sz w:val="24"/>
        </w:rPr>
        <w:t>特别提示：杭银理财理财计划投资协议书与理财计划风险揭示书、理财计划产品说明书、投资者权益须知及理财计划销售协议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rPr>
      </w:pPr>
      <w:r>
        <w:rPr>
          <w:rFonts w:hint="eastAsia"/>
          <w:sz w:val="24"/>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rPr>
      </w:pPr>
    </w:p>
    <w:p>
      <w:pPr>
        <w:numPr>
          <w:ilvl w:val="0"/>
          <w:numId w:val="60"/>
        </w:numPr>
        <w:spacing w:line="360" w:lineRule="auto"/>
        <w:ind w:firstLine="482" w:firstLineChars="200"/>
        <w:outlineLvl w:val="1"/>
        <w:rPr>
          <w:rFonts w:hint="eastAsia" w:ascii="宋体" w:hAnsi="宋体"/>
          <w:b/>
          <w:bCs/>
          <w:sz w:val="24"/>
        </w:rPr>
      </w:pPr>
      <w:r>
        <w:rPr>
          <w:rFonts w:hint="eastAsia"/>
          <w:b/>
          <w:bCs/>
          <w:sz w:val="24"/>
        </w:rPr>
        <w:t>名词释义</w:t>
      </w:r>
    </w:p>
    <w:p>
      <w:pPr>
        <w:spacing w:line="360" w:lineRule="auto"/>
        <w:ind w:firstLine="480" w:firstLineChars="200"/>
        <w:rPr>
          <w:rFonts w:hint="eastAsia"/>
          <w:bCs/>
          <w:sz w:val="24"/>
        </w:rPr>
      </w:pPr>
      <w:r>
        <w:rPr>
          <w:rFonts w:hint="eastAsia"/>
          <w:bCs/>
          <w:sz w:val="24"/>
        </w:rPr>
        <w:t>详见理财计划说明书“释义”部分。</w:t>
      </w:r>
    </w:p>
    <w:p>
      <w:pPr>
        <w:spacing w:line="360" w:lineRule="auto"/>
        <w:ind w:firstLine="480" w:firstLineChars="200"/>
        <w:rPr>
          <w:rFonts w:hint="eastAsia"/>
          <w:bCs/>
          <w:sz w:val="24"/>
        </w:rPr>
      </w:pPr>
    </w:p>
    <w:p>
      <w:pPr>
        <w:numPr>
          <w:ilvl w:val="0"/>
          <w:numId w:val="60"/>
        </w:numPr>
        <w:spacing w:line="360" w:lineRule="auto"/>
        <w:ind w:firstLine="482" w:firstLineChars="200"/>
        <w:outlineLvl w:val="1"/>
        <w:rPr>
          <w:rFonts w:hint="eastAsia"/>
          <w:b/>
          <w:sz w:val="24"/>
        </w:rPr>
      </w:pPr>
      <w:r>
        <w:rPr>
          <w:rFonts w:hint="eastAsia"/>
          <w:b/>
          <w:sz w:val="24"/>
        </w:rPr>
        <w:t>投资者权利与义务</w:t>
      </w:r>
    </w:p>
    <w:p>
      <w:pPr>
        <w:widowControl/>
        <w:numPr>
          <w:ilvl w:val="0"/>
          <w:numId w:val="61"/>
        </w:numPr>
        <w:spacing w:line="360" w:lineRule="auto"/>
        <w:contextualSpacing/>
        <w:outlineLvl w:val="2"/>
        <w:rPr>
          <w:rFonts w:ascii="宋体" w:hAnsi="宋体"/>
          <w:sz w:val="24"/>
        </w:rPr>
      </w:pPr>
      <w:r>
        <w:rPr>
          <w:rFonts w:hint="eastAsia" w:ascii="宋体" w:hAnsi="宋体"/>
          <w:sz w:val="24"/>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1"/>
        </w:numPr>
        <w:spacing w:line="360" w:lineRule="auto"/>
        <w:contextualSpacing/>
        <w:outlineLvl w:val="2"/>
        <w:rPr>
          <w:rFonts w:ascii="宋体" w:hAnsi="宋体"/>
          <w:sz w:val="24"/>
        </w:rPr>
      </w:pPr>
      <w:r>
        <w:rPr>
          <w:rFonts w:hint="eastAsia" w:ascii="宋体" w:hAnsi="宋体"/>
          <w:sz w:val="24"/>
        </w:rPr>
        <w:t>投资者保证自身完全了解理财投资的性质，投资所涉及的风险以及自身风险承受能力，在慎重考虑后独立作出交易决定。</w:t>
      </w:r>
    </w:p>
    <w:p>
      <w:pPr>
        <w:widowControl/>
        <w:numPr>
          <w:ilvl w:val="0"/>
          <w:numId w:val="61"/>
        </w:numPr>
        <w:spacing w:line="360" w:lineRule="auto"/>
        <w:contextualSpacing/>
        <w:outlineLvl w:val="2"/>
        <w:rPr>
          <w:rFonts w:ascii="宋体" w:hAnsi="宋体"/>
          <w:sz w:val="24"/>
        </w:rPr>
      </w:pPr>
      <w:r>
        <w:rPr>
          <w:rFonts w:hint="eastAsia" w:ascii="宋体" w:hAnsi="宋体"/>
          <w:sz w:val="24"/>
        </w:rPr>
        <w:t>投资者保证其有权利签署本协议和履行本协议所述的义务，并已为此采取一切所需的行为。</w:t>
      </w:r>
    </w:p>
    <w:p>
      <w:pPr>
        <w:widowControl/>
        <w:numPr>
          <w:ilvl w:val="0"/>
          <w:numId w:val="61"/>
        </w:numPr>
        <w:spacing w:line="360" w:lineRule="auto"/>
        <w:contextualSpacing/>
        <w:outlineLvl w:val="2"/>
        <w:rPr>
          <w:rFonts w:ascii="宋体" w:hAnsi="宋体"/>
          <w:sz w:val="24"/>
        </w:rPr>
      </w:pPr>
      <w:r>
        <w:rPr>
          <w:rFonts w:hint="eastAsia" w:ascii="宋体" w:hAnsi="宋体"/>
          <w:sz w:val="24"/>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1"/>
        </w:numPr>
        <w:spacing w:line="360" w:lineRule="auto"/>
        <w:contextualSpacing/>
        <w:outlineLvl w:val="2"/>
        <w:rPr>
          <w:rFonts w:ascii="宋体" w:hAnsi="宋体"/>
          <w:sz w:val="24"/>
        </w:rPr>
      </w:pPr>
      <w:r>
        <w:rPr>
          <w:rFonts w:hint="eastAsia" w:ascii="宋体" w:hAnsi="宋体"/>
          <w:sz w:val="24"/>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1"/>
        </w:numPr>
        <w:spacing w:line="360" w:lineRule="auto"/>
        <w:contextualSpacing/>
        <w:outlineLvl w:val="2"/>
        <w:rPr>
          <w:rFonts w:ascii="宋体" w:hAnsi="宋体"/>
          <w:sz w:val="24"/>
        </w:rPr>
      </w:pPr>
      <w:r>
        <w:rPr>
          <w:rFonts w:hint="eastAsia" w:ascii="宋体" w:hAnsi="宋体"/>
          <w:sz w:val="24"/>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1"/>
        </w:numPr>
        <w:spacing w:line="360" w:lineRule="auto"/>
        <w:contextualSpacing/>
        <w:outlineLvl w:val="2"/>
        <w:rPr>
          <w:rFonts w:ascii="宋体" w:hAnsi="宋体"/>
          <w:sz w:val="24"/>
        </w:rPr>
      </w:pPr>
      <w:r>
        <w:rPr>
          <w:rFonts w:hint="eastAsia" w:ascii="宋体" w:hAnsi="宋体"/>
          <w:sz w:val="24"/>
        </w:rPr>
        <w:t>本协议终止前，投资者不得将授权指定账户销户。若发生因投资者注销授权指定账户造成理财计划无法正常兑付的，管理人不承担任何责任。</w:t>
      </w:r>
    </w:p>
    <w:p>
      <w:pPr>
        <w:widowControl/>
        <w:numPr>
          <w:ilvl w:val="0"/>
          <w:numId w:val="61"/>
        </w:numPr>
        <w:spacing w:line="360" w:lineRule="auto"/>
        <w:contextualSpacing/>
        <w:outlineLvl w:val="2"/>
        <w:rPr>
          <w:rFonts w:ascii="宋体" w:hAnsi="宋体"/>
          <w:sz w:val="24"/>
        </w:rPr>
      </w:pPr>
      <w:r>
        <w:rPr>
          <w:rFonts w:hint="eastAsia" w:ascii="宋体" w:hAnsi="宋体"/>
          <w:sz w:val="24"/>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1"/>
        </w:numPr>
        <w:spacing w:line="360" w:lineRule="auto"/>
        <w:contextualSpacing/>
        <w:outlineLvl w:val="2"/>
        <w:rPr>
          <w:rFonts w:ascii="宋体" w:hAnsi="宋体"/>
          <w:sz w:val="24"/>
        </w:rPr>
      </w:pPr>
      <w:r>
        <w:rPr>
          <w:rFonts w:hint="eastAsia" w:ascii="宋体" w:hAnsi="宋体"/>
          <w:sz w:val="24"/>
        </w:rPr>
        <w:t xml:space="preserve">投资者进行投资时，应严格遵守反洗钱相关法规的规定，切实履行反洗钱及反恐怖融资义务。 </w:t>
      </w:r>
    </w:p>
    <w:p>
      <w:pPr>
        <w:spacing w:line="360" w:lineRule="auto"/>
        <w:ind w:left="482"/>
        <w:rPr>
          <w:b/>
          <w:sz w:val="24"/>
        </w:rPr>
      </w:pPr>
    </w:p>
    <w:p>
      <w:pPr>
        <w:numPr>
          <w:ilvl w:val="0"/>
          <w:numId w:val="60"/>
        </w:numPr>
        <w:spacing w:line="360" w:lineRule="auto"/>
        <w:ind w:firstLine="482" w:firstLineChars="200"/>
        <w:outlineLvl w:val="1"/>
        <w:rPr>
          <w:rFonts w:hint="eastAsia"/>
          <w:b/>
          <w:sz w:val="24"/>
        </w:rPr>
      </w:pPr>
      <w:r>
        <w:rPr>
          <w:rFonts w:hint="eastAsia"/>
          <w:b/>
          <w:sz w:val="24"/>
        </w:rPr>
        <w:t>管理人权利与义务</w:t>
      </w:r>
    </w:p>
    <w:p>
      <w:pPr>
        <w:widowControl/>
        <w:numPr>
          <w:ilvl w:val="0"/>
          <w:numId w:val="62"/>
        </w:numPr>
        <w:spacing w:line="360" w:lineRule="auto"/>
        <w:contextualSpacing/>
        <w:outlineLvl w:val="2"/>
        <w:rPr>
          <w:rFonts w:ascii="宋体" w:hAnsi="宋体"/>
          <w:sz w:val="24"/>
        </w:rPr>
      </w:pPr>
      <w:r>
        <w:rPr>
          <w:rFonts w:hint="eastAsia" w:ascii="宋体" w:hAnsi="宋体"/>
          <w:sz w:val="24"/>
        </w:rPr>
        <w:t xml:space="preserve">管理人应当诚实守信、勤勉尽责地履行受人之托、代人理财职责。 </w:t>
      </w:r>
    </w:p>
    <w:p>
      <w:pPr>
        <w:widowControl/>
        <w:numPr>
          <w:ilvl w:val="0"/>
          <w:numId w:val="62"/>
        </w:numPr>
        <w:spacing w:line="360" w:lineRule="auto"/>
        <w:contextualSpacing/>
        <w:outlineLvl w:val="2"/>
        <w:rPr>
          <w:rFonts w:ascii="宋体" w:hAnsi="宋体"/>
          <w:sz w:val="24"/>
        </w:rPr>
      </w:pPr>
      <w:r>
        <w:rPr>
          <w:rFonts w:hint="eastAsia" w:ascii="宋体" w:hAnsi="宋体"/>
          <w:sz w:val="24"/>
        </w:rPr>
        <w:t xml:space="preserve">管理人应当按照理财计划销售文件的约定收取管理费用、确定收益分配方案、向投资者分配收益。 </w:t>
      </w:r>
    </w:p>
    <w:p>
      <w:pPr>
        <w:widowControl/>
        <w:numPr>
          <w:ilvl w:val="0"/>
          <w:numId w:val="62"/>
        </w:numPr>
        <w:spacing w:line="360" w:lineRule="auto"/>
        <w:contextualSpacing/>
        <w:outlineLvl w:val="2"/>
        <w:rPr>
          <w:rFonts w:ascii="宋体" w:hAnsi="宋体"/>
          <w:sz w:val="24"/>
        </w:rPr>
      </w:pPr>
      <w:r>
        <w:rPr>
          <w:rFonts w:hint="eastAsia" w:ascii="宋体" w:hAnsi="宋体"/>
          <w:sz w:val="24"/>
        </w:rPr>
        <w:t xml:space="preserve">管理人应当按照理财计划销售文件的约定履行风险揭示及信息披露义务。 </w:t>
      </w:r>
    </w:p>
    <w:p>
      <w:pPr>
        <w:widowControl/>
        <w:numPr>
          <w:ilvl w:val="0"/>
          <w:numId w:val="62"/>
        </w:numPr>
        <w:spacing w:line="360" w:lineRule="auto"/>
        <w:contextualSpacing/>
        <w:outlineLvl w:val="2"/>
        <w:rPr>
          <w:rFonts w:ascii="宋体" w:hAnsi="宋体"/>
          <w:sz w:val="24"/>
        </w:rPr>
      </w:pPr>
      <w:r>
        <w:rPr>
          <w:rFonts w:hint="eastAsia" w:ascii="宋体" w:hAnsi="宋体"/>
          <w:sz w:val="24"/>
        </w:rPr>
        <w:t xml:space="preserve">管理人应当确保理财业务与其他业务相分离，理财计划之间相分离，理财业务操作与其他业务操作相分离。 </w:t>
      </w:r>
    </w:p>
    <w:p>
      <w:pPr>
        <w:widowControl/>
        <w:numPr>
          <w:ilvl w:val="0"/>
          <w:numId w:val="62"/>
        </w:numPr>
        <w:spacing w:line="360" w:lineRule="auto"/>
        <w:contextualSpacing/>
        <w:outlineLvl w:val="2"/>
        <w:rPr>
          <w:rFonts w:ascii="宋体" w:hAnsi="宋体"/>
          <w:sz w:val="24"/>
        </w:rPr>
      </w:pPr>
      <w:r>
        <w:rPr>
          <w:rFonts w:ascii="宋体" w:hAnsi="宋体"/>
          <w:sz w:val="24"/>
        </w:rPr>
        <w:t>管理人不得将理财</w:t>
      </w:r>
      <w:r>
        <w:rPr>
          <w:rFonts w:hint="eastAsia" w:ascii="宋体" w:hAnsi="宋体"/>
          <w:sz w:val="24"/>
        </w:rPr>
        <w:t>计划</w:t>
      </w:r>
      <w:r>
        <w:rPr>
          <w:rFonts w:ascii="宋体" w:hAnsi="宋体"/>
          <w:sz w:val="24"/>
        </w:rPr>
        <w:t>财产归入其自有资产</w:t>
      </w:r>
      <w:r>
        <w:rPr>
          <w:rFonts w:hint="eastAsia" w:ascii="宋体" w:hAnsi="宋体"/>
          <w:sz w:val="24"/>
        </w:rPr>
        <w:t>，</w:t>
      </w:r>
      <w:r>
        <w:rPr>
          <w:rFonts w:ascii="宋体" w:hAnsi="宋体"/>
          <w:sz w:val="24"/>
        </w:rPr>
        <w:t>因依法解散</w:t>
      </w:r>
      <w:r>
        <w:rPr>
          <w:rFonts w:hint="eastAsia" w:ascii="宋体" w:hAnsi="宋体"/>
          <w:sz w:val="24"/>
        </w:rPr>
        <w:t>、</w:t>
      </w:r>
      <w:r>
        <w:rPr>
          <w:rFonts w:ascii="宋体" w:hAnsi="宋体"/>
          <w:sz w:val="24"/>
        </w:rPr>
        <w:t>被依法撤销或者被依法宣告破产等原因进行清算的</w:t>
      </w:r>
      <w:r>
        <w:rPr>
          <w:rFonts w:hint="eastAsia" w:ascii="宋体" w:hAnsi="宋体"/>
          <w:sz w:val="24"/>
        </w:rPr>
        <w:t>，</w:t>
      </w:r>
      <w:r>
        <w:rPr>
          <w:rFonts w:ascii="宋体" w:hAnsi="宋体"/>
          <w:sz w:val="24"/>
        </w:rPr>
        <w:t>理财</w:t>
      </w:r>
      <w:r>
        <w:rPr>
          <w:rFonts w:hint="eastAsia" w:ascii="宋体" w:hAnsi="宋体"/>
          <w:sz w:val="24"/>
        </w:rPr>
        <w:t>计划</w:t>
      </w:r>
      <w:r>
        <w:rPr>
          <w:rFonts w:ascii="宋体" w:hAnsi="宋体"/>
          <w:sz w:val="24"/>
        </w:rPr>
        <w:t>财产不属于其清算财产</w:t>
      </w:r>
      <w:r>
        <w:rPr>
          <w:rFonts w:hint="eastAsia" w:ascii="宋体" w:hAnsi="宋体"/>
          <w:sz w:val="24"/>
        </w:rPr>
        <w:t>。</w:t>
      </w:r>
    </w:p>
    <w:p>
      <w:pPr>
        <w:widowControl/>
        <w:numPr>
          <w:ilvl w:val="0"/>
          <w:numId w:val="62"/>
        </w:numPr>
        <w:spacing w:line="360" w:lineRule="auto"/>
        <w:contextualSpacing/>
        <w:outlineLvl w:val="2"/>
        <w:rPr>
          <w:rFonts w:ascii="宋体" w:hAnsi="宋体"/>
          <w:sz w:val="24"/>
        </w:rPr>
      </w:pPr>
      <w:r>
        <w:rPr>
          <w:rFonts w:hint="eastAsia" w:ascii="宋体" w:hAnsi="宋体"/>
          <w:sz w:val="24"/>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2"/>
        </w:numPr>
        <w:spacing w:line="360" w:lineRule="auto"/>
        <w:contextualSpacing/>
        <w:outlineLvl w:val="2"/>
        <w:rPr>
          <w:rFonts w:ascii="宋体" w:hAnsi="宋体"/>
          <w:sz w:val="24"/>
        </w:rPr>
      </w:pPr>
      <w:r>
        <w:rPr>
          <w:rFonts w:hint="eastAsia" w:ascii="宋体" w:hAnsi="宋体"/>
          <w:sz w:val="24"/>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2"/>
        </w:numPr>
        <w:spacing w:line="360" w:lineRule="auto"/>
        <w:contextualSpacing/>
        <w:outlineLvl w:val="2"/>
        <w:rPr>
          <w:rFonts w:ascii="宋体" w:hAnsi="宋体"/>
          <w:sz w:val="24"/>
        </w:rPr>
      </w:pPr>
      <w:r>
        <w:rPr>
          <w:rFonts w:hint="eastAsia" w:ascii="宋体" w:hAnsi="宋体"/>
          <w:sz w:val="24"/>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62"/>
        </w:numPr>
        <w:spacing w:line="360" w:lineRule="auto"/>
        <w:contextualSpacing/>
        <w:outlineLvl w:val="2"/>
        <w:rPr>
          <w:rFonts w:ascii="宋体" w:hAnsi="宋体"/>
          <w:sz w:val="24"/>
        </w:rPr>
      </w:pPr>
      <w:r>
        <w:rPr>
          <w:rFonts w:hint="eastAsia" w:ascii="宋体" w:hAnsi="宋体"/>
          <w:sz w:val="24"/>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rPr>
      </w:pPr>
    </w:p>
    <w:p>
      <w:pPr>
        <w:numPr>
          <w:ilvl w:val="0"/>
          <w:numId w:val="60"/>
        </w:numPr>
        <w:spacing w:line="360" w:lineRule="auto"/>
        <w:ind w:firstLine="482" w:firstLineChars="200"/>
        <w:outlineLvl w:val="1"/>
        <w:rPr>
          <w:rFonts w:hint="eastAsia"/>
          <w:b/>
          <w:sz w:val="24"/>
        </w:rPr>
      </w:pPr>
      <w:r>
        <w:rPr>
          <w:rFonts w:hint="eastAsia"/>
          <w:b/>
          <w:sz w:val="24"/>
        </w:rPr>
        <w:t>理财计划认（申）购、赎回及终止</w:t>
      </w:r>
    </w:p>
    <w:p>
      <w:pPr>
        <w:widowControl/>
        <w:numPr>
          <w:ilvl w:val="0"/>
          <w:numId w:val="63"/>
        </w:numPr>
        <w:spacing w:line="360" w:lineRule="auto"/>
        <w:contextualSpacing/>
        <w:outlineLvl w:val="2"/>
        <w:rPr>
          <w:rFonts w:ascii="宋体" w:hAnsi="宋体"/>
          <w:sz w:val="24"/>
        </w:rPr>
      </w:pPr>
      <w:r>
        <w:rPr>
          <w:rFonts w:hint="eastAsia" w:ascii="宋体" w:hAnsi="宋体"/>
          <w:sz w:val="24"/>
        </w:rPr>
        <w:t xml:space="preserve">理财计划认/申购办理流程：参照《投资者权益须知》约定。 </w:t>
      </w:r>
    </w:p>
    <w:p>
      <w:pPr>
        <w:widowControl/>
        <w:numPr>
          <w:ilvl w:val="0"/>
          <w:numId w:val="63"/>
        </w:numPr>
        <w:spacing w:line="360" w:lineRule="auto"/>
        <w:contextualSpacing/>
        <w:outlineLvl w:val="2"/>
        <w:rPr>
          <w:rFonts w:ascii="宋体" w:hAnsi="宋体"/>
          <w:sz w:val="24"/>
        </w:rPr>
      </w:pPr>
      <w:r>
        <w:rPr>
          <w:rFonts w:hint="eastAsia" w:ascii="宋体" w:hAnsi="宋体"/>
          <w:sz w:val="24"/>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3"/>
        </w:numPr>
        <w:spacing w:line="360" w:lineRule="auto"/>
        <w:contextualSpacing/>
        <w:outlineLvl w:val="2"/>
        <w:rPr>
          <w:rFonts w:ascii="宋体" w:hAnsi="宋体"/>
          <w:sz w:val="24"/>
        </w:rPr>
      </w:pPr>
      <w:r>
        <w:rPr>
          <w:rFonts w:hint="eastAsia" w:ascii="宋体" w:hAnsi="宋体"/>
          <w:sz w:val="24"/>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3"/>
        </w:numPr>
        <w:spacing w:line="360" w:lineRule="auto"/>
        <w:contextualSpacing/>
        <w:outlineLvl w:val="2"/>
        <w:rPr>
          <w:rFonts w:hint="eastAsia" w:ascii="宋体" w:hAnsi="宋体"/>
          <w:sz w:val="24"/>
        </w:rPr>
      </w:pPr>
      <w:r>
        <w:rPr>
          <w:rFonts w:hint="eastAsia" w:ascii="宋体" w:hAnsi="宋体"/>
          <w:sz w:val="24"/>
        </w:rPr>
        <w:t xml:space="preserve">理财计划投资品种、投资起点金额、收益支付方式：参照对应期次的《理财计划产品说明书》中的条款约定。 </w:t>
      </w:r>
    </w:p>
    <w:p>
      <w:pPr>
        <w:widowControl/>
        <w:numPr>
          <w:ilvl w:val="0"/>
          <w:numId w:val="63"/>
        </w:numPr>
        <w:spacing w:line="360" w:lineRule="auto"/>
        <w:contextualSpacing/>
        <w:outlineLvl w:val="2"/>
        <w:rPr>
          <w:rFonts w:ascii="宋体" w:hAnsi="宋体"/>
          <w:sz w:val="24"/>
        </w:rPr>
      </w:pPr>
      <w:r>
        <w:rPr>
          <w:rFonts w:hint="eastAsia" w:ascii="宋体" w:hAnsi="宋体"/>
          <w:sz w:val="24"/>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3"/>
        </w:numPr>
        <w:spacing w:line="360" w:lineRule="auto"/>
        <w:contextualSpacing/>
        <w:outlineLvl w:val="2"/>
        <w:rPr>
          <w:rFonts w:ascii="宋体" w:hAnsi="宋体"/>
          <w:sz w:val="24"/>
        </w:rPr>
      </w:pPr>
      <w:r>
        <w:rPr>
          <w:rFonts w:hint="eastAsia" w:ascii="宋体" w:hAnsi="宋体"/>
          <w:sz w:val="24"/>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rPr>
      </w:pPr>
    </w:p>
    <w:p>
      <w:pPr>
        <w:numPr>
          <w:ilvl w:val="0"/>
          <w:numId w:val="60"/>
        </w:numPr>
        <w:spacing w:line="360" w:lineRule="auto"/>
        <w:ind w:firstLine="482" w:firstLineChars="200"/>
        <w:outlineLvl w:val="1"/>
        <w:rPr>
          <w:rFonts w:hint="eastAsia"/>
          <w:b/>
          <w:sz w:val="24"/>
        </w:rPr>
      </w:pPr>
      <w:r>
        <w:rPr>
          <w:rFonts w:hint="eastAsia"/>
          <w:b/>
          <w:sz w:val="24"/>
        </w:rPr>
        <w:t>税收处理</w:t>
      </w:r>
    </w:p>
    <w:p>
      <w:pPr>
        <w:widowControl/>
        <w:spacing w:line="360" w:lineRule="auto"/>
        <w:ind w:firstLine="480" w:firstLineChars="200"/>
        <w:contextualSpacing/>
        <w:rPr>
          <w:rFonts w:hint="eastAsia" w:ascii="宋体" w:hAnsi="宋体"/>
          <w:sz w:val="24"/>
        </w:rPr>
      </w:pPr>
      <w:r>
        <w:rPr>
          <w:rFonts w:hint="eastAsia" w:ascii="宋体" w:hAnsi="宋体"/>
          <w:sz w:val="24"/>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rPr>
      </w:pPr>
    </w:p>
    <w:p>
      <w:pPr>
        <w:numPr>
          <w:ilvl w:val="0"/>
          <w:numId w:val="60"/>
        </w:numPr>
        <w:spacing w:line="360" w:lineRule="auto"/>
        <w:ind w:firstLine="482" w:firstLineChars="200"/>
        <w:outlineLvl w:val="1"/>
        <w:rPr>
          <w:rFonts w:hint="eastAsia"/>
          <w:b/>
          <w:sz w:val="24"/>
        </w:rPr>
      </w:pPr>
      <w:r>
        <w:rPr>
          <w:rFonts w:hint="eastAsia"/>
          <w:b/>
          <w:sz w:val="24"/>
        </w:rPr>
        <w:t>违约责任及免责条款</w:t>
      </w:r>
    </w:p>
    <w:p>
      <w:pPr>
        <w:widowControl/>
        <w:numPr>
          <w:ilvl w:val="0"/>
          <w:numId w:val="64"/>
        </w:numPr>
        <w:spacing w:line="360" w:lineRule="auto"/>
        <w:contextualSpacing/>
        <w:outlineLvl w:val="2"/>
        <w:rPr>
          <w:rFonts w:ascii="宋体" w:hAnsi="宋体"/>
          <w:sz w:val="24"/>
        </w:rPr>
      </w:pPr>
      <w:r>
        <w:rPr>
          <w:rFonts w:hint="eastAsia" w:ascii="宋体" w:hAnsi="宋体"/>
          <w:sz w:val="24"/>
        </w:rPr>
        <w:t>若因投资人原因导致司法或行政机构采取强制措施对其理财本金、收益进行部分或全部被扣划，均视投资者本人就全部理财本金违约进行了提前赎回，本合同自动终止。因提前终止而产生的损失及相关费用由投资者承担。本合同前述情况终止的，理财本金不计付赎回日前的理财收益，也不计付存款利息。</w:t>
      </w:r>
    </w:p>
    <w:p>
      <w:pPr>
        <w:widowControl/>
        <w:numPr>
          <w:ilvl w:val="0"/>
          <w:numId w:val="64"/>
        </w:numPr>
        <w:spacing w:line="360" w:lineRule="auto"/>
        <w:contextualSpacing/>
        <w:outlineLvl w:val="2"/>
        <w:rPr>
          <w:rFonts w:ascii="宋体" w:hAnsi="宋体"/>
          <w:sz w:val="24"/>
        </w:rPr>
      </w:pPr>
      <w:r>
        <w:rPr>
          <w:rFonts w:hint="eastAsia" w:ascii="宋体" w:hAnsi="宋体"/>
          <w:sz w:val="24"/>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4"/>
        </w:numPr>
        <w:spacing w:line="360" w:lineRule="auto"/>
        <w:contextualSpacing/>
        <w:outlineLvl w:val="2"/>
        <w:rPr>
          <w:rFonts w:ascii="宋体" w:hAnsi="宋体"/>
          <w:sz w:val="24"/>
        </w:rPr>
      </w:pPr>
      <w:r>
        <w:rPr>
          <w:rFonts w:hint="eastAsia" w:ascii="宋体" w:hAnsi="宋体"/>
          <w:sz w:val="24"/>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4"/>
        </w:numPr>
        <w:spacing w:line="360" w:lineRule="auto"/>
        <w:contextualSpacing/>
        <w:outlineLvl w:val="2"/>
        <w:rPr>
          <w:rFonts w:hint="eastAsia" w:ascii="宋体" w:hAnsi="宋体"/>
          <w:sz w:val="24"/>
        </w:rPr>
      </w:pPr>
      <w:r>
        <w:rPr>
          <w:rFonts w:hint="eastAsia" w:ascii="宋体" w:hAnsi="宋体"/>
          <w:sz w:val="24"/>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4"/>
        </w:numPr>
        <w:spacing w:line="360" w:lineRule="auto"/>
        <w:contextualSpacing/>
        <w:outlineLvl w:val="2"/>
        <w:rPr>
          <w:rFonts w:hint="eastAsia" w:ascii="宋体" w:hAnsi="宋体"/>
          <w:sz w:val="24"/>
        </w:rPr>
      </w:pPr>
      <w:r>
        <w:rPr>
          <w:rFonts w:hint="eastAsia" w:ascii="宋体" w:hAnsi="宋体"/>
          <w:sz w:val="24"/>
        </w:rPr>
        <w:t>因国家有关法律、法规、规章、政策的修改或新的法律、法规、规章、政策颁布以及紧急措施的出台导致的风险及损失，管理人不承担责任。</w:t>
      </w:r>
    </w:p>
    <w:p>
      <w:pPr>
        <w:widowControl/>
        <w:numPr>
          <w:ilvl w:val="0"/>
          <w:numId w:val="64"/>
        </w:numPr>
        <w:spacing w:line="360" w:lineRule="auto"/>
        <w:contextualSpacing/>
        <w:outlineLvl w:val="2"/>
        <w:rPr>
          <w:rFonts w:hint="eastAsia" w:ascii="宋体" w:hAnsi="宋体"/>
          <w:sz w:val="24"/>
        </w:rPr>
      </w:pPr>
      <w:r>
        <w:rPr>
          <w:rFonts w:hint="eastAsia" w:ascii="宋体" w:hAnsi="宋体"/>
          <w:sz w:val="24"/>
        </w:rPr>
        <w:t>管理人若严格按照产品说明书相关规定进行投资运作，给投资者造成损失的，应免除管理人责任。</w:t>
      </w:r>
    </w:p>
    <w:p>
      <w:pPr>
        <w:widowControl/>
        <w:spacing w:line="360" w:lineRule="auto"/>
        <w:contextualSpacing/>
        <w:rPr>
          <w:rFonts w:ascii="宋体" w:hAnsi="宋体"/>
          <w:sz w:val="24"/>
        </w:rPr>
      </w:pPr>
    </w:p>
    <w:p>
      <w:pPr>
        <w:numPr>
          <w:ilvl w:val="0"/>
          <w:numId w:val="60"/>
        </w:numPr>
        <w:spacing w:line="360" w:lineRule="auto"/>
        <w:ind w:firstLine="482" w:firstLineChars="200"/>
        <w:outlineLvl w:val="1"/>
        <w:rPr>
          <w:b/>
          <w:sz w:val="24"/>
        </w:rPr>
      </w:pPr>
      <w:r>
        <w:rPr>
          <w:rFonts w:hint="eastAsia"/>
          <w:b/>
          <w:sz w:val="24"/>
        </w:rPr>
        <w:t>适用法律与争议解决</w:t>
      </w:r>
    </w:p>
    <w:p>
      <w:pPr>
        <w:widowControl/>
        <w:spacing w:line="360" w:lineRule="auto"/>
        <w:ind w:firstLine="480" w:firstLineChars="200"/>
        <w:contextualSpacing/>
        <w:rPr>
          <w:rFonts w:ascii="宋体" w:hAnsi="宋体"/>
          <w:sz w:val="24"/>
        </w:rPr>
      </w:pPr>
      <w:r>
        <w:rPr>
          <w:rFonts w:hint="eastAsia" w:ascii="宋体" w:hAnsi="宋体"/>
          <w:sz w:val="24"/>
        </w:rPr>
        <w:t>本合同适用</w:t>
      </w:r>
      <w:r>
        <w:rPr>
          <w:rFonts w:hint="eastAsia" w:ascii="宋体" w:hAnsi="宋体" w:cs="宋体"/>
          <w:bCs/>
          <w:color w:val="000000"/>
          <w:sz w:val="24"/>
        </w:rPr>
        <w:t>中华人民共和国（仅为明确本合同适用法律规则，不含香港特别行政区、澳门特别行政区及中国台湾地区）</w:t>
      </w:r>
      <w:r>
        <w:rPr>
          <w:rFonts w:hint="eastAsia" w:ascii="宋体" w:hAnsi="宋体"/>
          <w:sz w:val="24"/>
        </w:rPr>
        <w:t>的法律和行政法规。本合同项下的及与之有关的一切争议，投资者与管理人双方应首先协商解决，协商不成的，应提交销售机构或管理人所在地人民法院司法裁决。诉讼期间，未涉及争议的条款仍需继续履行。</w:t>
      </w:r>
    </w:p>
    <w:p>
      <w:pPr>
        <w:spacing w:line="360" w:lineRule="auto"/>
        <w:ind w:left="482"/>
        <w:rPr>
          <w:b/>
          <w:sz w:val="24"/>
        </w:rPr>
      </w:pPr>
    </w:p>
    <w:p>
      <w:pPr>
        <w:numPr>
          <w:ilvl w:val="0"/>
          <w:numId w:val="60"/>
        </w:numPr>
        <w:spacing w:line="360" w:lineRule="auto"/>
        <w:ind w:firstLine="482" w:firstLineChars="200"/>
        <w:outlineLvl w:val="1"/>
        <w:rPr>
          <w:rFonts w:hint="eastAsia"/>
          <w:b/>
          <w:sz w:val="24"/>
        </w:rPr>
      </w:pPr>
      <w:r>
        <w:rPr>
          <w:rFonts w:hint="eastAsia"/>
          <w:b/>
          <w:sz w:val="24"/>
        </w:rPr>
        <w:t>协议生效和终止</w:t>
      </w:r>
    </w:p>
    <w:p>
      <w:pPr>
        <w:widowControl/>
        <w:numPr>
          <w:ilvl w:val="0"/>
          <w:numId w:val="65"/>
        </w:numPr>
        <w:spacing w:line="360" w:lineRule="auto"/>
        <w:contextualSpacing/>
        <w:outlineLvl w:val="2"/>
        <w:rPr>
          <w:rFonts w:ascii="宋体" w:hAnsi="宋体"/>
          <w:sz w:val="24"/>
        </w:rPr>
      </w:pPr>
      <w:r>
        <w:rPr>
          <w:rFonts w:hint="eastAsia" w:ascii="宋体" w:hAnsi="宋体"/>
          <w:sz w:val="24"/>
        </w:rPr>
        <w:t xml:space="preserve">投资者和管理人双方认可本协议可以纸质或电子数据等形式提交、订立或确认。 </w:t>
      </w:r>
    </w:p>
    <w:p>
      <w:pPr>
        <w:widowControl/>
        <w:numPr>
          <w:ilvl w:val="0"/>
          <w:numId w:val="65"/>
        </w:numPr>
        <w:spacing w:line="360" w:lineRule="auto"/>
        <w:contextualSpacing/>
        <w:outlineLvl w:val="2"/>
        <w:rPr>
          <w:rFonts w:hint="eastAsia" w:ascii="宋体" w:hAnsi="宋体"/>
          <w:sz w:val="24"/>
        </w:rPr>
      </w:pPr>
      <w:r>
        <w:rPr>
          <w:rFonts w:hint="eastAsia" w:ascii="宋体" w:hAnsi="宋体"/>
          <w:sz w:val="24"/>
          <w:highlight w:val="none"/>
        </w:rPr>
        <w:t>本协议书以纸质书面形式订立的，自投资者签署（如投资者为个人，应签字；如投资者为机构，应法定代表人或授权代理人签字或盖章并加盖公章或有效授权印章）并经管理人系统确认购买理财计划份额之后立即生效。协议一式贰份，投资者和管理人双方各执壹份，具有同等法律效力。</w:t>
      </w:r>
      <w:r>
        <w:rPr>
          <w:rFonts w:hint="eastAsia" w:ascii="宋体" w:hAnsi="宋体"/>
          <w:sz w:val="24"/>
        </w:rPr>
        <w:t xml:space="preserve"> </w:t>
      </w:r>
    </w:p>
    <w:p>
      <w:pPr>
        <w:widowControl/>
        <w:numPr>
          <w:ilvl w:val="0"/>
          <w:numId w:val="65"/>
        </w:numPr>
        <w:spacing w:line="360" w:lineRule="auto"/>
        <w:contextualSpacing/>
        <w:outlineLvl w:val="2"/>
        <w:rPr>
          <w:rFonts w:hint="eastAsia" w:ascii="宋体" w:hAnsi="宋体"/>
          <w:sz w:val="24"/>
        </w:rPr>
      </w:pPr>
      <w:r>
        <w:rPr>
          <w:rFonts w:hint="eastAsia" w:ascii="宋体" w:hAnsi="宋体"/>
          <w:sz w:val="24"/>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5"/>
        </w:numPr>
        <w:spacing w:line="360" w:lineRule="auto"/>
        <w:contextualSpacing/>
        <w:outlineLvl w:val="2"/>
        <w:rPr>
          <w:rFonts w:hint="eastAsia" w:ascii="宋体" w:hAnsi="宋体"/>
          <w:sz w:val="24"/>
        </w:rPr>
      </w:pPr>
      <w:r>
        <w:rPr>
          <w:rFonts w:hint="eastAsia" w:ascii="宋体" w:hAnsi="宋体"/>
          <w:sz w:val="24"/>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rPr>
      </w:pPr>
    </w:p>
    <w:p>
      <w:pPr>
        <w:numPr>
          <w:ilvl w:val="0"/>
          <w:numId w:val="60"/>
        </w:numPr>
        <w:spacing w:line="360" w:lineRule="auto"/>
        <w:ind w:firstLine="482" w:firstLineChars="200"/>
        <w:outlineLvl w:val="1"/>
        <w:rPr>
          <w:b/>
          <w:sz w:val="24"/>
        </w:rPr>
      </w:pPr>
      <w:r>
        <w:rPr>
          <w:rFonts w:hint="eastAsia"/>
          <w:b/>
          <w:sz w:val="24"/>
        </w:rPr>
        <w:t>附则</w:t>
      </w:r>
    </w:p>
    <w:p>
      <w:pPr>
        <w:widowControl/>
        <w:numPr>
          <w:ilvl w:val="0"/>
          <w:numId w:val="66"/>
        </w:numPr>
        <w:spacing w:line="360" w:lineRule="auto"/>
        <w:contextualSpacing/>
        <w:outlineLvl w:val="2"/>
        <w:rPr>
          <w:rFonts w:ascii="宋体" w:hAnsi="宋体"/>
          <w:sz w:val="24"/>
        </w:rPr>
      </w:pPr>
      <w:r>
        <w:rPr>
          <w:rFonts w:hint="eastAsia" w:ascii="宋体" w:hAnsi="宋体"/>
          <w:sz w:val="24"/>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6"/>
        </w:numPr>
        <w:spacing w:line="360" w:lineRule="auto"/>
        <w:contextualSpacing/>
        <w:outlineLvl w:val="2"/>
        <w:rPr>
          <w:rFonts w:ascii="宋体" w:hAnsi="宋体"/>
          <w:sz w:val="24"/>
        </w:rPr>
      </w:pPr>
      <w:r>
        <w:rPr>
          <w:rFonts w:hint="eastAsia" w:ascii="宋体" w:hAnsi="宋体"/>
          <w:sz w:val="24"/>
        </w:rPr>
        <w:t>如果由于任何原因使本合同下的任何条款或内容成为无效或被依法撤销，本合同其他条款或内容的合法性、有效性和可执行性不受影响。</w:t>
      </w:r>
    </w:p>
    <w:p>
      <w:pPr>
        <w:widowControl/>
        <w:numPr>
          <w:ilvl w:val="0"/>
          <w:numId w:val="66"/>
        </w:numPr>
        <w:spacing w:line="360" w:lineRule="auto"/>
        <w:contextualSpacing/>
        <w:outlineLvl w:val="2"/>
        <w:rPr>
          <w:rFonts w:ascii="宋体" w:hAnsi="宋体"/>
          <w:sz w:val="24"/>
        </w:rPr>
      </w:pPr>
      <w:r>
        <w:rPr>
          <w:rFonts w:hint="eastAsia" w:ascii="宋体" w:hAnsi="宋体"/>
          <w:sz w:val="24"/>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rPr>
      </w:pPr>
    </w:p>
    <w:p>
      <w:pPr>
        <w:spacing w:line="360" w:lineRule="auto"/>
        <w:rPr>
          <w:rFonts w:ascii="宋体" w:hAnsi="宋体" w:cs="宋体"/>
          <w:bCs/>
          <w:color w:val="000000"/>
          <w:sz w:val="24"/>
        </w:rPr>
      </w:pPr>
    </w:p>
    <w:p>
      <w:pPr>
        <w:pStyle w:val="6"/>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jc w:val="center"/>
        <w:outlineLvl w:val="9"/>
        <w:rPr>
          <w:rFonts w:hint="eastAsia"/>
          <w:b/>
          <w:sz w:val="44"/>
          <w:szCs w:val="44"/>
        </w:rPr>
      </w:pPr>
    </w:p>
    <w:p>
      <w:pPr>
        <w:jc w:val="center"/>
        <w:outlineLvl w:val="9"/>
        <w:rPr>
          <w:rFonts w:hint="eastAsia"/>
          <w:b/>
          <w:sz w:val="44"/>
          <w:szCs w:val="44"/>
        </w:rPr>
      </w:pPr>
    </w:p>
    <w:p>
      <w:pPr>
        <w:jc w:val="center"/>
        <w:outlineLvl w:val="9"/>
        <w:rPr>
          <w:rFonts w:hint="eastAsia"/>
          <w:b/>
          <w:sz w:val="44"/>
          <w:szCs w:val="44"/>
        </w:rPr>
      </w:pPr>
    </w:p>
    <w:p>
      <w:pPr>
        <w:spacing w:line="360" w:lineRule="auto"/>
        <w:outlineLvl w:val="9"/>
        <w:rPr>
          <w:rFonts w:hint="eastAsia" w:ascii="宋体" w:hAnsi="宋体" w:cs="宋体"/>
          <w:bCs/>
          <w:color w:val="000000"/>
          <w:sz w:val="24"/>
        </w:rPr>
      </w:pPr>
      <w:r>
        <w:rPr>
          <w:rFonts w:hint="eastAsia" w:ascii="宋体" w:hAnsi="宋体" w:cs="宋体"/>
          <w:bCs/>
          <w:color w:val="000000"/>
          <w:sz w:val="24"/>
        </w:rPr>
        <w:t>本页为纸质形式（如有）投资协议书签章页</w:t>
      </w:r>
    </w:p>
    <w:p>
      <w:pPr>
        <w:spacing w:line="360" w:lineRule="auto"/>
        <w:outlineLvl w:val="9"/>
        <w:rPr>
          <w:rFonts w:hint="eastAsia" w:ascii="宋体" w:hAnsi="宋体" w:cs="宋体"/>
          <w:bCs/>
          <w:color w:val="000000"/>
          <w:sz w:val="24"/>
        </w:rPr>
      </w:pPr>
    </w:p>
    <w:p>
      <w:pPr>
        <w:spacing w:line="360" w:lineRule="auto"/>
        <w:outlineLvl w:val="9"/>
        <w:rPr>
          <w:rFonts w:hint="eastAsia" w:ascii="宋体" w:hAnsi="宋体" w:cs="宋体"/>
          <w:bCs/>
          <w:color w:val="000000"/>
          <w:sz w:val="24"/>
        </w:rPr>
      </w:pPr>
    </w:p>
    <w:p>
      <w:pPr>
        <w:spacing w:line="360" w:lineRule="auto"/>
        <w:outlineLvl w:val="9"/>
        <w:rPr>
          <w:rFonts w:hint="eastAsia" w:ascii="宋体" w:hAnsi="宋体" w:cs="宋体"/>
          <w:bCs/>
          <w:color w:val="000000"/>
          <w:sz w:val="24"/>
        </w:rPr>
      </w:pPr>
    </w:p>
    <w:p>
      <w:pPr>
        <w:spacing w:line="360" w:lineRule="auto"/>
        <w:outlineLvl w:val="9"/>
        <w:rPr>
          <w:rFonts w:hint="eastAsia" w:ascii="宋体" w:hAnsi="宋体" w:cs="宋体"/>
          <w:bCs/>
          <w:color w:val="000000"/>
          <w:sz w:val="24"/>
        </w:rPr>
      </w:pPr>
    </w:p>
    <w:p>
      <w:pPr>
        <w:spacing w:line="360" w:lineRule="auto"/>
        <w:outlineLvl w:val="9"/>
        <w:rPr>
          <w:rFonts w:hint="eastAsia" w:ascii="宋体" w:hAnsi="宋体" w:cs="宋体"/>
          <w:bCs/>
          <w:color w:val="000000"/>
          <w:sz w:val="24"/>
        </w:rPr>
      </w:pPr>
    </w:p>
    <w:p>
      <w:pPr>
        <w:spacing w:line="360" w:lineRule="auto"/>
        <w:outlineLvl w:val="9"/>
        <w:rPr>
          <w:rFonts w:hint="eastAsia" w:ascii="宋体" w:hAnsi="宋体" w:cs="宋体"/>
          <w:b/>
          <w:color w:val="000000"/>
          <w:sz w:val="24"/>
        </w:rPr>
      </w:pPr>
      <w:r>
        <w:rPr>
          <w:rFonts w:hint="eastAsia" w:ascii="宋体" w:hAnsi="宋体" w:cs="宋体"/>
          <w:b/>
          <w:color w:val="000000"/>
          <w:sz w:val="24"/>
        </w:rPr>
        <w:t>投资者（签字或签章）：</w:t>
      </w:r>
    </w:p>
    <w:p>
      <w:pPr>
        <w:spacing w:line="360" w:lineRule="auto"/>
        <w:outlineLvl w:val="9"/>
        <w:rPr>
          <w:rFonts w:hint="eastAsia" w:ascii="宋体" w:hAnsi="宋体" w:cs="宋体"/>
          <w:b/>
          <w:color w:val="000000"/>
          <w:sz w:val="24"/>
        </w:rPr>
      </w:pPr>
    </w:p>
    <w:p>
      <w:pPr>
        <w:spacing w:line="360" w:lineRule="auto"/>
        <w:outlineLvl w:val="9"/>
        <w:rPr>
          <w:rFonts w:hint="eastAsia" w:ascii="宋体" w:hAnsi="宋体" w:cs="宋体"/>
          <w:b/>
          <w:color w:val="000000"/>
          <w:sz w:val="24"/>
        </w:rPr>
      </w:pPr>
    </w:p>
    <w:p>
      <w:pPr>
        <w:spacing w:line="360" w:lineRule="auto"/>
        <w:outlineLvl w:val="9"/>
        <w:rPr>
          <w:rFonts w:hint="eastAsia" w:ascii="宋体" w:hAnsi="宋体" w:cs="宋体"/>
          <w:b/>
          <w:color w:val="000000"/>
          <w:sz w:val="24"/>
        </w:rPr>
      </w:pPr>
    </w:p>
    <w:p>
      <w:pPr>
        <w:spacing w:line="360" w:lineRule="auto"/>
        <w:jc w:val="right"/>
        <w:outlineLvl w:val="9"/>
        <w:rPr>
          <w:rFonts w:hint="eastAsia" w:ascii="宋体" w:hAnsi="宋体" w:cs="宋体"/>
          <w:bCs/>
          <w:color w:val="000000"/>
          <w:sz w:val="24"/>
        </w:rPr>
      </w:pPr>
    </w:p>
    <w:p>
      <w:pPr>
        <w:jc w:val="right"/>
        <w:outlineLvl w:val="9"/>
        <w:rPr>
          <w:rFonts w:hint="eastAsia" w:ascii="宋体" w:hAnsi="宋体" w:cs="宋体"/>
          <w:bCs/>
          <w:color w:val="000000"/>
          <w:sz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s="宋体"/>
          <w:bCs/>
          <w:color w:val="000000"/>
          <w:sz w:val="24"/>
        </w:rPr>
        <w:t xml:space="preserve">                                        年   月   日</w:t>
      </w:r>
    </w:p>
    <w:p>
      <w:pPr>
        <w:jc w:val="center"/>
        <w:outlineLvl w:val="0"/>
        <w:rPr>
          <w:rFonts w:hint="eastAsia"/>
          <w:b/>
          <w:sz w:val="44"/>
          <w:szCs w:val="44"/>
        </w:rPr>
      </w:pPr>
      <w:r>
        <w:rPr>
          <w:rFonts w:hint="eastAsia"/>
          <w:b/>
          <w:sz w:val="44"/>
          <w:szCs w:val="44"/>
        </w:rPr>
        <w:br w:type="page"/>
      </w:r>
      <w:r>
        <w:rPr>
          <w:rFonts w:hint="eastAsia"/>
          <w:b/>
          <w:sz w:val="44"/>
          <w:szCs w:val="44"/>
        </w:rPr>
        <w:t>杭银理财理财计划销售协议书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center"/>
        <w:rPr>
          <w:sz w:val="32"/>
          <w:szCs w:val="40"/>
        </w:rPr>
      </w:pPr>
      <w:r>
        <w:rPr>
          <w:rFonts w:hint="eastAsia" w:ascii="宋体" w:hAnsi="宋体" w:cs="宋体"/>
          <w:b/>
          <w:bCs/>
          <w:sz w:val="24"/>
          <w:u w:val="single"/>
        </w:rPr>
        <w:t>理财非存款、产品有风险、投资须谨慎</w:t>
      </w:r>
    </w:p>
    <w:p>
      <w:pPr>
        <w:spacing w:line="360" w:lineRule="auto"/>
        <w:ind w:firstLine="482" w:firstLineChars="200"/>
        <w:rPr>
          <w:rFonts w:hint="eastAsia"/>
          <w:b/>
          <w:bCs/>
          <w:sz w:val="24"/>
        </w:rPr>
      </w:pPr>
      <w:r>
        <w:rPr>
          <w:rFonts w:hint="eastAsia"/>
          <w:b/>
          <w:bCs/>
          <w:sz w:val="24"/>
        </w:rPr>
        <w:t>特别提示：《杭银理财理财计划销售协议书</w:t>
      </w:r>
      <w:r>
        <w:rPr>
          <w:rFonts w:hint="eastAsia" w:ascii="宋体" w:hAnsi="宋体" w:cs="宋体"/>
          <w:b/>
          <w:bCs/>
          <w:sz w:val="24"/>
        </w:rPr>
        <w:t>（202201</w:t>
      </w:r>
      <w:r>
        <w:rPr>
          <w:rFonts w:hint="eastAsia"/>
          <w:b/>
          <w:bCs/>
          <w:sz w:val="24"/>
        </w:rPr>
        <w:t>版）》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sz w:val="24"/>
        </w:rPr>
      </w:pPr>
      <w:r>
        <w:rPr>
          <w:rFonts w:hint="eastAsia"/>
          <w:b/>
          <w:bCs/>
          <w:sz w:val="24"/>
        </w:rPr>
        <w:t>理财非存款、产品有风险、投资须谨慎，理财计划过往业绩不代表其未来表现，不等于理财计划实际收益。</w:t>
      </w:r>
    </w:p>
    <w:p>
      <w:pPr>
        <w:widowControl/>
        <w:spacing w:line="360" w:lineRule="auto"/>
        <w:ind w:firstLine="480" w:firstLineChars="200"/>
        <w:rPr>
          <w:rFonts w:hint="eastAsia"/>
          <w:sz w:val="24"/>
        </w:rPr>
      </w:pPr>
      <w:r>
        <w:rPr>
          <w:rFonts w:hint="eastAsia"/>
          <w:sz w:val="24"/>
        </w:rPr>
        <w:t>理财计划销售的相关法律主体为发行理财计划的理财公司、理财公司自有销售渠道以及接受理财公司委托销售其发行理财计划的代理销售机构（以下简称“销售机构”）和投资者三方。理财公司是理财计划的设计发行方与管理人，理财公司和销售机构面向投资者实施销售行为，两方共同承担理财计划的合规销售和投资者合法权益保护义务。</w:t>
      </w:r>
    </w:p>
    <w:p>
      <w:pPr>
        <w:widowControl/>
        <w:spacing w:line="360" w:lineRule="auto"/>
        <w:ind w:firstLine="480" w:firstLineChars="200"/>
        <w:rPr>
          <w:rFonts w:hint="eastAsia"/>
          <w:sz w:val="24"/>
        </w:rPr>
      </w:pPr>
      <w:r>
        <w:rPr>
          <w:rFonts w:hint="eastAsia"/>
          <w:sz w:val="24"/>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sz w:val="24"/>
        </w:rPr>
      </w:pPr>
    </w:p>
    <w:p>
      <w:pPr>
        <w:widowControl/>
        <w:spacing w:line="360" w:lineRule="auto"/>
        <w:ind w:firstLine="482" w:firstLineChars="200"/>
        <w:outlineLvl w:val="1"/>
        <w:rPr>
          <w:rFonts w:hint="eastAsia"/>
          <w:b/>
          <w:bCs/>
          <w:sz w:val="24"/>
        </w:rPr>
      </w:pPr>
      <w:r>
        <w:rPr>
          <w:rFonts w:hint="eastAsia"/>
          <w:b/>
          <w:bCs/>
          <w:sz w:val="24"/>
        </w:rPr>
        <w:t>第一条 名词释义</w:t>
      </w:r>
    </w:p>
    <w:p>
      <w:pPr>
        <w:widowControl/>
        <w:spacing w:line="360" w:lineRule="auto"/>
        <w:ind w:firstLine="480" w:firstLineChars="200"/>
        <w:jc w:val="left"/>
        <w:rPr>
          <w:rFonts w:hint="eastAsia"/>
          <w:bCs/>
          <w:sz w:val="24"/>
        </w:rPr>
      </w:pPr>
      <w:r>
        <w:rPr>
          <w:rFonts w:hint="eastAsia"/>
          <w:bCs/>
          <w:sz w:val="24"/>
        </w:rPr>
        <w:t>详见对应期次的理财计划产品说明书“释义”部分。</w:t>
      </w:r>
    </w:p>
    <w:p>
      <w:pPr>
        <w:widowControl/>
        <w:spacing w:line="360" w:lineRule="auto"/>
        <w:ind w:firstLine="480" w:firstLineChars="200"/>
        <w:jc w:val="left"/>
        <w:rPr>
          <w:rFonts w:hint="eastAsia"/>
          <w:bCs/>
          <w:sz w:val="24"/>
        </w:rPr>
      </w:pPr>
    </w:p>
    <w:p>
      <w:pPr>
        <w:widowControl/>
        <w:spacing w:line="360" w:lineRule="auto"/>
        <w:ind w:firstLine="482" w:firstLineChars="200"/>
        <w:jc w:val="left"/>
        <w:outlineLvl w:val="1"/>
        <w:rPr>
          <w:rFonts w:hint="eastAsia"/>
          <w:b/>
          <w:bCs/>
          <w:sz w:val="24"/>
        </w:rPr>
      </w:pPr>
      <w:r>
        <w:rPr>
          <w:rFonts w:hint="eastAsia"/>
          <w:b/>
          <w:bCs/>
          <w:sz w:val="24"/>
        </w:rPr>
        <w:t>第二条 投资者权利与义务</w:t>
      </w:r>
    </w:p>
    <w:p>
      <w:pPr>
        <w:widowControl/>
        <w:numPr>
          <w:ilvl w:val="0"/>
          <w:numId w:val="67"/>
        </w:numPr>
        <w:spacing w:line="360" w:lineRule="auto"/>
        <w:contextualSpacing/>
        <w:outlineLvl w:val="2"/>
        <w:rPr>
          <w:rFonts w:hint="eastAsia" w:ascii="宋体" w:hAnsi="宋体"/>
          <w:sz w:val="24"/>
        </w:rPr>
      </w:pPr>
      <w:r>
        <w:rPr>
          <w:rFonts w:hint="eastAsia" w:ascii="宋体" w:hAnsi="宋体"/>
          <w:sz w:val="24"/>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sz w:val="24"/>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7"/>
        </w:numPr>
        <w:spacing w:line="360" w:lineRule="auto"/>
        <w:contextualSpacing/>
        <w:outlineLvl w:val="2"/>
        <w:rPr>
          <w:rFonts w:hint="eastAsia" w:ascii="宋体" w:hAnsi="宋体"/>
          <w:sz w:val="24"/>
        </w:rPr>
      </w:pPr>
      <w:r>
        <w:rPr>
          <w:rFonts w:hint="eastAsia" w:ascii="宋体" w:hAnsi="宋体"/>
          <w:sz w:val="24"/>
        </w:rPr>
        <w:t>投资者保证自身完全了解理财投资的性质，投资所涉及的风险以及自身风险承受能力，在慎重考虑后独立作出交易决定。</w:t>
      </w:r>
    </w:p>
    <w:p>
      <w:pPr>
        <w:widowControl/>
        <w:numPr>
          <w:ilvl w:val="0"/>
          <w:numId w:val="67"/>
        </w:numPr>
        <w:spacing w:line="360" w:lineRule="auto"/>
        <w:contextualSpacing/>
        <w:outlineLvl w:val="2"/>
        <w:rPr>
          <w:rFonts w:hint="eastAsia" w:ascii="宋体" w:hAnsi="宋体"/>
          <w:sz w:val="24"/>
        </w:rPr>
      </w:pPr>
      <w:r>
        <w:rPr>
          <w:rFonts w:hint="eastAsia" w:ascii="宋体" w:hAnsi="宋体"/>
          <w:b/>
          <w:bCs/>
          <w:sz w:val="24"/>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sz w:val="24"/>
        </w:rPr>
        <w:t>投资冷静期相关约定详见理财计划产品说明书。</w:t>
      </w:r>
    </w:p>
    <w:p>
      <w:pPr>
        <w:widowControl/>
        <w:numPr>
          <w:ilvl w:val="0"/>
          <w:numId w:val="67"/>
        </w:numPr>
        <w:spacing w:line="360" w:lineRule="auto"/>
        <w:contextualSpacing/>
        <w:outlineLvl w:val="2"/>
        <w:rPr>
          <w:rFonts w:hint="eastAsia" w:ascii="宋体" w:hAnsi="宋体"/>
          <w:sz w:val="24"/>
        </w:rPr>
      </w:pPr>
      <w:r>
        <w:rPr>
          <w:rFonts w:hint="eastAsia" w:ascii="宋体" w:hAnsi="宋体"/>
          <w:sz w:val="24"/>
        </w:rPr>
        <w:t>投资者保证其有权利签署本协议和履行本协议所述的义务，并已为此采取一切所需的行为。</w:t>
      </w:r>
    </w:p>
    <w:p>
      <w:pPr>
        <w:widowControl/>
        <w:numPr>
          <w:ilvl w:val="0"/>
          <w:numId w:val="67"/>
        </w:numPr>
        <w:spacing w:line="360" w:lineRule="auto"/>
        <w:contextualSpacing/>
        <w:outlineLvl w:val="2"/>
        <w:rPr>
          <w:rFonts w:hint="eastAsia" w:ascii="宋体" w:hAnsi="宋体"/>
          <w:sz w:val="24"/>
        </w:rPr>
      </w:pPr>
      <w:r>
        <w:rPr>
          <w:rFonts w:hint="eastAsia" w:ascii="宋体" w:hAnsi="宋体"/>
          <w:sz w:val="24"/>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67"/>
        </w:numPr>
        <w:spacing w:line="360" w:lineRule="auto"/>
        <w:contextualSpacing/>
        <w:outlineLvl w:val="2"/>
        <w:rPr>
          <w:rFonts w:hint="eastAsia" w:ascii="宋体" w:hAnsi="宋体"/>
          <w:sz w:val="24"/>
        </w:rPr>
      </w:pPr>
      <w:r>
        <w:rPr>
          <w:rFonts w:hint="eastAsia" w:ascii="宋体" w:hAnsi="宋体"/>
          <w:b/>
          <w:bCs/>
          <w:sz w:val="24"/>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sz w:val="24"/>
        </w:rPr>
        <w:t>。</w:t>
      </w:r>
    </w:p>
    <w:p>
      <w:pPr>
        <w:widowControl/>
        <w:numPr>
          <w:ilvl w:val="0"/>
          <w:numId w:val="67"/>
        </w:numPr>
        <w:spacing w:line="360" w:lineRule="auto"/>
        <w:contextualSpacing/>
        <w:outlineLvl w:val="2"/>
        <w:rPr>
          <w:rFonts w:hint="eastAsia" w:ascii="宋体" w:hAnsi="宋体"/>
          <w:sz w:val="24"/>
        </w:rPr>
      </w:pPr>
      <w:r>
        <w:rPr>
          <w:rFonts w:hint="eastAsia" w:ascii="宋体" w:hAnsi="宋体"/>
          <w:sz w:val="24"/>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销售机构对此不承担任何责任。 </w:t>
      </w:r>
    </w:p>
    <w:p>
      <w:pPr>
        <w:widowControl/>
        <w:numPr>
          <w:ilvl w:val="0"/>
          <w:numId w:val="67"/>
        </w:numPr>
        <w:spacing w:line="360" w:lineRule="auto"/>
        <w:contextualSpacing/>
        <w:outlineLvl w:val="2"/>
        <w:rPr>
          <w:rFonts w:hint="eastAsia" w:ascii="宋体" w:hAnsi="宋体"/>
          <w:sz w:val="24"/>
        </w:rPr>
      </w:pPr>
      <w:r>
        <w:rPr>
          <w:rFonts w:hint="eastAsia" w:ascii="宋体" w:hAnsi="宋体"/>
          <w:sz w:val="24"/>
        </w:rPr>
        <w:t xml:space="preserve">在本理财计划存续期内，如有权机关要求销售机构配合对投资者理财份额、理财账户、授权指定账户进行查封、冻结或扣划的，销售机构有权根据实际情况采取相应措施。销售机构对上述后果不承担任何责任。 </w:t>
      </w:r>
    </w:p>
    <w:p>
      <w:pPr>
        <w:widowControl/>
        <w:numPr>
          <w:ilvl w:val="0"/>
          <w:numId w:val="67"/>
        </w:numPr>
        <w:spacing w:line="360" w:lineRule="auto"/>
        <w:contextualSpacing/>
        <w:outlineLvl w:val="2"/>
        <w:rPr>
          <w:rFonts w:hint="eastAsia" w:ascii="宋体" w:hAnsi="宋体"/>
          <w:sz w:val="24"/>
        </w:rPr>
      </w:pPr>
      <w:r>
        <w:rPr>
          <w:rFonts w:hint="eastAsia" w:ascii="宋体" w:hAnsi="宋体"/>
          <w:sz w:val="24"/>
        </w:rPr>
        <w:t>本协议终止前，投资者不得将授权指定账户销户。若发生因投资者注销授权指定账户造成理财计划无法正常兑付的，销售机构不承担任何责任。</w:t>
      </w:r>
    </w:p>
    <w:p>
      <w:pPr>
        <w:widowControl/>
        <w:numPr>
          <w:ilvl w:val="0"/>
          <w:numId w:val="67"/>
        </w:numPr>
        <w:spacing w:line="360" w:lineRule="auto"/>
        <w:contextualSpacing/>
        <w:outlineLvl w:val="2"/>
        <w:rPr>
          <w:rFonts w:hint="eastAsia" w:ascii="宋体" w:hAnsi="宋体"/>
          <w:sz w:val="24"/>
        </w:rPr>
      </w:pPr>
      <w:r>
        <w:rPr>
          <w:rFonts w:hint="eastAsia" w:ascii="宋体" w:hAnsi="宋体"/>
          <w:sz w:val="24"/>
        </w:rPr>
        <w:t xml:space="preserve">投资者应确保其提供的所有资料真实、完整、合法、有效，如果有任何变更，投资者应及时通知销售机构并办理变更手续。如因投资者未及时通知销售机构并办理相应的变更手续，由此导致的一切后果由投资者自行承担，销售机构对此不承担任何责任。 </w:t>
      </w:r>
    </w:p>
    <w:p>
      <w:pPr>
        <w:widowControl/>
        <w:numPr>
          <w:ilvl w:val="0"/>
          <w:numId w:val="67"/>
        </w:numPr>
        <w:spacing w:line="360" w:lineRule="auto"/>
        <w:contextualSpacing/>
        <w:outlineLvl w:val="2"/>
        <w:rPr>
          <w:rFonts w:hint="eastAsia" w:ascii="宋体" w:hAnsi="宋体"/>
          <w:sz w:val="24"/>
        </w:rPr>
      </w:pPr>
      <w:r>
        <w:rPr>
          <w:rFonts w:hint="eastAsia" w:ascii="宋体" w:hAnsi="宋体"/>
          <w:sz w:val="24"/>
        </w:rPr>
        <w:t>投资者对本协议及其条款负有保密义务，未经销售机构书面许可，不得向任何组织、个人提供或泄露与销售机构有关的业务资料及信息，但法律、法规另有规定的除外。</w:t>
      </w:r>
    </w:p>
    <w:p>
      <w:pPr>
        <w:widowControl/>
        <w:numPr>
          <w:ilvl w:val="0"/>
          <w:numId w:val="67"/>
        </w:numPr>
        <w:spacing w:line="360" w:lineRule="auto"/>
        <w:contextualSpacing/>
        <w:outlineLvl w:val="2"/>
        <w:rPr>
          <w:rFonts w:hint="eastAsia" w:ascii="宋体" w:hAnsi="宋体"/>
          <w:sz w:val="24"/>
        </w:rPr>
      </w:pPr>
      <w:r>
        <w:rPr>
          <w:rFonts w:hint="eastAsia" w:ascii="宋体" w:hAnsi="宋体"/>
          <w:sz w:val="24"/>
        </w:rPr>
        <w:t>投资者进行投资时，应严格遵守反洗钱相关法规的规定，切实履行反洗钱及反恐怖融资义务。</w:t>
      </w:r>
    </w:p>
    <w:p>
      <w:pPr>
        <w:widowControl/>
        <w:numPr>
          <w:ilvl w:val="0"/>
          <w:numId w:val="67"/>
        </w:numPr>
        <w:spacing w:line="360" w:lineRule="auto"/>
        <w:contextualSpacing/>
        <w:outlineLvl w:val="2"/>
        <w:rPr>
          <w:rFonts w:hint="eastAsia" w:ascii="宋体" w:hAnsi="宋体"/>
          <w:b/>
          <w:bCs/>
          <w:sz w:val="24"/>
        </w:rPr>
      </w:pPr>
      <w:r>
        <w:rPr>
          <w:rFonts w:hint="eastAsia" w:ascii="宋体" w:hAnsi="宋体"/>
          <w:b/>
          <w:bCs/>
          <w:sz w:val="24"/>
        </w:rPr>
        <w:t>投资者个人信息授权</w:t>
      </w:r>
    </w:p>
    <w:p>
      <w:pPr>
        <w:widowControl/>
        <w:spacing w:line="360" w:lineRule="auto"/>
        <w:ind w:firstLine="482" w:firstLineChars="200"/>
        <w:contextualSpacing/>
        <w:rPr>
          <w:rFonts w:hint="eastAsia" w:ascii="宋体" w:hAnsi="宋体"/>
          <w:b/>
          <w:bCs/>
          <w:sz w:val="24"/>
        </w:rPr>
      </w:pPr>
      <w:r>
        <w:rPr>
          <w:rFonts w:hint="eastAsia" w:ascii="宋体" w:hAnsi="宋体"/>
          <w:b/>
          <w:bCs/>
          <w:sz w:val="24"/>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7"/>
        </w:numPr>
        <w:spacing w:line="360" w:lineRule="auto"/>
        <w:contextualSpacing/>
        <w:outlineLvl w:val="2"/>
        <w:rPr>
          <w:rFonts w:hint="eastAsia" w:ascii="宋体" w:hAnsi="宋体"/>
          <w:b/>
          <w:bCs/>
          <w:sz w:val="24"/>
        </w:rPr>
      </w:pPr>
      <w:r>
        <w:rPr>
          <w:rFonts w:hint="eastAsia" w:ascii="宋体" w:hAnsi="宋体"/>
          <w:b/>
          <w:bCs/>
          <w:sz w:val="24"/>
        </w:rPr>
        <w:t>投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sz w:val="24"/>
        </w:rPr>
      </w:pPr>
    </w:p>
    <w:p>
      <w:pPr>
        <w:widowControl/>
        <w:spacing w:line="360" w:lineRule="auto"/>
        <w:ind w:firstLine="482" w:firstLineChars="200"/>
        <w:outlineLvl w:val="1"/>
        <w:rPr>
          <w:rFonts w:hint="eastAsia"/>
          <w:b/>
          <w:bCs/>
          <w:sz w:val="24"/>
        </w:rPr>
      </w:pPr>
      <w:r>
        <w:rPr>
          <w:rFonts w:hint="eastAsia"/>
          <w:b/>
          <w:bCs/>
          <w:sz w:val="24"/>
        </w:rPr>
        <w:t>第三条 销售机构的权利与义务</w:t>
      </w:r>
    </w:p>
    <w:p>
      <w:pPr>
        <w:widowControl/>
        <w:numPr>
          <w:ilvl w:val="0"/>
          <w:numId w:val="68"/>
        </w:numPr>
        <w:spacing w:line="360" w:lineRule="auto"/>
        <w:contextualSpacing/>
        <w:jc w:val="left"/>
        <w:outlineLvl w:val="2"/>
        <w:rPr>
          <w:rFonts w:hint="eastAsia" w:ascii="宋体" w:hAnsi="宋体"/>
          <w:sz w:val="24"/>
        </w:rPr>
      </w:pPr>
      <w:r>
        <w:rPr>
          <w:rFonts w:hint="eastAsia" w:ascii="宋体" w:hAnsi="宋体"/>
          <w:sz w:val="24"/>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widowControl/>
        <w:numPr>
          <w:ilvl w:val="0"/>
          <w:numId w:val="68"/>
        </w:numPr>
        <w:spacing w:line="360" w:lineRule="auto"/>
        <w:contextualSpacing/>
        <w:jc w:val="left"/>
        <w:outlineLvl w:val="2"/>
        <w:rPr>
          <w:rFonts w:hint="eastAsia" w:ascii="宋体" w:hAnsi="宋体"/>
          <w:sz w:val="24"/>
        </w:rPr>
      </w:pPr>
      <w:r>
        <w:rPr>
          <w:rFonts w:hint="eastAsia" w:ascii="宋体" w:hAnsi="宋体"/>
          <w:b/>
          <w:bCs/>
          <w:sz w:val="24"/>
        </w:rPr>
        <w:t>代理销售机构非本计划的发行、管理机构，对本计划的业绩不承担任何保证和其他经济责任，不承担本计划的投资、兑付和风险管理责任</w:t>
      </w:r>
      <w:r>
        <w:rPr>
          <w:rFonts w:hint="eastAsia" w:ascii="宋体" w:hAnsi="宋体"/>
          <w:sz w:val="24"/>
        </w:rPr>
        <w:t>。</w:t>
      </w:r>
    </w:p>
    <w:p>
      <w:pPr>
        <w:widowControl/>
        <w:numPr>
          <w:ilvl w:val="0"/>
          <w:numId w:val="68"/>
        </w:numPr>
        <w:spacing w:line="360" w:lineRule="auto"/>
        <w:contextualSpacing/>
        <w:outlineLvl w:val="2"/>
        <w:rPr>
          <w:rFonts w:hint="eastAsia" w:ascii="宋体" w:hAnsi="宋体"/>
          <w:sz w:val="24"/>
        </w:rPr>
      </w:pPr>
      <w:r>
        <w:rPr>
          <w:rFonts w:hint="eastAsia" w:ascii="宋体" w:hAnsi="宋体"/>
          <w:sz w:val="24"/>
        </w:rPr>
        <w:t>销售机构应定期对购买其代理销售的理财计划的非机构投资者进行有效风险承受能力评估，并保证向投资者推介及销售与其风险承受能力匹配的产品。</w:t>
      </w:r>
    </w:p>
    <w:p>
      <w:pPr>
        <w:widowControl/>
        <w:numPr>
          <w:ilvl w:val="0"/>
          <w:numId w:val="68"/>
        </w:numPr>
        <w:spacing w:line="360" w:lineRule="auto"/>
        <w:contextualSpacing/>
        <w:jc w:val="left"/>
        <w:outlineLvl w:val="2"/>
        <w:rPr>
          <w:rFonts w:hint="eastAsia" w:ascii="宋体" w:hAnsi="宋体"/>
          <w:sz w:val="24"/>
        </w:rPr>
      </w:pPr>
      <w:r>
        <w:rPr>
          <w:rFonts w:hint="eastAsia" w:ascii="宋体" w:hAnsi="宋体"/>
          <w:sz w:val="24"/>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68"/>
        </w:numPr>
        <w:spacing w:line="360" w:lineRule="auto"/>
        <w:contextualSpacing/>
        <w:outlineLvl w:val="2"/>
        <w:rPr>
          <w:rFonts w:hint="eastAsia" w:ascii="宋体" w:hAnsi="宋体"/>
          <w:sz w:val="24"/>
        </w:rPr>
      </w:pPr>
      <w:r>
        <w:rPr>
          <w:rFonts w:hint="eastAsia" w:ascii="宋体" w:hAnsi="宋体"/>
          <w:sz w:val="24"/>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68"/>
        </w:numPr>
        <w:spacing w:line="360" w:lineRule="auto"/>
        <w:contextualSpacing/>
        <w:jc w:val="left"/>
        <w:outlineLvl w:val="2"/>
        <w:rPr>
          <w:rFonts w:hint="eastAsia" w:ascii="宋体" w:hAnsi="宋体"/>
          <w:sz w:val="24"/>
        </w:rPr>
      </w:pPr>
      <w:r>
        <w:rPr>
          <w:rFonts w:hint="eastAsia" w:ascii="宋体" w:hAnsi="宋体"/>
          <w:sz w:val="24"/>
        </w:rPr>
        <w:t>销售机构应建立健全上岗资格、持续培训、信息公示与查询核实等制度并有效执行。未经销售机构进行上岗资格认定并签订劳动合同，任何人员不得从事理财计划销售业务活动。</w:t>
      </w:r>
    </w:p>
    <w:p>
      <w:pPr>
        <w:widowControl/>
        <w:numPr>
          <w:ilvl w:val="0"/>
          <w:numId w:val="68"/>
        </w:numPr>
        <w:spacing w:line="360" w:lineRule="auto"/>
        <w:contextualSpacing/>
        <w:jc w:val="left"/>
        <w:outlineLvl w:val="2"/>
        <w:rPr>
          <w:rFonts w:hint="eastAsia" w:ascii="宋体" w:hAnsi="宋体"/>
          <w:sz w:val="24"/>
        </w:rPr>
      </w:pPr>
      <w:r>
        <w:rPr>
          <w:rFonts w:hint="eastAsia" w:ascii="宋体" w:hAnsi="宋体"/>
          <w:sz w:val="24"/>
        </w:rPr>
        <w:t>销售机构应对所有销售人员信息进行登记和公示。销售人员在向投资者宣传销售理财计划前进行自我介绍并告知信息查询和核实渠道，便于投资者查询核实，防止伪冒身份和虚假宣传。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68"/>
        </w:numPr>
        <w:spacing w:line="360" w:lineRule="auto"/>
        <w:contextualSpacing/>
        <w:jc w:val="left"/>
        <w:outlineLvl w:val="2"/>
        <w:rPr>
          <w:rFonts w:hint="eastAsia" w:ascii="宋体" w:hAnsi="宋体"/>
          <w:sz w:val="24"/>
        </w:rPr>
      </w:pPr>
      <w:r>
        <w:rPr>
          <w:rFonts w:hint="eastAsia" w:ascii="宋体" w:hAnsi="宋体"/>
          <w:sz w:val="24"/>
        </w:rPr>
        <w:t>销售机构对投资者负有信息保密义务，未经投资者书面许可，乙方不得向任何组织、个人提供或泄露与甲方有关的业务资料及信息，但法律、法规另有规定的除外。</w:t>
      </w:r>
    </w:p>
    <w:p>
      <w:pPr>
        <w:widowControl/>
        <w:numPr>
          <w:ilvl w:val="0"/>
          <w:numId w:val="68"/>
        </w:numPr>
        <w:spacing w:line="360" w:lineRule="auto"/>
        <w:contextualSpacing/>
        <w:jc w:val="left"/>
        <w:outlineLvl w:val="2"/>
        <w:rPr>
          <w:rFonts w:hint="eastAsia" w:ascii="宋体" w:hAnsi="宋体"/>
          <w:sz w:val="24"/>
        </w:rPr>
      </w:pPr>
      <w:r>
        <w:rPr>
          <w:rFonts w:hint="eastAsia" w:ascii="宋体" w:hAnsi="宋体"/>
          <w:sz w:val="24"/>
        </w:rPr>
        <w:t>销售机构应按照法律法规、监管规定、理财计划合同的约定收取销售费用，并如实核算、记账。未经载明，不得对不同投资者适用不同费率。</w:t>
      </w:r>
    </w:p>
    <w:p>
      <w:pPr>
        <w:widowControl/>
        <w:numPr>
          <w:ilvl w:val="0"/>
          <w:numId w:val="62"/>
        </w:numPr>
        <w:spacing w:line="360" w:lineRule="auto"/>
        <w:contextualSpacing/>
        <w:jc w:val="left"/>
        <w:outlineLvl w:val="2"/>
        <w:rPr>
          <w:rFonts w:hint="eastAsia" w:ascii="宋体" w:hAnsi="宋体"/>
          <w:sz w:val="24"/>
        </w:rPr>
      </w:pPr>
      <w:r>
        <w:rPr>
          <w:rFonts w:hint="eastAsia" w:ascii="宋体" w:hAnsi="宋体"/>
          <w:sz w:val="24"/>
        </w:rPr>
        <w:t>理财计划销售结算资金属于理财计划投资者，销售机构不得挪用理财计划销售结算资金或将理财计划销售结算资金归入自有资产。</w:t>
      </w:r>
    </w:p>
    <w:p>
      <w:pPr>
        <w:widowControl/>
        <w:numPr>
          <w:ilvl w:val="0"/>
          <w:numId w:val="62"/>
        </w:numPr>
        <w:spacing w:line="360" w:lineRule="auto"/>
        <w:contextualSpacing/>
        <w:jc w:val="left"/>
        <w:outlineLvl w:val="2"/>
        <w:rPr>
          <w:rFonts w:hint="eastAsia" w:ascii="宋体" w:hAnsi="宋体"/>
          <w:sz w:val="24"/>
        </w:rPr>
      </w:pPr>
      <w:r>
        <w:rPr>
          <w:rFonts w:hint="eastAsia" w:ascii="宋体" w:hAnsi="宋体"/>
          <w:sz w:val="24"/>
        </w:rPr>
        <w:t>销售机构应遵守相关法律、法规、监管规定及理财计划合同约定，诚实守信、勤勉尽责，向购买理财计划的投资者充分传递管理人披露的产品相关信息并进行充分的风险揭示。</w:t>
      </w:r>
    </w:p>
    <w:p>
      <w:pPr>
        <w:widowControl/>
        <w:numPr>
          <w:ilvl w:val="0"/>
          <w:numId w:val="62"/>
        </w:numPr>
        <w:spacing w:line="360" w:lineRule="auto"/>
        <w:contextualSpacing/>
        <w:jc w:val="left"/>
        <w:outlineLvl w:val="2"/>
        <w:rPr>
          <w:rFonts w:hint="eastAsia" w:ascii="宋体" w:hAnsi="宋体"/>
          <w:sz w:val="24"/>
        </w:rPr>
      </w:pPr>
      <w:r>
        <w:rPr>
          <w:rFonts w:hint="eastAsia" w:ascii="宋体" w:hAnsi="宋体"/>
          <w:sz w:val="24"/>
        </w:rPr>
        <w:t>销售机构应当充分利用科技手段，加强对伪冒网站、伪冒产品等监测，有效防范各类欺诈风险。</w:t>
      </w:r>
    </w:p>
    <w:p>
      <w:pPr>
        <w:widowControl/>
        <w:spacing w:line="360" w:lineRule="auto"/>
        <w:ind w:left="482"/>
        <w:contextualSpacing/>
        <w:jc w:val="left"/>
        <w:rPr>
          <w:rFonts w:hint="eastAsia" w:ascii="宋体" w:hAnsi="宋体"/>
          <w:b/>
          <w:bCs/>
          <w:sz w:val="24"/>
        </w:rPr>
      </w:pPr>
    </w:p>
    <w:p>
      <w:pPr>
        <w:widowControl/>
        <w:spacing w:line="360" w:lineRule="auto"/>
        <w:ind w:firstLine="482" w:firstLineChars="200"/>
        <w:outlineLvl w:val="1"/>
        <w:rPr>
          <w:rFonts w:hint="eastAsia"/>
          <w:b/>
          <w:bCs/>
          <w:sz w:val="24"/>
        </w:rPr>
      </w:pPr>
      <w:r>
        <w:rPr>
          <w:rFonts w:hint="eastAsia"/>
          <w:b/>
          <w:bCs/>
          <w:sz w:val="24"/>
        </w:rPr>
        <w:t>第四条 理财计划认（申）购、赎回及终止</w:t>
      </w:r>
    </w:p>
    <w:p>
      <w:pPr>
        <w:widowControl/>
        <w:numPr>
          <w:ilvl w:val="0"/>
          <w:numId w:val="69"/>
        </w:numPr>
        <w:spacing w:line="360" w:lineRule="auto"/>
        <w:contextualSpacing/>
        <w:outlineLvl w:val="2"/>
        <w:rPr>
          <w:rFonts w:hint="eastAsia" w:ascii="宋体" w:hAnsi="宋体"/>
          <w:sz w:val="24"/>
        </w:rPr>
      </w:pPr>
      <w:r>
        <w:rPr>
          <w:rFonts w:hint="eastAsia" w:ascii="宋体" w:hAnsi="宋体"/>
          <w:sz w:val="24"/>
        </w:rPr>
        <w:t xml:space="preserve">理财计划认/申购办理流程：参照投资者权益须知约定。 </w:t>
      </w:r>
    </w:p>
    <w:p>
      <w:pPr>
        <w:widowControl/>
        <w:numPr>
          <w:ilvl w:val="0"/>
          <w:numId w:val="69"/>
        </w:numPr>
        <w:spacing w:line="360" w:lineRule="auto"/>
        <w:contextualSpacing/>
        <w:outlineLvl w:val="2"/>
        <w:rPr>
          <w:rFonts w:hint="eastAsia" w:ascii="宋体" w:hAnsi="宋体"/>
          <w:sz w:val="24"/>
        </w:rPr>
      </w:pPr>
      <w:r>
        <w:rPr>
          <w:rFonts w:hint="eastAsia" w:ascii="宋体" w:hAnsi="宋体"/>
          <w:sz w:val="24"/>
        </w:rPr>
        <w:t>理财计划认/申购确认：管理人根据销售渠道提供的交易信息及资金划付对投资者相应认/申购进行确认。</w:t>
      </w:r>
    </w:p>
    <w:p>
      <w:pPr>
        <w:widowControl/>
        <w:numPr>
          <w:ilvl w:val="0"/>
          <w:numId w:val="69"/>
        </w:numPr>
        <w:spacing w:line="360" w:lineRule="auto"/>
        <w:contextualSpacing/>
        <w:outlineLvl w:val="2"/>
        <w:rPr>
          <w:rFonts w:hint="eastAsia" w:ascii="宋体" w:hAnsi="宋体"/>
          <w:sz w:val="24"/>
        </w:rPr>
      </w:pPr>
      <w:r>
        <w:rPr>
          <w:rFonts w:hint="eastAsia" w:ascii="宋体" w:hAnsi="宋体"/>
          <w:sz w:val="24"/>
        </w:rPr>
        <w:t xml:space="preserve">理财计划不成立：若在募集期结束日，本理财计划发行规模未能达到对应期次的理财计划产品说明书规定的要求，则本理财计划不成立，销售机构将按对应期次的理财计划产品说明书约定条款向投资者进行公告，并将及时解除对投资者授权指定账户中认购资金的冻结。 </w:t>
      </w:r>
    </w:p>
    <w:p>
      <w:pPr>
        <w:widowControl/>
        <w:numPr>
          <w:ilvl w:val="0"/>
          <w:numId w:val="69"/>
        </w:numPr>
        <w:spacing w:line="360" w:lineRule="auto"/>
        <w:contextualSpacing/>
        <w:outlineLvl w:val="2"/>
        <w:rPr>
          <w:rFonts w:hint="eastAsia" w:ascii="宋体" w:hAnsi="宋体"/>
          <w:sz w:val="24"/>
        </w:rPr>
      </w:pPr>
      <w:r>
        <w:rPr>
          <w:rFonts w:hint="eastAsia" w:ascii="宋体" w:hAnsi="宋体"/>
          <w:sz w:val="24"/>
        </w:rPr>
        <w:t xml:space="preserve">理财计划投资品种、投资起点金额、收益支付方式：参照对应期次的理财计划产品说明书中的条款约定。 </w:t>
      </w:r>
    </w:p>
    <w:p>
      <w:pPr>
        <w:widowControl/>
        <w:numPr>
          <w:ilvl w:val="0"/>
          <w:numId w:val="69"/>
        </w:numPr>
        <w:spacing w:line="360" w:lineRule="auto"/>
        <w:contextualSpacing/>
        <w:outlineLvl w:val="2"/>
        <w:rPr>
          <w:rFonts w:hint="eastAsia" w:ascii="宋体" w:hAnsi="宋体"/>
          <w:sz w:val="24"/>
        </w:rPr>
      </w:pPr>
      <w:r>
        <w:rPr>
          <w:rFonts w:hint="eastAsia" w:ascii="宋体" w:hAnsi="宋体"/>
          <w:sz w:val="24"/>
        </w:rPr>
        <w:t>理财计划赎回/终止兑付：在正常情况下，管理人和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销售机构将于原约定清算日前通过信息披露途径及时通知，并根据实际情况进行后续处理。</w:t>
      </w:r>
    </w:p>
    <w:p>
      <w:pPr>
        <w:widowControl/>
        <w:numPr>
          <w:ilvl w:val="0"/>
          <w:numId w:val="69"/>
        </w:numPr>
        <w:spacing w:line="360" w:lineRule="auto"/>
        <w:contextualSpacing/>
        <w:outlineLvl w:val="2"/>
        <w:rPr>
          <w:rFonts w:hint="eastAsia" w:ascii="宋体" w:hAnsi="宋体"/>
          <w:sz w:val="24"/>
        </w:rPr>
      </w:pPr>
      <w:r>
        <w:rPr>
          <w:rFonts w:hint="eastAsia" w:ascii="宋体" w:hAnsi="宋体"/>
          <w:sz w:val="24"/>
        </w:rPr>
        <w:t>资金清算：理财计划终止或份额赎回时，管理人按理财计划合同约定划付至销售机构清算账户后，由销售机构向投资者划付投资者应得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widowControl/>
        <w:spacing w:line="360" w:lineRule="auto"/>
        <w:ind w:left="178" w:leftChars="85"/>
        <w:contextualSpacing/>
        <w:rPr>
          <w:rFonts w:hint="eastAsia" w:ascii="宋体" w:hAnsi="宋体"/>
          <w:b/>
          <w:bCs/>
          <w:sz w:val="24"/>
        </w:rPr>
      </w:pPr>
    </w:p>
    <w:p>
      <w:pPr>
        <w:widowControl/>
        <w:spacing w:line="360" w:lineRule="auto"/>
        <w:ind w:firstLine="482" w:firstLineChars="200"/>
        <w:outlineLvl w:val="1"/>
        <w:rPr>
          <w:rFonts w:hint="eastAsia"/>
          <w:b/>
          <w:bCs/>
          <w:sz w:val="24"/>
        </w:rPr>
      </w:pPr>
      <w:r>
        <w:rPr>
          <w:rFonts w:hint="eastAsia"/>
          <w:b/>
          <w:bCs/>
          <w:sz w:val="24"/>
        </w:rPr>
        <w:t>第五条 违约责任及免责条款</w:t>
      </w:r>
    </w:p>
    <w:p>
      <w:pPr>
        <w:widowControl/>
        <w:numPr>
          <w:ilvl w:val="0"/>
          <w:numId w:val="70"/>
        </w:numPr>
        <w:spacing w:line="360" w:lineRule="auto"/>
        <w:contextualSpacing/>
        <w:outlineLvl w:val="2"/>
        <w:rPr>
          <w:rFonts w:hint="eastAsia" w:ascii="宋体" w:hAnsi="宋体"/>
          <w:sz w:val="24"/>
        </w:rPr>
      </w:pPr>
      <w:r>
        <w:rPr>
          <w:rFonts w:hint="eastAsia" w:ascii="宋体" w:hAnsi="宋体"/>
          <w:sz w:val="24"/>
        </w:rPr>
        <w:t>若因投资者原因导致司法或行政等有权机关采取强制措施对其理财本金、收益进行部分或全部被扣划，均视投资者本人就全部理财本金进行了提前赎回，本协议自动终止。因提前终止而产生的损失及相关费用由投资者承担。本协议因前述情况终止的，理财本金不计付赎回日前的理财收益，也不计付存款利息。</w:t>
      </w:r>
    </w:p>
    <w:p>
      <w:pPr>
        <w:widowControl/>
        <w:numPr>
          <w:ilvl w:val="0"/>
          <w:numId w:val="70"/>
        </w:numPr>
        <w:spacing w:line="360" w:lineRule="auto"/>
        <w:contextualSpacing/>
        <w:outlineLvl w:val="2"/>
        <w:rPr>
          <w:rFonts w:hint="eastAsia" w:ascii="宋体" w:hAnsi="宋体"/>
          <w:sz w:val="24"/>
        </w:rPr>
      </w:pPr>
      <w:r>
        <w:rPr>
          <w:rFonts w:hint="eastAsia" w:ascii="宋体" w:hAnsi="宋体"/>
          <w:sz w:val="24"/>
        </w:rPr>
        <w:t>投资者违反本协议第二条内容，应承担相应违约责任。销售机构对由此导致的理财业务交易延误、中断、终止及投资者损失不承担任何责任，并有权单方终止双方理财业务关系。因投资者违反双方约定给销售机构或全体投资者造成损失的，投资者应承担相应的赔偿责任。</w:t>
      </w:r>
    </w:p>
    <w:p>
      <w:pPr>
        <w:widowControl/>
        <w:numPr>
          <w:ilvl w:val="0"/>
          <w:numId w:val="70"/>
        </w:numPr>
        <w:spacing w:line="360" w:lineRule="auto"/>
        <w:contextualSpacing/>
        <w:outlineLvl w:val="2"/>
        <w:rPr>
          <w:rFonts w:hint="eastAsia" w:ascii="宋体" w:hAnsi="宋体"/>
          <w:sz w:val="24"/>
        </w:rPr>
      </w:pPr>
      <w:r>
        <w:rPr>
          <w:rFonts w:hint="eastAsia" w:ascii="宋体" w:hAnsi="宋体"/>
          <w:sz w:val="24"/>
        </w:rPr>
        <w:t>若由于销售机构过错导致理财计划资产发生损失，销售机构应按其过错承担赔偿责任，销售机构赔偿的款项计入理财计划的资产和收益。</w:t>
      </w:r>
    </w:p>
    <w:p>
      <w:pPr>
        <w:widowControl/>
        <w:numPr>
          <w:ilvl w:val="0"/>
          <w:numId w:val="70"/>
        </w:numPr>
        <w:spacing w:line="360" w:lineRule="auto"/>
        <w:contextualSpacing/>
        <w:outlineLvl w:val="2"/>
        <w:rPr>
          <w:rFonts w:hint="eastAsia" w:ascii="宋体" w:hAnsi="宋体"/>
          <w:sz w:val="24"/>
        </w:rPr>
      </w:pPr>
      <w:r>
        <w:rPr>
          <w:rFonts w:hint="eastAsia" w:ascii="宋体" w:hAnsi="宋体"/>
          <w:sz w:val="24"/>
        </w:rPr>
        <w:t>由于地震、火灾、战争等不可抗力或突发重大卫生公共事件等不可预测事件造成的交易中断、延误等风险及损失，销售机构不承担责任；但销售机构应在上述情况发生后在条件允许时及时通知投资者并采取一切必要且可能的措施阻止损失扩大。</w:t>
      </w:r>
    </w:p>
    <w:p>
      <w:pPr>
        <w:widowControl/>
        <w:numPr>
          <w:ilvl w:val="0"/>
          <w:numId w:val="70"/>
        </w:numPr>
        <w:spacing w:line="360" w:lineRule="auto"/>
        <w:contextualSpacing/>
        <w:outlineLvl w:val="2"/>
        <w:rPr>
          <w:rFonts w:hint="eastAsia" w:ascii="宋体" w:hAnsi="宋体"/>
          <w:sz w:val="24"/>
        </w:rPr>
      </w:pPr>
      <w:r>
        <w:rPr>
          <w:rFonts w:hint="eastAsia" w:ascii="宋体" w:hAnsi="宋体"/>
          <w:sz w:val="24"/>
        </w:rPr>
        <w:t>因国家有关法律、法规、规章、政策的修改或新的法律、法规、规章、政策颁布以及紧急措施的出台导致的风险及损失，销售机构不承担责任。</w:t>
      </w:r>
    </w:p>
    <w:p>
      <w:pPr>
        <w:widowControl/>
        <w:spacing w:line="360" w:lineRule="auto"/>
        <w:contextualSpacing/>
        <w:rPr>
          <w:rFonts w:hint="eastAsia" w:ascii="宋体" w:hAnsi="宋体"/>
          <w:b/>
          <w:bCs/>
          <w:sz w:val="24"/>
        </w:rPr>
      </w:pPr>
    </w:p>
    <w:p>
      <w:pPr>
        <w:widowControl/>
        <w:spacing w:line="360" w:lineRule="auto"/>
        <w:ind w:firstLine="482" w:firstLineChars="200"/>
        <w:outlineLvl w:val="1"/>
        <w:rPr>
          <w:rFonts w:hint="eastAsia"/>
          <w:b/>
          <w:bCs/>
          <w:sz w:val="24"/>
        </w:rPr>
      </w:pPr>
      <w:r>
        <w:rPr>
          <w:rFonts w:hint="eastAsia"/>
          <w:b/>
          <w:bCs/>
          <w:sz w:val="24"/>
        </w:rPr>
        <w:t>第六条 适用法律与争议解决</w:t>
      </w:r>
    </w:p>
    <w:p>
      <w:pPr>
        <w:widowControl/>
        <w:spacing w:line="360" w:lineRule="auto"/>
        <w:ind w:firstLine="480" w:firstLineChars="200"/>
        <w:contextualSpacing/>
        <w:rPr>
          <w:rFonts w:hint="eastAsia" w:ascii="宋体" w:hAnsi="宋体"/>
          <w:sz w:val="24"/>
        </w:rPr>
      </w:pPr>
      <w:r>
        <w:rPr>
          <w:rFonts w:hint="eastAsia" w:ascii="宋体" w:hAnsi="宋体"/>
          <w:sz w:val="24"/>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widowControl/>
        <w:spacing w:line="360" w:lineRule="auto"/>
        <w:ind w:firstLine="482" w:firstLineChars="200"/>
        <w:contextualSpacing/>
        <w:rPr>
          <w:rFonts w:hint="eastAsia" w:ascii="宋体" w:hAnsi="宋体"/>
          <w:b/>
          <w:bCs/>
          <w:sz w:val="24"/>
        </w:rPr>
      </w:pPr>
    </w:p>
    <w:p>
      <w:pPr>
        <w:widowControl/>
        <w:spacing w:line="360" w:lineRule="auto"/>
        <w:ind w:firstLine="482" w:firstLineChars="200"/>
        <w:outlineLvl w:val="1"/>
        <w:rPr>
          <w:rFonts w:hint="eastAsia"/>
          <w:b/>
          <w:bCs/>
          <w:sz w:val="24"/>
        </w:rPr>
      </w:pPr>
      <w:r>
        <w:rPr>
          <w:rFonts w:hint="eastAsia"/>
          <w:b/>
          <w:bCs/>
          <w:sz w:val="24"/>
        </w:rPr>
        <w:t>第七条 协议生效和终止</w:t>
      </w:r>
    </w:p>
    <w:p>
      <w:pPr>
        <w:widowControl/>
        <w:numPr>
          <w:ilvl w:val="0"/>
          <w:numId w:val="71"/>
        </w:numPr>
        <w:spacing w:line="360" w:lineRule="auto"/>
        <w:contextualSpacing/>
        <w:outlineLvl w:val="2"/>
        <w:rPr>
          <w:rFonts w:hint="eastAsia" w:ascii="宋体" w:hAnsi="宋体"/>
          <w:sz w:val="24"/>
        </w:rPr>
      </w:pPr>
      <w:r>
        <w:rPr>
          <w:rFonts w:hint="eastAsia" w:ascii="宋体" w:hAnsi="宋体"/>
          <w:sz w:val="24"/>
        </w:rPr>
        <w:t xml:space="preserve">投资者和销售机构双方认可本协议可以纸质或电子数据等形式提交、订立或确认。 </w:t>
      </w:r>
    </w:p>
    <w:p>
      <w:pPr>
        <w:widowControl/>
        <w:numPr>
          <w:ilvl w:val="0"/>
          <w:numId w:val="72"/>
        </w:numPr>
        <w:spacing w:line="360" w:lineRule="auto"/>
        <w:contextualSpacing/>
        <w:outlineLvl w:val="2"/>
        <w:rPr>
          <w:rFonts w:hint="eastAsia" w:ascii="宋体" w:hAnsi="宋体"/>
          <w:sz w:val="24"/>
        </w:rPr>
      </w:pPr>
      <w:r>
        <w:rPr>
          <w:rFonts w:hint="eastAsia" w:ascii="宋体" w:hAnsi="宋体"/>
          <w:sz w:val="24"/>
        </w:rPr>
        <w:t xml:space="preserve">本协议书以纸质书面形式订立的，自投资者签署（如投资者为个人，应签字；如投资者为机构，应法定代表人或授权代理人签字或盖章并加盖公章或有效授权印章）和销售机构签章之后立即生效。协议一式叁份，投资者、管理人和销售机构各执壹份，具有同等法律效力。 </w:t>
      </w:r>
    </w:p>
    <w:p>
      <w:pPr>
        <w:widowControl/>
        <w:numPr>
          <w:ilvl w:val="0"/>
          <w:numId w:val="72"/>
        </w:numPr>
        <w:spacing w:line="360" w:lineRule="auto"/>
        <w:contextualSpacing/>
        <w:outlineLvl w:val="2"/>
        <w:rPr>
          <w:rFonts w:hint="eastAsia" w:ascii="宋体" w:hAnsi="宋体"/>
          <w:sz w:val="24"/>
        </w:rPr>
      </w:pPr>
      <w:r>
        <w:rPr>
          <w:rFonts w:hint="eastAsia" w:ascii="宋体" w:hAnsi="宋体"/>
          <w:sz w:val="24"/>
        </w:rPr>
        <w:t>本协议书以数据电文形式订立的，投资者在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2"/>
        </w:numPr>
        <w:spacing w:line="360" w:lineRule="auto"/>
        <w:contextualSpacing/>
        <w:outlineLvl w:val="2"/>
        <w:rPr>
          <w:rFonts w:hint="eastAsia" w:ascii="宋体" w:hAnsi="宋体"/>
          <w:sz w:val="24"/>
        </w:rPr>
      </w:pPr>
      <w:r>
        <w:rPr>
          <w:rFonts w:hint="eastAsia" w:ascii="宋体" w:hAnsi="宋体"/>
          <w:sz w:val="24"/>
        </w:rPr>
        <w:t>投资者和销售机构双方在本协议及对应期次的理财计划产品说明书项下权利义务履行完毕之日，本协议自动终止。</w:t>
      </w:r>
    </w:p>
    <w:p>
      <w:pPr>
        <w:widowControl/>
        <w:spacing w:line="360" w:lineRule="auto"/>
        <w:ind w:left="420"/>
        <w:contextualSpacing/>
        <w:rPr>
          <w:rFonts w:hint="eastAsia" w:ascii="宋体" w:hAnsi="宋体"/>
          <w:sz w:val="24"/>
        </w:rPr>
      </w:pPr>
    </w:p>
    <w:p>
      <w:pPr>
        <w:widowControl/>
        <w:spacing w:line="360" w:lineRule="auto"/>
        <w:ind w:firstLine="482" w:firstLineChars="200"/>
        <w:outlineLvl w:val="1"/>
        <w:rPr>
          <w:rFonts w:hint="eastAsia"/>
          <w:b/>
          <w:sz w:val="24"/>
        </w:rPr>
      </w:pPr>
      <w:r>
        <w:rPr>
          <w:rFonts w:hint="eastAsia"/>
          <w:b/>
          <w:sz w:val="24"/>
        </w:rPr>
        <w:t xml:space="preserve">第八条 附则 </w:t>
      </w:r>
    </w:p>
    <w:p>
      <w:pPr>
        <w:widowControl/>
        <w:numPr>
          <w:ilvl w:val="0"/>
          <w:numId w:val="73"/>
        </w:numPr>
        <w:spacing w:line="360" w:lineRule="auto"/>
        <w:contextualSpacing/>
        <w:outlineLvl w:val="2"/>
        <w:rPr>
          <w:rFonts w:hint="eastAsia" w:ascii="宋体" w:hAnsi="宋体"/>
          <w:sz w:val="24"/>
        </w:rPr>
      </w:pPr>
      <w:r>
        <w:rPr>
          <w:rFonts w:hint="eastAsia" w:ascii="宋体" w:hAnsi="宋体"/>
          <w:sz w:val="24"/>
        </w:rPr>
        <w:t>如果投资者与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73"/>
        </w:numPr>
        <w:spacing w:line="360" w:lineRule="auto"/>
        <w:contextualSpacing/>
        <w:outlineLvl w:val="2"/>
        <w:rPr>
          <w:rFonts w:hint="eastAsia" w:ascii="宋体" w:hAnsi="宋体"/>
          <w:sz w:val="24"/>
        </w:rPr>
      </w:pPr>
      <w:r>
        <w:rPr>
          <w:rFonts w:hint="eastAsia" w:ascii="宋体" w:hAnsi="宋体"/>
          <w:sz w:val="24"/>
        </w:rPr>
        <w:t>如果由于任何原因使本合同下的任何条款或内容成为无效或被依法撤销，本合同其他条款或内容的合法性、有效性和可执行性不受影响。</w:t>
      </w:r>
    </w:p>
    <w:p>
      <w:pPr>
        <w:widowControl/>
        <w:numPr>
          <w:ilvl w:val="0"/>
          <w:numId w:val="73"/>
        </w:numPr>
        <w:spacing w:line="360" w:lineRule="auto"/>
        <w:contextualSpacing/>
        <w:outlineLvl w:val="2"/>
        <w:rPr>
          <w:rFonts w:hint="eastAsia" w:ascii="宋体" w:hAnsi="宋体"/>
          <w:sz w:val="24"/>
        </w:rPr>
      </w:pPr>
      <w:r>
        <w:rPr>
          <w:rFonts w:hint="eastAsia" w:ascii="宋体" w:hAnsi="宋体"/>
          <w:sz w:val="24"/>
        </w:rPr>
        <w:t>在理财计划存续期内，如因监管政策或法律法规发生变化，在不损害投资者利益的前提下，管理人有权单方对理财计划</w:t>
      </w:r>
      <w:r>
        <w:rPr>
          <w:rFonts w:ascii="宋体" w:hAnsi="宋体"/>
          <w:sz w:val="24"/>
        </w:rPr>
        <w:t>合同</w:t>
      </w:r>
      <w:r>
        <w:rPr>
          <w:rFonts w:hint="eastAsia" w:ascii="宋体" w:hAnsi="宋体"/>
          <w:sz w:val="24"/>
        </w:rPr>
        <w:t>销售文件进行修订。</w:t>
      </w:r>
    </w:p>
    <w:p>
      <w:pPr>
        <w:widowControl/>
        <w:spacing w:line="360" w:lineRule="auto"/>
        <w:contextualSpacing/>
        <w:rPr>
          <w:rFonts w:hint="eastAsia" w:ascii="宋体" w:hAnsi="宋体"/>
          <w:sz w:val="24"/>
        </w:rPr>
      </w:pPr>
    </w:p>
    <w:p>
      <w:pPr>
        <w:spacing w:line="360" w:lineRule="auto"/>
      </w:pPr>
    </w:p>
    <w:p>
      <w:pPr>
        <w:spacing w:line="360" w:lineRule="auto"/>
      </w:pPr>
    </w:p>
    <w:p>
      <w:pPr>
        <w:widowControl/>
        <w:spacing w:line="360" w:lineRule="auto"/>
        <w:jc w:val="right"/>
      </w:pPr>
      <w:r>
        <w:rPr>
          <w:rFonts w:hint="eastAsia" w:ascii="宋体" w:hAnsi="宋体" w:cs="宋体"/>
          <w:kern w:val="0"/>
          <w:sz w:val="24"/>
        </w:rPr>
        <w:t>杭银理财有限责任公司</w:t>
      </w:r>
    </w:p>
    <w:p>
      <w:pPr>
        <w:spacing w:line="360" w:lineRule="auto"/>
        <w:rPr>
          <w:rFonts w:ascii="宋体" w:hAnsi="宋体"/>
          <w:sz w:val="24"/>
        </w:rPr>
      </w:pPr>
      <w:r>
        <w:rPr>
          <w:rFonts w:hint="eastAsia" w:ascii="宋体" w:hAnsi="宋体"/>
          <w:sz w:val="24"/>
        </w:rPr>
        <w:br w:type="page"/>
      </w:r>
      <w:r>
        <w:rPr>
          <w:rFonts w:hint="eastAsia" w:ascii="宋体" w:hAnsi="宋体"/>
          <w:sz w:val="24"/>
        </w:rPr>
        <w:t>本页为纸质形式（如有）销售协议书签章页</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hint="eastAsia" w:ascii="宋体" w:hAnsi="宋体"/>
          <w:b/>
          <w:bCs/>
          <w:sz w:val="24"/>
        </w:rPr>
      </w:pPr>
      <w:r>
        <w:rPr>
          <w:rFonts w:hint="eastAsia" w:ascii="宋体" w:hAnsi="宋体"/>
          <w:b/>
          <w:bCs/>
          <w:sz w:val="24"/>
        </w:rPr>
        <w:t>投资者（签字或签章）：</w:t>
      </w:r>
    </w:p>
    <w:p>
      <w:pPr>
        <w:spacing w:before="156" w:beforeLines="50" w:after="156" w:afterLines="50" w:line="360" w:lineRule="auto"/>
        <w:ind w:firstLine="4800" w:firstLineChars="2000"/>
        <w:jc w:val="right"/>
        <w:rPr>
          <w:rFonts w:hint="eastAsia" w:ascii="Arial" w:hAnsi="Arial"/>
          <w:sz w:val="24"/>
        </w:rPr>
      </w:pPr>
      <w:r>
        <w:rPr>
          <w:rFonts w:hint="eastAsia" w:ascii="Arial" w:hAnsi="Arial"/>
          <w:sz w:val="24"/>
        </w:rPr>
        <w:t xml:space="preserve">   年   月   日</w:t>
      </w: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r>
        <w:rPr>
          <w:rFonts w:hint="eastAsia" w:ascii="宋体" w:hAnsi="宋体"/>
          <w:b/>
          <w:bCs/>
          <w:sz w:val="24"/>
        </w:rPr>
        <w:t>销售机构签章：</w:t>
      </w:r>
    </w:p>
    <w:p>
      <w:pPr>
        <w:spacing w:line="360" w:lineRule="auto"/>
        <w:rPr>
          <w:rFonts w:hint="eastAsia" w:ascii="宋体" w:hAnsi="宋体"/>
          <w:b/>
          <w:bCs/>
          <w:sz w:val="24"/>
        </w:rPr>
      </w:pPr>
    </w:p>
    <w:p>
      <w:pPr>
        <w:spacing w:line="360" w:lineRule="auto"/>
        <w:rPr>
          <w:rFonts w:hint="eastAsia" w:ascii="宋体" w:hAnsi="宋体"/>
          <w:b/>
          <w:bCs/>
          <w:sz w:val="24"/>
        </w:rPr>
      </w:pPr>
    </w:p>
    <w:p>
      <w:pPr>
        <w:spacing w:before="156" w:beforeLines="50" w:after="156" w:afterLines="50" w:line="360" w:lineRule="auto"/>
        <w:ind w:firstLine="4800" w:firstLineChars="2000"/>
        <w:jc w:val="right"/>
        <w:rPr>
          <w:rFonts w:hint="eastAsia" w:ascii="Arial" w:hAnsi="Arial"/>
          <w:sz w:val="24"/>
        </w:rPr>
      </w:pPr>
      <w:r>
        <w:rPr>
          <w:rFonts w:hint="eastAsia" w:ascii="Arial" w:hAnsi="Arial"/>
          <w:sz w:val="24"/>
        </w:rPr>
        <w:t xml:space="preserve">   年   月   日</w:t>
      </w:r>
    </w:p>
    <w:p>
      <w:pPr>
        <w:spacing w:line="360" w:lineRule="auto"/>
        <w:rPr>
          <w:rFonts w:ascii="宋体" w:hAnsi="宋体" w:cs="宋体"/>
          <w:bCs/>
          <w:color w:val="000000"/>
          <w:sz w:val="24"/>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投资须谨慎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9">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0">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1">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2">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3">
    <w:nsid w:val="D8D75090"/>
    <w:multiLevelType w:val="singleLevel"/>
    <w:tmpl w:val="D8D75090"/>
    <w:lvl w:ilvl="0" w:tentative="0">
      <w:start w:val="1"/>
      <w:numFmt w:val="decimal"/>
      <w:suff w:val="nothing"/>
      <w:lvlText w:val="（%1）"/>
      <w:lvlJc w:val="left"/>
      <w:rPr>
        <w:rFonts w:hint="default"/>
        <w:b w:val="0"/>
        <w:bCs w:val="0"/>
      </w:rPr>
    </w:lvl>
  </w:abstractNum>
  <w:abstractNum w:abstractNumId="24">
    <w:nsid w:val="DD2251DF"/>
    <w:multiLevelType w:val="singleLevel"/>
    <w:tmpl w:val="DD2251DF"/>
    <w:lvl w:ilvl="0" w:tentative="0">
      <w:start w:val="1"/>
      <w:numFmt w:val="decimal"/>
      <w:suff w:val="nothing"/>
      <w:lvlText w:val="（%1）"/>
      <w:lvlJc w:val="left"/>
      <w:rPr>
        <w:rFonts w:hint="default"/>
        <w:b w:val="0"/>
        <w:bCs w:val="0"/>
      </w:rPr>
    </w:lvl>
  </w:abstractNum>
  <w:abstractNum w:abstractNumId="25">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6">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7">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7">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8">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49">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0">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1">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2">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3">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4">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5">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6">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7">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8">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59">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0">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1">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2">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3">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4">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5">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6">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7">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8">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69">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1">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2">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2"/>
  </w:num>
  <w:num w:numId="4">
    <w:abstractNumId w:val="37"/>
  </w:num>
  <w:num w:numId="5">
    <w:abstractNumId w:val="20"/>
  </w:num>
  <w:num w:numId="6">
    <w:abstractNumId w:val="71"/>
  </w:num>
  <w:num w:numId="7">
    <w:abstractNumId w:val="31"/>
  </w:num>
  <w:num w:numId="8">
    <w:abstractNumId w:val="72"/>
  </w:num>
  <w:num w:numId="9">
    <w:abstractNumId w:val="47"/>
  </w:num>
  <w:num w:numId="10">
    <w:abstractNumId w:val="44"/>
  </w:num>
  <w:num w:numId="11">
    <w:abstractNumId w:val="29"/>
  </w:num>
  <w:num w:numId="12">
    <w:abstractNumId w:val="27"/>
  </w:num>
  <w:num w:numId="13">
    <w:abstractNumId w:val="33"/>
  </w:num>
  <w:num w:numId="14">
    <w:abstractNumId w:val="26"/>
  </w:num>
  <w:num w:numId="15">
    <w:abstractNumId w:val="21"/>
  </w:num>
  <w:num w:numId="16">
    <w:abstractNumId w:val="11"/>
  </w:num>
  <w:num w:numId="17">
    <w:abstractNumId w:val="8"/>
  </w:num>
  <w:num w:numId="18">
    <w:abstractNumId w:val="9"/>
  </w:num>
  <w:num w:numId="19">
    <w:abstractNumId w:val="7"/>
  </w:num>
  <w:num w:numId="20">
    <w:abstractNumId w:val="32"/>
  </w:num>
  <w:num w:numId="21">
    <w:abstractNumId w:val="5"/>
  </w:num>
  <w:num w:numId="22">
    <w:abstractNumId w:val="1"/>
  </w:num>
  <w:num w:numId="23">
    <w:abstractNumId w:val="43"/>
  </w:num>
  <w:num w:numId="24">
    <w:abstractNumId w:val="28"/>
  </w:num>
  <w:num w:numId="25">
    <w:abstractNumId w:val="19"/>
  </w:num>
  <w:num w:numId="26">
    <w:abstractNumId w:val="38"/>
  </w:num>
  <w:num w:numId="27">
    <w:abstractNumId w:val="22"/>
  </w:num>
  <w:num w:numId="28">
    <w:abstractNumId w:val="6"/>
  </w:num>
  <w:num w:numId="29">
    <w:abstractNumId w:val="46"/>
  </w:num>
  <w:num w:numId="30">
    <w:abstractNumId w:val="4"/>
  </w:num>
  <w:num w:numId="31">
    <w:abstractNumId w:val="69"/>
  </w:num>
  <w:num w:numId="32">
    <w:abstractNumId w:val="36"/>
  </w:num>
  <w:num w:numId="33">
    <w:abstractNumId w:val="70"/>
  </w:num>
  <w:num w:numId="34">
    <w:abstractNumId w:val="30"/>
  </w:num>
  <w:num w:numId="35">
    <w:abstractNumId w:val="24"/>
  </w:num>
  <w:num w:numId="36">
    <w:abstractNumId w:val="41"/>
  </w:num>
  <w:num w:numId="37">
    <w:abstractNumId w:val="2"/>
  </w:num>
  <w:num w:numId="38">
    <w:abstractNumId w:val="25"/>
  </w:num>
  <w:num w:numId="39">
    <w:abstractNumId w:val="17"/>
  </w:num>
  <w:num w:numId="40">
    <w:abstractNumId w:val="45"/>
  </w:num>
  <w:num w:numId="41">
    <w:abstractNumId w:val="34"/>
  </w:num>
  <w:num w:numId="42">
    <w:abstractNumId w:val="18"/>
  </w:num>
  <w:num w:numId="43">
    <w:abstractNumId w:val="48"/>
  </w:num>
  <w:num w:numId="44">
    <w:abstractNumId w:val="12"/>
  </w:num>
  <w:num w:numId="45">
    <w:abstractNumId w:val="10"/>
  </w:num>
  <w:num w:numId="46">
    <w:abstractNumId w:val="13"/>
  </w:num>
  <w:num w:numId="47">
    <w:abstractNumId w:val="35"/>
  </w:num>
  <w:num w:numId="48">
    <w:abstractNumId w:val="23"/>
  </w:num>
  <w:num w:numId="49">
    <w:abstractNumId w:val="3"/>
  </w:num>
  <w:num w:numId="50">
    <w:abstractNumId w:val="40"/>
  </w:num>
  <w:num w:numId="51">
    <w:abstractNumId w:val="56"/>
  </w:num>
  <w:num w:numId="52">
    <w:abstractNumId w:val="55"/>
  </w:num>
  <w:num w:numId="53">
    <w:abstractNumId w:val="57"/>
  </w:num>
  <w:num w:numId="54">
    <w:abstractNumId w:val="58"/>
  </w:num>
  <w:num w:numId="55">
    <w:abstractNumId w:val="59"/>
  </w:num>
  <w:num w:numId="56">
    <w:abstractNumId w:val="60"/>
  </w:num>
  <w:num w:numId="57">
    <w:abstractNumId w:val="61"/>
  </w:num>
  <w:num w:numId="58">
    <w:abstractNumId w:val="62"/>
  </w:num>
  <w:num w:numId="59">
    <w:abstractNumId w:val="39"/>
  </w:num>
  <w:num w:numId="60">
    <w:abstractNumId w:val="16"/>
  </w:num>
  <w:num w:numId="61">
    <w:abstractNumId w:val="49"/>
  </w:num>
  <w:num w:numId="62">
    <w:abstractNumId w:val="50"/>
  </w:num>
  <w:num w:numId="63">
    <w:abstractNumId w:val="51"/>
  </w:num>
  <w:num w:numId="64">
    <w:abstractNumId w:val="52"/>
  </w:num>
  <w:num w:numId="65">
    <w:abstractNumId w:val="53"/>
  </w:num>
  <w:num w:numId="66">
    <w:abstractNumId w:val="54"/>
  </w:num>
  <w:num w:numId="67">
    <w:abstractNumId w:val="63"/>
  </w:num>
  <w:num w:numId="68">
    <w:abstractNumId w:val="64"/>
  </w:num>
  <w:num w:numId="69">
    <w:abstractNumId w:val="15"/>
  </w:num>
  <w:num w:numId="70">
    <w:abstractNumId w:val="65"/>
  </w:num>
  <w:num w:numId="71">
    <w:abstractNumId w:val="66"/>
  </w:num>
  <w:num w:numId="72">
    <w:abstractNumId w:val="67"/>
  </w:num>
  <w:num w:numId="73">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00604"/>
    <w:rsid w:val="002141BE"/>
    <w:rsid w:val="00232E3B"/>
    <w:rsid w:val="0023532C"/>
    <w:rsid w:val="002441E4"/>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C74C9"/>
    <w:rsid w:val="008D78BD"/>
    <w:rsid w:val="008E13C5"/>
    <w:rsid w:val="00901BED"/>
    <w:rsid w:val="00902D93"/>
    <w:rsid w:val="00914DAB"/>
    <w:rsid w:val="00993044"/>
    <w:rsid w:val="009B065F"/>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1C5"/>
    <w:rsid w:val="00E7096F"/>
    <w:rsid w:val="00EB473B"/>
    <w:rsid w:val="00EE319D"/>
    <w:rsid w:val="00F0077E"/>
    <w:rsid w:val="00F50192"/>
    <w:rsid w:val="00F5498F"/>
    <w:rsid w:val="00F5749D"/>
    <w:rsid w:val="00F8181B"/>
    <w:rsid w:val="00FA0296"/>
    <w:rsid w:val="00FA6CE7"/>
    <w:rsid w:val="00FE2923"/>
    <w:rsid w:val="02562BF7"/>
    <w:rsid w:val="03BA3F56"/>
    <w:rsid w:val="0460442C"/>
    <w:rsid w:val="04CC55AF"/>
    <w:rsid w:val="0500018B"/>
    <w:rsid w:val="05B13762"/>
    <w:rsid w:val="07376664"/>
    <w:rsid w:val="09130B13"/>
    <w:rsid w:val="0B1A5A6E"/>
    <w:rsid w:val="0B2D0BA7"/>
    <w:rsid w:val="0BC6746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62A128A"/>
    <w:rsid w:val="16563388"/>
    <w:rsid w:val="17432384"/>
    <w:rsid w:val="17611875"/>
    <w:rsid w:val="1783542D"/>
    <w:rsid w:val="179972B0"/>
    <w:rsid w:val="18FC27C6"/>
    <w:rsid w:val="1B757EAF"/>
    <w:rsid w:val="1BEE22AB"/>
    <w:rsid w:val="1CAD01AC"/>
    <w:rsid w:val="1D866C77"/>
    <w:rsid w:val="1D9446FE"/>
    <w:rsid w:val="1DA62CA8"/>
    <w:rsid w:val="1E831DF3"/>
    <w:rsid w:val="1E856DEB"/>
    <w:rsid w:val="1F3C1565"/>
    <w:rsid w:val="20BD2325"/>
    <w:rsid w:val="24A67BC4"/>
    <w:rsid w:val="25801A05"/>
    <w:rsid w:val="27CE3874"/>
    <w:rsid w:val="27EB3D24"/>
    <w:rsid w:val="28B13D99"/>
    <w:rsid w:val="2A4135AD"/>
    <w:rsid w:val="2AD52CEA"/>
    <w:rsid w:val="2B683C5D"/>
    <w:rsid w:val="2B8255D3"/>
    <w:rsid w:val="2CED7384"/>
    <w:rsid w:val="2D131CD0"/>
    <w:rsid w:val="2DD45D89"/>
    <w:rsid w:val="2F237638"/>
    <w:rsid w:val="307B1E47"/>
    <w:rsid w:val="348C31DF"/>
    <w:rsid w:val="348E01C6"/>
    <w:rsid w:val="354C4323"/>
    <w:rsid w:val="35CD15B7"/>
    <w:rsid w:val="35D86BDE"/>
    <w:rsid w:val="35FD5667"/>
    <w:rsid w:val="36310E4A"/>
    <w:rsid w:val="36591675"/>
    <w:rsid w:val="372216A6"/>
    <w:rsid w:val="38663D34"/>
    <w:rsid w:val="389769F8"/>
    <w:rsid w:val="39310E98"/>
    <w:rsid w:val="3AA66AF1"/>
    <w:rsid w:val="3B885E8A"/>
    <w:rsid w:val="3C4454BA"/>
    <w:rsid w:val="3D3D1991"/>
    <w:rsid w:val="3E6E2E42"/>
    <w:rsid w:val="3EA23778"/>
    <w:rsid w:val="3EAC1C1C"/>
    <w:rsid w:val="3EE67142"/>
    <w:rsid w:val="3EFE04EE"/>
    <w:rsid w:val="3FCF347B"/>
    <w:rsid w:val="3FE830E5"/>
    <w:rsid w:val="40221B6B"/>
    <w:rsid w:val="41487A0A"/>
    <w:rsid w:val="42342BAA"/>
    <w:rsid w:val="425B6A60"/>
    <w:rsid w:val="426E7500"/>
    <w:rsid w:val="43685ADB"/>
    <w:rsid w:val="44045C03"/>
    <w:rsid w:val="46DB254E"/>
    <w:rsid w:val="47C36E36"/>
    <w:rsid w:val="48A3615E"/>
    <w:rsid w:val="48E00B0C"/>
    <w:rsid w:val="4B954EA0"/>
    <w:rsid w:val="4CC84C98"/>
    <w:rsid w:val="4D4708A6"/>
    <w:rsid w:val="4E754A4E"/>
    <w:rsid w:val="4E9967DA"/>
    <w:rsid w:val="4ECF6E10"/>
    <w:rsid w:val="4F1025D9"/>
    <w:rsid w:val="4FC27339"/>
    <w:rsid w:val="502B3CEE"/>
    <w:rsid w:val="509F5AAF"/>
    <w:rsid w:val="50EE58D7"/>
    <w:rsid w:val="519E097B"/>
    <w:rsid w:val="51EB2798"/>
    <w:rsid w:val="53A84543"/>
    <w:rsid w:val="56A66316"/>
    <w:rsid w:val="5851778C"/>
    <w:rsid w:val="58A020D2"/>
    <w:rsid w:val="5A5F3178"/>
    <w:rsid w:val="5A7E2982"/>
    <w:rsid w:val="5B24597E"/>
    <w:rsid w:val="5B7358EA"/>
    <w:rsid w:val="5BEF430C"/>
    <w:rsid w:val="5C531CB6"/>
    <w:rsid w:val="5CF01D88"/>
    <w:rsid w:val="5D5C0387"/>
    <w:rsid w:val="5DF35554"/>
    <w:rsid w:val="608F3A1C"/>
    <w:rsid w:val="6336483C"/>
    <w:rsid w:val="646D7D7D"/>
    <w:rsid w:val="64A47711"/>
    <w:rsid w:val="64BB6AA4"/>
    <w:rsid w:val="64EB1FB1"/>
    <w:rsid w:val="65085FDD"/>
    <w:rsid w:val="66A625FE"/>
    <w:rsid w:val="66BC7D07"/>
    <w:rsid w:val="672D0717"/>
    <w:rsid w:val="68782DAE"/>
    <w:rsid w:val="69644745"/>
    <w:rsid w:val="69BC658F"/>
    <w:rsid w:val="6A042D14"/>
    <w:rsid w:val="6ABE1B22"/>
    <w:rsid w:val="6B29233B"/>
    <w:rsid w:val="6B8C2015"/>
    <w:rsid w:val="6C1B5E3A"/>
    <w:rsid w:val="6C3E06A6"/>
    <w:rsid w:val="6D966DB7"/>
    <w:rsid w:val="6EE209DA"/>
    <w:rsid w:val="70597F18"/>
    <w:rsid w:val="7082330A"/>
    <w:rsid w:val="725917A9"/>
    <w:rsid w:val="73631A55"/>
    <w:rsid w:val="7669037E"/>
    <w:rsid w:val="77B75243"/>
    <w:rsid w:val="77C21A5F"/>
    <w:rsid w:val="77D23D86"/>
    <w:rsid w:val="792D1E0D"/>
    <w:rsid w:val="79321117"/>
    <w:rsid w:val="79932ACB"/>
    <w:rsid w:val="7A3A7C0C"/>
    <w:rsid w:val="7A835F66"/>
    <w:rsid w:val="7A8955BC"/>
    <w:rsid w:val="7A9D6576"/>
    <w:rsid w:val="7D3E6993"/>
    <w:rsid w:val="7DAE1C60"/>
    <w:rsid w:val="7FEEF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5"/>
    <w:uiPriority w:val="0"/>
    <w:pPr>
      <w:jc w:val="left"/>
    </w:pPr>
    <w:rPr>
      <w:rFonts w:cs="Times New Roman"/>
    </w:rPr>
  </w:style>
  <w:style w:type="paragraph" w:styleId="3">
    <w:name w:val="Balloon Text"/>
    <w:basedOn w:val="1"/>
    <w:link w:val="16"/>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7"/>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List Paragraph"/>
    <w:basedOn w:val="1"/>
    <w:unhideWhenUsed/>
    <w:uiPriority w:val="99"/>
    <w:pPr>
      <w:ind w:firstLine="420" w:firstLineChars="200"/>
    </w:pPr>
  </w:style>
  <w:style w:type="paragraph" w:customStyle="1" w:styleId="14">
    <w:name w:val="Default"/>
    <w:qFormat/>
    <w:uiPriority w:val="0"/>
    <w:pPr>
      <w:widowControl w:val="0"/>
      <w:autoSpaceDE w:val="0"/>
      <w:autoSpaceDN w:val="0"/>
      <w:adjustRightInd w:val="0"/>
    </w:pPr>
    <w:rPr>
      <w:color w:val="000000"/>
      <w:sz w:val="24"/>
      <w:szCs w:val="24"/>
      <w:lang w:val="en-US" w:eastAsia="zh-CN" w:bidi="ar-SA"/>
    </w:rPr>
  </w:style>
  <w:style w:type="character" w:customStyle="1" w:styleId="15">
    <w:name w:val="批注文字 字符"/>
    <w:link w:val="2"/>
    <w:uiPriority w:val="0"/>
    <w:rPr>
      <w:rFonts w:ascii="Calibri" w:hAnsi="Calibri" w:cs="黑体"/>
      <w:kern w:val="2"/>
      <w:sz w:val="21"/>
      <w:szCs w:val="24"/>
    </w:rPr>
  </w:style>
  <w:style w:type="character" w:customStyle="1" w:styleId="16">
    <w:name w:val="批注框文本 字符"/>
    <w:link w:val="3"/>
    <w:uiPriority w:val="0"/>
    <w:rPr>
      <w:rFonts w:ascii="Calibri" w:hAnsi="Calibri" w:cs="黑体"/>
      <w:kern w:val="2"/>
      <w:sz w:val="18"/>
      <w:szCs w:val="18"/>
    </w:rPr>
  </w:style>
  <w:style w:type="character" w:customStyle="1" w:styleId="17">
    <w:name w:val="批注主题 字符"/>
    <w:link w:val="7"/>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33593</Words>
  <Characters>35870</Characters>
  <Lines>259</Lines>
  <Paragraphs>72</Paragraphs>
  <TotalTime>0</TotalTime>
  <ScaleCrop>false</ScaleCrop>
  <LinksUpToDate>false</LinksUpToDate>
  <CharactersWithSpaces>36296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2022-10-31T19:18:00Z</dcterms:created>
  <dc:creator>Administrator</dc:creator>
  <cp:lastModifiedBy>hccb</cp:lastModifiedBy>
  <dcterms:modified xsi:type="dcterms:W3CDTF">2025-03-27T08:43:51Z</dcterms:modified>
  <dc:title>杭银理财幸福99XXXX理财计划合同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