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〖Z7002221000111〗</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24"/>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24"/>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周添益2101期理财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24"/>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24"/>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24"/>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24"/>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7日工作日可变现资产：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4"/>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24"/>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2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24"/>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24"/>
        <w:numPr>
          <w:ilvl w:val="0"/>
          <w:numId w:val="0"/>
        </w:numPr>
        <w:adjustRightInd/>
        <w:spacing w:line="360" w:lineRule="auto"/>
        <w:rPr>
          <w:rFonts w:hint="eastAsia" w:ascii="宋体" w:hAnsi="宋体" w:cs="宋体"/>
          <w:b/>
          <w:color w:val="auto"/>
          <w:kern w:val="2"/>
          <w:highlight w:val="none"/>
        </w:rPr>
      </w:pPr>
    </w:p>
    <w:p>
      <w:pPr>
        <w:pStyle w:val="24"/>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24"/>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24"/>
        <w:adjustRightInd/>
        <w:spacing w:line="360" w:lineRule="auto"/>
        <w:rPr>
          <w:rFonts w:hint="eastAsia" w:ascii="宋体" w:hAnsi="宋体" w:cs="宋体"/>
          <w:b/>
          <w:color w:val="auto"/>
          <w:kern w:val="2"/>
          <w:highlight w:val="none"/>
        </w:rPr>
      </w:pPr>
    </w:p>
    <w:p>
      <w:pPr>
        <w:pStyle w:val="24"/>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周添益2101期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TYG7D2101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w:t>
            </w:r>
            <w:r>
              <w:rPr>
                <w:rFonts w:hint="eastAsia" w:ascii="宋体" w:hAnsi="宋体" w:cs="宋体"/>
                <w:color w:val="000000"/>
                <w:sz w:val="21"/>
                <w:szCs w:val="21"/>
                <w:highlight w:val="none"/>
                <w:lang w:val="en-US" w:eastAsia="zh-CN"/>
              </w:rPr>
              <w:t>是</w:t>
            </w:r>
            <w:r>
              <w:rPr>
                <w:rFonts w:hint="eastAsia" w:ascii="宋体" w:hAnsi="宋体" w:cs="宋体"/>
                <w:color w:val="000000"/>
                <w:sz w:val="21"/>
                <w:szCs w:val="21"/>
                <w:highlight w:val="none"/>
              </w:rPr>
              <w:t>〖</w:t>
            </w:r>
            <w:r>
              <w:rPr>
                <w:rFonts w:hint="eastAsia" w:ascii="宋体" w:hAnsi="宋体" w:cs="宋体"/>
                <w:sz w:val="21"/>
                <w:szCs w:val="21"/>
                <w:highlight w:val="none"/>
              </w:rPr>
              <w:t>Z7002221000111</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vAlign w:val="center"/>
          </w:tcPr>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TYG7D2101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TYG7D2101B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lang w:eastAsia="zh-CN"/>
              </w:rPr>
              <w:t>封闭</w:t>
            </w:r>
            <w:r>
              <w:rPr>
                <w:rFonts w:hint="eastAsia" w:ascii="宋体" w:hAnsi="宋体" w:cs="宋体"/>
                <w:color w:val="000000"/>
                <w:sz w:val="21"/>
                <w:szCs w:val="21"/>
                <w:highlight w:val="none"/>
              </w:rPr>
              <w:t>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每日〗开放,</w:t>
            </w:r>
            <w:r>
              <w:rPr>
                <w:rFonts w:hint="eastAsia" w:ascii="宋体" w:hAnsi="宋体" w:cs="宋体"/>
                <w:sz w:val="21"/>
                <w:szCs w:val="21"/>
                <w:highlight w:val="none"/>
              </w:rPr>
              <w:t>〖</w:t>
            </w:r>
            <w:r>
              <w:rPr>
                <w:rFonts w:hint="eastAsia" w:ascii="宋体" w:hAnsi="宋体" w:cs="宋体"/>
                <w:sz w:val="21"/>
                <w:szCs w:val="21"/>
                <w:highlight w:val="none"/>
                <w:lang w:val="en-US" w:eastAsia="zh-CN"/>
              </w:rPr>
              <w:t>每周四〗为确认日。本周四至下周三17:00前的交易申请将在下周四进行确认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申请将在确认日，即开放期后的第〖1〗个</w:t>
            </w:r>
            <w:r>
              <w:rPr>
                <w:rFonts w:hint="eastAsia" w:ascii="宋体" w:hAnsi="宋体" w:cs="宋体"/>
                <w:bCs w:val="0"/>
                <w:color w:val="000000"/>
                <w:sz w:val="21"/>
                <w:szCs w:val="21"/>
                <w:highlight w:val="none"/>
              </w:rPr>
              <w:t>工作日进行确认。</w:t>
            </w:r>
            <w:r>
              <w:rPr>
                <w:rFonts w:hint="eastAsia" w:ascii="宋体" w:hAnsi="宋体" w:cs="宋体"/>
                <w:color w:val="000000"/>
                <w:sz w:val="21"/>
                <w:szCs w:val="21"/>
                <w:highlight w:val="none"/>
              </w:rPr>
              <w:t>确认日如遇非工作日，则顺延至〖下一工作日〗。</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4.上述交易安排如有调整，请以管理人公告为准。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单户单周期最高赎回份额为〖</w:t>
            </w:r>
            <w:r>
              <w:rPr>
                <w:rFonts w:hint="eastAsia" w:ascii="宋体" w:hAnsi="宋体" w:cs="宋体"/>
                <w:sz w:val="21"/>
                <w:szCs w:val="21"/>
                <w:highlight w:val="none"/>
                <w:lang w:val="en-US" w:eastAsia="zh-CN"/>
              </w:rPr>
              <w:t>2000</w:t>
            </w:r>
            <w:r>
              <w:rPr>
                <w:rFonts w:hint="eastAsia" w:ascii="宋体" w:hAnsi="宋体" w:cs="宋体"/>
                <w:sz w:val="21"/>
                <w:szCs w:val="21"/>
                <w:highlight w:val="none"/>
              </w:rPr>
              <w:t>万份〗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六位后去尾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w:t>
            </w:r>
            <w:r>
              <w:rPr>
                <w:rFonts w:hint="eastAsia" w:ascii="宋体" w:hAnsi="宋体" w:cs="宋体"/>
                <w:sz w:val="21"/>
                <w:szCs w:val="21"/>
                <w:highlight w:val="none"/>
              </w:rPr>
              <w:t>%-</w:t>
            </w:r>
            <w:r>
              <w:rPr>
                <w:rFonts w:hint="eastAsia" w:ascii="宋体" w:hAnsi="宋体" w:cs="宋体"/>
                <w:sz w:val="21"/>
                <w:szCs w:val="21"/>
                <w:highlight w:val="none"/>
                <w:lang w:val="en-US" w:eastAsia="zh-CN"/>
              </w:rPr>
              <w:t>2.65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w:t>
            </w:r>
            <w:r>
              <w:rPr>
                <w:rFonts w:hint="eastAsia" w:ascii="宋体" w:hAnsi="宋体" w:cs="宋体"/>
                <w:sz w:val="21"/>
                <w:szCs w:val="21"/>
                <w:highlight w:val="none"/>
              </w:rPr>
              <w:t>%-</w:t>
            </w:r>
            <w:r>
              <w:rPr>
                <w:rFonts w:hint="eastAsia" w:ascii="宋体" w:hAnsi="宋体" w:cs="宋体"/>
                <w:sz w:val="21"/>
                <w:szCs w:val="21"/>
                <w:highlight w:val="none"/>
                <w:lang w:val="en-US" w:eastAsia="zh-CN"/>
              </w:rPr>
              <w:t>2.65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在不同的时点及宏观环境下，对标中债-综合全价（1年以下）指数（CBA00213.CS）的历史平均7日滚动年化收益率，通过不同的投资策略、资产组合，以及对资产波动率的控制，中性预期在该指数收益基础上收益增厚。经过对不同投资策略的历史表现模拟回测，综合各类资产收益、产品费用及税费后的收益在1.65%-2.65%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vAlign w:val="center"/>
          </w:tcPr>
          <w:p>
            <w:pPr>
              <w:widowControl/>
              <w:spacing w:line="360" w:lineRule="auto"/>
              <w:contextualSpacing/>
              <w:rPr>
                <w:rFonts w:hint="default" w:ascii="宋体" w:hAnsi="宋体" w:cs="宋体"/>
                <w:bCs/>
                <w:color w:val="FF0000"/>
                <w:sz w:val="21"/>
                <w:szCs w:val="21"/>
                <w:highlight w:val="none"/>
                <w:lang w:val="en-US"/>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浮动管理费</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sz w:val="24"/>
        </w:rPr>
        <w:t>包括国内发行上市优先股以及其他符合监管要求的权益类资产（不包括未上市企业股权）</w:t>
      </w:r>
      <w:r>
        <w:rPr>
          <w:rFonts w:hint="eastAsia" w:ascii="宋体" w:hAnsi="宋体" w:cs="宋体"/>
          <w:bCs/>
          <w:sz w:val="24"/>
          <w:highlight w:val="none"/>
        </w:rPr>
        <w:t>。</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6" w:type="dxa"/>
          </w:tcPr>
          <w:p>
            <w:pPr>
              <w:spacing w:line="360" w:lineRule="auto"/>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周</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24"/>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pStyle w:val="24"/>
        <w:adjustRightInd/>
        <w:spacing w:line="360" w:lineRule="auto"/>
        <w:ind w:firstLine="480" w:firstLineChars="200"/>
        <w:rPr>
          <w:rFonts w:hint="eastAsia" w:ascii="宋体" w:hAnsi="宋体" w:cs="宋体"/>
          <w:bCs/>
          <w:color w:val="auto"/>
          <w:kern w:val="2"/>
          <w:highlight w:val="none"/>
          <w:lang w:eastAsia="zh-CN"/>
        </w:rPr>
      </w:pPr>
      <w:r>
        <w:rPr>
          <w:rFonts w:hint="eastAsia" w:ascii="宋体" w:hAnsi="宋体" w:cs="宋体"/>
          <w:bCs/>
          <w:color w:val="auto"/>
          <w:kern w:val="2"/>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233"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233" w:type="dxa"/>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233" w:type="dxa"/>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1800"/>
        <w:gridCol w:w="1282"/>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销售机构信息</w:t>
            </w: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cs="宋体"/>
                <w:i w:val="0"/>
                <w:color w:val="000000"/>
                <w:kern w:val="0"/>
                <w:sz w:val="24"/>
                <w:szCs w:val="24"/>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苏州银行股份有限公司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厦门国际银行股份有限公司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宁波鄞州农村商业银行股份有限公司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深圳前海微众银行股份有限公司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吉林亿联银行股份有限公司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江苏苏</w:t>
            </w:r>
            <w:r>
              <w:rPr>
                <w:rFonts w:hint="eastAsia" w:ascii="宋体" w:hAnsi="宋体" w:cs="宋体"/>
                <w:i w:val="0"/>
                <w:color w:val="000000"/>
                <w:kern w:val="0"/>
                <w:sz w:val="24"/>
                <w:szCs w:val="24"/>
                <w:u w:val="none"/>
                <w:lang w:val="en-US" w:eastAsia="zh-CN" w:bidi="ar"/>
              </w:rPr>
              <w:t>商</w:t>
            </w:r>
            <w:r>
              <w:rPr>
                <w:rFonts w:hint="eastAsia" w:ascii="宋体" w:hAnsi="宋体" w:eastAsia="宋体" w:cs="宋体"/>
                <w:i w:val="0"/>
                <w:color w:val="000000"/>
                <w:kern w:val="0"/>
                <w:sz w:val="24"/>
                <w:szCs w:val="24"/>
                <w:u w:val="none"/>
                <w:lang w:val="en-US" w:eastAsia="zh-CN" w:bidi="ar"/>
              </w:rPr>
              <w:t>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95</w:t>
            </w:r>
            <w:r>
              <w:rPr>
                <w:rFonts w:hint="eastAsia" w:ascii="宋体" w:hAnsi="宋体" w:cs="宋体"/>
                <w:i w:val="0"/>
                <w:color w:val="000000"/>
                <w:kern w:val="0"/>
                <w:sz w:val="24"/>
                <w:szCs w:val="24"/>
                <w:u w:val="none"/>
                <w:lang w:val="en-US" w:eastAsia="zh-CN" w:bidi="ar"/>
              </w:rPr>
              <w:t>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石嘴山银行股份有限公司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中信百信银行股份有限公司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cs="宋体"/>
                <w:i w:val="0"/>
                <w:color w:val="000000"/>
                <w:kern w:val="0"/>
                <w:sz w:val="24"/>
                <w:szCs w:val="24"/>
                <w:u w:val="none"/>
                <w:lang w:val="en-US" w:eastAsia="zh-CN" w:bidi="ar"/>
              </w:rPr>
              <w:t>956</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齐鲁银行股份有限公司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重庆富民银行股份有限公司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兴业银行股份有限公司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汉口银行股份有限公司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江汉区建设大道933号武汉商业银行大厦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广东南粤银行股份有限公司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湖南三湘银行股份有限公司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长沙市岳麓区滨江路53号湖南湘江新区滨江金融中心楷林国际D座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0731-96500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澳门国际银行股份有限公司广州分行</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威海蓝海银行股份有限公司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山东省威海市环翠区新威路17-2号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400-0631-888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浙商银行股份有限公司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江苏常熟农村商业银行股份有限公司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广东华兴银行股份有限公司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浙江青田农村商业银行股份有限公司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浙江临海农村商业银行股份有限公司</w:t>
            </w:r>
          </w:p>
        </w:tc>
        <w:tc>
          <w:tcPr>
            <w:tcW w:w="1282" w:type="dxa"/>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浙江省临海市大洋街道河阳路299号临海农商银行15F金融市场中心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0576-85307599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宁波镇海农村商业银行股份有限公司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浙江省宁波市镇海区骆驼街道镇海大道中段788号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0574-86297777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浙江台州黄岩农村商业银行股份有限公司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浙江省台州黄岩洞天路88号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0576-89996596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浙江嘉善农村商业银行股份有限公司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浙江省嘉善县罗星街道车站南路999号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东营银行股份有限公司</w:t>
            </w:r>
          </w:p>
        </w:tc>
        <w:tc>
          <w:tcPr>
            <w:tcW w:w="1282"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山东省东营市东营区府前大街87-1号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4006296588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杭银理财有限责任公司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中邮邮惠万家银行有限责任公司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restart"/>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浙江临安农村商业银行股份有限公司</w:t>
            </w: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vAlign w:val="center"/>
          </w:tcPr>
          <w:p>
            <w:pPr>
              <w:spacing w:line="360" w:lineRule="auto"/>
              <w:jc w:val="center"/>
              <w:rPr>
                <w:rFonts w:hint="eastAsia" w:ascii="宋体" w:hAnsi="宋体" w:eastAsia="宋体" w:cs="宋体"/>
                <w:bCs/>
                <w:sz w:val="24"/>
                <w:szCs w:val="24"/>
                <w:highlight w:val="none"/>
              </w:rPr>
            </w:pPr>
          </w:p>
        </w:tc>
        <w:tc>
          <w:tcPr>
            <w:tcW w:w="1800" w:type="dxa"/>
            <w:vMerge w:val="continue"/>
            <w:vAlign w:val="center"/>
          </w:tcPr>
          <w:p>
            <w:pPr>
              <w:spacing w:line="360" w:lineRule="auto"/>
              <w:jc w:val="center"/>
              <w:rPr>
                <w:rFonts w:hint="eastAsia" w:ascii="宋体" w:hAnsi="宋体" w:eastAsia="宋体" w:cs="宋体"/>
                <w:bCs/>
                <w:sz w:val="24"/>
                <w:szCs w:val="24"/>
                <w:highlight w:val="none"/>
              </w:rPr>
            </w:pPr>
          </w:p>
        </w:tc>
        <w:tc>
          <w:tcPr>
            <w:tcW w:w="1282"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销售机构职责</w:t>
            </w:r>
          </w:p>
        </w:tc>
        <w:tc>
          <w:tcPr>
            <w:tcW w:w="6927" w:type="dxa"/>
            <w:gridSpan w:val="3"/>
            <w:vAlign w:val="bottom"/>
          </w:tcPr>
          <w:p>
            <w:pPr>
              <w:keepNext w:val="0"/>
              <w:keepLines w:val="0"/>
              <w:widowControl/>
              <w:suppressLineNumbers w:val="0"/>
              <w:spacing w:line="360" w:lineRule="auto"/>
              <w:jc w:val="left"/>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主要负责理财计划推广、投资者风险承受能力评估、投资者适当性管理、理财计划份额认购、申购及赎回办理。协助管理人负责与投资者签订理财计划合同、与投资者沟通及进行信息披露、接受投资者咨询和维护等销售服务。</w:t>
            </w:r>
          </w:p>
        </w:tc>
      </w:tr>
    </w:tbl>
    <w:p>
      <w:pPr>
        <w:spacing w:line="360" w:lineRule="auto"/>
        <w:ind w:firstLine="0" w:firstLineChars="0"/>
        <w:rPr>
          <w:rFonts w:hint="eastAsia" w:ascii="宋体" w:hAnsi="宋体" w:cs="宋体"/>
          <w:b/>
          <w:sz w:val="24"/>
          <w:highlight w:val="none"/>
        </w:rPr>
      </w:pP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24"/>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2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24"/>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2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2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r>
        <w:rPr>
          <w:rFonts w:hint="eastAsia" w:ascii="宋体" w:hAnsi="宋体" w:cs="宋体"/>
          <w:bCs/>
          <w:color w:val="000000"/>
          <w:sz w:val="24"/>
          <w:highlight w:val="none"/>
          <w:lang w:eastAsia="zh-CN"/>
        </w:rPr>
        <w:t>。</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-1)×365/362=</w:t>
      </w:r>
      <w:r>
        <w:rPr>
          <w:rFonts w:hint="eastAsia" w:ascii="宋体" w:hAnsi="宋体"/>
          <w:highlight w:val="none"/>
        </w:rPr>
        <w:t>4.53</w:t>
      </w:r>
      <w:r>
        <w:rPr>
          <w:rFonts w:hint="eastAsia" w:ascii="宋体" w:hAnsi="宋体" w:cs="宋体"/>
          <w:bCs/>
          <w:color w:val="000000"/>
          <w:sz w:val="24"/>
          <w:highlight w:val="none"/>
        </w:rPr>
        <w:t>%，投资者最终收益为：100,000.00×（1.0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 =</w:t>
      </w:r>
      <w:r>
        <w:rPr>
          <w:rFonts w:hint="eastAsia" w:ascii="宋体" w:hAnsi="宋体"/>
          <w:highlight w:val="none"/>
        </w:rPr>
        <w:t>4,500.00</w:t>
      </w:r>
      <w:r>
        <w:rPr>
          <w:rFonts w:hint="eastAsia" w:ascii="宋体" w:hAnsi="宋体" w:cs="宋体"/>
          <w:bCs/>
          <w:color w:val="000000"/>
          <w:sz w:val="24"/>
          <w:highlight w:val="none"/>
        </w:rPr>
        <w:t>（元）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93FAC"/>
    <w:rsid w:val="00241C29"/>
    <w:rsid w:val="004A3A51"/>
    <w:rsid w:val="00D5498D"/>
    <w:rsid w:val="01364432"/>
    <w:rsid w:val="01523B8E"/>
    <w:rsid w:val="01D93620"/>
    <w:rsid w:val="01E60817"/>
    <w:rsid w:val="01FD241C"/>
    <w:rsid w:val="0230264E"/>
    <w:rsid w:val="023C0FF3"/>
    <w:rsid w:val="03962E1E"/>
    <w:rsid w:val="04193D77"/>
    <w:rsid w:val="046A44FD"/>
    <w:rsid w:val="051316A0"/>
    <w:rsid w:val="05E05E4D"/>
    <w:rsid w:val="06420CFA"/>
    <w:rsid w:val="06503B59"/>
    <w:rsid w:val="06F301FD"/>
    <w:rsid w:val="0752555A"/>
    <w:rsid w:val="078F2493"/>
    <w:rsid w:val="07E45984"/>
    <w:rsid w:val="0828699A"/>
    <w:rsid w:val="087D4021"/>
    <w:rsid w:val="09155E8F"/>
    <w:rsid w:val="097E3F67"/>
    <w:rsid w:val="0A0C6349"/>
    <w:rsid w:val="0A1347F5"/>
    <w:rsid w:val="0A1F3796"/>
    <w:rsid w:val="0A2A32B9"/>
    <w:rsid w:val="0B8E27E3"/>
    <w:rsid w:val="0BF71AE2"/>
    <w:rsid w:val="0C9C7394"/>
    <w:rsid w:val="0CA6603D"/>
    <w:rsid w:val="0D0B1B00"/>
    <w:rsid w:val="0D3F210A"/>
    <w:rsid w:val="0D9568C7"/>
    <w:rsid w:val="0E36795A"/>
    <w:rsid w:val="0E4A4B6F"/>
    <w:rsid w:val="0E9465E2"/>
    <w:rsid w:val="0EAE473F"/>
    <w:rsid w:val="0EF65480"/>
    <w:rsid w:val="0F3349D0"/>
    <w:rsid w:val="1050266B"/>
    <w:rsid w:val="10776FA2"/>
    <w:rsid w:val="10E7087B"/>
    <w:rsid w:val="10FA5463"/>
    <w:rsid w:val="110C20DF"/>
    <w:rsid w:val="111923AE"/>
    <w:rsid w:val="11BA058F"/>
    <w:rsid w:val="12081858"/>
    <w:rsid w:val="12B62B3B"/>
    <w:rsid w:val="13031153"/>
    <w:rsid w:val="13181417"/>
    <w:rsid w:val="135A629F"/>
    <w:rsid w:val="13CF7B8E"/>
    <w:rsid w:val="142B361D"/>
    <w:rsid w:val="145D4EDA"/>
    <w:rsid w:val="1477086D"/>
    <w:rsid w:val="14B17543"/>
    <w:rsid w:val="14B80FF2"/>
    <w:rsid w:val="14C57FED"/>
    <w:rsid w:val="150C5665"/>
    <w:rsid w:val="15103313"/>
    <w:rsid w:val="15C56302"/>
    <w:rsid w:val="160940BB"/>
    <w:rsid w:val="161741B6"/>
    <w:rsid w:val="1659752C"/>
    <w:rsid w:val="16E43A7F"/>
    <w:rsid w:val="16EB65F0"/>
    <w:rsid w:val="17D45D18"/>
    <w:rsid w:val="183B3108"/>
    <w:rsid w:val="185A3DA1"/>
    <w:rsid w:val="18C8521E"/>
    <w:rsid w:val="194852F2"/>
    <w:rsid w:val="198C4B50"/>
    <w:rsid w:val="19DA4F78"/>
    <w:rsid w:val="19F13F4F"/>
    <w:rsid w:val="1A102675"/>
    <w:rsid w:val="1B280245"/>
    <w:rsid w:val="1B581220"/>
    <w:rsid w:val="1B843575"/>
    <w:rsid w:val="1BA25B8B"/>
    <w:rsid w:val="1BBE4697"/>
    <w:rsid w:val="1D4D5B7F"/>
    <w:rsid w:val="1D552DD9"/>
    <w:rsid w:val="1D5B30BA"/>
    <w:rsid w:val="1DAB6D83"/>
    <w:rsid w:val="1DEF5455"/>
    <w:rsid w:val="1E211950"/>
    <w:rsid w:val="1E3173A3"/>
    <w:rsid w:val="1E792E51"/>
    <w:rsid w:val="1F0F5A19"/>
    <w:rsid w:val="1F1D6E1F"/>
    <w:rsid w:val="1F3E7F7D"/>
    <w:rsid w:val="1F51312D"/>
    <w:rsid w:val="1FC9553A"/>
    <w:rsid w:val="204D3B12"/>
    <w:rsid w:val="205A2AB3"/>
    <w:rsid w:val="20B6224D"/>
    <w:rsid w:val="21025026"/>
    <w:rsid w:val="21036497"/>
    <w:rsid w:val="21ED299E"/>
    <w:rsid w:val="22332466"/>
    <w:rsid w:val="224272DF"/>
    <w:rsid w:val="22A04AF7"/>
    <w:rsid w:val="22A73C8E"/>
    <w:rsid w:val="22D3594B"/>
    <w:rsid w:val="22F12819"/>
    <w:rsid w:val="23430AF2"/>
    <w:rsid w:val="234F46D7"/>
    <w:rsid w:val="23753F06"/>
    <w:rsid w:val="238E1AAE"/>
    <w:rsid w:val="24345B9A"/>
    <w:rsid w:val="245517BD"/>
    <w:rsid w:val="2483647E"/>
    <w:rsid w:val="256E79E9"/>
    <w:rsid w:val="256F076F"/>
    <w:rsid w:val="260B65D7"/>
    <w:rsid w:val="261E6D12"/>
    <w:rsid w:val="26820AF7"/>
    <w:rsid w:val="27121B72"/>
    <w:rsid w:val="27947E62"/>
    <w:rsid w:val="27EB2573"/>
    <w:rsid w:val="27F83A5F"/>
    <w:rsid w:val="288B46B0"/>
    <w:rsid w:val="292668E3"/>
    <w:rsid w:val="29361BBD"/>
    <w:rsid w:val="29F25B57"/>
    <w:rsid w:val="2A124404"/>
    <w:rsid w:val="2A1B5D68"/>
    <w:rsid w:val="2A5975B6"/>
    <w:rsid w:val="2A991D32"/>
    <w:rsid w:val="2AB92324"/>
    <w:rsid w:val="2AD6555A"/>
    <w:rsid w:val="2B376BE0"/>
    <w:rsid w:val="2C1B1E9D"/>
    <w:rsid w:val="2CAB68C5"/>
    <w:rsid w:val="2E354AE5"/>
    <w:rsid w:val="2EBC6D03"/>
    <w:rsid w:val="2F1F666C"/>
    <w:rsid w:val="2FD32A37"/>
    <w:rsid w:val="30551FFC"/>
    <w:rsid w:val="30E15E0F"/>
    <w:rsid w:val="311F702A"/>
    <w:rsid w:val="319F375F"/>
    <w:rsid w:val="31A82883"/>
    <w:rsid w:val="320E3E15"/>
    <w:rsid w:val="32290EBD"/>
    <w:rsid w:val="32B15B31"/>
    <w:rsid w:val="32C937E9"/>
    <w:rsid w:val="333F6AA7"/>
    <w:rsid w:val="33F05596"/>
    <w:rsid w:val="3480359E"/>
    <w:rsid w:val="34BE4ED5"/>
    <w:rsid w:val="35476F5E"/>
    <w:rsid w:val="354D3F58"/>
    <w:rsid w:val="359A216E"/>
    <w:rsid w:val="361955E1"/>
    <w:rsid w:val="36631FD8"/>
    <w:rsid w:val="36E72D9B"/>
    <w:rsid w:val="371940D4"/>
    <w:rsid w:val="379F2ED6"/>
    <w:rsid w:val="37CA172C"/>
    <w:rsid w:val="37DC2068"/>
    <w:rsid w:val="38071350"/>
    <w:rsid w:val="38224FD0"/>
    <w:rsid w:val="39775E90"/>
    <w:rsid w:val="3A3E2041"/>
    <w:rsid w:val="3B131EF6"/>
    <w:rsid w:val="3B1D74AE"/>
    <w:rsid w:val="3B23657C"/>
    <w:rsid w:val="3B490D86"/>
    <w:rsid w:val="3C2F2290"/>
    <w:rsid w:val="3CED53B1"/>
    <w:rsid w:val="3DDC10DF"/>
    <w:rsid w:val="3E513E2A"/>
    <w:rsid w:val="3EA67C14"/>
    <w:rsid w:val="3EAD1B36"/>
    <w:rsid w:val="3F056B9E"/>
    <w:rsid w:val="3F354A62"/>
    <w:rsid w:val="3FF54C55"/>
    <w:rsid w:val="40142720"/>
    <w:rsid w:val="40181F9C"/>
    <w:rsid w:val="406370BC"/>
    <w:rsid w:val="40FB7670"/>
    <w:rsid w:val="41B45743"/>
    <w:rsid w:val="41B60000"/>
    <w:rsid w:val="4233585E"/>
    <w:rsid w:val="423C06E2"/>
    <w:rsid w:val="425119F2"/>
    <w:rsid w:val="42815397"/>
    <w:rsid w:val="42C94634"/>
    <w:rsid w:val="43397C8C"/>
    <w:rsid w:val="434F2949"/>
    <w:rsid w:val="45540446"/>
    <w:rsid w:val="458F3937"/>
    <w:rsid w:val="459F641E"/>
    <w:rsid w:val="45A93DC9"/>
    <w:rsid w:val="45BB5620"/>
    <w:rsid w:val="45F127ED"/>
    <w:rsid w:val="46263D02"/>
    <w:rsid w:val="46CD66A0"/>
    <w:rsid w:val="472803B7"/>
    <w:rsid w:val="478411E4"/>
    <w:rsid w:val="488B59A4"/>
    <w:rsid w:val="488D1C67"/>
    <w:rsid w:val="491042FE"/>
    <w:rsid w:val="493A606E"/>
    <w:rsid w:val="494502E1"/>
    <w:rsid w:val="4A010AC9"/>
    <w:rsid w:val="4A7F0ADF"/>
    <w:rsid w:val="4AA612F0"/>
    <w:rsid w:val="4B0D3113"/>
    <w:rsid w:val="4BDC47ED"/>
    <w:rsid w:val="4C6B0DDA"/>
    <w:rsid w:val="4C6E1306"/>
    <w:rsid w:val="4CF979F4"/>
    <w:rsid w:val="4D8C0BC8"/>
    <w:rsid w:val="4E186164"/>
    <w:rsid w:val="4E247E9A"/>
    <w:rsid w:val="4E2F1033"/>
    <w:rsid w:val="4E8274B0"/>
    <w:rsid w:val="4EA65BC4"/>
    <w:rsid w:val="4EFC1B31"/>
    <w:rsid w:val="4F2836A5"/>
    <w:rsid w:val="4FF363B3"/>
    <w:rsid w:val="501216FC"/>
    <w:rsid w:val="50B73634"/>
    <w:rsid w:val="51081BBA"/>
    <w:rsid w:val="51351A04"/>
    <w:rsid w:val="51434E1B"/>
    <w:rsid w:val="51504FE6"/>
    <w:rsid w:val="532B1481"/>
    <w:rsid w:val="53905C92"/>
    <w:rsid w:val="53BC3DE1"/>
    <w:rsid w:val="5484329F"/>
    <w:rsid w:val="54E91D9C"/>
    <w:rsid w:val="55A47BB4"/>
    <w:rsid w:val="569F04F2"/>
    <w:rsid w:val="56B44788"/>
    <w:rsid w:val="5704449E"/>
    <w:rsid w:val="57BB6218"/>
    <w:rsid w:val="57D367F9"/>
    <w:rsid w:val="57FF3AAA"/>
    <w:rsid w:val="58911BA4"/>
    <w:rsid w:val="58DD2EEE"/>
    <w:rsid w:val="58E96C7A"/>
    <w:rsid w:val="59263C31"/>
    <w:rsid w:val="59AD3C67"/>
    <w:rsid w:val="5A1A2579"/>
    <w:rsid w:val="5A4B183F"/>
    <w:rsid w:val="5A7679AD"/>
    <w:rsid w:val="5B0D630F"/>
    <w:rsid w:val="5B9919B4"/>
    <w:rsid w:val="5BB70148"/>
    <w:rsid w:val="5C3C3DDC"/>
    <w:rsid w:val="5CF00E01"/>
    <w:rsid w:val="5D160516"/>
    <w:rsid w:val="5D48107A"/>
    <w:rsid w:val="5D713BC5"/>
    <w:rsid w:val="5D7D0F36"/>
    <w:rsid w:val="5DB61BFF"/>
    <w:rsid w:val="5DEF454B"/>
    <w:rsid w:val="5E0666CE"/>
    <w:rsid w:val="5E2F5628"/>
    <w:rsid w:val="5E5A6C63"/>
    <w:rsid w:val="5F3C6712"/>
    <w:rsid w:val="5F4B58F3"/>
    <w:rsid w:val="5FC85F8F"/>
    <w:rsid w:val="6053481F"/>
    <w:rsid w:val="60553A8D"/>
    <w:rsid w:val="606E0DED"/>
    <w:rsid w:val="60AB2000"/>
    <w:rsid w:val="61D85325"/>
    <w:rsid w:val="62860AAA"/>
    <w:rsid w:val="628B7CEE"/>
    <w:rsid w:val="629D5796"/>
    <w:rsid w:val="62A9314C"/>
    <w:rsid w:val="63734810"/>
    <w:rsid w:val="63FA4C5C"/>
    <w:rsid w:val="64102A52"/>
    <w:rsid w:val="64BC6713"/>
    <w:rsid w:val="65C14669"/>
    <w:rsid w:val="66666C1A"/>
    <w:rsid w:val="66F54088"/>
    <w:rsid w:val="671E2162"/>
    <w:rsid w:val="67C2281F"/>
    <w:rsid w:val="67FF603D"/>
    <w:rsid w:val="68D8721E"/>
    <w:rsid w:val="6A875FFE"/>
    <w:rsid w:val="6AA906CA"/>
    <w:rsid w:val="6B610D05"/>
    <w:rsid w:val="6BA50493"/>
    <w:rsid w:val="6BAC21D5"/>
    <w:rsid w:val="6C487B66"/>
    <w:rsid w:val="6CED1CB3"/>
    <w:rsid w:val="6D006F57"/>
    <w:rsid w:val="6D3B42C3"/>
    <w:rsid w:val="6D5A3D63"/>
    <w:rsid w:val="6D9A4080"/>
    <w:rsid w:val="6DF375CB"/>
    <w:rsid w:val="6E7E575F"/>
    <w:rsid w:val="6EF15941"/>
    <w:rsid w:val="6EFC37CF"/>
    <w:rsid w:val="6F83591B"/>
    <w:rsid w:val="6F926461"/>
    <w:rsid w:val="6F9921A1"/>
    <w:rsid w:val="6FE13B2D"/>
    <w:rsid w:val="70051875"/>
    <w:rsid w:val="70C2430F"/>
    <w:rsid w:val="720F6016"/>
    <w:rsid w:val="73407EBD"/>
    <w:rsid w:val="73932176"/>
    <w:rsid w:val="73E34BB9"/>
    <w:rsid w:val="73EF4563"/>
    <w:rsid w:val="74175679"/>
    <w:rsid w:val="744124AA"/>
    <w:rsid w:val="74664F47"/>
    <w:rsid w:val="74932476"/>
    <w:rsid w:val="756E538F"/>
    <w:rsid w:val="75ED694B"/>
    <w:rsid w:val="76CC23E6"/>
    <w:rsid w:val="76D05D87"/>
    <w:rsid w:val="777F0011"/>
    <w:rsid w:val="778222EA"/>
    <w:rsid w:val="778E0170"/>
    <w:rsid w:val="77A30DC4"/>
    <w:rsid w:val="77E0572E"/>
    <w:rsid w:val="77E97496"/>
    <w:rsid w:val="77ED4104"/>
    <w:rsid w:val="78A8719C"/>
    <w:rsid w:val="78EF4372"/>
    <w:rsid w:val="78FC1166"/>
    <w:rsid w:val="79771B00"/>
    <w:rsid w:val="7980282D"/>
    <w:rsid w:val="798F6426"/>
    <w:rsid w:val="79B94653"/>
    <w:rsid w:val="7A6220BE"/>
    <w:rsid w:val="7AB7513D"/>
    <w:rsid w:val="7ACA272A"/>
    <w:rsid w:val="7B0E7C70"/>
    <w:rsid w:val="7B2E004A"/>
    <w:rsid w:val="7B76641B"/>
    <w:rsid w:val="7BA11351"/>
    <w:rsid w:val="7BAF4F23"/>
    <w:rsid w:val="7BBF1397"/>
    <w:rsid w:val="7C5D270E"/>
    <w:rsid w:val="7E6F339A"/>
    <w:rsid w:val="7E810662"/>
    <w:rsid w:val="7ED67E61"/>
    <w:rsid w:val="7F590AE3"/>
    <w:rsid w:val="7FC3622F"/>
    <w:rsid w:val="7FEF2A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8"/>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17"/>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6"/>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character" w:customStyle="1" w:styleId="16">
    <w:name w:val="批注主题 Char"/>
    <w:link w:val="10"/>
    <w:uiPriority w:val="0"/>
    <w:rPr>
      <w:rFonts w:ascii="Calibri" w:hAnsi="Calibri" w:cs="黑体"/>
      <w:b/>
      <w:bCs/>
      <w:kern w:val="2"/>
      <w:sz w:val="21"/>
      <w:szCs w:val="24"/>
    </w:rPr>
  </w:style>
  <w:style w:type="character" w:customStyle="1" w:styleId="17">
    <w:name w:val="批注框文本 Char"/>
    <w:link w:val="6"/>
    <w:uiPriority w:val="0"/>
    <w:rPr>
      <w:rFonts w:ascii="Calibri" w:hAnsi="Calibri" w:cs="黑体"/>
      <w:kern w:val="2"/>
      <w:sz w:val="18"/>
      <w:szCs w:val="18"/>
    </w:rPr>
  </w:style>
  <w:style w:type="character" w:customStyle="1" w:styleId="18">
    <w:name w:val="标题 1 Char"/>
    <w:link w:val="2"/>
    <w:uiPriority w:val="0"/>
    <w:rPr>
      <w:rFonts w:eastAsia="宋体"/>
      <w:b/>
      <w:kern w:val="44"/>
      <w:sz w:val="44"/>
    </w:rPr>
  </w:style>
  <w:style w:type="character" w:customStyle="1" w:styleId="19">
    <w:name w:val="标题 3 Char"/>
    <w:link w:val="4"/>
    <w:uiPriority w:val="0"/>
    <w:rPr>
      <w:rFonts w:hAnsi="Calibri" w:eastAsia="宋体"/>
      <w:b/>
      <w:sz w:val="24"/>
    </w:rPr>
  </w:style>
  <w:style w:type="character" w:customStyle="1" w:styleId="20">
    <w:name w:val="标题 2 Char"/>
    <w:link w:val="3"/>
    <w:uiPriority w:val="0"/>
    <w:rPr>
      <w:rFonts w:ascii="Arial" w:hAnsi="Arial" w:eastAsia="宋体"/>
      <w:b/>
      <w:sz w:val="24"/>
    </w:rPr>
  </w:style>
  <w:style w:type="character" w:customStyle="1" w:styleId="21">
    <w:name w:val="font21"/>
    <w:basedOn w:val="13"/>
    <w:uiPriority w:val="0"/>
    <w:rPr>
      <w:rFonts w:hint="eastAsia" w:ascii="宋体" w:hAnsi="宋体" w:eastAsia="宋体" w:cs="宋体"/>
      <w:color w:val="000000"/>
      <w:sz w:val="21"/>
      <w:szCs w:val="21"/>
      <w:u w:val="none"/>
    </w:rPr>
  </w:style>
  <w:style w:type="character" w:customStyle="1" w:styleId="22">
    <w:name w:val="批注文字 Char"/>
    <w:link w:val="5"/>
    <w:uiPriority w:val="0"/>
    <w:rPr>
      <w:rFonts w:ascii="Calibri" w:hAnsi="Calibri" w:cs="黑体"/>
      <w:kern w:val="2"/>
      <w:sz w:val="21"/>
      <w:szCs w:val="24"/>
    </w:rPr>
  </w:style>
  <w:style w:type="paragraph" w:customStyle="1" w:styleId="23">
    <w:name w:val="List Paragraph"/>
    <w:basedOn w:val="1"/>
    <w:unhideWhenUsed/>
    <w:uiPriority w:val="99"/>
    <w:pPr>
      <w:ind w:firstLine="420" w:firstLineChars="200"/>
    </w:p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样式1"/>
    <w:basedOn w:val="1"/>
    <w:next w:val="1"/>
    <w:uiPriority w:val="0"/>
    <w:pPr>
      <w:keepNext/>
      <w:keepLines/>
      <w:spacing w:before="340" w:beforeLines="0" w:after="330" w:afterLines="0" w:line="576" w:lineRule="auto"/>
      <w:outlineLvl w:val="0"/>
    </w:pPr>
    <w:rPr>
      <w:rFonts w:hint="eastAsia"/>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35135</Words>
  <Characters>37170</Characters>
  <Lines>210</Lines>
  <Paragraphs>59</Paragraphs>
  <TotalTime>157256161</TotalTime>
  <ScaleCrop>false</ScaleCrop>
  <LinksUpToDate>false</LinksUpToDate>
  <CharactersWithSpaces>37398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未定义</dc:creator>
  <cp:lastModifiedBy>hccb</cp:lastModifiedBy>
  <dcterms:modified xsi:type="dcterms:W3CDTF">2025-03-26T02:19:17Z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