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77BCB6">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【丰收封闭式固收类】</w:t>
      </w:r>
      <w:permEnd w:id="0"/>
      <w:r>
        <w:rPr>
          <w:rFonts w:ascii="黑体" w:hAnsi="黑体" w:eastAsia="黑体"/>
          <w:b/>
          <w:bCs/>
          <w:sz w:val="28"/>
          <w:szCs w:val="28"/>
        </w:rPr>
        <w:t>理财产品</w:t>
      </w:r>
    </w:p>
    <w:p w14:paraId="64AAD263">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14:paraId="21FCD928">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14:paraId="2CCEAE19">
      <w:pPr>
        <w:rPr>
          <w:rFonts w:ascii="宋体" w:hAnsi="宋体" w:cs="仿宋_GB2312"/>
          <w:b/>
          <w:kern w:val="0"/>
          <w:sz w:val="18"/>
          <w:szCs w:val="18"/>
        </w:rPr>
      </w:pPr>
      <w:r>
        <w:rPr>
          <w:rFonts w:hint="eastAsia" w:ascii="宋体" w:hAnsi="宋体" w:cs="仿宋_GB2312"/>
          <w:b/>
          <w:kern w:val="0"/>
          <w:sz w:val="18"/>
          <w:szCs w:val="18"/>
        </w:rPr>
        <w:t>尊敬的投资者：</w:t>
      </w:r>
    </w:p>
    <w:p w14:paraId="3A8BEC22">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14:paraId="7AB935F0">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1FEBE12F">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14:paraId="7B58E422">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14:paraId="67F1EE48">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w:t>
      </w:r>
      <w:r>
        <w:rPr>
          <w:rFonts w:hint="eastAsia" w:ascii="宋体" w:hAnsi="宋体"/>
          <w:bCs/>
          <w:sz w:val="18"/>
          <w:szCs w:val="18"/>
        </w:rPr>
        <w:t>兴银理财丰收封闭式160号固收类理财产品</w:t>
      </w:r>
      <w:r>
        <w:rPr>
          <w:rFonts w:hint="eastAsia" w:asciiTheme="majorEastAsia" w:hAnsiTheme="majorEastAsia" w:eastAsiaTheme="majorEastAsia"/>
          <w:bCs/>
          <w:kern w:val="0"/>
          <w:sz w:val="18"/>
          <w:szCs w:val="18"/>
        </w:rPr>
        <w:t>】</w:t>
      </w:r>
      <w:permEnd w:id="1"/>
    </w:p>
    <w:p w14:paraId="0B8E851E">
      <w:pPr>
        <w:ind w:firstLine="448" w:firstLineChars="249"/>
        <w:rPr>
          <w:rFonts w:hint="eastAsia"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60</w:t>
      </w:r>
      <w:r>
        <w:rPr>
          <w:rFonts w:hint="eastAsia" w:ascii="宋体" w:hAnsi="宋体" w:cs="仿宋_GB2312"/>
          <w:kern w:val="0"/>
          <w:sz w:val="18"/>
          <w:szCs w:val="18"/>
        </w:rPr>
        <w:t>号A（安享款）】（适用【A】类份额）</w:t>
      </w:r>
    </w:p>
    <w:p w14:paraId="632A4C4D">
      <w:pPr>
        <w:ind w:firstLine="448" w:firstLineChars="249"/>
        <w:rPr>
          <w:rFonts w:hint="eastAsia" w:ascii="宋体" w:hAnsi="宋体" w:cs="仿宋_GB2312"/>
          <w:kern w:val="0"/>
          <w:sz w:val="18"/>
          <w:szCs w:val="18"/>
        </w:rPr>
      </w:pPr>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60</w:t>
      </w:r>
      <w:r>
        <w:rPr>
          <w:rFonts w:hint="eastAsia" w:ascii="宋体" w:hAnsi="宋体" w:cs="仿宋_GB2312"/>
          <w:kern w:val="0"/>
          <w:sz w:val="18"/>
          <w:szCs w:val="18"/>
        </w:rPr>
        <w:t>号</w:t>
      </w:r>
      <w:r>
        <w:rPr>
          <w:rFonts w:hint="eastAsia" w:ascii="宋体" w:hAnsi="宋体" w:cs="仿宋_GB2312"/>
          <w:kern w:val="0"/>
          <w:sz w:val="18"/>
          <w:szCs w:val="18"/>
          <w:lang w:val="en-US" w:eastAsia="zh-CN"/>
        </w:rPr>
        <w:t>B</w:t>
      </w:r>
      <w:r>
        <w:rPr>
          <w:rFonts w:hint="eastAsia" w:ascii="宋体" w:hAnsi="宋体" w:cs="仿宋_GB2312"/>
          <w:kern w:val="0"/>
          <w:sz w:val="18"/>
          <w:szCs w:val="18"/>
        </w:rPr>
        <w:t>（安享款）】（适用【B】类份额）</w:t>
      </w:r>
    </w:p>
    <w:p w14:paraId="29A79C86">
      <w:pPr>
        <w:ind w:firstLine="448" w:firstLineChars="249"/>
        <w:rPr>
          <w:rFonts w:ascii="宋体" w:hAnsi="宋体" w:cs="仿宋_GB2312"/>
          <w:kern w:val="0"/>
          <w:sz w:val="18"/>
          <w:szCs w:val="18"/>
        </w:rPr>
      </w:pPr>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60</w:t>
      </w:r>
      <w:r>
        <w:rPr>
          <w:rFonts w:hint="eastAsia" w:ascii="宋体" w:hAnsi="宋体" w:cs="仿宋_GB2312"/>
          <w:kern w:val="0"/>
          <w:sz w:val="18"/>
          <w:szCs w:val="18"/>
        </w:rPr>
        <w:t>号</w:t>
      </w:r>
      <w:r>
        <w:rPr>
          <w:rFonts w:hint="eastAsia" w:ascii="宋体" w:hAnsi="宋体" w:cs="仿宋_GB2312"/>
          <w:kern w:val="0"/>
          <w:sz w:val="18"/>
          <w:szCs w:val="18"/>
          <w:lang w:val="en-US" w:eastAsia="zh-CN"/>
        </w:rPr>
        <w:t>C</w:t>
      </w:r>
      <w:r>
        <w:rPr>
          <w:rFonts w:hint="eastAsia" w:ascii="宋体" w:hAnsi="宋体" w:cs="仿宋_GB2312"/>
          <w:kern w:val="0"/>
          <w:sz w:val="18"/>
          <w:szCs w:val="18"/>
        </w:rPr>
        <w:t>（安享款）】（适用【C】类份额）</w:t>
      </w:r>
      <w:permEnd w:id="2"/>
    </w:p>
    <w:p w14:paraId="5184A64D">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Z7002025000382</w:t>
      </w:r>
      <w:r>
        <w:rPr>
          <w:rFonts w:ascii="宋体" w:hAnsi="宋体" w:cs="仿宋_GB2312"/>
          <w:kern w:val="0"/>
          <w:sz w:val="18"/>
          <w:szCs w:val="18"/>
        </w:rPr>
        <w:t>】</w:t>
      </w:r>
      <w:permEnd w:id="3"/>
    </w:p>
    <w:p w14:paraId="063693B6">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14:paraId="2448EC92">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14:paraId="4CC88BFF">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14:paraId="201C3E57">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359</w:t>
      </w:r>
      <w:r>
        <w:rPr>
          <w:rFonts w:hint="eastAsia" w:asciiTheme="majorEastAsia" w:hAnsiTheme="majorEastAsia" w:eastAsiaTheme="majorEastAsia"/>
          <w:bCs/>
          <w:sz w:val="18"/>
          <w:szCs w:val="18"/>
        </w:rPr>
        <w:t>天】</w:t>
      </w:r>
    </w:p>
    <w:p w14:paraId="1828B78A">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14:paraId="75604AF5">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14:paraId="5C9F8586">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14:paraId="3263C6CD">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14:paraId="1327F781">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14:paraId="688513C1">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w:t>
      </w:r>
      <w:r>
        <w:rPr>
          <w:rFonts w:ascii="宋体" w:hAnsi="宋体" w:cs="仿宋_GB2312"/>
          <w:kern w:val="0"/>
          <w:sz w:val="18"/>
          <w:szCs w:val="18"/>
        </w:rPr>
        <w:t>2】</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1F60A334">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14:paraId="7E75EBA6">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14:paraId="432652F8">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14:paraId="19F36843">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p>
    <w:permEnd w:id="9"/>
    <w:p w14:paraId="6B37DFA7">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14:paraId="650DC6C3">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14:paraId="37D89610">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14:paraId="48234BFC">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14:paraId="52D3DB9A">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14:paraId="589417C2">
      <w:pPr>
        <w:pStyle w:val="14"/>
        <w:ind w:firstLine="360"/>
        <w:rPr>
          <w:rFonts w:ascii="宋体" w:hAnsi="宋体"/>
          <w:bCs/>
          <w:sz w:val="18"/>
          <w:szCs w:val="18"/>
        </w:rPr>
      </w:pPr>
      <w:r>
        <w:rPr>
          <w:rFonts w:hint="eastAsia" w:ascii="宋体" w:hAnsi="宋体"/>
          <w:bCs/>
          <w:sz w:val="18"/>
          <w:szCs w:val="18"/>
        </w:rPr>
        <w:t>（1）投资债权类资产的风险</w:t>
      </w:r>
    </w:p>
    <w:p w14:paraId="29F3D73E">
      <w:pPr>
        <w:pStyle w:val="14"/>
        <w:ind w:firstLine="360"/>
        <w:rPr>
          <w:rFonts w:ascii="宋体" w:hAnsi="宋体"/>
          <w:bCs/>
          <w:sz w:val="18"/>
          <w:szCs w:val="18"/>
        </w:rPr>
      </w:pPr>
      <w:r>
        <w:rPr>
          <w:rFonts w:hint="eastAsia" w:ascii="宋体" w:hAnsi="宋体"/>
          <w:bCs/>
          <w:sz w:val="18"/>
          <w:szCs w:val="18"/>
        </w:rPr>
        <w:t>1）投资标准化债权类资产的风险</w:t>
      </w:r>
    </w:p>
    <w:p w14:paraId="06AAAF3B">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55EBD083">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14:paraId="38B176DD">
      <w:pPr>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14:paraId="2C1BCFC4">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14:paraId="3F786406">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14:paraId="6AC33077">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14:paraId="2CBC9EBC">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33D923E5">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14:paraId="22BEC8F4">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2BA5B1A2">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14:paraId="501F71CE">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347806DB">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14:paraId="7D6E939F">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5FA100B6">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14:paraId="715E9F9D">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14:paraId="289A297D">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14:paraId="2413DE56">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14:paraId="20469497">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14:paraId="5E8AF62C">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045D0E9C">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14:paraId="03B71796">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196AF8FB">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14:paraId="0E1B0FFC">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14:paraId="35BC79B3">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14:paraId="13091291">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14:paraId="51695852">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14:paraId="05ADD4A5">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14:paraId="1714D203">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14:paraId="537438AA">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14:paraId="4D6C598B">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14:paraId="4DD9ECD4">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14:paraId="32686E11">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14:paraId="62CEEEFF">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14:paraId="0156754F">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14:paraId="031C80AA">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72D0C3C4">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14:paraId="53AAD9CD">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14:paraId="6BAC41E0">
      <w:pPr>
        <w:pStyle w:val="14"/>
        <w:ind w:firstLineChars="0"/>
        <w:rPr>
          <w:rFonts w:ascii="宋体" w:hAnsi="宋体"/>
          <w:b/>
          <w:bCs/>
          <w:sz w:val="18"/>
          <w:szCs w:val="18"/>
        </w:rPr>
      </w:pPr>
      <w:r>
        <w:rPr>
          <w:rFonts w:hint="eastAsia" w:ascii="宋体" w:hAnsi="宋体"/>
          <w:b/>
          <w:bCs/>
          <w:sz w:val="18"/>
          <w:szCs w:val="18"/>
        </w:rPr>
        <w:t>17.关联交易风险</w:t>
      </w:r>
    </w:p>
    <w:p w14:paraId="50FDF043">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77FED4E9">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14:paraId="56F7B89C">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color w:val="000000"/>
          <w:kern w:val="0"/>
          <w:sz w:val="18"/>
          <w:szCs w:val="18"/>
        </w:rPr>
        <w:t>五、【非机构投资者适用】</w:t>
      </w:r>
      <w:r>
        <w:rPr>
          <w:rFonts w:hint="eastAsia" w:ascii="黑体" w:hAnsi="黑体" w:eastAsia="黑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如影响您风险承受能力的因素发生变化，请您及时重新完成风险承受能力评估。其他类型投资者的风险承受能力评估按照《（代理）销售协议书》约定或销售机构的销售政策执行。</w:t>
      </w:r>
    </w:p>
    <w:p w14:paraId="63A5BB7B">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六、【非机构投资者适用】当销售机构销售产品风险评级为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14:paraId="0EF17C4A">
      <w:pPr>
        <w:ind w:left="540"/>
        <w:jc w:val="right"/>
        <w:rPr>
          <w:rFonts w:ascii="宋体" w:hAnsi="宋体"/>
          <w:sz w:val="18"/>
          <w:szCs w:val="18"/>
        </w:rPr>
      </w:pPr>
    </w:p>
    <w:p w14:paraId="5F46174F">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14:paraId="1F477284">
      <w:pPr>
        <w:wordWrap w:val="0"/>
        <w:ind w:left="540"/>
        <w:jc w:val="right"/>
        <w:rPr>
          <w:rFonts w:ascii="宋体" w:hAnsi="宋体"/>
          <w:sz w:val="18"/>
          <w:szCs w:val="18"/>
        </w:rPr>
      </w:pPr>
      <w:permStart w:id="11" w:edGrp="everyone"/>
      <w:r>
        <w:rPr>
          <w:rFonts w:hint="eastAsia" w:ascii="宋体" w:hAnsi="宋体"/>
          <w:sz w:val="18"/>
          <w:szCs w:val="18"/>
        </w:rPr>
        <w:t>销售机构（【浙江新昌农村商业银行股份有限公司</w:t>
      </w:r>
      <w:bookmarkStart w:id="0" w:name="_GoBack"/>
      <w:bookmarkEnd w:id="0"/>
      <w:r>
        <w:rPr>
          <w:rFonts w:hint="eastAsia" w:ascii="宋体" w:hAnsi="宋体"/>
          <w:sz w:val="18"/>
          <w:szCs w:val="18"/>
        </w:rPr>
        <w:t>】）</w:t>
      </w:r>
    </w:p>
    <w:permEnd w:id="11"/>
    <w:p w14:paraId="226BA3F9">
      <w:pPr>
        <w:widowControl/>
        <w:jc w:val="left"/>
        <w:rPr>
          <w:rFonts w:ascii="宋体" w:hAnsi="宋体"/>
          <w:sz w:val="18"/>
          <w:szCs w:val="18"/>
        </w:rPr>
      </w:pPr>
      <w:r>
        <w:rPr>
          <w:rFonts w:ascii="宋体" w:hAnsi="宋体"/>
          <w:sz w:val="18"/>
          <w:szCs w:val="18"/>
        </w:rPr>
        <w:br w:type="page"/>
      </w:r>
    </w:p>
    <w:p w14:paraId="10F28FB4">
      <w:pPr>
        <w:ind w:left="540"/>
        <w:jc w:val="right"/>
        <w:rPr>
          <w:rFonts w:ascii="宋体" w:hAnsi="宋体"/>
          <w:sz w:val="18"/>
          <w:szCs w:val="18"/>
        </w:rPr>
      </w:pPr>
    </w:p>
    <w:p w14:paraId="4B1F5B30">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14:paraId="1C4F9237">
        <w:trPr>
          <w:trHeight w:val="627" w:hRule="atLeast"/>
        </w:trPr>
        <w:tc>
          <w:tcPr>
            <w:tcW w:w="8371" w:type="dxa"/>
          </w:tcPr>
          <w:p w14:paraId="1514651C">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0403E9BA">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14:paraId="10E966DD">
        <w:trPr>
          <w:trHeight w:val="6283" w:hRule="atLeast"/>
        </w:trPr>
        <w:tc>
          <w:tcPr>
            <w:tcW w:w="8371" w:type="dxa"/>
          </w:tcPr>
          <w:p w14:paraId="75A8F5A1">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5B597B48">
            <w:pPr>
              <w:spacing w:line="280" w:lineRule="atLeast"/>
              <w:jc w:val="left"/>
              <w:rPr>
                <w:rFonts w:ascii="宋体" w:hAnsi="宋体" w:cs="Arial"/>
                <w:sz w:val="18"/>
                <w:szCs w:val="18"/>
              </w:rPr>
            </w:pPr>
          </w:p>
          <w:p w14:paraId="5F672CF1">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0835D8E1">
            <w:pPr>
              <w:spacing w:line="280" w:lineRule="atLeast"/>
              <w:jc w:val="left"/>
              <w:rPr>
                <w:rFonts w:ascii="宋体" w:hAnsi="宋体" w:cs="Arial"/>
                <w:kern w:val="0"/>
                <w:sz w:val="18"/>
                <w:szCs w:val="18"/>
              </w:rPr>
            </w:pPr>
          </w:p>
          <w:p w14:paraId="604C7F92">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14:paraId="3E6EF55B">
            <w:pPr>
              <w:spacing w:line="280" w:lineRule="atLeast"/>
              <w:jc w:val="left"/>
              <w:rPr>
                <w:rFonts w:ascii="宋体" w:hAnsi="宋体" w:cs="Arial"/>
                <w:kern w:val="0"/>
                <w:sz w:val="18"/>
                <w:szCs w:val="18"/>
              </w:rPr>
            </w:pPr>
          </w:p>
          <w:p w14:paraId="7A3CE9C1">
            <w:pPr>
              <w:spacing w:line="280" w:lineRule="atLeast"/>
              <w:jc w:val="left"/>
              <w:rPr>
                <w:kern w:val="0"/>
                <w:sz w:val="18"/>
                <w:szCs w:val="18"/>
                <w:u w:val="single"/>
              </w:rPr>
            </w:pPr>
            <w:r>
              <w:rPr>
                <w:rFonts w:hint="eastAsia" w:ascii="宋体" w:hAnsi="宋体" w:cs="Arial"/>
                <w:kern w:val="0"/>
                <w:sz w:val="18"/>
                <w:szCs w:val="18"/>
              </w:rPr>
              <w:t>请投资者在此抄录：</w:t>
            </w:r>
          </w:p>
          <w:p w14:paraId="0F2C821C">
            <w:pPr>
              <w:spacing w:line="280" w:lineRule="atLeast"/>
              <w:jc w:val="left"/>
              <w:rPr>
                <w:kern w:val="0"/>
                <w:sz w:val="18"/>
                <w:szCs w:val="18"/>
                <w:u w:val="single"/>
              </w:rPr>
            </w:pPr>
          </w:p>
          <w:p w14:paraId="05348F30">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w:t>
            </w:r>
            <w:r>
              <w:rPr>
                <w:rFonts w:ascii="宋体" w:hAnsi="宋体" w:cs="Arial"/>
                <w:kern w:val="0"/>
                <w:sz w:val="18"/>
                <w:szCs w:val="18"/>
              </w:rPr>
              <w:t>签名</w:t>
            </w:r>
            <w:r>
              <w:rPr>
                <w:rFonts w:hint="eastAsia" w:ascii="宋体" w:hAnsi="宋体" w:cs="Arial"/>
                <w:kern w:val="0"/>
                <w:sz w:val="18"/>
                <w:szCs w:val="18"/>
              </w:rPr>
              <w:t>/线上确认：</w:t>
            </w:r>
          </w:p>
          <w:p w14:paraId="60F509D4">
            <w:pPr>
              <w:spacing w:line="280" w:lineRule="atLeast"/>
              <w:ind w:left="4200" w:firstLine="1080" w:firstLineChars="600"/>
              <w:jc w:val="left"/>
              <w:rPr>
                <w:rFonts w:ascii="宋体" w:hAnsi="宋体" w:cs="Arial"/>
                <w:kern w:val="0"/>
                <w:sz w:val="18"/>
                <w:szCs w:val="18"/>
              </w:rPr>
            </w:pPr>
          </w:p>
          <w:p w14:paraId="6E2304E4">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289BE11E">
            <w:pPr>
              <w:spacing w:line="280" w:lineRule="atLeast"/>
              <w:ind w:left="4200" w:firstLine="1080" w:firstLineChars="600"/>
              <w:jc w:val="left"/>
              <w:rPr>
                <w:rFonts w:ascii="宋体" w:hAnsi="宋体" w:cs="Arial"/>
                <w:kern w:val="0"/>
                <w:sz w:val="18"/>
                <w:szCs w:val="18"/>
              </w:rPr>
            </w:pPr>
          </w:p>
          <w:p w14:paraId="4BA17E57">
            <w:pPr>
              <w:spacing w:line="280" w:lineRule="atLeast"/>
              <w:jc w:val="left"/>
              <w:rPr>
                <w:rFonts w:ascii="宋体" w:hAnsi="宋体" w:cs="Arial"/>
                <w:b/>
                <w:kern w:val="0"/>
                <w:sz w:val="18"/>
                <w:szCs w:val="18"/>
              </w:rPr>
            </w:pPr>
            <w:r>
              <w:rPr>
                <w:rFonts w:hint="eastAsia"/>
                <w:b/>
                <w:kern w:val="0"/>
                <w:sz w:val="20"/>
                <w:szCs w:val="20"/>
              </w:rPr>
              <w:t>（本风险揭示书共有三份签署文本，第一联销售机构留存，第二联投资者留存，第三联产品管理人留存。）</w:t>
            </w:r>
          </w:p>
          <w:p w14:paraId="7826E530">
            <w:pPr>
              <w:spacing w:line="280" w:lineRule="atLeast"/>
              <w:jc w:val="right"/>
              <w:rPr>
                <w:rFonts w:ascii="宋体" w:hAnsi="宋体"/>
                <w:kern w:val="0"/>
                <w:sz w:val="18"/>
                <w:szCs w:val="18"/>
              </w:rPr>
            </w:pPr>
          </w:p>
        </w:tc>
      </w:tr>
    </w:tbl>
    <w:p w14:paraId="10F21AB7">
      <w:pPr>
        <w:autoSpaceDE w:val="0"/>
        <w:autoSpaceDN w:val="0"/>
        <w:adjustRightInd w:val="0"/>
        <w:spacing w:line="360" w:lineRule="auto"/>
        <w:ind w:firstLine="420"/>
        <w:jc w:val="left"/>
        <w:rPr>
          <w:rFonts w:ascii="宋体" w:hAnsi="宋体"/>
          <w:sz w:val="24"/>
        </w:rPr>
      </w:pPr>
    </w:p>
    <w:p w14:paraId="5610D118">
      <w:pPr>
        <w:rPr>
          <w:rFonts w:ascii="宋体" w:hAnsi="宋体" w:cs="Arial"/>
          <w:sz w:val="24"/>
        </w:rPr>
      </w:pPr>
    </w:p>
    <w:p w14:paraId="1262833B">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14:paraId="4026DE8D">
        <w:trPr>
          <w:trHeight w:val="823" w:hRule="atLeast"/>
        </w:trPr>
        <w:tc>
          <w:tcPr>
            <w:tcW w:w="8413" w:type="dxa"/>
          </w:tcPr>
          <w:p w14:paraId="49D72EEE">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7E909A9A">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p>
        </w:tc>
      </w:tr>
      <w:tr w14:paraId="3E0974CA">
        <w:trPr>
          <w:trHeight w:val="7355" w:hRule="atLeast"/>
        </w:trPr>
        <w:tc>
          <w:tcPr>
            <w:tcW w:w="8413" w:type="dxa"/>
          </w:tcPr>
          <w:p w14:paraId="64894A1E">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7D750689">
            <w:pPr>
              <w:spacing w:line="280" w:lineRule="atLeast"/>
              <w:ind w:firstLine="360" w:firstLineChars="200"/>
              <w:jc w:val="left"/>
              <w:rPr>
                <w:rFonts w:ascii="宋体" w:hAnsi="宋体" w:cs="Arial"/>
                <w:kern w:val="0"/>
                <w:sz w:val="18"/>
                <w:szCs w:val="18"/>
              </w:rPr>
            </w:pPr>
          </w:p>
          <w:p w14:paraId="4ECBEBFD">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0E7F40F7">
            <w:pPr>
              <w:spacing w:line="280" w:lineRule="atLeast"/>
              <w:ind w:firstLine="360" w:firstLineChars="200"/>
              <w:jc w:val="left"/>
              <w:rPr>
                <w:rFonts w:ascii="宋体" w:hAnsi="宋体" w:cs="Arial"/>
                <w:kern w:val="0"/>
                <w:sz w:val="18"/>
                <w:szCs w:val="18"/>
              </w:rPr>
            </w:pPr>
          </w:p>
          <w:p w14:paraId="3F6C22D3">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14:paraId="1A47C957">
            <w:pPr>
              <w:spacing w:line="280" w:lineRule="atLeast"/>
              <w:jc w:val="left"/>
              <w:rPr>
                <w:rFonts w:ascii="宋体" w:hAnsi="宋体" w:cs="Arial"/>
                <w:kern w:val="0"/>
                <w:sz w:val="18"/>
                <w:szCs w:val="18"/>
              </w:rPr>
            </w:pPr>
          </w:p>
          <w:p w14:paraId="11148EE6">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14:paraId="503E1C2C">
            <w:pPr>
              <w:spacing w:line="280" w:lineRule="atLeast"/>
              <w:jc w:val="left"/>
              <w:rPr>
                <w:rFonts w:ascii="宋体" w:hAnsi="宋体" w:cs="Arial"/>
                <w:kern w:val="0"/>
                <w:sz w:val="18"/>
                <w:szCs w:val="18"/>
              </w:rPr>
            </w:pPr>
          </w:p>
          <w:p w14:paraId="162759E4">
            <w:pPr>
              <w:spacing w:line="280" w:lineRule="atLeast"/>
              <w:jc w:val="left"/>
              <w:rPr>
                <w:rFonts w:ascii="宋体" w:hAnsi="宋体" w:cs="Arial"/>
                <w:kern w:val="0"/>
                <w:sz w:val="18"/>
                <w:szCs w:val="18"/>
              </w:rPr>
            </w:pPr>
            <w:r>
              <w:rPr>
                <w:rFonts w:hint="eastAsia" w:ascii="宋体" w:hAnsi="宋体" w:cs="Arial"/>
                <w:kern w:val="0"/>
                <w:sz w:val="18"/>
                <w:szCs w:val="18"/>
              </w:rPr>
              <w:t>机构投资者（盖章/线上确认）：</w:t>
            </w:r>
          </w:p>
          <w:p w14:paraId="5C326E5F">
            <w:pPr>
              <w:spacing w:line="280" w:lineRule="atLeast"/>
              <w:jc w:val="left"/>
              <w:rPr>
                <w:rFonts w:ascii="宋体" w:hAnsi="宋体" w:cs="Arial"/>
                <w:kern w:val="0"/>
                <w:sz w:val="18"/>
                <w:szCs w:val="18"/>
              </w:rPr>
            </w:pPr>
          </w:p>
          <w:p w14:paraId="3207D24E">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w:t>
            </w:r>
            <w:r>
              <w:rPr>
                <w:rFonts w:ascii="宋体" w:hAnsi="宋体" w:cs="Arial"/>
                <w:kern w:val="0"/>
                <w:sz w:val="18"/>
                <w:szCs w:val="18"/>
              </w:rPr>
              <w:t>签名</w:t>
            </w:r>
            <w:r>
              <w:rPr>
                <w:rFonts w:hint="eastAsia" w:ascii="宋体" w:hAnsi="宋体" w:cs="Arial"/>
                <w:kern w:val="0"/>
                <w:sz w:val="18"/>
                <w:szCs w:val="18"/>
              </w:rPr>
              <w:t>/盖章/线上确认）：</w:t>
            </w:r>
          </w:p>
          <w:p w14:paraId="39A228A7">
            <w:pPr>
              <w:spacing w:line="280" w:lineRule="atLeast"/>
              <w:ind w:left="4200" w:firstLine="1080" w:firstLineChars="600"/>
              <w:jc w:val="left"/>
              <w:rPr>
                <w:rFonts w:ascii="宋体" w:hAnsi="宋体" w:cs="Arial"/>
                <w:kern w:val="0"/>
                <w:sz w:val="18"/>
                <w:szCs w:val="18"/>
              </w:rPr>
            </w:pPr>
          </w:p>
          <w:p w14:paraId="6D4280C7">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7D2B8E8F">
            <w:pPr>
              <w:spacing w:line="280" w:lineRule="atLeast"/>
              <w:rPr>
                <w:kern w:val="0"/>
                <w:sz w:val="20"/>
                <w:szCs w:val="20"/>
              </w:rPr>
            </w:pPr>
          </w:p>
          <w:p w14:paraId="02F2DB6A">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02D8A5D4">
      <w:pPr>
        <w:widowControl/>
        <w:jc w:val="left"/>
        <w:rPr>
          <w:rFonts w:ascii="宋体" w:hAnsi="宋体"/>
          <w:b/>
          <w:sz w:val="28"/>
          <w:szCs w:val="28"/>
        </w:rPr>
      </w:pPr>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14:paraId="618BD17D">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F415B">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14:paraId="1CBE6F87">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1" w:cryptProviderType="rsaAES" w:cryptAlgorithmClass="hash" w:cryptAlgorithmType="typeAny" w:cryptAlgorithmSid="14" w:cryptSpinCount="100000" w:hash="Gs1zr38rXM9zIQsbVBcDNYbA9GUGTxPpB5JI+0Mw4ZWTlArjBQwFWpLYNAykusTSrlEem73LImf8AnjruMDBdA==" w:salt="9vcbkvxvjx4PVOm547t+q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41A7D"/>
    <w:rsid w:val="0007452F"/>
    <w:rsid w:val="00096AC8"/>
    <w:rsid w:val="000A244A"/>
    <w:rsid w:val="000B16F1"/>
    <w:rsid w:val="000B357F"/>
    <w:rsid w:val="000C29F2"/>
    <w:rsid w:val="000F39A5"/>
    <w:rsid w:val="001104E8"/>
    <w:rsid w:val="00152999"/>
    <w:rsid w:val="001D46C2"/>
    <w:rsid w:val="00204FA5"/>
    <w:rsid w:val="00262560"/>
    <w:rsid w:val="002B63FC"/>
    <w:rsid w:val="002C604E"/>
    <w:rsid w:val="002F0B15"/>
    <w:rsid w:val="00340486"/>
    <w:rsid w:val="0034386A"/>
    <w:rsid w:val="00346ED2"/>
    <w:rsid w:val="00374070"/>
    <w:rsid w:val="003A0F0B"/>
    <w:rsid w:val="003A408F"/>
    <w:rsid w:val="003E1A68"/>
    <w:rsid w:val="003E62FD"/>
    <w:rsid w:val="003F1C32"/>
    <w:rsid w:val="00420D74"/>
    <w:rsid w:val="00425540"/>
    <w:rsid w:val="004565CB"/>
    <w:rsid w:val="00466605"/>
    <w:rsid w:val="00467B46"/>
    <w:rsid w:val="00472870"/>
    <w:rsid w:val="004B5DD6"/>
    <w:rsid w:val="004C7F5E"/>
    <w:rsid w:val="004D121D"/>
    <w:rsid w:val="00503054"/>
    <w:rsid w:val="00527A03"/>
    <w:rsid w:val="00534346"/>
    <w:rsid w:val="00552AD3"/>
    <w:rsid w:val="00563E8F"/>
    <w:rsid w:val="00585375"/>
    <w:rsid w:val="005A63C8"/>
    <w:rsid w:val="005C1E6C"/>
    <w:rsid w:val="005C6FCB"/>
    <w:rsid w:val="005F48BE"/>
    <w:rsid w:val="006538E1"/>
    <w:rsid w:val="00682135"/>
    <w:rsid w:val="006C7A06"/>
    <w:rsid w:val="006D21BB"/>
    <w:rsid w:val="007156E0"/>
    <w:rsid w:val="007303F6"/>
    <w:rsid w:val="0075062E"/>
    <w:rsid w:val="00774066"/>
    <w:rsid w:val="00791677"/>
    <w:rsid w:val="007B017F"/>
    <w:rsid w:val="007C7189"/>
    <w:rsid w:val="007D3800"/>
    <w:rsid w:val="007F7774"/>
    <w:rsid w:val="0080662E"/>
    <w:rsid w:val="008151F4"/>
    <w:rsid w:val="00836C1F"/>
    <w:rsid w:val="00871FCB"/>
    <w:rsid w:val="00894EE6"/>
    <w:rsid w:val="008A707D"/>
    <w:rsid w:val="008B3F96"/>
    <w:rsid w:val="008D3E86"/>
    <w:rsid w:val="008F2B54"/>
    <w:rsid w:val="00904F53"/>
    <w:rsid w:val="00955293"/>
    <w:rsid w:val="0096566F"/>
    <w:rsid w:val="00981E5B"/>
    <w:rsid w:val="00993AEC"/>
    <w:rsid w:val="00A00AF5"/>
    <w:rsid w:val="00A30D87"/>
    <w:rsid w:val="00A32EC2"/>
    <w:rsid w:val="00A65F34"/>
    <w:rsid w:val="00A83932"/>
    <w:rsid w:val="00A83DE9"/>
    <w:rsid w:val="00A95D0C"/>
    <w:rsid w:val="00AE5AA3"/>
    <w:rsid w:val="00B06267"/>
    <w:rsid w:val="00B07518"/>
    <w:rsid w:val="00B07DEF"/>
    <w:rsid w:val="00B35D81"/>
    <w:rsid w:val="00B3723D"/>
    <w:rsid w:val="00B53F51"/>
    <w:rsid w:val="00BA32B7"/>
    <w:rsid w:val="00BB513F"/>
    <w:rsid w:val="00BC1259"/>
    <w:rsid w:val="00BC398E"/>
    <w:rsid w:val="00BD22F1"/>
    <w:rsid w:val="00BD4BA6"/>
    <w:rsid w:val="00BE1A3A"/>
    <w:rsid w:val="00BF3E3C"/>
    <w:rsid w:val="00BF57A2"/>
    <w:rsid w:val="00BF6030"/>
    <w:rsid w:val="00C01696"/>
    <w:rsid w:val="00C4233D"/>
    <w:rsid w:val="00CC4F45"/>
    <w:rsid w:val="00D03CCD"/>
    <w:rsid w:val="00D14FF5"/>
    <w:rsid w:val="00D46533"/>
    <w:rsid w:val="00D83BD5"/>
    <w:rsid w:val="00D91389"/>
    <w:rsid w:val="00DA2C69"/>
    <w:rsid w:val="00DC5611"/>
    <w:rsid w:val="00DD246D"/>
    <w:rsid w:val="00DD5ABC"/>
    <w:rsid w:val="00E504DE"/>
    <w:rsid w:val="00E80603"/>
    <w:rsid w:val="00EB34F9"/>
    <w:rsid w:val="00EB77EF"/>
    <w:rsid w:val="00EE0296"/>
    <w:rsid w:val="00F2208D"/>
    <w:rsid w:val="00F24091"/>
    <w:rsid w:val="00F26105"/>
    <w:rsid w:val="00F34E57"/>
    <w:rsid w:val="00F54E96"/>
    <w:rsid w:val="00F57B20"/>
    <w:rsid w:val="00F70F24"/>
    <w:rsid w:val="00F8077D"/>
    <w:rsid w:val="00F855B5"/>
    <w:rsid w:val="00F86E22"/>
    <w:rsid w:val="00FA2541"/>
    <w:rsid w:val="00FF75B3"/>
    <w:rsid w:val="01540E14"/>
    <w:rsid w:val="07326562"/>
    <w:rsid w:val="093C4710"/>
    <w:rsid w:val="0B2C441F"/>
    <w:rsid w:val="0FED1EF0"/>
    <w:rsid w:val="123D1F82"/>
    <w:rsid w:val="14CC416E"/>
    <w:rsid w:val="14F62D29"/>
    <w:rsid w:val="17175513"/>
    <w:rsid w:val="171E1F25"/>
    <w:rsid w:val="17A11D2D"/>
    <w:rsid w:val="1B223FEE"/>
    <w:rsid w:val="1B226F4C"/>
    <w:rsid w:val="1FBF50DA"/>
    <w:rsid w:val="20C671E1"/>
    <w:rsid w:val="23024B39"/>
    <w:rsid w:val="2F4D3121"/>
    <w:rsid w:val="39F73A7C"/>
    <w:rsid w:val="3B0777C0"/>
    <w:rsid w:val="3B9146A7"/>
    <w:rsid w:val="3EB821AF"/>
    <w:rsid w:val="40B41EF5"/>
    <w:rsid w:val="41EF2909"/>
    <w:rsid w:val="4D096483"/>
    <w:rsid w:val="4E3227E6"/>
    <w:rsid w:val="4EEE53D9"/>
    <w:rsid w:val="560B34A2"/>
    <w:rsid w:val="57FD6F59"/>
    <w:rsid w:val="5F6571DB"/>
    <w:rsid w:val="601969DF"/>
    <w:rsid w:val="659C2FA3"/>
    <w:rsid w:val="68BE7DA6"/>
    <w:rsid w:val="68C32F1D"/>
    <w:rsid w:val="6B9139DC"/>
    <w:rsid w:val="6CA40CE5"/>
    <w:rsid w:val="718D741A"/>
    <w:rsid w:val="74A6450A"/>
    <w:rsid w:val="74D57EAA"/>
    <w:rsid w:val="78FA1B79"/>
    <w:rsid w:val="7B610C78"/>
    <w:rsid w:val="7E583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823</Words>
  <Characters>4693</Characters>
  <Lines>39</Lines>
  <Paragraphs>11</Paragraphs>
  <TotalTime>19</TotalTime>
  <ScaleCrop>false</ScaleCrop>
  <LinksUpToDate>false</LinksUpToDate>
  <CharactersWithSpaces>5505</CharactersWithSpaces>
  <Application>WPS Office_6.14.0.8924_F1E327BC-269C-435d-A152-05C5408002CA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2024-11-15T10:49:00Z</dcterms:created>
  <dc:creator>胡骁潇</dc:creator>
  <cp:lastModifiedBy>Lee</cp:lastModifiedBy>
  <dcterms:modified xsi:type="dcterms:W3CDTF">2025-04-07T08:50:43Z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49928E94B90B4374B369EF2C00308363</vt:lpwstr>
  </property>
</Properties>
</file>