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420"/>
        <w:rPr>
          <w:rFonts w:hint="eastAsia"/>
          <w:highlight w:val="none"/>
        </w:rPr>
      </w:pPr>
      <w:r>
        <w:rPr>
          <w:rFonts w:hint="eastAsia"/>
          <w:highlight w:val="none"/>
        </w:rPr>
        <w:t xml:space="preserve">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jc w:val="center"/>
        <w:rPr>
          <w:rFonts w:hint="eastAsia" w:ascii="宋体" w:hAnsi="宋体" w:cs="宋体"/>
          <w:b/>
          <w:bCs/>
          <w:sz w:val="44"/>
          <w:szCs w:val="44"/>
          <w:highlight w:val="none"/>
        </w:rPr>
      </w:pPr>
      <w:r>
        <w:rPr>
          <w:rFonts w:hint="eastAsia" w:ascii="宋体" w:hAnsi="宋体" w:cs="宋体"/>
          <w:b/>
          <w:bCs/>
          <w:sz w:val="44"/>
          <w:szCs w:val="44"/>
          <w:highlight w:val="none"/>
          <w:lang w:eastAsia="zh-CN"/>
        </w:rPr>
        <w:t>幸福99丰裕固收387天25073期理财</w:t>
      </w:r>
      <w:r>
        <w:rPr>
          <w:rFonts w:hint="eastAsia" w:ascii="宋体" w:hAnsi="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outlineLvl w:val="9"/>
        <w:rPr>
          <w:rFonts w:hint="eastAsia" w:ascii="宋体" w:hAnsi="宋体" w:cs="宋体"/>
          <w:sz w:val="32"/>
          <w:szCs w:val="32"/>
          <w:highlight w:val="none"/>
        </w:rPr>
      </w:pPr>
      <w:r>
        <w:rPr>
          <w:rFonts w:hint="eastAsia" w:ascii="宋体" w:hAnsi="宋体" w:cs="宋体"/>
          <w:sz w:val="32"/>
          <w:szCs w:val="32"/>
          <w:highlight w:val="none"/>
        </w:rPr>
        <w:br w:type="page"/>
      </w:r>
    </w:p>
    <w:p>
      <w:pPr>
        <w:jc w:val="center"/>
        <w:outlineLvl w:val="9"/>
        <w:rPr>
          <w:rFonts w:hint="eastAsia" w:ascii="宋体" w:hAnsi="宋体" w:cs="宋体"/>
          <w:sz w:val="32"/>
          <w:szCs w:val="32"/>
          <w:highlight w:val="none"/>
        </w:rPr>
      </w:pPr>
    </w:p>
    <w:p>
      <w:pPr>
        <w:jc w:val="center"/>
        <w:outlineLvl w:val="9"/>
        <w:rPr>
          <w:rFonts w:hint="eastAsia" w:ascii="宋体" w:hAnsi="宋体" w:cs="宋体"/>
          <w:sz w:val="32"/>
          <w:szCs w:val="32"/>
          <w:highlight w:val="none"/>
        </w:rPr>
      </w:pPr>
    </w:p>
    <w:p>
      <w:pPr>
        <w:jc w:val="center"/>
        <w:outlineLvl w:val="9"/>
        <w:rPr>
          <w:rFonts w:hint="eastAsia" w:ascii="宋体" w:hAnsi="宋体" w:cs="宋体"/>
          <w:sz w:val="32"/>
          <w:szCs w:val="32"/>
          <w:highlight w:val="none"/>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lang w:eastAsia="zh-CN"/>
        </w:rPr>
        <w:t>幸福99丰裕固收387天25073期理财</w:t>
      </w:r>
      <w:r>
        <w:rPr>
          <w:rFonts w:hint="eastAsia" w:ascii="宋体" w:hAnsi="宋体" w:cs="宋体"/>
          <w:b/>
          <w:bCs/>
          <w:sz w:val="44"/>
          <w:szCs w:val="44"/>
          <w:highlight w:val="none"/>
        </w:rPr>
        <w:t>合同文件</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tbl>
      <w:tblPr>
        <w:tblStyle w:val="8"/>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序号</w:t>
            </w:r>
          </w:p>
        </w:tc>
        <w:tc>
          <w:tcPr>
            <w:tcW w:w="5160"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理财计划合同文件中的文件名称</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p>
        </w:tc>
        <w:tc>
          <w:tcPr>
            <w:tcW w:w="5160" w:type="dxa"/>
            <w:noWrap w:val="0"/>
            <w:vAlign w:val="center"/>
          </w:tcPr>
          <w:p>
            <w:pPr>
              <w:widowControl w:val="0"/>
              <w:spacing w:line="360" w:lineRule="auto"/>
              <w:jc w:val="left"/>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幸福99丰裕固收387天25073期理财风险揭示书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w:t>
            </w:r>
          </w:p>
        </w:tc>
        <w:tc>
          <w:tcPr>
            <w:tcW w:w="5160" w:type="dxa"/>
            <w:noWrap w:val="0"/>
            <w:vAlign w:val="center"/>
          </w:tcPr>
          <w:p>
            <w:pPr>
              <w:widowControl w:val="0"/>
              <w:spacing w:line="360" w:lineRule="auto"/>
              <w:jc w:val="left"/>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幸福99丰裕固收387天25073期理财产品说明书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杭银理财投资者权益须知</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杭银理财理财计划投资协议书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杭银理财理财计划销售协议书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理财计划销售协议书</w:t>
            </w:r>
          </w:p>
        </w:tc>
      </w:tr>
    </w:tbl>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lang w:eastAsia="zh-CN"/>
        </w:rPr>
        <w:t>幸福99丰裕固收387天25073期理财</w:t>
      </w:r>
      <w:r>
        <w:rPr>
          <w:rFonts w:hint="eastAsia" w:ascii="宋体" w:hAnsi="宋体" w:cs="宋体"/>
          <w:b/>
          <w:bCs/>
          <w:sz w:val="44"/>
          <w:szCs w:val="44"/>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5</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国家金融监督管理总局相关监督规定，杭银理财有限责任公司作为本理财计划的管理人郑重提示：在购买理财计划前，请仔细阅读本理财计划完整合同（包括但不限于理财计划风险揭示书、理财计划说明书、投资者权益须知、理财计划投资协议书和理财计划销售协议书，</w:t>
      </w:r>
      <w:r>
        <w:rPr>
          <w:rFonts w:hint="eastAsia" w:ascii="宋体" w:hAnsi="宋体" w:cs="宋体"/>
          <w:b/>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numPr>
          <w:ilvl w:val="0"/>
          <w:numId w:val="1"/>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理财计划共性风险</w:t>
      </w:r>
    </w:p>
    <w:p>
      <w:pPr>
        <w:numPr>
          <w:ilvl w:val="0"/>
          <w:numId w:val="2"/>
        </w:numPr>
        <w:spacing w:line="360" w:lineRule="auto"/>
        <w:jc w:val="left"/>
        <w:outlineLvl w:val="2"/>
        <w:rPr>
          <w:rFonts w:ascii="宋体" w:hAnsi="宋体" w:cs="宋体"/>
          <w:b/>
          <w:sz w:val="24"/>
          <w:highlight w:val="none"/>
        </w:rPr>
      </w:pPr>
      <w:r>
        <w:rPr>
          <w:rFonts w:hint="eastAsia" w:ascii="宋体" w:hAnsi="宋体" w:cs="宋体"/>
          <w:b/>
          <w:sz w:val="24"/>
          <w:highlight w:val="none"/>
        </w:rPr>
        <w:t>信用风险：理财计划所投资产的相关义务人信用状况恶化，出现信用违约情形，则理财计划本金或收益蒙受部分或全部损失的风险。</w:t>
      </w:r>
    </w:p>
    <w:p>
      <w:pPr>
        <w:numPr>
          <w:ilvl w:val="0"/>
          <w:numId w:val="2"/>
        </w:numPr>
        <w:spacing w:line="360" w:lineRule="auto"/>
        <w:jc w:val="left"/>
        <w:outlineLvl w:val="2"/>
        <w:rPr>
          <w:rFonts w:ascii="宋体" w:hAnsi="宋体" w:cs="宋体"/>
          <w:b/>
          <w:sz w:val="24"/>
          <w:highlight w:val="none"/>
        </w:rPr>
      </w:pPr>
      <w:r>
        <w:rPr>
          <w:rFonts w:hint="eastAsia" w:ascii="宋体" w:hAnsi="宋体" w:cs="宋体"/>
          <w:b/>
          <w:sz w:val="24"/>
          <w:highlight w:val="none"/>
        </w:rPr>
        <w:t>市场风险：理财计划可能面临国家政策、经济周期、利率、汇率等因素的变化，所投资产价值可能出现波动，从而影响理财计划的收益，导致理财计划本金或收益蒙受部分或全部损失的风险，主要包括：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购买力风险：如发生通货膨胀，则所投资产的收益可能会被通货膨胀抵消，从而对理财计划收益的实际购买力产生影响。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政策风险：理财计划根据当前的相关法规和政策设计，如国家宏观政策以及相关市场</w:t>
      </w:r>
      <w:r>
        <w:rPr>
          <w:rFonts w:hint="eastAsia" w:ascii="宋体" w:hAnsi="宋体" w:cs="宋体"/>
          <w:b/>
          <w:sz w:val="24"/>
          <w:highlight w:val="none"/>
          <w:lang w:val="en-US" w:eastAsia="zh-CN"/>
        </w:rPr>
        <w:t>法律、</w:t>
      </w:r>
      <w:r>
        <w:rPr>
          <w:rFonts w:hint="eastAsia" w:ascii="宋体" w:hAnsi="宋体" w:cs="宋体"/>
          <w:b/>
          <w:sz w:val="24"/>
          <w:highlight w:val="none"/>
        </w:rPr>
        <w:t>法规发生变化，可能会影响理财计划的发行、投资、兑付等正常工作流程的进行，导致理财计划本金或收益蒙受部分或全部损失的风险。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操作风险：理财计划由于内部作业、人员管理、系统操作、交易对手交易处理不当或失误等，导致理财计划本金或收益蒙受部分或全部损失的风险。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提前或延期终止风险：为保护投资者利益，在理财计划存续期间，管理人可根据理财计划说明书约定的情形提前或延期终止本理财计划。如理财计划被提前或延期终止，则投资者将面临提前终止再投资或延期兑付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信息传递风险：1.理财计划管理人将按照本理财计划销售文件中约定的信息披露方式、途径向投资者公示本理财计划的各类信息和重大事件，投资者应及时查询、了解。由于投资者未能及时主动了解理财计划信息或由于不抗力及/或意外事件的影响导致投资者无法及时了解理财计划信息，从而影响投资者的投资决策，由此产生的责任和风险由投资者自行承担。2.投资者预留的有效联系方式发生变更的，应及时通知理财计划管理人。如投资者未及时告知理财计划管理人联系方式变更或理财计划管理人在其认为必要时无法及时联系到投资者的，可能影响投资者的投资决策，由此产生责任和风险由投资者自行承担。</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建仓期风险：如理财计划设置建仓期，则在建仓期内理财计划的投资比例可能无法满足约定的投资比例限制，从而对理财计划收益产生影响。</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购理财计划的资金由销售机构从投资者资金账户扣收；理财计划到期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不同理财计划份额差异化风险：管理人可根据投资者购买理财计划的金额、销售渠道等因素，对投资者所持有的理财计划设置不同理财计划份额类别。不同类别的理财计划份额在销售名称、收费方式、销售服务费、销售代码、销售对象、销售起点金额（包括认购、申购等）、认申购和赎回的数量限额、持有理财计划的最高和最低限额、计算和公告理财计划份额净值方面等存在差异。</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lang w:eastAsia="zh-CN"/>
        </w:rPr>
        <w:t>关</w:t>
      </w:r>
      <w:r>
        <w:rPr>
          <w:rFonts w:ascii="宋体" w:hAnsi="宋体" w:cs="宋体"/>
          <w:b/>
          <w:sz w:val="24"/>
          <w:highlight w:val="none"/>
        </w:rPr>
        <w:t>联关系</w:t>
      </w:r>
      <w:r>
        <w:rPr>
          <w:rFonts w:hint="eastAsia" w:ascii="宋体" w:hAnsi="宋体" w:cs="宋体"/>
          <w:b/>
          <w:sz w:val="24"/>
          <w:highlight w:val="none"/>
          <w:lang w:val="en-US" w:eastAsia="zh-CN"/>
        </w:rPr>
        <w:t>及关联交易</w:t>
      </w:r>
      <w:r>
        <w:rPr>
          <w:rFonts w:ascii="宋体" w:hAnsi="宋体" w:cs="宋体"/>
          <w:b/>
          <w:sz w:val="24"/>
          <w:highlight w:val="none"/>
        </w:rPr>
        <w:t>风险：</w:t>
      </w:r>
      <w:r>
        <w:rPr>
          <w:rFonts w:hint="eastAsia" w:ascii="宋体" w:hAnsi="宋体" w:cs="宋体"/>
          <w:b/>
          <w:sz w:val="24"/>
          <w:highlight w:val="none"/>
          <w:lang w:val="en-US" w:eastAsia="zh-CN"/>
        </w:rPr>
        <w:t>本理财计划由杭银理财发行并管理，独立履行理财计划管理人职责，杭银理财有权委托销售服务机构进行代理销售，可能涉及委托</w:t>
      </w:r>
      <w:r>
        <w:rPr>
          <w:rFonts w:ascii="宋体" w:hAnsi="宋体" w:cs="宋体"/>
          <w:b/>
          <w:sz w:val="24"/>
          <w:highlight w:val="none"/>
        </w:rPr>
        <w:t>杭州银行股份有限公司</w:t>
      </w:r>
      <w:r>
        <w:rPr>
          <w:rFonts w:hint="eastAsia" w:ascii="宋体" w:hAnsi="宋体" w:cs="宋体"/>
          <w:b/>
          <w:sz w:val="24"/>
          <w:highlight w:val="none"/>
          <w:lang w:eastAsia="zh-CN"/>
        </w:rPr>
        <w:t>（</w:t>
      </w:r>
      <w:r>
        <w:rPr>
          <w:rFonts w:hint="eastAsia" w:ascii="宋体" w:hAnsi="宋体" w:cs="宋体"/>
          <w:b/>
          <w:sz w:val="24"/>
          <w:highlight w:val="none"/>
          <w:lang w:val="en-US" w:eastAsia="zh-CN"/>
        </w:rPr>
        <w:t>以下简称“杭州银行”</w:t>
      </w:r>
      <w:r>
        <w:rPr>
          <w:rFonts w:hint="eastAsia" w:ascii="宋体" w:hAnsi="宋体" w:cs="宋体"/>
          <w:b/>
          <w:sz w:val="24"/>
          <w:highlight w:val="none"/>
          <w:lang w:eastAsia="zh-CN"/>
        </w:rPr>
        <w:t>）</w:t>
      </w:r>
      <w:r>
        <w:rPr>
          <w:rFonts w:hint="eastAsia" w:ascii="宋体" w:hAnsi="宋体" w:cs="宋体"/>
          <w:b/>
          <w:sz w:val="24"/>
          <w:highlight w:val="none"/>
          <w:lang w:val="en-US" w:eastAsia="zh-CN"/>
        </w:rPr>
        <w:t>作为理财计划的销售服务机构</w:t>
      </w:r>
      <w:r>
        <w:rPr>
          <w:rFonts w:ascii="宋体" w:hAnsi="宋体" w:cs="宋体"/>
          <w:b/>
          <w:sz w:val="24"/>
          <w:highlight w:val="none"/>
        </w:rPr>
        <w:t>，</w:t>
      </w:r>
      <w:r>
        <w:rPr>
          <w:rFonts w:hint="eastAsia" w:ascii="宋体" w:hAnsi="宋体" w:cs="宋体"/>
          <w:b/>
          <w:sz w:val="24"/>
          <w:highlight w:val="none"/>
          <w:lang w:val="en-US" w:eastAsia="zh-CN"/>
        </w:rPr>
        <w:t>负责理财计划的代理销售工作。</w:t>
      </w:r>
      <w:r>
        <w:rPr>
          <w:rFonts w:ascii="宋体" w:hAnsi="宋体" w:cs="宋体"/>
          <w:b/>
          <w:sz w:val="24"/>
          <w:highlight w:val="none"/>
        </w:rPr>
        <w:t>杭银理财系杭州银行全资子公司，双方存在关联关系。</w:t>
      </w:r>
      <w:r>
        <w:rPr>
          <w:rFonts w:hint="eastAsia" w:ascii="宋体" w:hAnsi="宋体" w:cs="宋体"/>
          <w:b/>
          <w:sz w:val="24"/>
          <w:highlight w:val="none"/>
          <w:lang w:val="en-US" w:eastAsia="zh-CN"/>
        </w:rPr>
        <w:t>尽管杭银理财将严格遵守法律、行政法规、金融监管规定及行业自律组织建议对关联方进行准确识别，按照相关规定及时进行审批、备案并充分披露，不会以理财计划与关联方进行不正当交易、利益输送等行为，以降低关联交易风险，但仍存在无法完全排除关联交易的可能而导致影响投资者收益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lang w:val="en-US" w:eastAsia="zh-CN"/>
        </w:rPr>
        <w:t>投资者合规风险：</w:t>
      </w:r>
      <w:r>
        <w:rPr>
          <w:rFonts w:hint="eastAsia" w:ascii="宋体" w:hAnsi="宋体" w:cs="宋体"/>
          <w:b/>
          <w:bCs w:val="0"/>
          <w:color w:val="000000"/>
          <w:sz w:val="24"/>
          <w:highlight w:val="none"/>
          <w:lang w:val="en-US" w:eastAsia="zh-CN"/>
        </w:rPr>
        <w:t>根据</w:t>
      </w:r>
      <w:r>
        <w:rPr>
          <w:rFonts w:hint="eastAsia" w:ascii="宋体" w:hAnsi="宋体" w:cs="宋体"/>
          <w:b/>
          <w:bCs w:val="0"/>
          <w:color w:val="000000"/>
          <w:sz w:val="24"/>
          <w:highlight w:val="none"/>
        </w:rPr>
        <w:t>法律、行政法规、金融监管规定及</w:t>
      </w:r>
      <w:r>
        <w:rPr>
          <w:rFonts w:hint="eastAsia" w:ascii="宋体" w:hAnsi="宋体" w:cs="宋体"/>
          <w:b/>
          <w:bCs w:val="0"/>
          <w:color w:val="000000"/>
          <w:sz w:val="24"/>
          <w:highlight w:val="none"/>
          <w:lang w:val="en-US" w:eastAsia="zh-CN"/>
        </w:rPr>
        <w:t>与此相匹配的管理人或销售服务机构的风险控制制度，投资者在投资理财计划时、理财计划存续运作过程中，需配合理财计划管理人或销售服务机构满足包括但不限于反洗钱、反恐怖融资、制裁合规、反电信网络诈骗、非居民金融账户涉税尽职调查等合规要求。为履行前述合规义务，投资者需配合管理人或销售服务机构要求提供、更新身份资料、资金来源等各项信息；如遇高风险情形、事件或其他根据法律法规或管理人内控合规要求需采取相应措施的其他情形，管理人或销售服务机构可能会对相关投资者采取包括但不限于拒绝或暂停接受认购/申购申请、暂停接受赎回申请、冻结份额等交易限制措施，由此产生的损失及责任由投资者自行承担。</w:t>
      </w:r>
    </w:p>
    <w:p>
      <w:pPr>
        <w:numPr>
          <w:ilvl w:val="0"/>
          <w:numId w:val="1"/>
        </w:numPr>
        <w:spacing w:line="360" w:lineRule="auto"/>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jc w:val="left"/>
        <w:rPr>
          <w:rFonts w:hint="eastAsia" w:ascii="宋体" w:hAnsi="宋体" w:cs="宋体"/>
          <w:b/>
          <w:sz w:val="24"/>
          <w:highlight w:val="none"/>
        </w:rPr>
      </w:pPr>
      <w:r>
        <w:rPr>
          <w:rFonts w:hint="eastAsia" w:ascii="宋体" w:hAnsi="宋体" w:cs="宋体"/>
          <w:b/>
          <w:sz w:val="24"/>
          <w:highlight w:val="none"/>
        </w:rPr>
        <w:t>资金流动性风险：本理财计划认购份额确认后，封闭式运作，产品终止前投资者不得提前赎回。</w:t>
      </w:r>
    </w:p>
    <w:p>
      <w:pPr>
        <w:numPr>
          <w:ilvl w:val="0"/>
          <w:numId w:val="5"/>
        </w:numPr>
        <w:spacing w:line="360" w:lineRule="auto"/>
        <w:jc w:val="left"/>
        <w:rPr>
          <w:rFonts w:hint="eastAsia" w:ascii="宋体" w:hAnsi="宋体" w:cs="宋体"/>
          <w:b/>
          <w:sz w:val="24"/>
          <w:highlight w:val="none"/>
        </w:rPr>
      </w:pPr>
      <w:r>
        <w:rPr>
          <w:rFonts w:hint="eastAsia" w:ascii="宋体" w:hAnsi="宋体" w:cs="宋体"/>
          <w:b/>
          <w:sz w:val="24"/>
          <w:highlight w:val="none"/>
        </w:rPr>
        <w:t>收益不达业绩比较基准风险：本理财计划可投资于债券及非标准化债权类资产等固定收益类及权益类资产，因融资人违约及市场波动或导致投资者的本金出现损失。</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上述理财计划共性与特定风险发生时，投资者的本金及收益可能遭受损失，在最不利情形下，将损失全部本金及收益</w:t>
      </w:r>
      <w:bookmarkStart w:id="0" w:name="OLE_LINK1"/>
      <w:r>
        <w:rPr>
          <w:rFonts w:hint="eastAsia" w:ascii="宋体" w:hAnsi="宋体" w:cs="宋体"/>
          <w:b/>
          <w:sz w:val="24"/>
          <w:highlight w:val="none"/>
          <w:lang w:eastAsia="zh-CN"/>
        </w:rPr>
        <w:t>（</w:t>
      </w:r>
      <w:r>
        <w:rPr>
          <w:rFonts w:hint="eastAsia" w:ascii="宋体" w:hAnsi="宋体" w:cs="宋体"/>
          <w:b/>
          <w:sz w:val="24"/>
          <w:highlight w:val="none"/>
          <w:lang w:val="en-US" w:eastAsia="zh-CN"/>
        </w:rPr>
        <w:t>如有</w:t>
      </w:r>
      <w:r>
        <w:rPr>
          <w:rFonts w:hint="eastAsia" w:ascii="宋体" w:hAnsi="宋体" w:cs="宋体"/>
          <w:b/>
          <w:sz w:val="24"/>
          <w:highlight w:val="none"/>
          <w:lang w:eastAsia="zh-CN"/>
        </w:rPr>
        <w:t>）</w:t>
      </w:r>
      <w:bookmarkEnd w:id="0"/>
      <w:r>
        <w:rPr>
          <w:rFonts w:hint="eastAsia" w:ascii="宋体" w:hAnsi="宋体" w:cs="宋体"/>
          <w:b/>
          <w:sz w:val="24"/>
          <w:highlight w:val="none"/>
        </w:rPr>
        <w:t>，由此产生的风险及损失将由投资者自行承担。</w:t>
      </w:r>
    </w:p>
    <w:p>
      <w:pPr>
        <w:numPr>
          <w:ilvl w:val="0"/>
          <w:numId w:val="1"/>
        </w:numPr>
        <w:spacing w:line="360" w:lineRule="auto"/>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w:t>
      </w: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240" w:firstLineChars="100"/>
        <w:jc w:val="left"/>
        <w:rPr>
          <w:rFonts w:hint="eastAsia" w:ascii="宋体" w:hAnsi="宋体" w:cs="宋体"/>
          <w:bCs/>
          <w:sz w:val="24"/>
          <w:highlight w:val="none"/>
        </w:rPr>
      </w:pP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w:t>
      </w:r>
      <w:r>
        <w:rPr>
          <w:rFonts w:hint="eastAsia" w:ascii="宋体" w:hAnsi="宋体" w:cs="宋体"/>
          <w:b/>
          <w:sz w:val="24"/>
          <w:highlight w:val="none"/>
          <w:lang w:val="en-US" w:eastAsia="zh-CN"/>
        </w:rPr>
        <w:t>公募</w:t>
      </w:r>
      <w:r>
        <w:rPr>
          <w:rFonts w:hint="eastAsia" w:ascii="宋体" w:hAnsi="宋体" w:cs="宋体"/>
          <w:b/>
          <w:sz w:val="24"/>
          <w:highlight w:val="none"/>
        </w:rPr>
        <w:t>、</w:t>
      </w:r>
      <w:r>
        <w:rPr>
          <w:rFonts w:hint="eastAsia" w:ascii="宋体" w:hAnsi="宋体" w:cs="宋体"/>
          <w:b/>
          <w:sz w:val="24"/>
          <w:highlight w:val="none"/>
          <w:lang w:val="en-US" w:eastAsia="zh-CN"/>
        </w:rPr>
        <w:t>封闭式</w:t>
      </w:r>
      <w:r>
        <w:rPr>
          <w:rFonts w:hint="eastAsia" w:ascii="宋体" w:hAnsi="宋体" w:cs="宋体"/>
          <w:b/>
          <w:sz w:val="24"/>
          <w:highlight w:val="none"/>
        </w:rPr>
        <w:t>、〖</w:t>
      </w:r>
      <w:r>
        <w:rPr>
          <w:rFonts w:hint="eastAsia" w:ascii="宋体" w:hAnsi="宋体" w:cs="宋体"/>
          <w:b/>
          <w:sz w:val="24"/>
          <w:highlight w:val="none"/>
          <w:lang w:val="en-US" w:eastAsia="zh-CN"/>
        </w:rPr>
        <w:t>固定收益类</w:t>
      </w:r>
      <w:r>
        <w:rPr>
          <w:rFonts w:hint="eastAsia" w:ascii="宋体" w:hAnsi="宋体" w:cs="宋体"/>
          <w:b/>
          <w:sz w:val="24"/>
          <w:highlight w:val="none"/>
        </w:rPr>
        <w:t>〗净值型理财计划，〖387天〗</w:t>
      </w:r>
      <w:r>
        <w:rPr>
          <w:rFonts w:hint="eastAsia" w:ascii="宋体" w:hAnsi="宋体" w:cs="宋体"/>
          <w:bCs/>
          <w:color w:val="000000"/>
          <w:sz w:val="24"/>
          <w:highlight w:val="none"/>
        </w:rPr>
        <w:t>，</w:t>
      </w:r>
      <w:r>
        <w:rPr>
          <w:rFonts w:hint="eastAsia" w:ascii="宋体" w:hAnsi="宋体" w:cs="宋体"/>
          <w:b/>
          <w:sz w:val="24"/>
          <w:highlight w:val="none"/>
        </w:rPr>
        <w:t>不保证本金与收益。理财计划过往业绩不代表其未来表现，不等于理财计划实际收益，投资须谨慎！根据本公司理财产品内部风险评级，该理财计划风险评级结果为〖</w:t>
      </w:r>
      <w:r>
        <w:rPr>
          <w:rFonts w:hint="eastAsia" w:ascii="宋体" w:hAnsi="宋体" w:cs="宋体"/>
          <w:b/>
          <w:sz w:val="24"/>
          <w:highlight w:val="none"/>
          <w:lang w:val="en-US" w:eastAsia="zh-CN"/>
        </w:rPr>
        <w:t>R2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（本风险等级为我公司内部风险评级结果，仅供参考,理财计划通过代理销售机构渠道销售的，理财计划产品评级应当以代理销售机构最终披露的评级结果为准），</w:t>
      </w:r>
      <w:r>
        <w:rPr>
          <w:rFonts w:hint="eastAsia" w:ascii="宋体" w:hAnsi="宋体" w:cs="宋体"/>
          <w:b/>
          <w:sz w:val="24"/>
          <w:highlight w:val="none"/>
        </w:rPr>
        <w:t>总体风险〖</w:t>
      </w:r>
      <w:r>
        <w:rPr>
          <w:rFonts w:hint="eastAsia" w:ascii="宋体" w:hAnsi="宋体" w:cs="宋体"/>
          <w:b/>
          <w:sz w:val="24"/>
          <w:highlight w:val="none"/>
          <w:lang w:val="en-US" w:eastAsia="zh-CN"/>
        </w:rPr>
        <w:t>程度较低，收益波动较小，虽然存在一些可能对产品本金和收益安全产生不利影响的因素，但产品本金出现损失的可能性较小</w:t>
      </w:r>
      <w:r>
        <w:rPr>
          <w:rFonts w:hint="eastAsia" w:ascii="宋体" w:hAnsi="宋体" w:cs="宋体"/>
          <w:b/>
          <w:sz w:val="24"/>
          <w:highlight w:val="none"/>
        </w:rPr>
        <w:t>〗。</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val="0"/>
          <w:bCs/>
          <w:sz w:val="24"/>
          <w:highlight w:val="none"/>
        </w:rPr>
        <w:t>本理财计划投资者适当性评估由销售机构负责，销售机构应确保个人投资者的风险承受能力不低于本理财计划风险评级。如个人投资者的风险承受能力评估已超一年，或影响投资者风险承受能力的因素发生变化，请及时完成风险承受能力的重新评估，并对评估结果的有效性进行确认。</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理财计划管理人有权按照国内外反洗钱相关适用的法律法规和监管要求，从销售机构获得相应必要的投资者身份信息并报送投资者身份信息及其持有理财产品信息。销售机构将在合法、合理且必要时向管理人提供投资者身份识别信息（投资者身份识别信息包括但不限于：投资者的姓名、性别、国籍、职业、住所地或者工作单位地址、常居地地址、联系方式、身份证明文件的种类、号码和有效期限、代理人信息、受益所有人信息），以及在合法、合理且必要时进一步提供身份证明文件的复印件和影印件以及其他必要信息。投资者签署后即表示同意并配合提供前述信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pStyle w:val="13"/>
        <w:spacing w:line="360" w:lineRule="auto"/>
        <w:jc w:val="center"/>
        <w:outlineLvl w:val="1"/>
        <w:rPr>
          <w:rFonts w:hint="eastAsia"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b/>
          <w:color w:val="auto"/>
          <w:highlight w:val="none"/>
        </w:rPr>
        <w:t>投资者确认栏（个人投资者填写）</w:t>
      </w:r>
    </w:p>
    <w:p>
      <w:pPr>
        <w:pStyle w:val="13"/>
        <w:spacing w:line="360" w:lineRule="auto"/>
        <w:jc w:val="both"/>
        <w:rPr>
          <w:rFonts w:hint="eastAsia" w:ascii="宋体" w:hAnsi="宋体" w:cs="宋体"/>
          <w:b/>
          <w:color w:val="auto"/>
          <w:highlight w:val="none"/>
        </w:rPr>
      </w:pPr>
    </w:p>
    <w:p>
      <w:pPr>
        <w:pStyle w:val="13"/>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3"/>
        <w:spacing w:line="360" w:lineRule="auto"/>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3"/>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如超过一年未进行风险承受能力评估或影响本人风险承受能力的因素发生变化，本人将于再次购买理财计划时及时完成风险承受能力评估。</w:t>
      </w:r>
    </w:p>
    <w:p>
      <w:pPr>
        <w:pStyle w:val="13"/>
        <w:spacing w:line="360" w:lineRule="auto"/>
        <w:ind w:firstLine="472" w:firstLineChars="196"/>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理财计划销售协议书》，已对其作全面、准确的理解，充分认识到投资本理财计划要求承担的风险，接受本风险揭示书及《理财计划产品说明书》《投资者权益须知》《理财计划投资协议书》《理财计划销售协议书》等本理财计划合同全部内容，自愿且有能力承担投资本理财计划的风险。</w:t>
      </w:r>
    </w:p>
    <w:p>
      <w:pPr>
        <w:pStyle w:val="13"/>
        <w:spacing w:line="360" w:lineRule="auto"/>
        <w:ind w:firstLine="472" w:firstLineChars="196"/>
        <w:jc w:val="both"/>
        <w:rPr>
          <w:rFonts w:ascii="宋体" w:hAnsi="宋体" w:cs="宋体"/>
          <w:b/>
          <w:bCs/>
          <w:color w:val="auto"/>
          <w:highlight w:val="none"/>
          <w:u w:val="single"/>
        </w:rPr>
      </w:pPr>
      <w:r>
        <w:rPr>
          <w:rFonts w:hint="eastAsia" w:ascii="宋体" w:hAnsi="宋体" w:cs="宋体"/>
          <w:b/>
          <w:bCs/>
          <w:color w:val="auto"/>
          <w:highlight w:val="none"/>
          <w:u w:val="single"/>
        </w:rPr>
        <w:t>本人购买本理财计划的资金为合法自有资金，不存在使用借款、贷款等非自有资金的情形；且系为合法目的投资本理财计划，而非为洗钱等违法违规之目的，本人将配合管理人或销售机构开展客户身份识别及尽职调查、反恐怖融资以及非居民金融账户尽职调查等，及时、真实、准确提供身份信息及资金来源信息。</w:t>
      </w:r>
    </w:p>
    <w:p>
      <w:pPr>
        <w:pStyle w:val="13"/>
        <w:spacing w:line="360" w:lineRule="auto"/>
        <w:ind w:firstLine="360" w:firstLineChars="15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 xml:space="preserve">“本人已经阅读上述风险揭示，愿意承担投资风险。”如通过线上渠道购买，认/申购交易确认即视为投资者同意自身风险承受能力等级并确认风险揭示内容，愿意承担投资风险，与书面签署具有同等效力。） </w:t>
      </w:r>
    </w:p>
    <w:p>
      <w:pPr>
        <w:pStyle w:val="13"/>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pStyle w:val="13"/>
        <w:spacing w:line="360" w:lineRule="auto"/>
        <w:jc w:val="both"/>
        <w:rPr>
          <w:rFonts w:hint="eastAsia" w:ascii="宋体" w:hAnsi="宋体" w:cs="宋体"/>
          <w:color w:val="auto"/>
          <w:highlight w:val="none"/>
        </w:rPr>
      </w:pP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snapToGrid w:val="0"/>
        <w:rPr>
          <w:rFonts w:hint="eastAsia" w:ascii="宋体" w:hAnsi="宋体"/>
          <w:kern w:val="0"/>
          <w:szCs w:val="21"/>
          <w:highlight w:val="none"/>
          <w:u w:val="single"/>
        </w:rPr>
      </w:pPr>
    </w:p>
    <w:p>
      <w:pPr>
        <w:autoSpaceDE w:val="0"/>
        <w:autoSpaceDN w:val="0"/>
        <w:adjustRightInd w:val="0"/>
        <w:spacing w:line="420" w:lineRule="exact"/>
        <w:jc w:val="center"/>
        <w:rPr>
          <w:rFonts w:hint="eastAsia" w:ascii="宋体" w:hAnsi="宋体"/>
          <w:b/>
          <w:kern w:val="0"/>
          <w:szCs w:val="21"/>
          <w:highlight w:val="none"/>
        </w:rPr>
      </w:pPr>
    </w:p>
    <w:p>
      <w:pPr>
        <w:autoSpaceDE w:val="0"/>
        <w:autoSpaceDN w:val="0"/>
        <w:adjustRightInd w:val="0"/>
        <w:spacing w:line="360" w:lineRule="auto"/>
        <w:jc w:val="center"/>
        <w:rPr>
          <w:rFonts w:hint="eastAsia" w:ascii="宋体" w:hAnsi="宋体"/>
          <w:b/>
          <w:kern w:val="0"/>
          <w:szCs w:val="21"/>
          <w:highlight w:val="none"/>
        </w:rPr>
      </w:pPr>
    </w:p>
    <w:p>
      <w:pPr>
        <w:autoSpaceDE w:val="0"/>
        <w:autoSpaceDN w:val="0"/>
        <w:adjustRightInd w:val="0"/>
        <w:spacing w:line="360" w:lineRule="auto"/>
        <w:jc w:val="center"/>
        <w:rPr>
          <w:rFonts w:hint="eastAsia" w:ascii="宋体" w:hAnsi="宋体"/>
          <w:b/>
          <w:kern w:val="0"/>
          <w:szCs w:val="21"/>
          <w:highlight w:val="none"/>
        </w:rPr>
      </w:pPr>
    </w:p>
    <w:p>
      <w:pPr>
        <w:autoSpaceDE w:val="0"/>
        <w:autoSpaceDN w:val="0"/>
        <w:adjustRightInd w:val="0"/>
        <w:spacing w:line="360" w:lineRule="auto"/>
        <w:rPr>
          <w:rFonts w:hint="eastAsia" w:ascii="宋体" w:hAnsi="宋体"/>
          <w:b/>
          <w:kern w:val="0"/>
          <w:szCs w:val="21"/>
          <w:highlight w:val="none"/>
        </w:rPr>
      </w:pPr>
    </w:p>
    <w:p>
      <w:pPr>
        <w:pStyle w:val="13"/>
        <w:spacing w:line="360" w:lineRule="auto"/>
        <w:ind w:firstLine="482" w:firstLineChars="200"/>
        <w:jc w:val="center"/>
        <w:outlineLvl w:val="1"/>
        <w:rPr>
          <w:rFonts w:hint="eastAsia" w:ascii="宋体" w:hAnsi="宋体" w:cs="宋体"/>
          <w:b/>
          <w:bCs/>
          <w:color w:val="auto"/>
          <w:highlight w:val="none"/>
        </w:rPr>
      </w:pPr>
      <w:r>
        <w:rPr>
          <w:rFonts w:hint="eastAsia" w:ascii="宋体" w:hAnsi="宋体" w:cs="宋体"/>
          <w:b/>
          <w:bCs/>
          <w:color w:val="auto"/>
          <w:highlight w:val="none"/>
        </w:rPr>
        <w:br w:type="page"/>
      </w:r>
      <w:r>
        <w:rPr>
          <w:rFonts w:hint="eastAsia" w:ascii="宋体" w:hAnsi="宋体" w:cs="宋体"/>
          <w:b/>
          <w:bCs/>
          <w:color w:val="auto"/>
          <w:highlight w:val="none"/>
        </w:rPr>
        <w:t>投资者确认栏（机构投资者）</w:t>
      </w:r>
    </w:p>
    <w:p>
      <w:pPr>
        <w:pStyle w:val="13"/>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cs="宋体"/>
          <w:b/>
          <w:bCs/>
          <w:color w:val="auto"/>
          <w:highlight w:val="none"/>
          <w:u w:val="single"/>
        </w:rPr>
        <w:t>接受本风险揭示书及《理财计划产品说明书》《投资者权益须知》《理财计划投资协议书》《理财计划销售协议书》等本理财计划合同全部内容，自愿且有能力承担投资本理财计划的风险。</w:t>
      </w:r>
    </w:p>
    <w:p>
      <w:pPr>
        <w:pStyle w:val="13"/>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jc w:val="both"/>
        <w:rPr>
          <w:rFonts w:hint="eastAsia" w:ascii="宋体" w:hAnsi="宋体" w:cs="宋体"/>
          <w:color w:val="auto"/>
          <w:highlight w:val="none"/>
        </w:rPr>
      </w:pPr>
      <w:r>
        <w:rPr>
          <w:rFonts w:hint="eastAsia" w:ascii="宋体" w:hAnsi="宋体" w:cs="宋体"/>
          <w:color w:val="auto"/>
          <w:highlight w:val="none"/>
        </w:rPr>
        <w:t>投资者（公章）                          法定代表人或授权代理人（签章）</w:t>
      </w: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r>
        <w:rPr>
          <w:rFonts w:hint="eastAsia" w:ascii="宋体" w:hAnsi="宋体" w:cs="宋体"/>
          <w:color w:val="auto"/>
          <w:highlight w:val="none"/>
        </w:rPr>
        <w:t>日期：</w:t>
      </w:r>
      <w:r>
        <w:rPr>
          <w:rFonts w:hint="eastAsia" w:ascii="宋体" w:hAnsi="宋体" w:cs="宋体"/>
          <w:highlight w:val="none"/>
          <w:u w:val="single"/>
        </w:rPr>
        <w:t xml:space="preserve">      </w:t>
      </w:r>
      <w:r>
        <w:rPr>
          <w:rFonts w:hint="eastAsia" w:ascii="宋体" w:hAnsi="宋体" w:cs="宋体"/>
          <w:color w:val="auto"/>
          <w:highlight w:val="none"/>
        </w:rPr>
        <w:t>年</w:t>
      </w:r>
      <w:r>
        <w:rPr>
          <w:rFonts w:hint="eastAsia" w:ascii="宋体" w:hAnsi="宋体" w:cs="宋体"/>
          <w:highlight w:val="none"/>
          <w:u w:val="single"/>
        </w:rPr>
        <w:t xml:space="preserve">    </w:t>
      </w:r>
      <w:r>
        <w:rPr>
          <w:rFonts w:hint="eastAsia" w:ascii="宋体" w:hAnsi="宋体" w:cs="宋体"/>
          <w:color w:val="auto"/>
          <w:highlight w:val="none"/>
        </w:rPr>
        <w:t>月</w:t>
      </w:r>
      <w:r>
        <w:rPr>
          <w:rFonts w:hint="eastAsia" w:ascii="宋体" w:hAnsi="宋体" w:cs="宋体"/>
          <w:highlight w:val="none"/>
          <w:u w:val="single"/>
        </w:rPr>
        <w:t xml:space="preserve">    </w:t>
      </w:r>
      <w:r>
        <w:rPr>
          <w:rFonts w:hint="eastAsia" w:ascii="宋体" w:hAnsi="宋体" w:cs="宋体"/>
          <w:color w:val="auto"/>
          <w:highlight w:val="none"/>
        </w:rPr>
        <w:t>日</w:t>
      </w:r>
    </w:p>
    <w:p>
      <w:pPr>
        <w:spacing w:line="360" w:lineRule="auto"/>
        <w:jc w:val="center"/>
        <w:outlineLvl w:val="0"/>
        <w:rPr>
          <w:rFonts w:hint="eastAsia" w:ascii="宋体" w:hAnsi="宋体" w:cs="宋体"/>
          <w:b/>
          <w:bCs/>
          <w:sz w:val="44"/>
          <w:szCs w:val="44"/>
          <w:highlight w:val="none"/>
        </w:rPr>
      </w:pPr>
      <w:r>
        <w:rPr>
          <w:rFonts w:hint="eastAsia" w:ascii="宋体" w:hAnsi="宋体" w:cs="宋体"/>
          <w:bCs/>
          <w:sz w:val="24"/>
          <w:highlight w:val="none"/>
        </w:rPr>
        <w:br w:type="page"/>
      </w:r>
      <w:r>
        <w:rPr>
          <w:rFonts w:hint="eastAsia" w:ascii="宋体" w:hAnsi="宋体" w:cs="宋体"/>
          <w:b/>
          <w:bCs/>
          <w:sz w:val="44"/>
          <w:szCs w:val="44"/>
          <w:highlight w:val="none"/>
          <w:lang w:eastAsia="zh-CN"/>
        </w:rPr>
        <w:t>幸福99丰裕固收387天25073期理财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5</w:t>
      </w:r>
      <w:r>
        <w:rPr>
          <w:rFonts w:hint="eastAsia" w:ascii="宋体" w:hAnsi="宋体" w:cs="宋体"/>
          <w:sz w:val="28"/>
          <w:szCs w:val="28"/>
          <w:highlight w:val="none"/>
        </w:rPr>
        <w:t>01版）</w:t>
      </w:r>
    </w:p>
    <w:p>
      <w:pPr>
        <w:spacing w:line="360" w:lineRule="auto"/>
        <w:jc w:val="right"/>
        <w:rPr>
          <w:rFonts w:hint="eastAsia" w:ascii="宋体" w:hAnsi="宋体" w:cs="宋体"/>
          <w:bCs/>
          <w:color w:val="auto"/>
          <w:sz w:val="24"/>
          <w:highlight w:val="none"/>
        </w:rPr>
      </w:pPr>
      <w:r>
        <w:rPr>
          <w:rFonts w:hint="eastAsia" w:ascii="宋体" w:hAnsi="宋体" w:cs="宋体"/>
          <w:color w:val="000000"/>
          <w:sz w:val="24"/>
          <w:highlight w:val="none"/>
        </w:rPr>
        <w:t>备案编号</w:t>
      </w:r>
      <w:r>
        <w:rPr>
          <w:rFonts w:hint="eastAsia" w:ascii="宋体" w:hAnsi="宋体" w:cs="宋体"/>
          <w:color w:val="auto"/>
          <w:sz w:val="24"/>
          <w:highlight w:val="none"/>
        </w:rPr>
        <w:t>:</w:t>
      </w:r>
      <w:r>
        <w:rPr>
          <w:rFonts w:hint="eastAsia" w:ascii="宋体" w:hAnsi="宋体" w:cs="宋体"/>
          <w:bCs/>
          <w:color w:val="auto"/>
          <w:sz w:val="24"/>
          <w:highlight w:val="none"/>
        </w:rPr>
        <w:t>〖</w:t>
      </w:r>
      <w:r>
        <w:rPr>
          <w:rFonts w:hint="eastAsia" w:ascii="宋体" w:hAnsi="宋体" w:cs="宋体"/>
          <w:color w:val="000000"/>
          <w:sz w:val="24"/>
          <w:highlight w:val="none"/>
          <w:lang w:val="en-US" w:eastAsia="zh-CN"/>
        </w:rPr>
        <w:t>Z7002225000125</w:t>
      </w:r>
      <w:r>
        <w:rPr>
          <w:rFonts w:hint="eastAsia" w:ascii="宋体" w:hAnsi="宋体" w:cs="宋体"/>
          <w:bCs/>
          <w:color w:val="auto"/>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理财计划投资协议书》《风险揭示书》《投资者权益须知》《理财计划销售协议书》，将共同构成投资者与管理人之间的理财计划销售文件。</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在本理财计划存续期内，如因监管政策或法律法规发生变化，在不损害投资者利益的前提下，管理人有权对因上述变化导致的本理财计划说明书条款变化进行修订。</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spacing w:line="360" w:lineRule="auto"/>
        <w:jc w:val="left"/>
        <w:rPr>
          <w:rFonts w:hint="eastAsia" w:ascii="宋体" w:hAnsi="宋体" w:cs="宋体"/>
          <w:bCs/>
          <w:sz w:val="24"/>
          <w:highlight w:val="none"/>
        </w:rPr>
      </w:pPr>
    </w:p>
    <w:p>
      <w:pPr>
        <w:numPr>
          <w:ilvl w:val="0"/>
          <w:numId w:val="11"/>
        </w:numPr>
        <w:spacing w:line="360" w:lineRule="auto"/>
        <w:jc w:val="left"/>
        <w:outlineLvl w:val="1"/>
        <w:rPr>
          <w:rFonts w:ascii="宋体" w:hAnsi="宋体" w:cs="宋体"/>
          <w:b/>
          <w:sz w:val="24"/>
          <w:highlight w:val="none"/>
        </w:rPr>
      </w:pPr>
      <w:r>
        <w:rPr>
          <w:rFonts w:hint="eastAsia" w:ascii="宋体" w:hAnsi="宋体" w:cs="宋体"/>
          <w:b/>
          <w:sz w:val="24"/>
          <w:highlight w:val="none"/>
        </w:rPr>
        <w:t>释义</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3"/>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指杭银理财有限责任公司，主要从事面向不特定社会公众公开发行理财产品、面向合格投资者非公开发行理财产品、理财顾问和咨询服务等相关业务。杭银理财有限责任公司简称杭银理财，官网网站为</w:t>
      </w:r>
      <w:r>
        <w:rPr>
          <w:rFonts w:hint="eastAsia" w:ascii="宋体" w:hAnsi="宋体" w:cs="宋体"/>
          <w:bCs/>
          <w:color w:val="auto"/>
          <w:kern w:val="2"/>
          <w:highlight w:val="none"/>
          <w:u w:val="single"/>
        </w:rPr>
        <w:t>https://www.hzbankwealth.com.cn。</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fldChar w:fldCharType="begin"/>
      </w:r>
      <w:r>
        <w:rPr>
          <w:rFonts w:hint="eastAsia" w:ascii="宋体" w:hAnsi="宋体" w:cs="宋体"/>
          <w:bCs/>
          <w:color w:val="auto"/>
          <w:kern w:val="2"/>
          <w:highlight w:val="none"/>
          <w:u w:val="single"/>
        </w:rPr>
        <w:instrText xml:space="preserve"> HYPERLINK "http://www.hzbank.com.cn" </w:instrText>
      </w:r>
      <w:r>
        <w:fldChar w:fldCharType="separate"/>
      </w:r>
      <w:r>
        <w:rPr>
          <w:rFonts w:hint="eastAsia" w:ascii="宋体" w:hAnsi="宋体" w:cs="宋体"/>
          <w:bCs/>
          <w:color w:val="auto"/>
          <w:kern w:val="2"/>
          <w:highlight w:val="none"/>
          <w:u w:val="single"/>
        </w:rPr>
        <w:t>www.hzbank.com.cn</w:t>
      </w:r>
      <w:r>
        <w:fldChar w:fldCharType="end"/>
      </w:r>
      <w:r>
        <w:rPr>
          <w:rFonts w:hint="eastAsia" w:ascii="宋体" w:hAnsi="宋体" w:cs="宋体"/>
          <w:bCs/>
          <w:color w:val="auto"/>
          <w:kern w:val="2"/>
          <w:highlight w:val="none"/>
        </w:rPr>
        <w:t>，客服热线为95398。</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highlight w:val="none"/>
        </w:rPr>
        <w:t>〖</w:t>
      </w:r>
      <w:r>
        <w:rPr>
          <w:rFonts w:hint="eastAsia" w:ascii="宋体" w:hAnsi="宋体" w:cs="宋体"/>
          <w:bCs/>
          <w:color w:val="auto"/>
          <w:kern w:val="2"/>
          <w:highlight w:val="none"/>
        </w:rPr>
        <w:t>杭州银行股份有限公司</w:t>
      </w:r>
      <w:r>
        <w:rPr>
          <w:rFonts w:hint="eastAsia" w:ascii="宋体" w:hAnsi="宋体" w:cs="宋体"/>
          <w:highlight w:val="none"/>
        </w:rPr>
        <w:t>〗</w:t>
      </w:r>
      <w:r>
        <w:rPr>
          <w:rFonts w:hint="eastAsia" w:ascii="宋体" w:hAnsi="宋体" w:cs="宋体"/>
          <w:bCs/>
          <w:color w:val="auto"/>
          <w:kern w:val="2"/>
          <w:highlight w:val="none"/>
        </w:rPr>
        <w:t>。</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国家金融监督管理总局、中国证券监督管理委员会、外汇管理局、银行业理财登记托管中心等。</w:t>
      </w:r>
    </w:p>
    <w:p>
      <w:pPr>
        <w:pStyle w:val="13"/>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w:t>
      </w:r>
      <w:r>
        <w:rPr>
          <w:rFonts w:hint="eastAsia" w:ascii="宋体" w:hAnsi="宋体" w:cs="宋体"/>
          <w:bCs/>
          <w:color w:val="auto"/>
          <w:kern w:val="2"/>
          <w:highlight w:val="none"/>
          <w:lang w:eastAsia="zh-CN"/>
        </w:rPr>
        <w:t>幸福99丰裕固收387天25073期理财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幸福99丰裕固收387天25073期理财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幸福99丰裕固收387天25073期理财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幸福99丰裕固收387天25073期理财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理财计划销售协议书：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幸福99丰裕固收387天25073期理财</w:t>
      </w:r>
      <w:r>
        <w:rPr>
          <w:rFonts w:hint="eastAsia" w:ascii="宋体" w:hAnsi="宋体" w:cs="宋体"/>
          <w:bCs/>
          <w:color w:val="auto"/>
          <w:kern w:val="2"/>
          <w:highlight w:val="none"/>
        </w:rPr>
        <w:t>合同不可分割组成部分的理财计划销售协议书，以及对该文件的有效修改与补充。</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指《理财计划风险揭示书》《理财计划产品说明书》《投资者权益须知》《理财计划投资协议书》《理财计划销售协议书》五个部分。</w:t>
      </w:r>
    </w:p>
    <w:p>
      <w:pPr>
        <w:pStyle w:val="13"/>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w:t>
      </w:r>
      <w:r>
        <w:rPr>
          <w:rFonts w:hint="eastAsia" w:ascii="宋体" w:hAnsi="宋体" w:cs="宋体"/>
          <w:bCs/>
          <w:color w:val="auto"/>
          <w:kern w:val="2"/>
          <w:highlight w:val="none"/>
          <w:lang w:eastAsia="zh-CN"/>
        </w:rPr>
        <w:t>幸福99丰裕固收387天25073期理财</w:t>
      </w:r>
      <w:r>
        <w:rPr>
          <w:rFonts w:hint="eastAsia" w:ascii="宋体" w:hAnsi="宋体" w:cs="宋体"/>
          <w:bCs/>
          <w:highlight w:val="none"/>
        </w:rPr>
        <w:t>。</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3"/>
        <w:numPr>
          <w:ilvl w:val="0"/>
          <w:numId w:val="15"/>
        </w:numPr>
        <w:adjustRightInd/>
        <w:spacing w:line="360" w:lineRule="auto"/>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3"/>
        <w:numPr>
          <w:ilvl w:val="0"/>
          <w:numId w:val="15"/>
        </w:numPr>
        <w:adjustRightInd/>
        <w:spacing w:line="360" w:lineRule="auto"/>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指上海证券交易所、深圳证券交易所的正常交易日。如涉及到监管条例部分，统一以监管条例表述替代。</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指理财计划成立后，理财计划不接受投资者申购赎回的时间。</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如因国家相关主管部门临时调整节假日安排，导致原定成立日、到期日、估值日等日期安排发生变化的，原则上采用顺延方式对原定日期进行调整，如有特殊安排，以管理人对外披露的公告为准。</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销售服务费、托管人收取的托管费、交易费用、执行费用等相关费用，具体以实际发生为准。</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其他费用：</w:t>
      </w:r>
      <w:r>
        <w:rPr>
          <w:rFonts w:hint="eastAsia" w:ascii="宋体" w:hAnsi="宋体" w:cs="宋体"/>
          <w:bCs/>
          <w:highlight w:val="none"/>
        </w:rPr>
        <w:t>指除理财计划费用以外，理财计划涉及的其他相关费用，包括但不限于认购费、申购费、赎回费、投顾费等，具体以本说明书第八条约定为准。</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3"/>
        <w:numPr>
          <w:ilvl w:val="0"/>
          <w:numId w:val="15"/>
        </w:numPr>
        <w:adjustRightInd/>
        <w:spacing w:line="360" w:lineRule="auto"/>
        <w:ind w:left="0" w:firstLine="0"/>
        <w:rPr>
          <w:rFonts w:hint="eastAsia" w:ascii="宋体" w:hAnsi="宋体" w:cs="宋体"/>
          <w:b/>
          <w:color w:val="auto"/>
          <w:kern w:val="2"/>
          <w:highlight w:val="none"/>
        </w:rPr>
      </w:pPr>
      <w:r>
        <w:rPr>
          <w:rFonts w:hint="eastAsia" w:ascii="宋体" w:hAnsi="宋体" w:cs="宋体"/>
          <w:b/>
          <w:bCs w:val="0"/>
          <w:color w:val="auto"/>
          <w:kern w:val="2"/>
          <w:highlight w:val="none"/>
          <w:lang w:val="en-US" w:eastAsia="zh-CN"/>
        </w:rPr>
        <w:t>流动性</w:t>
      </w:r>
      <w:r>
        <w:rPr>
          <w:rFonts w:hint="eastAsia"/>
          <w:b/>
          <w:bCs w:val="0"/>
          <w:highlight w:val="none"/>
          <w:lang w:val="en-US" w:eastAsia="zh-CN"/>
        </w:rPr>
        <w:t>受限资产：</w:t>
      </w:r>
      <w:r>
        <w:rPr>
          <w:rFonts w:hint="eastAsia"/>
          <w:highlight w:val="none"/>
          <w:lang w:val="en-US" w:eastAsia="zh-CN"/>
        </w:rPr>
        <w:t>是指由于法律法规、监管、合同或操作障碍等原因无法以合理价格予以变现的资产，包括到期日在</w:t>
      </w:r>
      <w:r>
        <w:rPr>
          <w:rFonts w:hint="eastAsia" w:ascii="宋体" w:hAnsi="宋体" w:eastAsia="宋体" w:cs="宋体"/>
          <w:highlight w:val="none"/>
          <w:lang w:val="en-US" w:eastAsia="zh-CN"/>
        </w:rPr>
        <w:t>10</w:t>
      </w:r>
      <w:r>
        <w:rPr>
          <w:rFonts w:hint="eastAsia"/>
          <w:highlight w:val="none"/>
          <w:lang w:val="en-US" w:eastAsia="zh-CN"/>
        </w:rPr>
        <w:t>个交易日以上的逆回购与银行定期存款（含协议约定有条件提前支取的银行存款）、距可赎回日在</w:t>
      </w:r>
      <w:r>
        <w:rPr>
          <w:rFonts w:hint="eastAsia" w:ascii="宋体" w:hAnsi="宋体" w:eastAsia="宋体" w:cs="宋体"/>
          <w:highlight w:val="none"/>
          <w:lang w:val="en-US" w:eastAsia="zh-CN"/>
        </w:rPr>
        <w:t>10</w:t>
      </w:r>
      <w:r>
        <w:rPr>
          <w:rFonts w:hint="eastAsia"/>
          <w:highlight w:val="none"/>
          <w:lang w:val="en-US" w:eastAsia="zh-CN"/>
        </w:rPr>
        <w:t>个交易日以上的资产管理产品、停牌股票、流通受限的新股及非公开发行股票、资产支持证券（票据），因发行人债务违约无法进行转让或交易的债券和非金融企业债务融资工具，以及其他流动性受限资产。</w:t>
      </w:r>
    </w:p>
    <w:p>
      <w:pPr>
        <w:pStyle w:val="13"/>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3"/>
        <w:numPr>
          <w:ilvl w:val="0"/>
          <w:numId w:val="16"/>
        </w:numPr>
        <w:adjustRightInd/>
        <w:spacing w:line="360" w:lineRule="auto"/>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3"/>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3"/>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3"/>
        <w:numPr>
          <w:ilvl w:val="0"/>
          <w:numId w:val="17"/>
        </w:numPr>
        <w:adjustRightInd/>
        <w:spacing w:line="360" w:lineRule="auto"/>
        <w:ind w:firstLine="482" w:firstLineChars="200"/>
        <w:rPr>
          <w:rFonts w:hint="eastAsia" w:ascii="宋体" w:hAnsi="宋体" w:cs="宋体"/>
          <w:b/>
          <w:bCs w:val="0"/>
          <w:color w:val="auto"/>
          <w:kern w:val="2"/>
          <w:highlight w:val="none"/>
        </w:rPr>
      </w:pPr>
      <w:r>
        <w:rPr>
          <w:rFonts w:hint="eastAsia" w:ascii="宋体" w:hAnsi="宋体" w:cs="宋体"/>
          <w:b/>
          <w:bCs w:val="0"/>
          <w:color w:val="auto"/>
          <w:kern w:val="2"/>
          <w:highlight w:val="none"/>
          <w:lang w:val="en-US" w:eastAsia="zh-CN"/>
        </w:rPr>
        <w:t>摆动定价机制：</w:t>
      </w:r>
      <w:r>
        <w:rPr>
          <w:rFonts w:hint="eastAsia" w:ascii="宋体" w:hAnsi="宋体" w:cs="宋体"/>
          <w:b w:val="0"/>
          <w:bCs/>
          <w:color w:val="auto"/>
          <w:kern w:val="2"/>
          <w:highlight w:val="none"/>
          <w:lang w:val="en-US" w:eastAsia="zh-CN"/>
        </w:rPr>
        <w:t>指当开放式公募理财计划遭遇大额申购或赎回时，通过调整理财计划份额净值的方式，将理财计划调整投资组合的市场冲击成本分配给实际认购、赎回的投资者，从而减少对存量理财计划份额持有人利益的不利影响。</w:t>
      </w:r>
    </w:p>
    <w:p>
      <w:pPr>
        <w:pStyle w:val="13"/>
        <w:numPr>
          <w:ilvl w:val="0"/>
          <w:numId w:val="17"/>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bCs w:val="0"/>
          <w:color w:val="auto"/>
          <w:kern w:val="2"/>
          <w:highlight w:val="none"/>
          <w:lang w:val="en-US" w:eastAsia="zh-CN"/>
        </w:rPr>
        <w:t>短期赎回费机制：</w:t>
      </w:r>
      <w:r>
        <w:rPr>
          <w:rFonts w:hint="eastAsia" w:ascii="宋体" w:hAnsi="宋体" w:cs="宋体"/>
          <w:b w:val="0"/>
          <w:bCs/>
          <w:color w:val="auto"/>
          <w:kern w:val="2"/>
          <w:highlight w:val="none"/>
          <w:lang w:val="en-US" w:eastAsia="zh-CN"/>
        </w:rPr>
        <w:t>指当理财计划发生巨额赎回或管理人认为可能导致理财计划流动性风险的其他情形下，理财计划管理人可临时性收取短期赎回费以应对流动性风险事件，并将上述产生费用全额计入理财计划财产。</w:t>
      </w:r>
    </w:p>
    <w:p>
      <w:pPr>
        <w:pStyle w:val="13"/>
        <w:adjustRightInd/>
        <w:spacing w:line="360" w:lineRule="auto"/>
        <w:rPr>
          <w:rFonts w:hint="eastAsia" w:ascii="宋体" w:hAnsi="宋体" w:cs="宋体"/>
          <w:bCs/>
          <w:color w:val="auto"/>
          <w:kern w:val="2"/>
          <w:highlight w:val="none"/>
        </w:rPr>
      </w:pPr>
    </w:p>
    <w:p>
      <w:pPr>
        <w:pStyle w:val="13"/>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w:t>
      </w:r>
      <w:r>
        <w:rPr>
          <w:rFonts w:hint="eastAsia" w:ascii="宋体" w:hAnsi="宋体" w:cs="宋体"/>
          <w:b/>
          <w:sz w:val="24"/>
          <w:highlight w:val="none"/>
          <w:lang w:val="en-US" w:eastAsia="zh-CN"/>
        </w:rPr>
        <w:t>R2</w:t>
      </w:r>
      <w:r>
        <w:rPr>
          <w:rFonts w:hint="eastAsia" w:ascii="宋体" w:hAnsi="宋体" w:cs="宋体"/>
          <w:b/>
          <w:color w:val="auto"/>
          <w:kern w:val="2"/>
          <w:highlight w:val="none"/>
        </w:rPr>
        <w:t>〗，〖</w:t>
      </w:r>
      <w:r>
        <w:rPr>
          <w:rFonts w:hint="eastAsia" w:ascii="宋体" w:hAnsi="宋体" w:cs="宋体"/>
          <w:b/>
          <w:sz w:val="24"/>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502"/>
        <w:gridCol w:w="5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内部风险评级</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风险程度</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R1</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低</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保守型、稳健型、平衡型、成长型、进取型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R2</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中低</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R3</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中</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R4</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中高</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R5</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高</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进取型</w:t>
            </w:r>
          </w:p>
        </w:tc>
      </w:tr>
    </w:tbl>
    <w:p>
      <w:pPr>
        <w:pStyle w:val="13"/>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投资者风险承受能力评级水平以销售机构评估为准。</w:t>
      </w:r>
    </w:p>
    <w:p>
      <w:pPr>
        <w:pStyle w:val="13"/>
        <w:adjustRightInd/>
        <w:spacing w:line="360" w:lineRule="auto"/>
        <w:rPr>
          <w:rFonts w:hint="eastAsia" w:ascii="宋体" w:hAnsi="宋体" w:cs="宋体"/>
          <w:bCs/>
          <w:color w:val="auto"/>
          <w:kern w:val="2"/>
          <w:highlight w:val="none"/>
        </w:rPr>
      </w:pPr>
    </w:p>
    <w:p>
      <w:pPr>
        <w:pStyle w:val="13"/>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8"/>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产品名称</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幸福99丰裕固收387天25073期理财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产品简称</w:t>
            </w:r>
          </w:p>
        </w:tc>
        <w:tc>
          <w:tcPr>
            <w:tcW w:w="7185" w:type="dxa"/>
            <w:noWrap w:val="0"/>
            <w:vAlign w:val="center"/>
          </w:tcPr>
          <w:p>
            <w:pPr>
              <w:widowControl/>
              <w:spacing w:line="360" w:lineRule="auto"/>
              <w:contextualSpacing/>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丰裕固收25073期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产品编号</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〖FYG25073〗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登记编码</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本理财计划在全国银行业理财信息登记系统的登记编码是〖Z7002225000125〗，投资者可依据该编码在“中国理财网（www.chinawealth.com.cn）”查询本理财计划信息。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发行对象</w:t>
            </w:r>
          </w:p>
        </w:tc>
        <w:tc>
          <w:tcPr>
            <w:tcW w:w="7185" w:type="dxa"/>
            <w:noWrap w:val="0"/>
            <w:vAlign w:val="center"/>
          </w:tcPr>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本理财计划适合</w:t>
            </w:r>
            <w:r>
              <w:rPr>
                <w:rFonts w:hint="eastAsia" w:ascii="宋体" w:hAnsi="宋体" w:eastAsia="宋体" w:cs="宋体"/>
                <w:b/>
                <w:kern w:val="2"/>
                <w:sz w:val="21"/>
                <w:szCs w:val="21"/>
                <w:highlight w:val="none"/>
                <w:lang w:val="en-US" w:eastAsia="zh-CN" w:bidi="ar-SA"/>
              </w:rPr>
              <w:t>〖</w:t>
            </w:r>
            <w:r>
              <w:rPr>
                <w:rFonts w:hint="eastAsia" w:ascii="宋体" w:hAnsi="宋体" w:eastAsia="宋体" w:cs="宋体"/>
                <w:b/>
                <w:color w:val="000000"/>
                <w:kern w:val="2"/>
                <w:sz w:val="21"/>
                <w:szCs w:val="21"/>
                <w:highlight w:val="none"/>
                <w:lang w:val="en-US" w:eastAsia="zh-CN" w:bidi="ar-SA"/>
              </w:rPr>
              <w:t>机构投资者〗以及〖稳健型、平衡型、成长型、进取型〗的个人投资者。</w:t>
            </w:r>
            <w:r>
              <w:rPr>
                <w:rFonts w:hint="eastAsia" w:ascii="宋体" w:hAnsi="宋体" w:eastAsia="宋体" w:cs="宋体"/>
                <w:bCs/>
                <w:kern w:val="2"/>
                <w:sz w:val="21"/>
                <w:szCs w:val="24"/>
                <w:highlight w:val="none"/>
                <w:lang w:val="en-US" w:eastAsia="zh-CN" w:bidi="ar-SA"/>
              </w:rPr>
              <w:t>投资者风险承受能力评级水平以销售机构评估为准。</w:t>
            </w:r>
          </w:p>
          <w:p>
            <w:pPr>
              <w:widowControl/>
              <w:spacing w:line="300" w:lineRule="auto"/>
              <w:contextualSpacing/>
              <w:jc w:val="both"/>
              <w:rPr>
                <w:rFonts w:hint="eastAsia" w:ascii="宋体" w:hAnsi="宋体" w:eastAsia="宋体" w:cs="黑体"/>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其中：</w:t>
            </w:r>
            <w:r>
              <w:rPr>
                <w:rFonts w:hint="eastAsia" w:ascii="宋体" w:hAnsi="宋体" w:eastAsia="宋体" w:cs="黑体"/>
                <w:color w:val="000000"/>
                <w:kern w:val="2"/>
                <w:sz w:val="21"/>
                <w:szCs w:val="21"/>
                <w:highlight w:val="none"/>
                <w:lang w:val="en-US" w:eastAsia="zh-CN" w:bidi="ar-SA"/>
              </w:rPr>
              <w:t xml:space="preserve"> </w:t>
            </w:r>
          </w:p>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b w:val="0"/>
                <w:bCs/>
                <w:color w:val="000000"/>
                <w:kern w:val="2"/>
                <w:sz w:val="21"/>
                <w:szCs w:val="21"/>
                <w:highlight w:val="none"/>
                <w:lang w:val="en-US" w:eastAsia="zh-CN" w:bidi="ar-SA"/>
              </w:rPr>
              <w:t>A份额（销售代码〖FYG25073A〗）：部分代销机构客户。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B份额（销售代码〖FYG25073B〗）：部分代销机构客户。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C份额（销售代码〖FYG25073C〗）：部分代销机构客户。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D份额（销售代码〖FYG25073D〗）：部分代销机构客户。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G份额（销售代码〖FYG25073G〗）：部分代销机构客户。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H份额(北行专属)（销售代码〖FYG25073H〗）：部分代销机构客户。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I份额（爽银优选）（销售代码〖FYG25073I〗）：部分代销机构客户。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J份额（销售代码〖FYG25073J〗）：部分代销机构客户。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K份额（鲲鹏优选）（销售代码〖FYG25073K〗）：部分代销机构客户。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L份额(兰州银行专属)（销售代码〖FYG25073L〗）：部分代销机构客户。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M份额（销售代码〖FYG25073M〗）：部分代销机构客户。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N份额惠享款(长长财富·专属)（销售代码〖FYG25073N〗）：部分代销机构客户。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P份额（芙蓉锦程·优选）（销售代码〖FYG25073P〗）：部分代销机构客户。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R份额惠享款吉行十二号（销售代码〖FYG25073R〗）：部分代销机构专属。</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T份额惠享款（劳动节专属）（销售代码〖FYG25073T〗）：部分代销机构专属。</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U份额惠享款（湖银客户专属）（销售代码〖FYG25073U〗）：部分代销机构客户。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V份额（金芙蓉专属）（销售代码〖FYG25073V〗）：部分代销机构客户 。</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W份额惠享款（销售代码〖FYG25073W〗）：部分代销机构客户 。</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Y份额惠享款（销售代码〖FYG25073Y〗）：部分代销机构客户 。</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Z份额惠享款（销售代码〖FYG25073Z〗）：部分代销机构客户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发行方式</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产品类型</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〖固定收益类〗</w:t>
            </w:r>
            <w:r>
              <w:rPr>
                <w:rFonts w:hint="eastAsia" w:ascii="宋体" w:hAnsi="宋体" w:eastAsia="宋体" w:cs="宋体"/>
                <w:color w:val="000000"/>
                <w:kern w:val="2"/>
                <w:sz w:val="21"/>
                <w:szCs w:val="21"/>
                <w:highlight w:val="none"/>
                <w:lang w:val="en-US" w:eastAsia="zh-CN" w:bidi="ar-SA"/>
              </w:rPr>
              <w:t>，非保本浮动收益型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运作模式</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分级产品</w:t>
            </w:r>
          </w:p>
        </w:tc>
        <w:tc>
          <w:tcPr>
            <w:tcW w:w="7185" w:type="dxa"/>
            <w:noWrap w:val="0"/>
            <w:vAlign w:val="center"/>
          </w:tcPr>
          <w:p>
            <w:pPr>
              <w:widowControl/>
              <w:spacing w:line="360" w:lineRule="auto"/>
              <w:contextualSpacing/>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销售范围</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全国</w:t>
            </w:r>
            <w:r>
              <w:rPr>
                <w:rFonts w:hint="eastAsia" w:ascii="宋体" w:hAnsi="宋体" w:eastAsia="宋体" w:cs="宋体"/>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可通过杭银理财直销渠道和代理销售机构的</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营业网点、网上银行、手机银行</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等渠道购买，通过代理销售机构购买的，具体销售渠道以代理销售机构披露为准。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交易币种</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发行规模上限</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〖2025〗年〖4〗月〖8〗日-〖2025〗年〖4〗月〖14〗日</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认购时间</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认购期首日〖9：00〗至认购结束日〖17：00〗</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成立日</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〖2025〗年〖4〗月〖15〗日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到期日</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〖2026〗年〖5〗月〖7〗日，若到期日为非工作日则顺延至下一个工作日。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理财期限</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〖387〗天（实际理财期限受制于管理人提前终止权等条款）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认购起点金额</w:t>
            </w:r>
          </w:p>
        </w:tc>
        <w:tc>
          <w:tcPr>
            <w:tcW w:w="7185" w:type="dxa"/>
            <w:noWrap w:val="0"/>
            <w:vAlign w:val="center"/>
          </w:tcPr>
          <w:p>
            <w:pPr>
              <w:widowControl/>
              <w:spacing w:line="360" w:lineRule="auto"/>
              <w:contextualSpacing/>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〖A份额〗起点〖1〗元整，超过认购起点部分，应为〖1〗元的整数倍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〖B份额〗起点〖1〗元整，超过认购起点部分，应为〖1〗元的整数倍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〖C份额〗起点〖1〗元整，超过认购起点部分，应为〖1〗元的整数倍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〖D份额〗起点〖1〗元整，超过认购起点部分，应为〖1〗元的整数倍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〖G份额〗起点〖1〗元整，超过认购起点部分，应为〖1〗元的整数倍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〖H份额〗起点〖1〗元整，超过认购起点部分，应为〖1〗元的整数倍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〖I份额〗起点〖1〗元整，超过认购起点部分，应为〖1〗元的整数倍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〖J份额〗起点〖1〗元整，超过认购起点部分，应为〖1〗元的整数倍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〖K份额〗起点〖1〗元整，超过认购起点部分，应为〖1〗元的整数倍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〖L份额〗起点〖1〗元整，超过认购起点部分，应为〖1〗元的整数倍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〖M份额〗起点〖1〗元整，超过认购起点部分，应为〖1〗元的整数倍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〖N份额〗起点〖1〗元整，超过认购起点部分，应为〖1〗元的整数倍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〖P份额〗起点〖1〗元整，超过认购起点部分，应为〖1〗元的整数倍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〖R份额〗起点〖1〗元整，超过认购起点部分，应为〖1〗元的整数倍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〖T份额〗起点〖1〗元整，超过认购起点部分，应为〖1〗元的整数倍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〖U份额〗起点〖100000〗元整，超过认购起点部分，应为〖1〗元的整数倍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〖V份额〗起点〖1000000〗元整，超过认购起点部分，应为〖10000〗元的整数倍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〖W份额〗起点〖1〗元整，超过认购起点部分，应为〖1〗元的整数倍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〖Y份额〗起点〖1〗元整，超过认购起点部分，应为〖1〗元的整数倍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〖Z份额〗起点〖1〗元整，超过认购起点部分，应为〖1〗元的整数倍</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认购份额</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产品成立</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eastAsia="宋体" w:cs="宋体"/>
                <w:kern w:val="2"/>
                <w:sz w:val="21"/>
                <w:szCs w:val="21"/>
                <w:highlight w:val="none"/>
                <w:lang w:val="en-US" w:eastAsia="zh-CN" w:bidi="ar-SA"/>
              </w:rPr>
              <w:t>〖3000〗</w:t>
            </w:r>
            <w:r>
              <w:rPr>
                <w:rFonts w:hint="eastAsia" w:ascii="宋体" w:hAnsi="宋体" w:eastAsia="宋体" w:cs="宋体"/>
                <w:color w:val="000000"/>
                <w:kern w:val="2"/>
                <w:sz w:val="21"/>
                <w:szCs w:val="21"/>
                <w:highlight w:val="none"/>
                <w:lang w:val="en-US" w:eastAsia="zh-CN" w:bidi="ar-SA"/>
              </w:rPr>
              <w:t>万元，则管理人可宣布本理财计划不成立并在原定理财计划成立日后</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个工作日内通过管理人或销售机构发布不成立信息，投资者购买的理财资金将在原定成立日后2个工作日内划转至投资者指定理财账户，</w:t>
            </w:r>
            <w:r>
              <w:rPr>
                <w:rFonts w:hint="eastAsia" w:ascii="宋体" w:hAnsi="宋体" w:eastAsia="宋体" w:cs="宋体"/>
                <w:b/>
                <w:color w:val="000000"/>
                <w:kern w:val="2"/>
                <w:sz w:val="21"/>
                <w:szCs w:val="21"/>
                <w:highlight w:val="none"/>
                <w:lang w:val="en-US" w:eastAsia="zh-CN" w:bidi="ar-SA"/>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单户限额</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单户持有份额不得超过理财计划总份额的50%。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单位净值</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单位净值=理财计划估值日理财计划总净值÷理财计划总份额，单位净值保留小数点后四位，四舍五入。</w:t>
            </w:r>
          </w:p>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理财计划总净值=理财计划认购总额+理财计划所获总收益-理财计划总费用（包括但不限于固定管理费、托管费、销售服务费、浮动管理费等）。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资金与收益支付方式</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理财计划到期后，最快</w:t>
            </w:r>
            <w:r>
              <w:rPr>
                <w:rFonts w:hint="eastAsia" w:ascii="宋体" w:hAnsi="宋体" w:eastAsia="宋体" w:cs="宋体"/>
                <w:kern w:val="2"/>
                <w:sz w:val="21"/>
                <w:szCs w:val="21"/>
                <w:highlight w:val="none"/>
                <w:lang w:val="en-US" w:eastAsia="zh-CN" w:bidi="ar-SA"/>
              </w:rPr>
              <w:t>〖1〗</w:t>
            </w:r>
            <w:r>
              <w:rPr>
                <w:rFonts w:hint="eastAsia" w:ascii="宋体" w:hAnsi="宋体" w:eastAsia="宋体" w:cs="宋体"/>
                <w:color w:val="000000"/>
                <w:kern w:val="2"/>
                <w:sz w:val="21"/>
                <w:szCs w:val="21"/>
                <w:highlight w:val="none"/>
                <w:lang w:val="en-US" w:eastAsia="zh-CN" w:bidi="ar-SA"/>
              </w:rPr>
              <w:t>个工作日，最晚</w:t>
            </w:r>
            <w:r>
              <w:rPr>
                <w:rFonts w:hint="eastAsia" w:ascii="宋体" w:hAnsi="宋体" w:eastAsia="宋体" w:cs="宋体"/>
                <w:kern w:val="2"/>
                <w:sz w:val="21"/>
                <w:szCs w:val="21"/>
                <w:highlight w:val="none"/>
                <w:lang w:val="en-US" w:eastAsia="zh-CN" w:bidi="ar-SA"/>
              </w:rPr>
              <w:t>〖3〗</w:t>
            </w:r>
            <w:r>
              <w:rPr>
                <w:rFonts w:hint="eastAsia" w:ascii="宋体" w:hAnsi="宋体" w:eastAsia="宋体" w:cs="宋体"/>
                <w:color w:val="000000"/>
                <w:kern w:val="2"/>
                <w:sz w:val="21"/>
                <w:szCs w:val="21"/>
                <w:highlight w:val="none"/>
                <w:lang w:val="en-US" w:eastAsia="zh-CN" w:bidi="ar-SA"/>
              </w:rPr>
              <w:t>个工作日内（遇节假日顺延）支付。如遇资金在途或法定工作日调整，实际资金到账日以公告为准。</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业绩比较基准</w:t>
            </w:r>
          </w:p>
        </w:tc>
        <w:tc>
          <w:tcPr>
            <w:tcW w:w="7185" w:type="dxa"/>
            <w:noWrap w:val="0"/>
            <w:vAlign w:val="center"/>
          </w:tcPr>
          <w:p>
            <w:pPr>
              <w:widowControl/>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本理财计划〖A份额〗业绩比较基准为〖2.60%-3.00%〗（年化）。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本理财计划〖B份额〗业绩比较基准为〖2.70%-3.10%〗（年化）。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本理财计划〖C份额〗业绩比较基准为〖2.80%-3.20%〗（年化）。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本理财计划〖D份额〗业绩比较基准为〖2.75%-3.15%〗（年化）。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本理财计划〖G份额〗业绩比较基准为〖2.85%-3.25%〗（年化）。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本理财计划〖H份额〗业绩比较基准为〖2.70%-3.10%〗（年化）。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本理财计划〖I份额〗业绩比较基准为〖2.60%-3.00%〗（年化）。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本理财计划〖J份额〗业绩比较基准为〖2.85%-3.25%〗（年化）。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本理财计划〖K份额〗业绩比较基准为〖2.60%-3.00%〗（年化）。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本理财计划〖L份额〗业绩比较基准为〖2.80%-3.20%〗（年化）。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本理财计划〖M份额〗业绩比较基准为〖2.80%-3.20%〗（年化）。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本理财计划〖N份额〗业绩比较基准为〖2.70%-3.10%〗（年化）。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本理财计划〖P份额〗业绩比较基准为〖2.79%-3.19%〗（年化）。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本理财计划〖R份额〗业绩比较基准为〖2.75%-3.15%〗（年化）。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本理财计划〖T份额〗业绩比较基准为〖2.60%-3.00%〗（年化）。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本理财计划〖U份额〗业绩比较基准为〖2.80%-3.20%〗（年化）。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本理财计划〖V份额〗业绩比较基准为〖2.80%-3.20%〗（年化）。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本理财计划〖W份额〗业绩比较基准为〖2.60%-3.00%〗（年化）。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本理财计划〖Y份额〗业绩比较基准为〖2.70%-3.10%〗（年化）。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本理财计划〖Z份额〗业绩比较基准为〖2.80%-3.20%〗（年化）。</w:t>
            </w:r>
          </w:p>
          <w:p>
            <w:pPr>
              <w:widowControl/>
              <w:spacing w:line="360" w:lineRule="auto"/>
              <w:jc w:val="left"/>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业绩基准测算依据：本理财计划重点投资于货币市场工具、债券、非标准化债权类资产等资产，管理人根据固定收益市场历史表现，结合当前利率水平、资产配比及市场同类型产品情况，经综合判断得出。</w:t>
            </w:r>
          </w:p>
          <w:p>
            <w:pPr>
              <w:widowControl/>
              <w:spacing w:line="360" w:lineRule="auto"/>
              <w:jc w:val="left"/>
              <w:rPr>
                <w:rFonts w:hint="eastAsia" w:ascii="宋体" w:hAnsi="宋体" w:eastAsia="宋体" w:cs="宋体"/>
                <w:b/>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管理人有权根据市场情况及理财计划运作情况调整业绩基准，并至少于新业绩基准启用前</w:t>
            </w:r>
            <w:r>
              <w:rPr>
                <w:rFonts w:hint="eastAsia" w:ascii="宋体" w:hAnsi="宋体" w:eastAsia="宋体" w:cs="宋体"/>
                <w:kern w:val="0"/>
                <w:sz w:val="21"/>
                <w:szCs w:val="24"/>
                <w:highlight w:val="none"/>
                <w:lang w:val="en-US" w:eastAsia="zh-CN" w:bidi="ar-SA"/>
              </w:rPr>
              <w:t>〖2〗</w:t>
            </w:r>
            <w:r>
              <w:rPr>
                <w:rFonts w:hint="eastAsia" w:ascii="宋体" w:hAnsi="宋体" w:eastAsia="宋体" w:cs="宋体"/>
                <w:kern w:val="2"/>
                <w:sz w:val="21"/>
                <w:szCs w:val="21"/>
                <w:highlight w:val="none"/>
                <w:lang w:val="en-US" w:eastAsia="zh-CN" w:bidi="ar-SA"/>
              </w:rPr>
              <w:t>个工作日公告。</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b/>
                <w:kern w:val="2"/>
                <w:sz w:val="21"/>
                <w:szCs w:val="21"/>
                <w:highlight w:val="none"/>
                <w:lang w:val="en-US" w:eastAsia="zh-CN" w:bidi="ar-SA"/>
              </w:rPr>
              <w:t>本理财计划为净值型理财产品，其业绩表现将随市场波动具有不确定性。本公司提醒投资者关注，业绩比较基准不是预期收益率，并不代表理财计划的未来表现和实际收益率，不构成对理财计划收益的承诺。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产品费用</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1.销售服务费：〖A份额〗收取年化〖0.30%〗的销售服务费, 〖B份额〗收取年化〖0.20%〗的销售服务费, 〖C份额〗收取年化〖0.10%〗的销售服务费, 〖D份额〗收取年化〖0.15%〗的销售服务费, 〖G份额〗收取年化〖0.05%〗的销售服务费, 〖H份额〗收取年化〖0.20%〗的销售服务费, 〖I份额〗收取年化〖0.30%〗的销售服务费, 〖J份额〗收取年化〖0.05%〗的销售服务费, 〖K份额〗收取年化〖0.30%〗的销售服务费, 〖L份额〗收取年化〖0.10%〗的销售服务费, 〖M份额〗收取年化〖0.10%〗的销售服务费, 〖N份额〗收取年化〖0.20%〗的销售服务费, 〖P份额〗收取年化〖0.15%〗的销售服务费, 〖R份额〗收取年化〖0.15%〗的销售服务费, 〖T份额〗收取年化〖0.30%〗的销售服务费, 〖U份额〗收取年化〖0.10%〗的销售服务费, 〖V份额〗收取年化〖0.10%〗的销售服务费, 〖W份额〗收取年化〖0.30%〗的销售服务费, 〖Y份额〗收取年化〖0.20%〗的销售服务费, 〖Z份额〗收取年化〖0.10%〗的销售服务费。</w:t>
            </w:r>
            <w:r>
              <w:rPr>
                <w:rFonts w:hint="eastAsia" w:ascii="宋体" w:hAnsi="宋体" w:eastAsia="宋体" w:cs="宋体"/>
                <w:color w:val="000000"/>
                <w:kern w:val="2"/>
                <w:sz w:val="21"/>
                <w:szCs w:val="21"/>
                <w:lang w:val="en-US" w:eastAsia="zh-CN" w:bidi="ar-SA"/>
              </w:rPr>
              <w:t>其中〖A份额〗、〖B份额〗、〖C份额〗、〖D份额〗、〖G份额〗、〖H份额〗、〖I份额〗、〖J份额〗、〖K份额〗、〖L份额〗、〖M份额〗、〖P份额〗、〖V份额〗对应份额每日计提销售服务费；〖N份额〗、〖R份额〗、〖T份额〗、〖U份额〗、〖W份额〗、〖Y份额〗、〖Z份额〗对应份额销售服务费于产品成立日一次性收取。</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2.托管费：收取年化</w:t>
            </w:r>
            <w:r>
              <w:rPr>
                <w:rFonts w:hint="eastAsia" w:ascii="宋体" w:hAnsi="宋体" w:eastAsia="宋体" w:cs="宋体"/>
                <w:kern w:val="2"/>
                <w:sz w:val="21"/>
                <w:szCs w:val="21"/>
                <w:highlight w:val="none"/>
                <w:lang w:val="en-US" w:eastAsia="zh-CN" w:bidi="ar-SA"/>
              </w:rPr>
              <w:t>〖0.025%〗</w:t>
            </w:r>
            <w:r>
              <w:rPr>
                <w:rFonts w:hint="eastAsia" w:ascii="宋体" w:hAnsi="宋体" w:eastAsia="宋体" w:cs="宋体"/>
                <w:color w:val="000000"/>
                <w:kern w:val="2"/>
                <w:sz w:val="21"/>
                <w:szCs w:val="21"/>
                <w:highlight w:val="none"/>
                <w:lang w:val="en-US" w:eastAsia="zh-CN" w:bidi="ar-SA"/>
              </w:rPr>
              <w:t>的托管费。</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3.固定管理费：〖A份额〗收取年化〖0.05%〗的固定管理费, 〖B份额〗收取年化〖0.05%〗的固定管理费, 〖C份额〗收取年化〖0.05%〗的固定管理费, 〖D份额〗收取年化〖0.05%〗的固定管理费, 〖G份额〗收取年化〖0.05%〗的固定管理费, 〖H份额〗收取年化〖0.05%〗的固定管理费, 〖I份额〗收取年化〖0.05%〗的固定管理费, 〖J份额〗收取年化〖0.05%〗的固定管理费, 〖K份额〗收取年化〖0.05%〗的固定管理费, 〖L份额〗收取年化〖0.05%〗的固定管理费, 〖M份额〗收取年化〖0.05%〗的固定管理费, 〖N份额〗收取年化〖0.05%〗的固定管理费, 〖P份额〗收取年化〖0.01%〗的固定管理费, 〖R份额〗收取年化〖0.05%〗的固定管理费, 〖T份额〗收取年化〖0.05%〗的固定管理费, 〖U份额〗收取年化〖0.05%〗的固定管理费, 〖V份额〗收取年化〖0.05%〗的固定管理费, 〖W份额〗收取年化〖0.05%〗的固定管理费, 〖Y份额〗收取年化〖0.05%〗的固定管理费, 〖Z份额〗收取年化〖0.05%〗的固定管理费。</w:t>
            </w:r>
          </w:p>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4.认购费：本理财计划免除认购费。</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5.浮动管理费：管理人根据理财计划投资情况计算浮动管理费，本理财计划份额到期日（提前终止日）的折合年化收益率在〖业绩比较基准下限</w:t>
            </w:r>
            <w:r>
              <w:rPr>
                <w:rFonts w:hint="eastAsia" w:ascii="宋体" w:hAnsi="宋体" w:eastAsia="宋体" w:cs="宋体"/>
                <w:kern w:val="2"/>
                <w:sz w:val="21"/>
                <w:szCs w:val="21"/>
                <w:highlight w:val="none"/>
                <w:lang w:val="en-US" w:eastAsia="zh-CN" w:bidi="ar-SA"/>
              </w:rPr>
              <w:t>（含）</w:t>
            </w:r>
            <w:r>
              <w:rPr>
                <w:rFonts w:hint="eastAsia" w:ascii="宋体" w:hAnsi="宋体" w:eastAsia="宋体" w:cs="宋体"/>
                <w:color w:val="000000"/>
                <w:kern w:val="2"/>
                <w:sz w:val="21"/>
                <w:szCs w:val="21"/>
                <w:highlight w:val="none"/>
                <w:lang w:val="en-US" w:eastAsia="zh-CN" w:bidi="ar-SA"/>
              </w:rPr>
              <w:t>至上限</w:t>
            </w:r>
            <w:r>
              <w:rPr>
                <w:rFonts w:hint="eastAsia" w:ascii="宋体" w:hAnsi="宋体" w:eastAsia="宋体" w:cs="宋体"/>
                <w:kern w:val="2"/>
                <w:sz w:val="21"/>
                <w:szCs w:val="21"/>
                <w:highlight w:val="none"/>
                <w:lang w:val="en-US" w:eastAsia="zh-CN" w:bidi="ar-SA"/>
              </w:rPr>
              <w:t>（含）</w:t>
            </w:r>
            <w:r>
              <w:rPr>
                <w:rFonts w:hint="eastAsia" w:ascii="宋体" w:hAnsi="宋体" w:eastAsia="宋体" w:cs="宋体"/>
                <w:color w:val="000000"/>
                <w:kern w:val="2"/>
                <w:sz w:val="21"/>
                <w:szCs w:val="21"/>
                <w:highlight w:val="none"/>
                <w:lang w:val="en-US" w:eastAsia="zh-CN" w:bidi="ar-SA"/>
              </w:rPr>
              <w:t>〗的部分,</w:t>
            </w:r>
            <w:r>
              <w:rPr>
                <w:rFonts w:hint="eastAsia" w:ascii="宋体" w:hAnsi="宋体" w:eastAsia="宋体" w:cs="宋体"/>
                <w:b/>
                <w:bCs w:val="0"/>
                <w:color w:val="000000"/>
                <w:kern w:val="2"/>
                <w:sz w:val="21"/>
                <w:szCs w:val="21"/>
                <w:highlight w:val="none"/>
                <w:lang w:val="en-US" w:eastAsia="zh-CN" w:bidi="ar-SA"/>
              </w:rPr>
              <w:t>管理人提取</w:t>
            </w:r>
            <w:r>
              <w:rPr>
                <w:rFonts w:hint="eastAsia" w:ascii="宋体" w:hAnsi="宋体" w:eastAsia="宋体" w:cs="宋体"/>
                <w:b/>
                <w:bCs w:val="0"/>
                <w:kern w:val="2"/>
                <w:sz w:val="21"/>
                <w:szCs w:val="21"/>
                <w:highlight w:val="none"/>
                <w:lang w:val="en-US" w:eastAsia="zh-CN" w:bidi="ar-SA"/>
              </w:rPr>
              <w:t>〖50%〗</w:t>
            </w:r>
            <w:r>
              <w:rPr>
                <w:rFonts w:hint="eastAsia" w:ascii="宋体" w:hAnsi="宋体" w:eastAsia="宋体" w:cs="宋体"/>
                <w:b/>
                <w:bCs w:val="0"/>
                <w:color w:val="000000"/>
                <w:kern w:val="2"/>
                <w:sz w:val="21"/>
                <w:szCs w:val="21"/>
                <w:highlight w:val="none"/>
                <w:lang w:val="en-US" w:eastAsia="zh-CN" w:bidi="ar-SA"/>
              </w:rPr>
              <w:t>作为浮动管理费</w:t>
            </w:r>
            <w:r>
              <w:rPr>
                <w:rFonts w:hint="eastAsia" w:ascii="宋体" w:hAnsi="宋体" w:eastAsia="宋体" w:cs="宋体"/>
                <w:b w:val="0"/>
                <w:bCs/>
                <w:color w:val="000000"/>
                <w:kern w:val="2"/>
                <w:sz w:val="21"/>
                <w:szCs w:val="21"/>
                <w:highlight w:val="none"/>
                <w:lang w:val="en-US" w:eastAsia="zh-CN" w:bidi="ar-SA"/>
              </w:rPr>
              <w:t>,在超过〖</w:t>
            </w:r>
            <w:r>
              <w:rPr>
                <w:rFonts w:hint="eastAsia" w:ascii="宋体" w:hAnsi="宋体" w:eastAsia="宋体" w:cs="宋体"/>
                <w:b w:val="0"/>
                <w:bCs/>
                <w:kern w:val="2"/>
                <w:sz w:val="21"/>
                <w:szCs w:val="21"/>
                <w:highlight w:val="none"/>
                <w:lang w:val="en-US" w:eastAsia="zh-CN" w:bidi="ar-SA"/>
              </w:rPr>
              <w:t>业绩比较基准上限</w:t>
            </w:r>
            <w:r>
              <w:rPr>
                <w:rFonts w:hint="eastAsia" w:ascii="宋体" w:hAnsi="宋体" w:eastAsia="宋体" w:cs="宋体"/>
                <w:b w:val="0"/>
                <w:bCs/>
                <w:color w:val="000000"/>
                <w:kern w:val="2"/>
                <w:sz w:val="21"/>
                <w:szCs w:val="21"/>
                <w:highlight w:val="none"/>
                <w:lang w:val="en-US" w:eastAsia="zh-CN" w:bidi="ar-SA"/>
              </w:rPr>
              <w:t>〗的部分,</w:t>
            </w:r>
            <w:r>
              <w:rPr>
                <w:rFonts w:hint="eastAsia" w:ascii="宋体" w:hAnsi="宋体" w:eastAsia="宋体" w:cs="宋体"/>
                <w:b/>
                <w:bCs w:val="0"/>
                <w:color w:val="000000"/>
                <w:kern w:val="2"/>
                <w:sz w:val="21"/>
                <w:szCs w:val="21"/>
                <w:highlight w:val="none"/>
                <w:lang w:val="en-US" w:eastAsia="zh-CN" w:bidi="ar-SA"/>
              </w:rPr>
              <w:t>管理人提取</w:t>
            </w:r>
            <w:r>
              <w:rPr>
                <w:rFonts w:hint="eastAsia" w:ascii="宋体" w:hAnsi="宋体" w:eastAsia="宋体" w:cs="宋体"/>
                <w:b/>
                <w:bCs w:val="0"/>
                <w:kern w:val="2"/>
                <w:sz w:val="21"/>
                <w:szCs w:val="21"/>
                <w:highlight w:val="none"/>
                <w:lang w:val="en-US" w:eastAsia="zh-CN" w:bidi="ar-SA"/>
              </w:rPr>
              <w:t>〖80%〗</w:t>
            </w:r>
            <w:r>
              <w:rPr>
                <w:rFonts w:hint="eastAsia" w:ascii="宋体" w:hAnsi="宋体" w:eastAsia="宋体" w:cs="宋体"/>
                <w:b/>
                <w:bCs w:val="0"/>
                <w:color w:val="000000"/>
                <w:kern w:val="2"/>
                <w:sz w:val="21"/>
                <w:szCs w:val="21"/>
                <w:highlight w:val="none"/>
                <w:lang w:val="en-US" w:eastAsia="zh-CN" w:bidi="ar-SA"/>
              </w:rPr>
              <w:t>作为浮动管理费</w:t>
            </w:r>
            <w:r>
              <w:rPr>
                <w:rFonts w:hint="eastAsia" w:ascii="宋体" w:hAnsi="宋体" w:eastAsia="宋体" w:cs="宋体"/>
                <w:b w:val="0"/>
                <w:bCs/>
                <w:color w:val="000000"/>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提前终止</w:t>
            </w:r>
          </w:p>
        </w:tc>
        <w:tc>
          <w:tcPr>
            <w:tcW w:w="7185" w:type="dxa"/>
            <w:noWrap w:val="0"/>
            <w:vAlign w:val="center"/>
          </w:tcPr>
          <w:p>
            <w:pPr>
              <w:widowControl/>
              <w:spacing w:line="360" w:lineRule="auto"/>
              <w:contextualSpacing/>
              <w:jc w:val="both"/>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如遇国家金融政策出现重大调整并影响到本理财计划的正常运行的、市场收益率大幅波动可能或实质影响理财计划收益等情况，管理人有权提前终止本理财计划。具体参见说明书“交易规则”部分。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税费规定</w:t>
            </w:r>
          </w:p>
        </w:tc>
        <w:tc>
          <w:tcPr>
            <w:tcW w:w="7185" w:type="dxa"/>
            <w:noWrap w:val="0"/>
            <w:vAlign w:val="center"/>
          </w:tcPr>
          <w:p>
            <w:pPr>
              <w:widowControl w:val="0"/>
              <w:spacing w:line="360" w:lineRule="auto"/>
              <w:jc w:val="both"/>
              <w:outlineLvl w:val="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融资服务</w:t>
            </w:r>
          </w:p>
        </w:tc>
        <w:tc>
          <w:tcPr>
            <w:tcW w:w="7185" w:type="dxa"/>
            <w:noWrap w:val="0"/>
            <w:vAlign w:val="bottom"/>
          </w:tcPr>
          <w:p>
            <w:pPr>
              <w:widowControl w:val="0"/>
              <w:spacing w:line="360" w:lineRule="auto"/>
              <w:jc w:val="both"/>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2"/>
                <w:sz w:val="21"/>
                <w:szCs w:val="21"/>
                <w:highlight w:val="none"/>
                <w:lang w:val="en-US" w:eastAsia="zh-CN" w:bidi="ar-SA"/>
              </w:rPr>
              <w:t>投资者在理财期限内不能提前赎回，如需质押按销售机构相关规定执行。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认购期内按照活期存款利率计息，认购期内的利息不计入认购本金份额。到期日（或理财计划实际终止日）到理财资金返还到账日为清算期，清算期内不计付利息。</w:t>
            </w:r>
            <w:r>
              <w:rPr>
                <w:rFonts w:hint="eastAsia" w:ascii="宋体" w:hAnsi="宋体" w:eastAsia="宋体" w:cs="宋体"/>
                <w:color w:val="000000"/>
                <w:kern w:val="0"/>
                <w:sz w:val="21"/>
                <w:szCs w:val="21"/>
                <w:highlight w:val="none"/>
                <w:lang w:val="en-US" w:eastAsia="zh-CN" w:bidi="ar-SA"/>
              </w:rPr>
              <w:t>（具体以销售机构规定为准）</w:t>
            </w:r>
          </w:p>
          <w:p>
            <w:pPr>
              <w:widowControl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1"/>
        </w:numPr>
        <w:spacing w:line="360" w:lineRule="auto"/>
        <w:jc w:val="left"/>
        <w:rPr>
          <w:rFonts w:hint="eastAsia"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固定收益类资产：包括但不限于各类债券、存款、货币市场金融工具、债券基金、质押式及买断式回购、非标准化债权类资产，其他符合监管要求的固定收益类资产及资产管理产品。</w:t>
      </w:r>
    </w:p>
    <w:p>
      <w:pPr>
        <w:numPr>
          <w:ilvl w:val="0"/>
          <w:numId w:val="21"/>
        </w:numPr>
        <w:spacing w:line="360" w:lineRule="auto"/>
        <w:jc w:val="left"/>
        <w:rPr>
          <w:rFonts w:hint="eastAsia" w:ascii="宋体" w:hAnsi="宋体" w:cs="宋体"/>
          <w:bCs/>
          <w:sz w:val="24"/>
          <w:highlight w:val="none"/>
        </w:rPr>
      </w:pPr>
      <w:r>
        <w:rPr>
          <w:rFonts w:hint="eastAsia" w:ascii="宋体" w:hAnsi="宋体" w:cs="宋体"/>
          <w:bCs/>
          <w:sz w:val="24"/>
          <w:highlight w:val="none"/>
        </w:rPr>
        <w:t>权益类资产：</w:t>
      </w:r>
      <w:r>
        <w:rPr>
          <w:rFonts w:hint="eastAsia" w:ascii="宋体" w:hAnsi="宋体" w:cs="宋体"/>
          <w:bCs/>
          <w:color w:val="auto"/>
          <w:kern w:val="2"/>
          <w:sz w:val="24"/>
          <w:highlight w:val="none"/>
          <w:lang w:val="en-US" w:eastAsia="zh-CN"/>
        </w:rPr>
        <w:t>仅限境内发行优先股和永续债。</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eastAsia="zh-CN"/>
        </w:rPr>
        <w:t>总</w:t>
      </w:r>
      <w:r>
        <w:rPr>
          <w:rFonts w:hint="eastAsia" w:ascii="宋体" w:hAnsi="宋体" w:cs="宋体"/>
          <w:bCs/>
          <w:sz w:val="24"/>
          <w:highlight w:val="none"/>
        </w:rPr>
        <w:t>资产的配置比例如下：</w:t>
      </w:r>
      <w:r>
        <w:rPr>
          <w:rFonts w:hint="eastAsia" w:ascii="宋体" w:hAnsi="宋体" w:cs="宋体"/>
          <w:bCs/>
          <w:color w:val="FF0000"/>
          <w:sz w:val="24"/>
          <w:highlight w:val="none"/>
        </w:rPr>
        <w:t xml:space="preserve"> </w:t>
      </w:r>
    </w:p>
    <w:tbl>
      <w:tblPr>
        <w:tblStyle w:val="8"/>
        <w:tblW w:w="829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90"/>
        <w:gridCol w:w="4716"/>
        <w:gridCol w:w="179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投资资产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配置比例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vMerge w:val="restart"/>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大类资产类型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固定收益类资产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90%-100%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vMerge w:val="continue"/>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大类资产类型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权益类资产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0%-10%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特殊资产类型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非标准化债权类资产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0%-50%</w:t>
            </w:r>
          </w:p>
        </w:tc>
      </w:tr>
    </w:tbl>
    <w:p>
      <w:pPr>
        <w:pStyle w:val="13"/>
        <w:adjustRightInd/>
        <w:spacing w:line="360" w:lineRule="auto"/>
        <w:ind w:firstLine="456" w:firstLineChars="190"/>
        <w:rPr>
          <w:rFonts w:hint="eastAsia" w:ascii="宋体" w:hAnsi="宋体" w:cs="宋体"/>
          <w:bCs/>
          <w:color w:val="auto"/>
          <w:kern w:val="2"/>
          <w:highlight w:val="none"/>
        </w:rPr>
      </w:pPr>
      <w:r>
        <w:rPr>
          <w:rFonts w:hint="eastAsia" w:ascii="宋体" w:hAnsi="宋体" w:cs="宋体"/>
          <w:bCs/>
          <w:color w:val="auto"/>
          <w:kern w:val="2"/>
          <w:highlight w:val="none"/>
        </w:rPr>
        <w:t>本理财计划特殊资产类型为基于大类资产类型项下的进一步细化分类，其配置比例不得超过大类资产配置比例。</w:t>
      </w:r>
    </w:p>
    <w:p>
      <w:pPr>
        <w:pStyle w:val="13"/>
        <w:adjustRightInd/>
        <w:spacing w:line="360" w:lineRule="auto"/>
        <w:ind w:firstLine="456" w:firstLineChars="190"/>
        <w:rPr>
          <w:rFonts w:hint="eastAsia" w:ascii="宋体" w:hAnsi="宋体" w:cs="宋体"/>
          <w:bCs/>
          <w:color w:val="auto"/>
          <w:kern w:val="2"/>
          <w:highlight w:val="none"/>
        </w:rPr>
      </w:pPr>
      <w:r>
        <w:rPr>
          <w:rFonts w:hint="eastAsia" w:ascii="宋体" w:hAnsi="宋体" w:cs="宋体"/>
          <w:bCs/>
          <w:color w:val="auto"/>
          <w:kern w:val="2"/>
          <w:highlight w:val="none"/>
        </w:rPr>
        <w:t>本理财计划自成立日起</w:t>
      </w:r>
      <w:r>
        <w:rPr>
          <w:rFonts w:hint="eastAsia" w:ascii="宋体" w:hAnsi="宋体" w:cs="宋体"/>
          <w:highlight w:val="none"/>
        </w:rPr>
        <w:t>〖</w:t>
      </w:r>
      <w:r>
        <w:rPr>
          <w:rFonts w:hint="eastAsia" w:ascii="宋体" w:hAnsi="宋体" w:cs="宋体"/>
          <w:bCs/>
          <w:color w:val="auto"/>
          <w:kern w:val="2"/>
          <w:highlight w:val="none"/>
          <w:lang w:val="en-US" w:eastAsia="zh-CN"/>
        </w:rPr>
        <w:t>1个月</w:t>
      </w:r>
      <w:r>
        <w:rPr>
          <w:rFonts w:hint="eastAsia" w:ascii="宋体" w:hAnsi="宋体" w:cs="宋体"/>
          <w:highlight w:val="none"/>
        </w:rPr>
        <w:t>〗</w:t>
      </w:r>
      <w:r>
        <w:rPr>
          <w:rFonts w:hint="eastAsia" w:ascii="宋体" w:hAnsi="宋体" w:cs="宋体"/>
          <w:bCs/>
          <w:color w:val="auto"/>
          <w:kern w:val="2"/>
          <w:highlight w:val="none"/>
        </w:rPr>
        <w:t>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pStyle w:val="13"/>
        <w:adjustRightInd/>
        <w:spacing w:line="360" w:lineRule="auto"/>
        <w:ind w:firstLine="458" w:firstLineChars="190"/>
        <w:rPr>
          <w:rFonts w:ascii="宋体" w:hAnsi="宋体" w:cs="宋体"/>
          <w:b/>
          <w:bCs w:val="0"/>
          <w:color w:val="auto"/>
          <w:kern w:val="2"/>
          <w:highlight w:val="none"/>
        </w:rPr>
      </w:pPr>
      <w:r>
        <w:rPr>
          <w:rFonts w:hint="eastAsia" w:ascii="宋体" w:hAnsi="宋体" w:cs="宋体"/>
          <w:b/>
          <w:bCs w:val="0"/>
          <w:color w:val="auto"/>
          <w:kern w:val="2"/>
          <w:highlight w:val="none"/>
        </w:rPr>
        <w:t>本理财计划可以投资不存在活跃交易市场并且需要采用估值技术确定公允价值的资产，上述资产比例可以达到50%以上。</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3"/>
        <w:numPr>
          <w:ilvl w:val="0"/>
          <w:numId w:val="22"/>
        </w:numPr>
        <w:adjustRightInd/>
        <w:spacing w:line="360" w:lineRule="auto"/>
        <w:rPr>
          <w:rFonts w:hint="eastAsia" w:ascii="宋体" w:hAnsi="宋体" w:cs="宋体"/>
          <w:bCs/>
          <w:color w:val="auto"/>
          <w:kern w:val="2"/>
          <w:highlight w:val="none"/>
        </w:rPr>
      </w:pPr>
      <w:r>
        <w:rPr>
          <w:rFonts w:hint="eastAsia" w:ascii="宋体" w:hAnsi="宋体" w:cs="宋体"/>
          <w:bCs/>
          <w:color w:val="auto"/>
          <w:kern w:val="2"/>
          <w:highlight w:val="none"/>
        </w:rPr>
        <w:t>资产配置策略</w:t>
      </w:r>
    </w:p>
    <w:p>
      <w:pPr>
        <w:pStyle w:val="13"/>
        <w:adjustRightInd/>
        <w:spacing w:line="360" w:lineRule="auto"/>
        <w:rPr>
          <w:rFonts w:ascii="宋体" w:cs="宋体"/>
          <w:sz w:val="21"/>
          <w:szCs w:val="21"/>
          <w:highlight w:val="none"/>
        </w:rPr>
      </w:pPr>
      <w:r>
        <w:rPr>
          <w:rFonts w:hint="eastAsia" w:ascii="宋体" w:hAnsi="宋体" w:cs="宋体"/>
          <w:bCs/>
          <w:color w:val="auto"/>
          <w:kern w:val="2"/>
          <w:highlight w:val="none"/>
        </w:rPr>
        <w:t xml:space="preserve">    将通过对宏观经济形势、各项国家政策、及证券市场环境的分析来判断经济周期目前的位置，主动判断市场时机进行资产配置，确定在债券、非标准化债权类资产、权益类资产等各类资产上的投资比例。</w:t>
      </w:r>
    </w:p>
    <w:p>
      <w:pPr>
        <w:numPr>
          <w:ilvl w:val="0"/>
          <w:numId w:val="23"/>
        </w:numPr>
        <w:spacing w:line="360" w:lineRule="auto"/>
        <w:jc w:val="left"/>
        <w:rPr>
          <w:rFonts w:hint="eastAsia" w:ascii="宋体" w:hAnsi="宋体" w:cs="宋体"/>
          <w:bCs/>
          <w:sz w:val="24"/>
          <w:highlight w:val="none"/>
        </w:rPr>
      </w:pPr>
      <w:r>
        <w:rPr>
          <w:rFonts w:hint="eastAsia" w:ascii="宋体" w:hAnsi="宋体" w:cs="宋体"/>
          <w:bCs/>
          <w:sz w:val="24"/>
          <w:highlight w:val="none"/>
        </w:rPr>
        <w:t>债券投资策略</w:t>
      </w:r>
    </w:p>
    <w:p>
      <w:pPr>
        <w:pStyle w:val="13"/>
        <w:adjustRightInd/>
        <w:spacing w:line="360" w:lineRule="auto"/>
        <w:ind w:firstLine="480" w:firstLineChars="200"/>
        <w:rPr>
          <w:rFonts w:hint="eastAsia" w:ascii="宋体" w:hAnsi="宋体" w:cs="宋体"/>
          <w:bCs/>
          <w:highlight w:val="none"/>
        </w:rPr>
      </w:pPr>
      <w:r>
        <w:rPr>
          <w:rFonts w:hint="eastAsia" w:ascii="宋体" w:hAnsi="宋体" w:cs="宋体"/>
          <w:bCs/>
          <w:color w:val="auto"/>
          <w:kern w:val="2"/>
          <w:highlight w:val="none"/>
        </w:rPr>
        <w:t>管理人本着稳健投资的理念，在研究债券市场宏观环境和利率走势的基础上，严格评估信用风险，通过久期策略、骑乘策略、杠杆策略和交易策略等，配置固定收益资产及资产管理产品，力争获取稳定收益。</w:t>
      </w:r>
    </w:p>
    <w:p>
      <w:pPr>
        <w:numPr>
          <w:ilvl w:val="0"/>
          <w:numId w:val="23"/>
        </w:numPr>
        <w:spacing w:line="360" w:lineRule="auto"/>
        <w:jc w:val="left"/>
        <w:rPr>
          <w:rFonts w:hint="eastAsia" w:ascii="宋体" w:hAnsi="宋体" w:cs="宋体"/>
          <w:bCs/>
          <w:sz w:val="24"/>
          <w:highlight w:val="none"/>
        </w:rPr>
      </w:pPr>
      <w:r>
        <w:rPr>
          <w:rFonts w:hint="eastAsia" w:ascii="宋体" w:hAnsi="宋体" w:cs="宋体"/>
          <w:bCs/>
          <w:sz w:val="24"/>
          <w:highlight w:val="none"/>
        </w:rPr>
        <w:t>非标准化债权类资产投资策略</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管理人发挥自身能力优势，在合规前提下开展风险可控、期限匹配的非标准化债权类资产投资，力争获取稳定收益。</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left="0" w:firstLine="480" w:firstLineChars="200"/>
        <w:jc w:val="left"/>
        <w:outlineLvl w:val="2"/>
        <w:rPr>
          <w:rFonts w:hint="eastAsia" w:ascii="宋体" w:hAnsi="宋体" w:cs="宋体"/>
          <w:b/>
          <w:sz w:val="24"/>
          <w:highlight w:val="none"/>
        </w:rPr>
      </w:pPr>
      <w:r>
        <w:rPr>
          <w:rFonts w:hint="eastAsia" w:ascii="宋体" w:hAnsi="宋体" w:cs="宋体"/>
          <w:bCs/>
          <w:color w:val="000000"/>
          <w:sz w:val="24"/>
          <w:highlight w:val="none"/>
          <w:lang w:eastAsia="zh-CN"/>
        </w:rPr>
        <w:t>投资限制中列示的资产品种不代表管理人的实际投向，本理财计划投资范围以“投资范围”章节表述为准。</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fldChar w:fldCharType="separate"/>
      </w:r>
      <w:r>
        <w:rPr>
          <w:rFonts w:ascii="宋体" w:hAnsi="宋体" w:cs="宋体"/>
          <w:bCs/>
          <w:sz w:val="24"/>
          <w:highlight w:val="none"/>
        </w:rPr>
        <w:t>证券投资基金</w:t>
      </w:r>
      <w: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本理财计划投资的非标准化债权类资产到期日不得晚于理财计划到期日。</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本理财计划的总资产不得超过净资产的200%。</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fldChar w:fldCharType="separate"/>
      </w:r>
      <w:r>
        <w:rPr>
          <w:rFonts w:ascii="宋体" w:hAnsi="宋体" w:cs="宋体"/>
          <w:bCs/>
          <w:sz w:val="24"/>
          <w:highlight w:val="none"/>
        </w:rPr>
        <w:t>资产支持证券</w:t>
      </w:r>
      <w: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拟投资市场、资产的流动性风险评估</w:t>
      </w:r>
    </w:p>
    <w:p>
      <w:pPr>
        <w:spacing w:line="360" w:lineRule="auto"/>
        <w:ind w:left="420"/>
        <w:jc w:val="left"/>
        <w:rPr>
          <w:rFonts w:hint="eastAsia" w:ascii="宋体" w:hAnsi="宋体" w:cs="宋体"/>
          <w:bCs/>
          <w:sz w:val="24"/>
          <w:highlight w:val="none"/>
        </w:rPr>
      </w:pPr>
      <w:r>
        <w:rPr>
          <w:rFonts w:hint="eastAsia" w:ascii="宋体" w:hAnsi="宋体" w:cs="宋体"/>
          <w:bCs/>
          <w:sz w:val="24"/>
          <w:highlight w:val="none"/>
        </w:rPr>
        <w:t>本理财计划拟投资市场可能面临的流动性风险如下：</w:t>
      </w:r>
    </w:p>
    <w:p>
      <w:pPr>
        <w:numPr>
          <w:ilvl w:val="0"/>
          <w:numId w:val="2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投资于权益类、其他类资产的可能流动性风险（如有）：权益类</w:t>
      </w:r>
      <w:r>
        <w:rPr>
          <w:rFonts w:hint="eastAsia" w:ascii="宋体" w:hAnsi="宋体" w:cs="宋体"/>
          <w:bCs/>
          <w:sz w:val="24"/>
          <w:highlight w:val="none"/>
          <w:lang w:val="en-US" w:eastAsia="zh-CN"/>
        </w:rPr>
        <w:t>、其他类</w:t>
      </w:r>
      <w:r>
        <w:rPr>
          <w:rFonts w:hint="eastAsia" w:ascii="宋体" w:hAnsi="宋体" w:cs="宋体"/>
          <w:bCs/>
          <w:sz w:val="24"/>
          <w:highlight w:val="none"/>
        </w:rPr>
        <w:t>资产包括但不限于上市公司普通股、上市公司优先股、股票基金、股票定向增发、未上市公司股权等，受国家政策、经济周期、利率、汇率、股票发行人经营情况、大宗商品等因素导致的市场风险，可能导致流通与转让限制、市场参与者交易意愿降低、停牌、退市等情形，从而进一步引发流动性风险。</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以上风险仅为列举性质，未能详尽列明拟投资市场和资产面临的全部流动性风险</w:t>
      </w:r>
      <w:r>
        <w:rPr>
          <w:rFonts w:ascii="宋体" w:hAnsi="宋体" w:cs="宋体"/>
          <w:bCs/>
          <w:sz w:val="24"/>
          <w:highlight w:val="none"/>
        </w:rPr>
        <w:t>可能导致投资者投资本金及收益损失</w:t>
      </w:r>
      <w:r>
        <w:rPr>
          <w:rFonts w:hint="eastAsia" w:ascii="宋体" w:hAnsi="宋体" w:cs="宋体"/>
          <w:bCs/>
          <w:sz w:val="24"/>
          <w:highlight w:val="none"/>
        </w:rPr>
        <w:t>或延期兑付</w:t>
      </w:r>
      <w:r>
        <w:rPr>
          <w:rFonts w:ascii="宋体" w:hAnsi="宋体" w:cs="宋体"/>
          <w:bCs/>
          <w:sz w:val="24"/>
          <w:highlight w:val="none"/>
        </w:rPr>
        <w:t>的所有因素</w:t>
      </w:r>
      <w:r>
        <w:rPr>
          <w:rFonts w:hint="eastAsia" w:ascii="宋体" w:hAnsi="宋体" w:cs="宋体"/>
          <w:bCs/>
          <w:sz w:val="24"/>
          <w:highlight w:val="none"/>
        </w:rPr>
        <w:t>。管理人会进行标的的分散化投资并结合对各类标的资产的预期流动性合理进行资产配置，最大程度防范流动性风险。</w:t>
      </w:r>
    </w:p>
    <w:p>
      <w:pPr>
        <w:spacing w:line="360" w:lineRule="auto"/>
        <w:ind w:firstLine="480" w:firstLineChars="200"/>
        <w:jc w:val="left"/>
        <w:rPr>
          <w:rFonts w:hint="eastAsia" w:ascii="宋体" w:hAnsi="宋体" w:cs="宋体"/>
          <w:bCs/>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8"/>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6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托管人名称</w:t>
            </w:r>
          </w:p>
        </w:tc>
        <w:tc>
          <w:tcPr>
            <w:tcW w:w="6553" w:type="dxa"/>
            <w:noWrap w:val="0"/>
            <w:vAlign w:val="top"/>
          </w:tcPr>
          <w:p>
            <w:pPr>
              <w:widowControl w:val="0"/>
              <w:spacing w:line="360" w:lineRule="auto"/>
              <w:jc w:val="left"/>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托管人住所</w:t>
            </w:r>
          </w:p>
        </w:tc>
        <w:tc>
          <w:tcPr>
            <w:tcW w:w="6553" w:type="dxa"/>
            <w:noWrap w:val="0"/>
            <w:vAlign w:val="top"/>
          </w:tcPr>
          <w:p>
            <w:pPr>
              <w:widowControl w:val="0"/>
              <w:spacing w:line="360" w:lineRule="auto"/>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托管人职责</w:t>
            </w:r>
          </w:p>
        </w:tc>
        <w:tc>
          <w:tcPr>
            <w:tcW w:w="6553" w:type="dxa"/>
            <w:noWrap w:val="0"/>
            <w:vAlign w:val="top"/>
          </w:tcPr>
          <w:p>
            <w:pPr>
              <w:widowControl w:val="0"/>
              <w:spacing w:line="360" w:lineRule="auto"/>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主要提供包括账户开立、资金保管、资金结算、估值核对等理财产品托管服务。</w:t>
            </w:r>
          </w:p>
        </w:tc>
      </w:tr>
    </w:tbl>
    <w:p>
      <w:pPr>
        <w:numPr>
          <w:ilvl w:val="0"/>
          <w:numId w:val="29"/>
        </w:numPr>
        <w:spacing w:line="360" w:lineRule="auto"/>
        <w:ind w:firstLine="482"/>
        <w:jc w:val="left"/>
        <w:outlineLvl w:val="2"/>
        <w:rPr>
          <w:rFonts w:hint="eastAsia" w:ascii="宋体" w:hAnsi="宋体" w:cs="宋体"/>
          <w:bCs/>
          <w:color w:val="000000"/>
          <w:sz w:val="24"/>
          <w:highlight w:val="none"/>
        </w:rPr>
      </w:pPr>
      <w:r>
        <w:rPr>
          <w:rFonts w:hint="eastAsia" w:ascii="宋体" w:hAnsi="宋体" w:cs="宋体"/>
          <w:b/>
          <w:sz w:val="24"/>
          <w:highlight w:val="none"/>
        </w:rPr>
        <w:t>销售机构</w:t>
      </w:r>
    </w:p>
    <w:tbl>
      <w:tblPr>
        <w:tblStyle w:val="8"/>
        <w:tblW w:w="8522" w:type="dxa"/>
        <w:tblInd w:w="0" w:type="dxa"/>
        <w:tblLayout w:type="fixed"/>
        <w:tblCellMar>
          <w:top w:w="0" w:type="dxa"/>
          <w:left w:w="108" w:type="dxa"/>
          <w:bottom w:w="0" w:type="dxa"/>
          <w:right w:w="108" w:type="dxa"/>
        </w:tblCellMar>
      </w:tblPr>
      <w:tblGrid>
        <w:gridCol w:w="675"/>
        <w:gridCol w:w="1701"/>
        <w:gridCol w:w="1718"/>
        <w:gridCol w:w="4428"/>
      </w:tblGrid>
      <w:tr>
        <w:tblPrEx>
          <w:tblLayout w:type="fixed"/>
          <w:tblCellMar>
            <w:top w:w="0" w:type="dxa"/>
            <w:left w:w="108" w:type="dxa"/>
            <w:bottom w:w="0" w:type="dxa"/>
            <w:right w:w="108" w:type="dxa"/>
          </w:tblCellMar>
        </w:tblPrEx>
        <w:trPr>
          <w:trHeight w:val="300" w:hRule="atLeast"/>
        </w:trPr>
        <w:tc>
          <w:tcPr>
            <w:tcW w:w="675"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销售机构信息</w:t>
            </w: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杭州银行股份有限公司</w:t>
            </w:r>
          </w:p>
        </w:tc>
        <w:tc>
          <w:tcPr>
            <w:tcW w:w="171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浙江省杭州市上城区解放东路168号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95398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苏州银行股份有限公司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江苏省苏州工业园区钟园路728号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96067</w:t>
            </w:r>
          </w:p>
        </w:tc>
      </w:tr>
      <w:tr>
        <w:tblPrEx>
          <w:tblLayout w:type="fixed"/>
          <w:tblCellMar>
            <w:top w:w="0" w:type="dxa"/>
            <w:left w:w="108" w:type="dxa"/>
            <w:bottom w:w="0" w:type="dxa"/>
            <w:right w:w="108" w:type="dxa"/>
          </w:tblCellMar>
        </w:tblPrEx>
        <w:trPr>
          <w:trHeight w:val="51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厦门银行股份有限公司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福建省厦门市思明区湖滨北路101号商业银行大厦</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400-858-8888</w:t>
            </w:r>
          </w:p>
        </w:tc>
      </w:tr>
      <w:tr>
        <w:tblPrEx>
          <w:tblLayout w:type="fixed"/>
          <w:tblCellMar>
            <w:top w:w="0" w:type="dxa"/>
            <w:left w:w="108" w:type="dxa"/>
            <w:bottom w:w="0" w:type="dxa"/>
            <w:right w:w="108" w:type="dxa"/>
          </w:tblCellMar>
        </w:tblPrEx>
        <w:trPr>
          <w:trHeight w:val="30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中信银行股份有限公司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北京市朝阳区光华路10号院1号楼6-30层、32-42层</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95558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齐鲁银行股份有限公司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山东省济南市历下区经十路10817号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400-609-6588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甘肃银行股份有限公司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甘肃省兰州市城关区东岗西路525—1号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4008696666</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杭银理财有限责任公司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浙江省杭州市拱墅区庆春路38号金龙财富中心</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400-8950-999</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绍兴银行股份有限公司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浙江省绍兴市越城区中兴南路1号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4000896528</w:t>
            </w:r>
          </w:p>
        </w:tc>
      </w:tr>
      <w:tr>
        <w:tblPrEx>
          <w:tblLayout w:type="fixed"/>
          <w:tblCellMar>
            <w:top w:w="0" w:type="dxa"/>
            <w:left w:w="108" w:type="dxa"/>
            <w:bottom w:w="0" w:type="dxa"/>
            <w:right w:w="108" w:type="dxa"/>
          </w:tblCellMar>
        </w:tblPrEx>
        <w:trPr>
          <w:trHeight w:val="72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浙江萧山农村商业银行股份有限公司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浙江省杭州市萧山区城厢街道人民路258号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4008896596</w:t>
            </w:r>
          </w:p>
        </w:tc>
      </w:tr>
      <w:tr>
        <w:tblPrEx>
          <w:tblLayout w:type="fixed"/>
          <w:tblCellMar>
            <w:top w:w="0" w:type="dxa"/>
            <w:left w:w="108" w:type="dxa"/>
            <w:bottom w:w="0" w:type="dxa"/>
            <w:right w:w="108" w:type="dxa"/>
          </w:tblCellMar>
        </w:tblPrEx>
        <w:trPr>
          <w:trHeight w:val="46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海南银行股份有限公司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海南省海口市龙华区海秀东路31号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0898-96566</w:t>
            </w:r>
          </w:p>
        </w:tc>
      </w:tr>
      <w:tr>
        <w:tblPrEx>
          <w:tblLayout w:type="fixed"/>
          <w:tblCellMar>
            <w:top w:w="0" w:type="dxa"/>
            <w:left w:w="108" w:type="dxa"/>
            <w:bottom w:w="0" w:type="dxa"/>
            <w:right w:w="108" w:type="dxa"/>
          </w:tblCellMar>
        </w:tblPrEx>
        <w:trPr>
          <w:trHeight w:val="46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秦皇岛银行股份有限公司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河北省秦皇岛市海港区河北大街西段560号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0335-96336</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温州银行股份有限公司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浙江省温州市鹿城区会展路1316号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0577-96699</w:t>
            </w:r>
          </w:p>
        </w:tc>
      </w:tr>
      <w:tr>
        <w:tblPrEx>
          <w:tblLayout w:type="fixed"/>
          <w:tblCellMar>
            <w:top w:w="0" w:type="dxa"/>
            <w:left w:w="108" w:type="dxa"/>
            <w:bottom w:w="0" w:type="dxa"/>
            <w:right w:w="108" w:type="dxa"/>
          </w:tblCellMar>
        </w:tblPrEx>
        <w:trPr>
          <w:trHeight w:val="28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中邮邮惠万家银行有限责任公司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上海市虹口区东大名路1080号25层、26层</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95504</w:t>
            </w:r>
          </w:p>
        </w:tc>
      </w:tr>
      <w:tr>
        <w:tblPrEx>
          <w:tblLayout w:type="fixed"/>
          <w:tblCellMar>
            <w:top w:w="0" w:type="dxa"/>
            <w:left w:w="108" w:type="dxa"/>
            <w:bottom w:w="0" w:type="dxa"/>
            <w:right w:w="108" w:type="dxa"/>
          </w:tblCellMar>
        </w:tblPrEx>
        <w:trPr>
          <w:trHeight w:val="28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大连农村商业银行股份有限公司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辽宁省大连经济技术开发区五彩城A区1栋-A1号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96689</w:t>
            </w:r>
          </w:p>
        </w:tc>
      </w:tr>
      <w:tr>
        <w:tblPrEx>
          <w:tblLayout w:type="fixed"/>
          <w:tblCellMar>
            <w:top w:w="0" w:type="dxa"/>
            <w:left w:w="108" w:type="dxa"/>
            <w:bottom w:w="0" w:type="dxa"/>
            <w:right w:w="108" w:type="dxa"/>
          </w:tblCellMar>
        </w:tblPrEx>
        <w:trPr>
          <w:trHeight w:val="29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吉林银行股份有限公司</w:t>
            </w:r>
          </w:p>
        </w:tc>
        <w:tc>
          <w:tcPr>
            <w:tcW w:w="171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经济开发区东南湖大路1817号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71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400-88-96666</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福建海峡银行股份有限公司</w:t>
            </w:r>
          </w:p>
        </w:tc>
        <w:tc>
          <w:tcPr>
            <w:tcW w:w="171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福建省福州市台江区江滨中大道358号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71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400-893-9999</w:t>
            </w:r>
          </w:p>
        </w:tc>
      </w:tr>
      <w:tr>
        <w:tblPrEx>
          <w:tblLayout w:type="fixed"/>
          <w:tblCellMar>
            <w:top w:w="0" w:type="dxa"/>
            <w:left w:w="108" w:type="dxa"/>
            <w:bottom w:w="0" w:type="dxa"/>
            <w:right w:w="108" w:type="dxa"/>
          </w:tblCellMar>
        </w:tblPrEx>
        <w:trPr>
          <w:trHeight w:val="1635"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销售机构职责</w:t>
            </w:r>
          </w:p>
        </w:tc>
        <w:tc>
          <w:tcPr>
            <w:tcW w:w="784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主要负责理财计划推广、投资者风险承受能力评估、投资者适当性管理、理财计划份额认购、申购及赎回办理。</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后续如新增</w:t>
      </w:r>
      <w:r>
        <w:rPr>
          <w:rFonts w:hint="eastAsia" w:ascii="宋体" w:hAnsi="宋体" w:cs="宋体"/>
          <w:bCs/>
          <w:color w:val="000000"/>
          <w:sz w:val="24"/>
          <w:highlight w:val="none"/>
          <w:lang w:val="en-US" w:eastAsia="zh-CN"/>
        </w:rPr>
        <w:t>/减少销售机构或销售机构信息变更，请以管理人最新公告或官方网站展示为准</w:t>
      </w:r>
      <w:r>
        <w:rPr>
          <w:rFonts w:hint="eastAsia" w:ascii="宋体" w:hAnsi="宋体" w:cs="宋体"/>
          <w:bCs/>
          <w:color w:val="000000"/>
          <w:sz w:val="24"/>
          <w:highlight w:val="none"/>
        </w:rPr>
        <w:t>。</w:t>
      </w:r>
    </w:p>
    <w:p>
      <w:pPr>
        <w:spacing w:line="360" w:lineRule="auto"/>
        <w:ind w:firstLine="480" w:firstLineChars="200"/>
        <w:rPr>
          <w:rFonts w:hint="eastAsia" w:ascii="宋体" w:hAnsi="宋体" w:cs="宋体"/>
          <w:bCs/>
          <w:color w:val="000000"/>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本理财计划估值日为每个工作日，定期由理财管理人和理财托管人核对估值结果并向投资者披露，具体日期以管理人公告为准。</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货币市场工具类资产</w:t>
      </w:r>
    </w:p>
    <w:p>
      <w:pPr>
        <w:pStyle w:val="13"/>
        <w:adjustRightInd/>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银行存款及回购，以本金列示，按商定利率在实际持有期间内逐日计提利息。</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债券及同业存单类资产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以收取合同现金流量为目的并持有到期的债券及同业存单类资产，按摊余成本法进行计量。其余债券及同业存单类资产，按市价法估值。市价法不能确定公允价值的，采用估值技术进行估值。</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债权类资产</w:t>
      </w:r>
    </w:p>
    <w:p>
      <w:pPr>
        <w:spacing w:line="360" w:lineRule="auto"/>
        <w:rPr>
          <w:rFonts w:ascii="宋体" w:hAnsi="宋体" w:cs="宋体"/>
          <w:bCs/>
          <w:color w:val="000000"/>
          <w:sz w:val="24"/>
          <w:highlight w:val="none"/>
        </w:rPr>
      </w:pPr>
      <w:r>
        <w:rPr>
          <w:rFonts w:hint="eastAsia" w:ascii="宋体" w:hAnsi="宋体" w:cs="宋体"/>
          <w:bCs/>
          <w:color w:val="000000"/>
          <w:sz w:val="24"/>
          <w:highlight w:val="none"/>
        </w:rPr>
        <w:t xml:space="preserve">    对于符合监管要求的债权类资产，按照摊余成本法进行计量。其余债权类资产，按市价法估值。市价法不能确定其公允价值的，采用估值技术进行估值。</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股权类资产</w:t>
      </w:r>
    </w:p>
    <w:p>
      <w:pPr>
        <w:numPr>
          <w:ilvl w:val="0"/>
          <w:numId w:val="32"/>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上市流通股票按估值日其所在证券交易所的收盘价估值；估值日无交易，且最近交易日后未发生影响公允价值计量的重大事件的，以最近交易日的收盘价估值。</w:t>
      </w:r>
    </w:p>
    <w:p>
      <w:pPr>
        <w:numPr>
          <w:ilvl w:val="0"/>
          <w:numId w:val="32"/>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未上市股票的估值：</w:t>
      </w:r>
    </w:p>
    <w:p>
      <w:pPr>
        <w:spacing w:line="360" w:lineRule="auto"/>
        <w:rPr>
          <w:rFonts w:hint="eastAsia" w:ascii="宋体" w:hAnsi="宋体"/>
          <w:sz w:val="24"/>
          <w:highlight w:val="none"/>
        </w:rPr>
      </w:pPr>
      <w:r>
        <w:rPr>
          <w:rFonts w:hint="eastAsia" w:ascii="宋体" w:hAnsi="宋体" w:cs="宋体"/>
          <w:bCs/>
          <w:color w:val="000000"/>
          <w:sz w:val="24"/>
          <w:highlight w:val="none"/>
        </w:rPr>
        <w:t xml:space="preserve">      1）</w:t>
      </w:r>
      <w:r>
        <w:rPr>
          <w:rFonts w:hint="eastAsia" w:ascii="宋体" w:hAnsi="宋体"/>
          <w:sz w:val="24"/>
          <w:highlight w:val="none"/>
        </w:rPr>
        <w:t>送股、转增股、配股和公开增发新股等发行未上市的股票，按估值日在证券交易所挂牌的同一股票的市价估值；</w:t>
      </w:r>
    </w:p>
    <w:p>
      <w:pPr>
        <w:spacing w:line="360" w:lineRule="auto"/>
        <w:rPr>
          <w:rFonts w:hint="eastAsia" w:ascii="宋体" w:hAnsi="宋体"/>
          <w:sz w:val="24"/>
          <w:highlight w:val="none"/>
        </w:rPr>
      </w:pPr>
      <w:r>
        <w:rPr>
          <w:rFonts w:hint="eastAsia" w:ascii="宋体" w:hAnsi="宋体"/>
          <w:sz w:val="24"/>
          <w:highlight w:val="none"/>
        </w:rPr>
        <w:t xml:space="preserve">      2）首次公开发行有明确锁定期的股票，同一股票在交易所上市后，按交易所上市的同一股票的市价估值；</w:t>
      </w:r>
    </w:p>
    <w:p>
      <w:pPr>
        <w:spacing w:line="360" w:lineRule="auto"/>
        <w:rPr>
          <w:rFonts w:hint="eastAsia" w:ascii="宋体" w:hAnsi="宋体"/>
          <w:sz w:val="24"/>
          <w:highlight w:val="none"/>
        </w:rPr>
      </w:pPr>
      <w:r>
        <w:rPr>
          <w:rFonts w:hint="eastAsia" w:ascii="宋体" w:hAnsi="宋体"/>
          <w:sz w:val="24"/>
          <w:highlight w:val="none"/>
        </w:rPr>
        <w:t xml:space="preserve">      3）首次发行未上市的股票，按发行价格进行估值；</w:t>
      </w:r>
    </w:p>
    <w:p>
      <w:pPr>
        <w:spacing w:line="360" w:lineRule="auto"/>
        <w:rPr>
          <w:rFonts w:hint="eastAsia" w:ascii="宋体" w:hAnsi="宋体"/>
          <w:sz w:val="24"/>
          <w:highlight w:val="none"/>
        </w:rPr>
      </w:pPr>
      <w:r>
        <w:rPr>
          <w:rFonts w:hint="eastAsia" w:ascii="宋体" w:hAnsi="宋体"/>
          <w:sz w:val="24"/>
          <w:highlight w:val="none"/>
        </w:rPr>
        <w:t xml:space="preserve">      4）因持有股票而享有的配股权，采用估值技术确定公允价值。</w:t>
      </w:r>
    </w:p>
    <w:p>
      <w:pPr>
        <w:numPr>
          <w:ilvl w:val="0"/>
          <w:numId w:val="32"/>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非上市股权的估值：</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基金、资产管理计划类资产</w:t>
      </w:r>
    </w:p>
    <w:p>
      <w:p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3"/>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3"/>
        <w:spacing w:line="360" w:lineRule="auto"/>
        <w:ind w:firstLine="480" w:firstLineChars="200"/>
        <w:rPr>
          <w:rFonts w:hint="eastAsia" w:ascii="宋体" w:hAnsi="宋体" w:cs="宋体"/>
          <w:bCs/>
          <w:highlight w:val="none"/>
        </w:rPr>
      </w:pPr>
      <w:r>
        <w:rPr>
          <w:rFonts w:hint="eastAsia" w:ascii="宋体" w:hAnsi="宋体" w:cs="宋体"/>
          <w:bCs/>
          <w:kern w:val="2"/>
          <w:highlight w:val="none"/>
        </w:rPr>
        <w:t>以</w:t>
      </w:r>
      <w:r>
        <w:rPr>
          <w:rFonts w:hint="eastAsia" w:ascii="宋体" w:hAnsi="宋体" w:cs="宋体"/>
          <w:bCs/>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3"/>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当理财计划管理人或托管人认为按上述方法对理财计划进行估值不能客观反映其公允价值的，可以在满足监管要求的前提下协商一致后，按最能反映公允价值的价格估值，并自协商一致日后执行。</w:t>
      </w:r>
    </w:p>
    <w:p>
      <w:pPr>
        <w:pStyle w:val="13"/>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3"/>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理财计划投资所涉及的交易市场遇法定节假日或因其他原因暂停营业时暂停估值，该种情况理财计划估值日期提前到上一交易日。</w:t>
      </w:r>
    </w:p>
    <w:p>
      <w:pPr>
        <w:numPr>
          <w:ilvl w:val="0"/>
          <w:numId w:val="33"/>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3"/>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4"/>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本理财计划涉及费用包括销售服务费、托管费、固定管理费、认购费、浮动管理费以及理财计划运作和清算中产生的其他费用等。</w:t>
      </w:r>
    </w:p>
    <w:p>
      <w:pPr>
        <w:numPr>
          <w:ilvl w:val="0"/>
          <w:numId w:val="34"/>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销售服务费</w:t>
      </w:r>
    </w:p>
    <w:p>
      <w:pPr>
        <w:spacing w:line="360" w:lineRule="auto"/>
        <w:ind w:firstLine="420" w:firstLineChars="0"/>
        <w:jc w:val="left"/>
        <w:rPr>
          <w:rFonts w:hint="eastAsia" w:ascii="宋体" w:hAnsi="宋体" w:cs="宋体"/>
          <w:bCs/>
          <w:color w:val="000000"/>
          <w:sz w:val="24"/>
          <w:highlight w:val="none"/>
        </w:rPr>
      </w:pPr>
      <w:r>
        <w:rPr>
          <w:rFonts w:hint="eastAsia" w:ascii="宋体" w:hAnsi="宋体" w:cs="宋体"/>
          <w:bCs/>
          <w:color w:val="000000"/>
          <w:sz w:val="24"/>
          <w:highlight w:val="none"/>
          <w:lang w:val="en-US" w:eastAsia="zh-CN"/>
        </w:rPr>
        <w:t>理财计划财产分为每日计提销售服务费的〖A份额〗、〖B份额〗、〖C份额〗、〖D份额〗、〖G份额〗、〖H份额〗、〖I份额〗、〖J份额〗、〖K份额〗、〖L份额〗、〖M份额〗、〖P份额〗、〖V份额〗和销售服务费于产品成立日一次性收取的〖N份额〗、〖R份额〗、〖T份额〗、〖U份额〗、〖W份额〗、〖Y份额〗、〖Z份额〗。A份额的年化销售服务费率为〖0.30%〗, B份额的年化销售服务费率为〖0.20%〗, C份额的年化销售服务费率为〖0.10%〗, D份额的年化销售服务费率为〖0.15%〗, G份额的年化销售服务费率为〖0.05%〗, H份额的年化销售服务费率为〖0.20%〗, I份额的年化销售服务费率为〖0.30%〗, J份额的年化销售服务费率为〖0.05%〗, K份额的年化销售服务费率为〖0.30%〗, L份额的年化销售服务费率为〖0.10%〗, M份额的年化销售服务费率为〖0.10%〗, N份额的年化销售服务费率为〖0.20%〗, P份额的年化销售服务费率为〖0.15%〗, R份额的年化销售服务费率为〖0.15%〗, T份额的年化销售服务费率为〖0.30%〗, U份额的年化销售服务费率为〖0.10%〗, V份额的年化销售服务费率为〖0.10%〗, W份额的年化销售服务费率为〖0.30%〗, Y份额的年化销售服务费率为〖0.20%〗, Z份额的年化销售服务费率为〖0.10%〗。两种计算方法如下：</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（1）销售费按日计提</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H1＝E1×〖0.30%〗/365</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H1为〖A份额〗每日应计提的销售服务费</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E1为〖A份额〗前一日资产净值</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销售服务费原则上按日计提。</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（2）销售费一次性收取</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H2＝E2×〖0.20%〗×P/365</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H2为〖N份额〗应计提的销售服务费</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E2为〖N份额〗成立日产品份额</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P为产品投资期限天数</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销售服务费于产品成立日一次性收取，每日摊销。</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bCs/>
          <w:color w:val="000000"/>
          <w:sz w:val="24"/>
          <w:highlight w:val="none"/>
          <w:lang w:val="en-US" w:eastAsia="zh-CN"/>
        </w:rPr>
        <w:t>0.025</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bCs/>
          <w:color w:val="000000"/>
          <w:sz w:val="24"/>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szCs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理财计划财产A份额的年化固定管理费率为〖0.05%〗, B份额的年化固定管理费率为〖0.05%〗, C份额的年化固定管理费率为〖0.05%〗, D份额的年化固定管理费率为〖0.05%〗, G份额的年化固定管理费率为〖0.05%〗, H份额的年化固定管理费率为〖0.05%〗, I份额的年化固定管理费率为〖0.05%〗, J份额的年化固定管理费率为〖0.05%〗, K份额的年化固定管理费率为〖0.05%〗, L份额的年化固定管理费率为〖0.05%〗, M份额的年化固定管理费率为〖0.05%〗, N份额的年化固定管理费率为〖0.05%〗, P份额的年化固定管理费率为〖0.01%〗, R份额的年化固定管理费率为〖0.05%〗, T份额的年化固定管理费率为〖0.05%〗, U份额的年化固定管理费率为〖0.05%〗, V份额的年化固定管理费率为〖0.05%〗, W份额的年化固定管理费率为〖0.05%〗, Y份额的年化固定管理费率为〖0.05%〗, Z份额的年化固定管理费率为〖0.05%〗, 以〖A份额〗为例，计算方法如下：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H＝E×〖0.05%</w:t>
      </w:r>
      <w:r>
        <w:rPr>
          <w:rFonts w:hint="eastAsia" w:ascii="宋体" w:hAnsi="宋体" w:cs="宋体"/>
          <w:szCs w:val="21"/>
          <w:highlight w:val="none"/>
        </w:rPr>
        <w:t>〗</w:t>
      </w:r>
      <w:r>
        <w:rPr>
          <w:rFonts w:hint="eastAsia" w:ascii="宋体" w:hAnsi="宋体" w:cs="宋体"/>
          <w:bCs/>
          <w:color w:val="000000"/>
          <w:sz w:val="24"/>
          <w:szCs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sz w:val="24"/>
          <w:highlight w:val="none"/>
          <w:lang w:val="en-US" w:eastAsia="zh-CN"/>
        </w:rPr>
        <w:t>A</w:t>
      </w:r>
      <w:r>
        <w:rPr>
          <w:rFonts w:hint="eastAsia" w:ascii="宋体" w:hAnsi="宋体" w:cs="宋体"/>
          <w:bCs/>
          <w:color w:val="000000"/>
          <w:sz w:val="24"/>
          <w:highlight w:val="none"/>
        </w:rPr>
        <w:t>份额每日应计提的固定管理费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sz w:val="24"/>
          <w:highlight w:val="none"/>
          <w:lang w:val="en-US" w:eastAsia="zh-CN"/>
        </w:rPr>
        <w:t>A</w:t>
      </w:r>
      <w:r>
        <w:rPr>
          <w:rFonts w:hint="eastAsia" w:ascii="宋体" w:hAnsi="宋体" w:cs="宋体"/>
          <w:bCs/>
          <w:color w:val="000000"/>
          <w:sz w:val="24"/>
          <w:highlight w:val="none"/>
        </w:rPr>
        <w:t>份额前一日资产净值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固定管理费原则上按日计提，如理财计划实际运作结果不达业绩比较基准下限时，管理人有权减免固定管理费。</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本理财计划免除认购费。</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理财管理人根据理财计划投资情况计算浮动管理费，浮动管理费原则上按估值日计提，到期收取。具体计算方法如下：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（1）若本理财计划到期日（提前终止日）的折合年化收益率超过业绩比较基准下限但未达到业绩比较基准上限，则超过业绩比较基准下限的部分管理人收取〖</w:t>
      </w:r>
      <w:r>
        <w:rPr>
          <w:rFonts w:hint="eastAsia" w:ascii="宋体" w:hAnsi="宋体" w:eastAsia="宋体" w:cs="宋体"/>
          <w:b w:val="0"/>
          <w:bCs/>
          <w:color w:val="000000"/>
          <w:kern w:val="2"/>
          <w:sz w:val="24"/>
          <w:szCs w:val="24"/>
          <w:highlight w:val="none"/>
          <w:lang w:val="en-US" w:eastAsia="zh-CN" w:bidi="ar-SA"/>
        </w:rPr>
        <w:t>50</w:t>
      </w:r>
      <w:r>
        <w:rPr>
          <w:rFonts w:hint="eastAsia" w:ascii="宋体" w:hAnsi="宋体" w:cs="宋体"/>
          <w:bCs/>
          <w:color w:val="000000"/>
          <w:sz w:val="24"/>
          <w:highlight w:val="none"/>
        </w:rPr>
        <w:t>%〗作为浮动管理费，即：</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H=E×NAV0×（K-S)×〖</w:t>
      </w:r>
      <w:r>
        <w:rPr>
          <w:rFonts w:hint="eastAsia" w:ascii="宋体" w:hAnsi="宋体" w:eastAsia="宋体" w:cs="宋体"/>
          <w:b w:val="0"/>
          <w:bCs/>
          <w:color w:val="000000"/>
          <w:kern w:val="2"/>
          <w:sz w:val="24"/>
          <w:szCs w:val="24"/>
          <w:highlight w:val="none"/>
          <w:lang w:val="en-US" w:eastAsia="zh-CN" w:bidi="ar-SA"/>
        </w:rPr>
        <w:t>50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（2）若本理财计划到期日（提前终止日）的折合年化收益率超过业绩比较基准上限，则〖业绩比较基准下限(含)至上限(含)〗的部分管理人收取〖</w:t>
      </w:r>
      <w:r>
        <w:rPr>
          <w:rFonts w:hint="eastAsia" w:ascii="宋体" w:hAnsi="宋体" w:eastAsia="宋体" w:cs="宋体"/>
          <w:b w:val="0"/>
          <w:bCs/>
          <w:color w:val="000000"/>
          <w:kern w:val="2"/>
          <w:sz w:val="24"/>
          <w:szCs w:val="24"/>
          <w:highlight w:val="none"/>
          <w:lang w:val="en-US" w:eastAsia="zh-CN" w:bidi="ar-SA"/>
        </w:rPr>
        <w:t>50</w:t>
      </w:r>
      <w:r>
        <w:rPr>
          <w:rFonts w:hint="eastAsia" w:ascii="宋体" w:hAnsi="宋体" w:cs="宋体"/>
          <w:bCs/>
          <w:color w:val="000000"/>
          <w:sz w:val="24"/>
          <w:highlight w:val="none"/>
        </w:rPr>
        <w:t>%〗作为浮动管理费，超过〖业绩比较基准上限〗的部分管理人收取〖</w:t>
      </w:r>
      <w:r>
        <w:rPr>
          <w:rFonts w:hint="eastAsia" w:ascii="宋体" w:hAnsi="宋体" w:eastAsia="宋体" w:cs="宋体"/>
          <w:b w:val="0"/>
          <w:bCs/>
          <w:color w:val="000000"/>
          <w:kern w:val="2"/>
          <w:sz w:val="24"/>
          <w:szCs w:val="24"/>
          <w:highlight w:val="none"/>
          <w:lang w:val="en-US" w:eastAsia="zh-CN" w:bidi="ar-SA"/>
        </w:rPr>
        <w:t>80</w:t>
      </w:r>
      <w:r>
        <w:rPr>
          <w:rFonts w:hint="eastAsia" w:ascii="宋体" w:hAnsi="宋体" w:cs="宋体"/>
          <w:bCs/>
          <w:color w:val="000000"/>
          <w:sz w:val="24"/>
          <w:highlight w:val="none"/>
        </w:rPr>
        <w:t>%〗作为浮动管理费，即：</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eastAsia="宋体" w:cs="宋体"/>
          <w:b w:val="0"/>
          <w:bCs/>
          <w:color w:val="000000"/>
          <w:kern w:val="2"/>
          <w:sz w:val="24"/>
          <w:szCs w:val="24"/>
          <w:highlight w:val="none"/>
          <w:lang w:val="en-US" w:eastAsia="zh-CN" w:bidi="ar-SA"/>
        </w:rPr>
        <w:t>80</w:t>
      </w:r>
      <w:r>
        <w:rPr>
          <w:rFonts w:hint="eastAsia" w:ascii="宋体" w:hAnsi="宋体" w:cs="宋体"/>
          <w:bCs/>
          <w:color w:val="000000"/>
          <w:sz w:val="24"/>
          <w:highlight w:val="none"/>
        </w:rPr>
        <w:t>%〗+(R-S)×〖</w:t>
      </w:r>
      <w:r>
        <w:rPr>
          <w:rFonts w:hint="eastAsia" w:ascii="宋体" w:hAnsi="宋体" w:eastAsia="宋体" w:cs="宋体"/>
          <w:b w:val="0"/>
          <w:bCs/>
          <w:color w:val="000000"/>
          <w:kern w:val="2"/>
          <w:sz w:val="24"/>
          <w:szCs w:val="24"/>
          <w:highlight w:val="none"/>
          <w:lang w:val="en-US" w:eastAsia="zh-CN" w:bidi="ar-SA"/>
        </w:rPr>
        <w:t>50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H为理财计划到期（提前终止）时应收取浮动管理费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E为投资者持有份额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K为收取浮动管理费前投资者持有份额对应持有区间折合年化收益率</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NAV0为理财计划成立日之初的单位净值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NAV1为理财计划到期日未扣除浮动管理费前的单位净值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lang w:val="en-US" w:eastAsia="zh-CN"/>
        </w:rPr>
        <w:t>理财计划</w:t>
      </w:r>
      <w:r>
        <w:rPr>
          <w:rFonts w:hint="eastAsia" w:ascii="宋体" w:hAnsi="宋体" w:cs="宋体"/>
          <w:bCs/>
          <w:color w:val="000000"/>
          <w:sz w:val="24"/>
          <w:highlight w:val="none"/>
        </w:rPr>
        <w:t>业绩比较基准上限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S为</w:t>
      </w:r>
      <w:r>
        <w:rPr>
          <w:rFonts w:hint="eastAsia" w:ascii="宋体" w:hAnsi="宋体" w:cs="宋体"/>
          <w:bCs/>
          <w:color w:val="000000"/>
          <w:sz w:val="24"/>
          <w:highlight w:val="none"/>
          <w:lang w:val="en-US" w:eastAsia="zh-CN"/>
        </w:rPr>
        <w:t>理财计划</w:t>
      </w:r>
      <w:r>
        <w:rPr>
          <w:rFonts w:hint="eastAsia" w:ascii="宋体" w:hAnsi="宋体" w:cs="宋体"/>
          <w:bCs/>
          <w:color w:val="000000"/>
          <w:sz w:val="24"/>
          <w:highlight w:val="none"/>
        </w:rPr>
        <w:t>业绩比较基准下限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N为理财计划份额成立日（含）至估值日（含）的区间天数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T为理财计划运作期间每单位份额的实际分红金额合计（如有）</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jc w:val="left"/>
        <w:rPr>
          <w:rFonts w:ascii="宋体" w:hAnsi="宋体" w:cs="宋体"/>
          <w:bCs/>
          <w:sz w:val="24"/>
          <w:highlight w:val="none"/>
        </w:rPr>
      </w:pPr>
      <w:r>
        <w:rPr>
          <w:rFonts w:hint="eastAsia" w:ascii="宋体" w:hAnsi="宋体" w:cs="宋体"/>
          <w:bCs/>
          <w:sz w:val="24"/>
          <w:highlight w:val="none"/>
        </w:rPr>
        <w:t xml:space="preserve">    </w:t>
      </w: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37"/>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38"/>
        </w:numPr>
        <w:spacing w:line="360" w:lineRule="auto"/>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38"/>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38"/>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3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投资者理财收益＝认购份额×到期日（提前终止日）单位净值+份额持有期间累计分红-认购金额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认购份额=认购金额÷1元。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到期日（提前终止日）单位净值为提取相关费用及税费后的单位理财计划份额净值。</w:t>
      </w:r>
    </w:p>
    <w:p>
      <w:pPr>
        <w:numPr>
          <w:ilvl w:val="0"/>
          <w:numId w:val="3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示例说明</w:t>
      </w:r>
    </w:p>
    <w:p>
      <w:pPr>
        <w:numPr>
          <w:ilvl w:val="0"/>
          <w:numId w:val="0"/>
        </w:numPr>
        <w:spacing w:line="360" w:lineRule="auto"/>
        <w:ind w:left="420" w:firstLine="0"/>
        <w:jc w:val="left"/>
        <w:outlineLvl w:val="2"/>
        <w:rPr>
          <w:rFonts w:hint="eastAsia" w:ascii="宋体" w:hAnsi="宋体" w:cs="宋体"/>
          <w:b/>
          <w:sz w:val="24"/>
          <w:highlight w:val="none"/>
        </w:rPr>
      </w:pPr>
      <w:r>
        <w:rPr>
          <w:rFonts w:hint="eastAsia" w:ascii="宋体" w:hAnsi="宋体" w:cs="宋体"/>
          <w:bCs/>
          <w:color w:val="000000"/>
          <w:sz w:val="24"/>
          <w:highlight w:val="none"/>
        </w:rPr>
        <w:t>以下示例均为假设情况，不构成业绩预测，不代表本理财计划实际投资业绩。</w:t>
      </w:r>
    </w:p>
    <w:p>
      <w:pPr>
        <w:numPr>
          <w:ilvl w:val="0"/>
          <w:numId w:val="40"/>
        </w:numPr>
        <w:spacing w:line="360" w:lineRule="auto"/>
        <w:jc w:val="left"/>
        <w:rPr>
          <w:rFonts w:hint="eastAsia" w:ascii="宋体" w:hAnsi="宋体" w:cs="宋体"/>
          <w:b/>
          <w:sz w:val="24"/>
          <w:highlight w:val="none"/>
        </w:rPr>
      </w:pPr>
      <w:r>
        <w:rPr>
          <w:rFonts w:hint="eastAsia" w:ascii="宋体" w:hAnsi="宋体" w:cs="宋体"/>
          <w:b/>
          <w:sz w:val="24"/>
          <w:highlight w:val="none"/>
        </w:rPr>
        <w:t>示例一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0元，折算份额为100,000.00份，假设份额成立日（含）至估值日（含）的区间天数为362天,</w:t>
      </w:r>
      <w:r>
        <w:rPr>
          <w:rFonts w:hint="eastAsia" w:ascii="宋体" w:hAnsi="宋体" w:cs="宋体"/>
          <w:bCs/>
          <w:color w:val="000000"/>
          <w:sz w:val="24"/>
          <w:highlight w:val="none"/>
          <w:lang w:val="en-US" w:eastAsia="zh-CN"/>
        </w:rPr>
        <w:t>业绩比较基准为4.00%-5.00%</w:t>
      </w:r>
      <w:r>
        <w:rPr>
          <w:rFonts w:hint="eastAsia" w:ascii="宋体" w:hAnsi="宋体" w:cs="宋体"/>
          <w:bCs/>
          <w:color w:val="000000"/>
          <w:sz w:val="24"/>
          <w:highlight w:val="none"/>
        </w:rPr>
        <w:t>。假设</w:t>
      </w:r>
      <w:r>
        <w:rPr>
          <w:rFonts w:hint="eastAsia" w:ascii="宋体" w:hAnsi="宋体" w:cs="宋体"/>
          <w:bCs/>
          <w:color w:val="000000"/>
          <w:sz w:val="24"/>
          <w:highlight w:val="none"/>
          <w:lang w:val="en-US" w:eastAsia="zh-CN"/>
        </w:rPr>
        <w:t>理财产品</w:t>
      </w:r>
      <w:r>
        <w:rPr>
          <w:rFonts w:hint="eastAsia" w:ascii="宋体" w:hAnsi="宋体" w:cs="宋体"/>
          <w:bCs/>
          <w:color w:val="000000"/>
          <w:sz w:val="24"/>
          <w:highlight w:val="none"/>
        </w:rPr>
        <w:t>到期时扣除托管费、固定管理费、销售服务费（如有）后，如理财计划未扣除浮动管理费前的净值为1.0615，此时，(1.0615÷1.</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00-1)×365÷362=6.20%&gt;5.00%，即</w:t>
      </w:r>
      <w:r>
        <w:rPr>
          <w:rFonts w:hint="eastAsia" w:ascii="宋体" w:hAnsi="宋体" w:cs="宋体"/>
          <w:bCs/>
          <w:color w:val="000000"/>
          <w:sz w:val="24"/>
          <w:highlight w:val="none"/>
          <w:lang w:val="en-US" w:eastAsia="zh-CN"/>
        </w:rPr>
        <w:t>在</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4.00%-5.00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部分的</w:t>
      </w:r>
      <w:r>
        <w:rPr>
          <w:rFonts w:hint="eastAsia" w:ascii="宋体" w:hAnsi="宋体" w:cs="宋体"/>
          <w:bCs/>
          <w:color w:val="000000"/>
          <w:sz w:val="24"/>
          <w:highlight w:val="none"/>
        </w:rPr>
        <w:t>投资收益</w:t>
      </w:r>
      <w:r>
        <w:rPr>
          <w:rFonts w:hint="eastAsia" w:ascii="宋体" w:hAnsi="宋体" w:cs="宋体"/>
          <w:bCs/>
          <w:color w:val="000000"/>
          <w:sz w:val="24"/>
          <w:highlight w:val="none"/>
          <w:lang w:val="en-US" w:eastAsia="zh-CN"/>
        </w:rPr>
        <w:t>管理人收取80%作为浮动管理费，</w:t>
      </w:r>
      <w:r>
        <w:rPr>
          <w:rFonts w:hint="eastAsia" w:ascii="宋体" w:hAnsi="宋体" w:cs="宋体"/>
          <w:bCs/>
          <w:color w:val="000000"/>
          <w:sz w:val="24"/>
          <w:highlight w:val="none"/>
        </w:rPr>
        <w:t>超过〖5.00%〗</w:t>
      </w:r>
      <w:r>
        <w:rPr>
          <w:rFonts w:hint="eastAsia" w:ascii="宋体" w:hAnsi="宋体" w:cs="宋体"/>
          <w:bCs/>
          <w:color w:val="000000"/>
          <w:sz w:val="24"/>
          <w:highlight w:val="none"/>
          <w:lang w:val="en-US" w:eastAsia="zh-CN"/>
        </w:rPr>
        <w:t>部分的</w:t>
      </w:r>
      <w:r>
        <w:rPr>
          <w:rFonts w:hint="eastAsia" w:ascii="宋体" w:hAnsi="宋体" w:cs="宋体"/>
          <w:bCs/>
          <w:color w:val="000000"/>
          <w:sz w:val="24"/>
          <w:highlight w:val="none"/>
        </w:rPr>
        <w:t>投资</w:t>
      </w:r>
      <w:r>
        <w:rPr>
          <w:rFonts w:hint="eastAsia" w:ascii="宋体" w:hAnsi="宋体" w:cs="宋体"/>
          <w:bCs/>
          <w:color w:val="000000"/>
          <w:sz w:val="24"/>
          <w:highlight w:val="none"/>
          <w:lang w:val="en-US" w:eastAsia="zh-CN"/>
        </w:rPr>
        <w:t>收益管理人收取100%作为</w:t>
      </w:r>
      <w:r>
        <w:rPr>
          <w:rFonts w:hint="eastAsia" w:ascii="宋体" w:hAnsi="宋体" w:cs="宋体"/>
          <w:bCs/>
          <w:color w:val="000000"/>
          <w:sz w:val="24"/>
          <w:highlight w:val="none"/>
        </w:rPr>
        <w:t>浮动管理费，浮动管理费为：</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1.0615÷</w:t>
      </w:r>
      <w:r>
        <w:rPr>
          <w:rFonts w:hint="eastAsia" w:ascii="宋体" w:hAnsi="宋体" w:cs="宋体"/>
          <w:bCs/>
          <w:color w:val="000000"/>
          <w:sz w:val="24"/>
          <w:highlight w:val="none"/>
          <w:lang w:val="en-US" w:eastAsia="zh-CN"/>
        </w:rPr>
        <w:t>1.0000-1</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100</w:t>
      </w:r>
      <w:r>
        <w:rPr>
          <w:rFonts w:hint="eastAsia" w:ascii="宋体" w:hAnsi="宋体" w:cs="宋体"/>
          <w:bCs/>
          <w:color w:val="000000"/>
          <w:sz w:val="24"/>
          <w:highlight w:val="none"/>
        </w:rPr>
        <w:t>%+(5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%-4</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%)×80%)</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×362÷365=</w:t>
      </w:r>
      <w:r>
        <w:rPr>
          <w:rFonts w:hint="eastAsia" w:ascii="宋体" w:hAnsi="宋体" w:cs="宋体"/>
          <w:bCs/>
          <w:color w:val="000000"/>
          <w:sz w:val="24"/>
          <w:highlight w:val="none"/>
          <w:lang w:val="en-US" w:eastAsia="zh-CN"/>
        </w:rPr>
        <w:t>1,984.52</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0,000.00×（1.0615-1.</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00）-1,984.52= 4,165.48（元）</w:t>
      </w:r>
    </w:p>
    <w:p>
      <w:pPr>
        <w:numPr>
          <w:ilvl w:val="0"/>
          <w:numId w:val="40"/>
        </w:numPr>
        <w:spacing w:line="360" w:lineRule="auto"/>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扣除托管费、固定管理费、销售服务费（如有）后，投资收益率超过</w:t>
      </w:r>
      <w:r>
        <w:rPr>
          <w:rFonts w:hint="eastAsia" w:ascii="宋体" w:hAnsi="宋体" w:cs="宋体"/>
          <w:b/>
          <w:color w:val="000000"/>
          <w:sz w:val="24"/>
          <w:highlight w:val="none"/>
          <w:lang w:val="en-US" w:eastAsia="zh-CN"/>
        </w:rPr>
        <w:t>业绩比较基准下限</w:t>
      </w:r>
      <w:r>
        <w:rPr>
          <w:rFonts w:hint="eastAsia" w:ascii="宋体" w:hAnsi="宋体" w:cs="宋体"/>
          <w:b/>
          <w:color w:val="000000"/>
          <w:sz w:val="24"/>
          <w:highlight w:val="none"/>
          <w:lang w:eastAsia="zh-CN"/>
        </w:rPr>
        <w:t>，</w:t>
      </w:r>
      <w:r>
        <w:rPr>
          <w:rFonts w:hint="eastAsia" w:ascii="宋体" w:hAnsi="宋体" w:cs="宋体"/>
          <w:b/>
          <w:color w:val="000000"/>
          <w:sz w:val="24"/>
          <w:highlight w:val="none"/>
          <w:lang w:val="en-US" w:eastAsia="zh-CN"/>
        </w:rPr>
        <w:t>但未达到业绩比较基准上限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cs="宋体"/>
          <w:bCs/>
          <w:color w:val="000000"/>
          <w:sz w:val="24"/>
          <w:highlight w:val="none"/>
        </w:rPr>
        <w:t>以某投资者投资10万元为例，假设购买时理财计划净值为1.0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0元，折算份额为100,000.00份,假设份额成立日（含）至估值日（含）的区间天数为362天,</w:t>
      </w:r>
      <w:r>
        <w:rPr>
          <w:rFonts w:hint="eastAsia" w:ascii="宋体" w:hAnsi="宋体" w:cs="宋体"/>
          <w:bCs/>
          <w:color w:val="000000"/>
          <w:sz w:val="24"/>
          <w:highlight w:val="none"/>
          <w:lang w:val="en-US" w:eastAsia="zh-CN"/>
        </w:rPr>
        <w:t>业绩比较基准为4.00%-5.00%</w:t>
      </w:r>
      <w:r>
        <w:rPr>
          <w:rFonts w:hint="eastAsia" w:ascii="宋体" w:hAnsi="宋体" w:cs="宋体"/>
          <w:bCs/>
          <w:color w:val="000000"/>
          <w:sz w:val="24"/>
          <w:highlight w:val="none"/>
        </w:rPr>
        <w:t>。假设</w:t>
      </w:r>
      <w:r>
        <w:rPr>
          <w:rFonts w:hint="eastAsia" w:ascii="宋体" w:hAnsi="宋体" w:cs="宋体"/>
          <w:bCs/>
          <w:color w:val="000000"/>
          <w:sz w:val="24"/>
          <w:highlight w:val="none"/>
          <w:lang w:val="en-US" w:eastAsia="zh-CN"/>
        </w:rPr>
        <w:t>理财产品</w:t>
      </w:r>
      <w:r>
        <w:rPr>
          <w:rFonts w:hint="eastAsia" w:ascii="宋体" w:hAnsi="宋体" w:cs="宋体"/>
          <w:bCs/>
          <w:color w:val="000000"/>
          <w:sz w:val="24"/>
          <w:highlight w:val="none"/>
        </w:rPr>
        <w:t>到期时扣除托管费、固定管理费、销售服务费（如有）后</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如</w:t>
      </w:r>
      <w:r>
        <w:rPr>
          <w:rFonts w:hint="eastAsia" w:ascii="宋体" w:hAnsi="宋体" w:cs="宋体"/>
          <w:bCs/>
          <w:color w:val="000000"/>
          <w:sz w:val="24"/>
          <w:highlight w:val="none"/>
        </w:rPr>
        <w:t>理财计划未扣除浮动管理费前的净值为1.0415，此时，(1.0</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15÷1.</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00-1)×365÷362=4.18%，即投资收益超过〖4.00%〗</w:t>
      </w:r>
      <w:r>
        <w:rPr>
          <w:rFonts w:hint="eastAsia" w:ascii="宋体" w:hAnsi="宋体" w:cs="宋体"/>
          <w:bCs/>
          <w:color w:val="000000"/>
          <w:sz w:val="24"/>
          <w:highlight w:val="none"/>
          <w:lang w:val="en-US" w:eastAsia="zh-CN"/>
        </w:rPr>
        <w:t>但未达到</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.00%〗，则超过〖4.00%〗部分</w:t>
      </w:r>
      <w:r>
        <w:rPr>
          <w:rFonts w:hint="eastAsia" w:ascii="宋体" w:hAnsi="宋体" w:cs="宋体"/>
          <w:bCs/>
          <w:color w:val="000000"/>
          <w:sz w:val="24"/>
          <w:highlight w:val="none"/>
          <w:lang w:val="en-US" w:eastAsia="zh-CN"/>
        </w:rPr>
        <w:t>的</w:t>
      </w:r>
      <w:r>
        <w:rPr>
          <w:rFonts w:hint="eastAsia" w:ascii="宋体" w:hAnsi="宋体" w:cs="宋体"/>
          <w:bCs/>
          <w:color w:val="000000"/>
          <w:sz w:val="24"/>
          <w:highlight w:val="none"/>
        </w:rPr>
        <w:t>投资收益管理人收取</w:t>
      </w:r>
      <w:r>
        <w:rPr>
          <w:rFonts w:hint="eastAsia" w:ascii="宋体" w:hAnsi="宋体" w:cs="宋体"/>
          <w:bCs/>
          <w:color w:val="000000"/>
          <w:sz w:val="24"/>
          <w:highlight w:val="none"/>
          <w:lang w:val="en-US" w:eastAsia="zh-CN"/>
        </w:rPr>
        <w:t>80%作为</w:t>
      </w:r>
      <w:r>
        <w:rPr>
          <w:rFonts w:hint="eastAsia" w:ascii="宋体" w:hAnsi="宋体" w:cs="宋体"/>
          <w:bCs/>
          <w:color w:val="000000"/>
          <w:sz w:val="24"/>
          <w:highlight w:val="none"/>
        </w:rPr>
        <w:t>浮动管理费，浮动管理费为：</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1.0415÷</w:t>
      </w:r>
      <w:r>
        <w:rPr>
          <w:rFonts w:hint="eastAsia" w:ascii="宋体" w:hAnsi="宋体" w:cs="宋体"/>
          <w:bCs/>
          <w:color w:val="000000"/>
          <w:sz w:val="24"/>
          <w:highlight w:val="none"/>
          <w:lang w:val="en-US" w:eastAsia="zh-CN"/>
        </w:rPr>
        <w:t>1.0000-1)</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362-4.00%]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80%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w:t>
      </w:r>
      <w:r>
        <w:rPr>
          <w:rFonts w:hint="eastAsia" w:ascii="宋体" w:hAnsi="宋体" w:cs="宋体"/>
          <w:bCs/>
          <w:color w:val="000000"/>
          <w:sz w:val="24"/>
          <w:highlight w:val="none"/>
        </w:rPr>
        <w:t>÷365=146.30（元）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100,000.00×（1.0415-1.</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00）-146.30 =4</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003.70（元）</w:t>
      </w:r>
    </w:p>
    <w:p>
      <w:pPr>
        <w:numPr>
          <w:ilvl w:val="0"/>
          <w:numId w:val="40"/>
        </w:numPr>
        <w:spacing w:line="360" w:lineRule="auto"/>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三</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扣除托管费、固定管理费、销售服务费（如有）后，投资收益率未达到〖</w:t>
      </w:r>
      <w:r>
        <w:rPr>
          <w:rFonts w:hint="eastAsia" w:ascii="宋体" w:hAnsi="宋体" w:cs="宋体"/>
          <w:b/>
          <w:color w:val="000000"/>
          <w:sz w:val="24"/>
          <w:highlight w:val="none"/>
          <w:lang w:val="en-US" w:eastAsia="zh-CN"/>
        </w:rPr>
        <w:t>业绩比较基准下限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元，折算份额为100,000.00份，假设份额成立日（含）至估值日（含）的区间天数为362天,</w:t>
      </w:r>
      <w:r>
        <w:rPr>
          <w:rFonts w:hint="eastAsia" w:ascii="宋体" w:hAnsi="宋体" w:cs="宋体"/>
          <w:bCs/>
          <w:color w:val="000000"/>
          <w:sz w:val="24"/>
          <w:highlight w:val="none"/>
          <w:lang w:val="en-US" w:eastAsia="zh-CN"/>
        </w:rPr>
        <w:t>业绩比较基准为4.00%-5.00%</w:t>
      </w:r>
      <w:r>
        <w:rPr>
          <w:rFonts w:hint="eastAsia" w:ascii="宋体" w:hAnsi="宋体" w:cs="宋体"/>
          <w:bCs/>
          <w:color w:val="000000"/>
          <w:sz w:val="24"/>
          <w:highlight w:val="none"/>
        </w:rPr>
        <w:t>。假设</w:t>
      </w:r>
      <w:r>
        <w:rPr>
          <w:rFonts w:hint="eastAsia" w:ascii="宋体" w:hAnsi="宋体" w:cs="宋体"/>
          <w:bCs/>
          <w:color w:val="000000"/>
          <w:sz w:val="24"/>
          <w:highlight w:val="none"/>
          <w:lang w:val="en-US" w:eastAsia="zh-CN"/>
        </w:rPr>
        <w:t>理财产品</w:t>
      </w:r>
      <w:r>
        <w:rPr>
          <w:rFonts w:hint="eastAsia" w:ascii="宋体" w:hAnsi="宋体" w:cs="宋体"/>
          <w:bCs/>
          <w:color w:val="000000"/>
          <w:sz w:val="24"/>
          <w:highlight w:val="none"/>
        </w:rPr>
        <w:t>到期时扣除托管费、固定管理费、销售服务费（如有）后，如理财计划未扣除浮动管理费前的净值为1.0362，此时，(1.0362÷1.00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-1)×365÷362=3.65%&lt;</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.00%，即投资收益未达到〖4.00%〗，则投资管理人不收取浮动管理费，投资者最终收益为：100,000.00×(1.0365-1.00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）=3,650.00（元）</w:t>
      </w:r>
    </w:p>
    <w:p>
      <w:pPr>
        <w:numPr>
          <w:ilvl w:val="0"/>
          <w:numId w:val="40"/>
        </w:numPr>
        <w:spacing w:line="360" w:lineRule="auto"/>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四</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扣除托管费、固定管理费、销售服务费（如有）后，投资发生亏损。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以某投资者投资10万元为例，假设购买时理财计划净值为1.00元，折算份额为100,000.00份，假设份额成立日（含）至估值日（含）的区间天数为362天,</w:t>
      </w:r>
      <w:r>
        <w:rPr>
          <w:rFonts w:hint="eastAsia" w:ascii="宋体" w:hAnsi="宋体" w:cs="宋体"/>
          <w:bCs/>
          <w:color w:val="000000"/>
          <w:sz w:val="24"/>
          <w:highlight w:val="none"/>
          <w:lang w:val="en-US" w:eastAsia="zh-CN"/>
        </w:rPr>
        <w:t>业绩比较基准为4.00%-5.00%</w:t>
      </w:r>
      <w:r>
        <w:rPr>
          <w:rFonts w:hint="eastAsia" w:ascii="宋体" w:hAnsi="宋体" w:cs="宋体"/>
          <w:bCs/>
          <w:color w:val="000000"/>
          <w:sz w:val="24"/>
          <w:highlight w:val="none"/>
        </w:rPr>
        <w:t>。假设</w:t>
      </w:r>
      <w:r>
        <w:rPr>
          <w:rFonts w:hint="eastAsia" w:ascii="宋体" w:hAnsi="宋体" w:cs="宋体"/>
          <w:bCs/>
          <w:color w:val="000000"/>
          <w:sz w:val="24"/>
          <w:highlight w:val="none"/>
          <w:lang w:val="en-US" w:eastAsia="zh-CN"/>
        </w:rPr>
        <w:t>理财产品</w:t>
      </w:r>
      <w:r>
        <w:rPr>
          <w:rFonts w:hint="eastAsia" w:ascii="宋体" w:hAnsi="宋体" w:cs="宋体"/>
          <w:bCs/>
          <w:color w:val="000000"/>
          <w:sz w:val="24"/>
          <w:highlight w:val="none"/>
        </w:rPr>
        <w:t>到期时扣除托管费、固定管理费、销售服务费（如有）后，如理财计划未扣除浮动管理费前的净值为0.9975，则投资管理人不收取浮动管理费，投资者最终收益为：100,000.00×（0.9975-1.00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）=-250.00（元）。</w:t>
      </w:r>
    </w:p>
    <w:p>
      <w:pPr>
        <w:numPr>
          <w:ilvl w:val="0"/>
          <w:numId w:val="3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2"/>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42"/>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2"/>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如新增认购使得单一投资者持有份额比例超过理财计划总份额的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3"/>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3"/>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申购及赎回</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本理财计划封闭式运作，存续期间不开放申购和赎回。</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1〗个工作日、最晚〖3〗个工作日内（遇节假日顺延）将资金按规定的要求划入投资者授权指定的理财账户。（具体以销售机构规定为准）</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highlight w:val="none"/>
        </w:rPr>
        <w:t>〖</w:t>
      </w:r>
      <w:r>
        <w:rPr>
          <w:rFonts w:hint="eastAsia" w:ascii="宋体" w:hAnsi="宋体" w:cs="宋体"/>
          <w:bCs/>
          <w:sz w:val="24"/>
          <w:highlight w:val="none"/>
        </w:rPr>
        <w:t>2</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highlight w:val="none"/>
        </w:rPr>
        <w:t>〖</w:t>
      </w:r>
      <w:r>
        <w:rPr>
          <w:rFonts w:hint="eastAsia" w:ascii="宋体" w:hAnsi="宋体" w:cs="宋体"/>
          <w:sz w:val="24"/>
          <w:szCs w:val="24"/>
          <w:highlight w:val="none"/>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如发生以下事项时，管理人可对本理财计划行使全部或部分提前终止权：</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融资人行使提前到期或还款权利的。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46"/>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47"/>
        </w:numPr>
        <w:spacing w:line="360" w:lineRule="auto"/>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48"/>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理财计划合同：管理人应在正式办理理财计划份额认购前披露，包括但不限于理财计划风险揭示书、理财计划产品说明书、投资者权益须知、理财计划投资协议书以及理财计划销售协议书。</w:t>
      </w:r>
    </w:p>
    <w:p>
      <w:pPr>
        <w:numPr>
          <w:ilvl w:val="0"/>
          <w:numId w:val="4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发行公告：管理人应在理财计划成立日后3个工作日内披露，包括成立日期、募集规模等信息。</w:t>
      </w:r>
    </w:p>
    <w:p>
      <w:pPr>
        <w:numPr>
          <w:ilvl w:val="0"/>
          <w:numId w:val="47"/>
        </w:numPr>
        <w:spacing w:line="360" w:lineRule="auto"/>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4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理财计划净值：管理人应在理财计划成立后，每周披露一次净值。</w:t>
      </w:r>
    </w:p>
    <w:p>
      <w:pPr>
        <w:numPr>
          <w:ilvl w:val="0"/>
          <w:numId w:val="4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p>
    <w:p>
      <w:pPr>
        <w:numPr>
          <w:ilvl w:val="0"/>
          <w:numId w:val="0"/>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如本理财计划成立不足90个工作日或剩余存续期不超过90个工作日的，管理人可不编制当期的季度、半年和年度报告等运行报告。</w:t>
      </w:r>
    </w:p>
    <w:p>
      <w:pPr>
        <w:numPr>
          <w:ilvl w:val="0"/>
          <w:numId w:val="4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47"/>
        </w:numPr>
        <w:spacing w:line="360" w:lineRule="auto"/>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5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管理人应在运用收取短期赎回费、摆动定价等措施后，3个交易日内发布相关事项公告；应在运用暂停认购、延期办理巨额赎回申请、暂停接受赎回申请、延缓支付赎回款项、暂停理财产品估值等措施后，3个交易日内发布相关事项公告，说明运用相关措施的原因、拟采取的应对安排等；应在发生可能对理财计划投资者或者理财计划收益产生重大事项的事件后2个工作日内发布重大事项公告。</w:t>
      </w:r>
    </w:p>
    <w:p>
      <w:pPr>
        <w:numPr>
          <w:ilvl w:val="0"/>
          <w:numId w:val="5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临时公告：管理人应当及时披露除重大事项以外的其他信息，包括但不限于理财计划终止、更换理财计划管理人和托管人、涉及理财计划管理业务的重大诉讼、涉及费率相关事项的变动、理财计划延期兑付等。</w:t>
      </w:r>
    </w:p>
    <w:p>
      <w:pPr>
        <w:numPr>
          <w:ilvl w:val="0"/>
          <w:numId w:val="46"/>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5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51"/>
        </w:numPr>
        <w:tabs>
          <w:tab w:val="left" w:pos="6090"/>
        </w:tabs>
        <w:spacing w:line="360" w:lineRule="auto"/>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授权使用时限与履行相关法律法规和监管要求的必要时限一致。</w:t>
      </w:r>
    </w:p>
    <w:p>
      <w:pPr>
        <w:numPr>
          <w:ilvl w:val="0"/>
          <w:numId w:val="5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被告人所在地有管辖权的人民法院诉讼解决。</w:t>
      </w:r>
    </w:p>
    <w:p>
      <w:pPr>
        <w:numPr>
          <w:ilvl w:val="0"/>
          <w:numId w:val="5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202501</w:t>
      </w:r>
      <w:r>
        <w:rPr>
          <w:rFonts w:hint="eastAsia" w:ascii="宋体" w:hAnsi="宋体" w:cs="宋体"/>
          <w:sz w:val="28"/>
          <w:szCs w:val="28"/>
          <w:highlight w:val="none"/>
        </w:rPr>
        <w:t>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52"/>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r>
        <w:rPr>
          <w:rFonts w:hint="eastAsia" w:ascii="宋体" w:hAnsi="宋体" w:cs="宋体"/>
          <w:kern w:val="0"/>
          <w:sz w:val="24"/>
          <w:highlight w:val="none"/>
          <w:lang w:val="en-US" w:eastAsia="zh-CN"/>
        </w:rPr>
        <w:t>如销售机构对于机构投资者的风险承受能力评估有要求的，则参照销售机构相关评估标准或代理销售协议书执行。</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54"/>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机构投资者及进取型的个人投资者</w:t>
            </w:r>
          </w:p>
        </w:tc>
      </w:tr>
    </w:tbl>
    <w:p>
      <w:pPr>
        <w:pStyle w:val="13"/>
        <w:adjustRightInd/>
        <w:spacing w:line="360" w:lineRule="auto"/>
        <w:ind w:firstLine="480" w:firstLineChars="200"/>
        <w:rPr>
          <w:rFonts w:hint="default" w:ascii="宋体" w:hAnsi="宋体" w:eastAsia="宋体" w:cs="宋体"/>
          <w:b/>
          <w:kern w:val="0"/>
          <w:sz w:val="24"/>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numPr>
          <w:ilvl w:val="0"/>
          <w:numId w:val="55"/>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56"/>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56"/>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56"/>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57"/>
        </w:numPr>
        <w:spacing w:line="360" w:lineRule="auto"/>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57"/>
        </w:numPr>
        <w:spacing w:line="360" w:lineRule="auto"/>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57"/>
        </w:numPr>
        <w:spacing w:line="360" w:lineRule="auto"/>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57"/>
        </w:numPr>
        <w:spacing w:line="360" w:lineRule="auto"/>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58"/>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58"/>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58"/>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r>
        <w:rPr>
          <w:rFonts w:hint="eastAsia" w:ascii="宋体" w:hAnsi="宋体" w:cs="宋体"/>
          <w:kern w:val="0"/>
          <w:sz w:val="24"/>
          <w:highlight w:val="none"/>
          <w:lang w:val="en-US" w:eastAsia="zh-CN"/>
        </w:rPr>
        <w:t>如销售机构对于机构投资者的风险承受能力评估有要求的，则参照销售机构相关评估标准或代理销售协议书执行。</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59"/>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投资者如认为理财</w:t>
      </w:r>
      <w:r>
        <w:rPr>
          <w:rFonts w:hint="eastAsia" w:ascii="宋体" w:hAnsi="宋体" w:cs="宋体"/>
          <w:kern w:val="0"/>
          <w:sz w:val="24"/>
          <w:highlight w:val="none"/>
          <w:lang w:val="en-US" w:eastAsia="zh-CN"/>
        </w:rPr>
        <w:t>计划</w:t>
      </w:r>
      <w:r>
        <w:rPr>
          <w:rFonts w:hint="eastAsia" w:ascii="宋体" w:hAnsi="宋体" w:cs="宋体"/>
          <w:kern w:val="0"/>
          <w:sz w:val="24"/>
          <w:highlight w:val="none"/>
        </w:rPr>
        <w:t>推介销售材料及过程中有不实或未尽风险告知职责或其它疑义事项，或对理财计划、销售机构及理财计划管理人服务有任何意见或建议，可通过拨打销售机构</w:t>
      </w:r>
      <w:r>
        <w:rPr>
          <w:rFonts w:hint="eastAsia" w:ascii="宋体" w:hAnsi="宋体" w:cs="宋体"/>
          <w:kern w:val="0"/>
          <w:sz w:val="24"/>
          <w:highlight w:val="none"/>
          <w:lang w:val="en-US" w:eastAsia="zh-CN"/>
        </w:rPr>
        <w:t>或管理人</w:t>
      </w:r>
      <w:r>
        <w:rPr>
          <w:rFonts w:hint="eastAsia" w:ascii="宋体" w:hAnsi="宋体" w:cs="宋体"/>
          <w:kern w:val="0"/>
          <w:sz w:val="24"/>
          <w:highlight w:val="none"/>
        </w:rPr>
        <w:t>热线或客服电话进行反馈</w:t>
      </w:r>
      <w:r>
        <w:rPr>
          <w:rFonts w:hint="eastAsia" w:ascii="宋体" w:hAnsi="宋体" w:cs="宋体"/>
          <w:kern w:val="0"/>
          <w:sz w:val="24"/>
          <w:highlight w:val="none"/>
          <w:lang w:eastAsia="zh-CN"/>
        </w:rPr>
        <w:t>，</w:t>
      </w:r>
      <w:r>
        <w:rPr>
          <w:rFonts w:hint="eastAsia" w:ascii="宋体" w:hAnsi="宋体" w:cs="宋体"/>
          <w:kern w:val="0"/>
          <w:sz w:val="24"/>
          <w:highlight w:val="none"/>
        </w:rPr>
        <w:t>将由专人接听、记录您的意见建议，并由双方协商共同解决。</w:t>
      </w:r>
    </w:p>
    <w:p>
      <w:pPr>
        <w:numPr>
          <w:ilvl w:val="0"/>
          <w:numId w:val="59"/>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杭银理财联络方式：</w:t>
      </w:r>
    </w:p>
    <w:p>
      <w:pPr>
        <w:numPr>
          <w:ilvl w:val="0"/>
          <w:numId w:val="60"/>
        </w:numPr>
        <w:spacing w:line="360" w:lineRule="auto"/>
        <w:ind w:left="0" w:leftChars="0" w:firstLine="400" w:firstLineChars="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1"/>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60"/>
        </w:numPr>
        <w:spacing w:line="360" w:lineRule="auto"/>
        <w:ind w:left="0" w:leftChars="0" w:firstLine="400" w:firstLineChars="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fldChar w:fldCharType="begin"/>
      </w:r>
      <w:r>
        <w:rPr>
          <w:rStyle w:val="11"/>
          <w:rFonts w:hint="eastAsia" w:ascii="宋体" w:hAnsi="宋体" w:cs="宋体"/>
          <w:color w:val="auto"/>
          <w:kern w:val="0"/>
          <w:sz w:val="24"/>
          <w:highlight w:val="none"/>
          <w:u w:val="none"/>
          <w:lang w:val="en-US" w:eastAsia="zh-CN"/>
        </w:rPr>
        <w:instrText xml:space="preserve"> HYPERLINK "http://www.hzbankwealth.cn" </w:instrText>
      </w:r>
      <w:r>
        <w:fldChar w:fldCharType="separate"/>
      </w:r>
      <w:r>
        <w:rPr>
          <w:rStyle w:val="11"/>
          <w:rFonts w:hint="eastAsia" w:ascii="宋体" w:hAnsi="宋体" w:cs="宋体"/>
          <w:color w:val="auto"/>
          <w:kern w:val="0"/>
          <w:sz w:val="24"/>
          <w:highlight w:val="none"/>
          <w:u w:val="none"/>
          <w:lang w:val="en-US" w:eastAsia="zh-CN"/>
        </w:rPr>
        <w:t>www.hzbank.com.cn</w:t>
      </w:r>
      <w: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202501</w:t>
      </w:r>
      <w:r>
        <w:rPr>
          <w:rFonts w:hint="eastAsia" w:ascii="宋体" w:hAnsi="宋体" w:cs="宋体"/>
          <w:sz w:val="28"/>
          <w:szCs w:val="28"/>
          <w:highlight w:val="none"/>
        </w:rPr>
        <w:t>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61"/>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63"/>
        </w:numPr>
        <w:spacing w:line="360" w:lineRule="auto"/>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管理人</w:t>
      </w:r>
      <w:r>
        <w:rPr>
          <w:rFonts w:hint="eastAsia" w:ascii="宋体" w:hAnsi="宋体" w:cs="宋体"/>
          <w:bCs/>
          <w:color w:val="000000"/>
          <w:sz w:val="24"/>
          <w:highlight w:val="none"/>
        </w:rPr>
        <w:t>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cs="宋体"/>
          <w:bCs/>
          <w:color w:val="000000"/>
          <w:sz w:val="24"/>
          <w:highlight w:val="none"/>
          <w:lang w:eastAsia="zh-CN"/>
        </w:rPr>
        <w:t>，</w:t>
      </w:r>
      <w:r>
        <w:rPr>
          <w:rFonts w:hint="eastAsia" w:ascii="宋体" w:hAnsi="宋体" w:cs="宋体"/>
          <w:b w:val="0"/>
          <w:bCs/>
          <w:color w:val="000000"/>
          <w:sz w:val="24"/>
          <w:highlight w:val="none"/>
          <w:lang w:val="en-US" w:eastAsia="zh-CN"/>
        </w:rPr>
        <w:t>授权使用时限与履行相关法律法规和监管要求的必要时限一致</w:t>
      </w:r>
      <w:r>
        <w:rPr>
          <w:rFonts w:hint="eastAsia" w:ascii="宋体" w:hAnsi="宋体" w:cs="宋体"/>
          <w:b w:val="0"/>
          <w:bCs/>
          <w:color w:val="000000"/>
          <w:sz w:val="24"/>
          <w:highlight w:val="none"/>
        </w:rPr>
        <w:t>。</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64"/>
        </w:numPr>
        <w:spacing w:line="360" w:lineRule="auto"/>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65"/>
        </w:numPr>
        <w:spacing w:line="360" w:lineRule="auto"/>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65"/>
        </w:numPr>
        <w:spacing w:line="360" w:lineRule="auto"/>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65"/>
        </w:numPr>
        <w:spacing w:line="360" w:lineRule="auto"/>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61"/>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val="en-US" w:eastAsia="zh-CN"/>
        </w:rPr>
        <w:t>被告人</w:t>
      </w:r>
      <w:r>
        <w:rPr>
          <w:rFonts w:hint="eastAsia" w:ascii="宋体" w:hAnsi="宋体"/>
          <w:sz w:val="24"/>
          <w:highlight w:val="none"/>
        </w:rPr>
        <w:t>所在地人民法院司法裁决。诉讼期间，未涉及争议的条款仍需继续履行。</w:t>
      </w:r>
    </w:p>
    <w:p>
      <w:pPr>
        <w:spacing w:line="360" w:lineRule="auto"/>
        <w:ind w:left="482"/>
        <w:rPr>
          <w:b/>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66"/>
        </w:numPr>
        <w:spacing w:line="360" w:lineRule="auto"/>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66"/>
        </w:numPr>
        <w:spacing w:line="360" w:lineRule="auto"/>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w:t>
      </w:r>
      <w:r>
        <w:rPr>
          <w:rFonts w:hint="eastAsia" w:ascii="宋体" w:hAnsi="宋体"/>
          <w:sz w:val="24"/>
          <w:highlight w:val="none"/>
          <w:lang w:val="en-US" w:eastAsia="zh-CN"/>
        </w:rPr>
        <w:t>签署（如投资者为个人，应签字；如投资者为机构，应法定代表人或授权代理人签字或盖章并加盖公章或有效授权印章）并经管理人系统确认购买理财计划份额</w:t>
      </w:r>
      <w:r>
        <w:rPr>
          <w:rFonts w:hint="eastAsia" w:ascii="宋体" w:hAnsi="宋体"/>
          <w:sz w:val="24"/>
          <w:highlight w:val="none"/>
        </w:rPr>
        <w:t>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66"/>
        </w:numPr>
        <w:spacing w:line="360" w:lineRule="auto"/>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66"/>
        </w:numPr>
        <w:spacing w:line="360" w:lineRule="auto"/>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61"/>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67"/>
        </w:numPr>
        <w:spacing w:line="360" w:lineRule="auto"/>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协议书分别与其所对应的产品说明书等销售文本单独构成一个理财计划交易合同，各个合同之间互相独立，每一合同的效力及履行情况均独立于其他合同。</w:t>
      </w:r>
    </w:p>
    <w:p>
      <w:pPr>
        <w:widowControl/>
        <w:numPr>
          <w:ilvl w:val="0"/>
          <w:numId w:val="67"/>
        </w:numPr>
        <w:spacing w:line="360" w:lineRule="auto"/>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67"/>
        </w:numPr>
        <w:spacing w:line="360" w:lineRule="auto"/>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pStyle w:val="6"/>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sz w:val="24"/>
          <w:highlight w:val="none"/>
        </w:rPr>
      </w:pPr>
      <w:r>
        <w:rPr>
          <w:rFonts w:hint="eastAsia" w:ascii="宋体" w:hAnsi="宋体"/>
          <w:sz w:val="24"/>
          <w:highlight w:val="none"/>
        </w:rPr>
        <w:t>本页为纸质形式（如有）</w:t>
      </w:r>
      <w:r>
        <w:rPr>
          <w:rFonts w:hint="eastAsia" w:ascii="宋体" w:hAnsi="宋体"/>
          <w:sz w:val="24"/>
          <w:highlight w:val="none"/>
          <w:lang w:val="en-US" w:eastAsia="zh-CN"/>
        </w:rPr>
        <w:t>投资</w:t>
      </w:r>
      <w:r>
        <w:rPr>
          <w:rFonts w:hint="eastAsia" w:ascii="宋体" w:hAnsi="宋体"/>
          <w:sz w:val="24"/>
          <w:highlight w:val="none"/>
        </w:rPr>
        <w:t>协议书签章页</w:t>
      </w: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rFonts w:hint="eastAsia" w:ascii="宋体" w:hAnsi="宋体"/>
          <w:b/>
          <w:bCs/>
          <w:sz w:val="24"/>
          <w:highlight w:val="none"/>
        </w:rPr>
      </w:pPr>
      <w:r>
        <w:rPr>
          <w:rFonts w:hint="eastAsia" w:ascii="宋体" w:hAnsi="宋体"/>
          <w:b/>
          <w:bCs/>
          <w:sz w:val="24"/>
          <w:highlight w:val="none"/>
        </w:rPr>
        <w:t>投资者（签字</w:t>
      </w:r>
      <w:r>
        <w:rPr>
          <w:rFonts w:hint="eastAsia" w:ascii="宋体" w:hAnsi="宋体" w:eastAsia="宋体" w:cs="黑体"/>
          <w:b/>
          <w:bCs/>
          <w:sz w:val="24"/>
          <w:highlight w:val="none"/>
          <w:lang w:eastAsia="zh-CN"/>
        </w:rPr>
        <w:t>或签章</w:t>
      </w:r>
      <w:r>
        <w:rPr>
          <w:rFonts w:hint="eastAsia" w:ascii="宋体" w:hAnsi="宋体"/>
          <w:b/>
          <w:bCs/>
          <w:sz w:val="24"/>
          <w:highlight w:val="none"/>
        </w:rPr>
        <w:t>）：</w:t>
      </w: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before="156" w:beforeLines="50" w:after="156" w:afterLines="50" w:line="360" w:lineRule="auto"/>
        <w:ind w:firstLine="4800" w:firstLineChars="2000"/>
        <w:jc w:val="right"/>
        <w:outlineLvl w:val="9"/>
        <w:rPr>
          <w:rFonts w:hint="eastAsia" w:ascii="Arial" w:hAnsi="Arial"/>
          <w:sz w:val="24"/>
          <w:highlight w:val="none"/>
        </w:rPr>
      </w:pPr>
      <w:bookmarkStart w:id="2" w:name="_GoBack"/>
      <w:r>
        <w:rPr>
          <w:rFonts w:hint="eastAsia" w:ascii="Arial" w:hAnsi="Arial"/>
          <w:sz w:val="24"/>
          <w:highlight w:val="none"/>
        </w:rPr>
        <w:t xml:space="preserve">   年   月   日</w:t>
      </w:r>
    </w:p>
    <w:p>
      <w:pPr>
        <w:spacing w:line="360" w:lineRule="auto"/>
        <w:outlineLvl w:val="9"/>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both"/>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bookmarkEnd w:id="2"/>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202501</w:t>
      </w:r>
      <w:r>
        <w:rPr>
          <w:rFonts w:hint="eastAsia" w:ascii="宋体" w:hAnsi="宋体" w:eastAsia="宋体" w:cs="宋体"/>
          <w:sz w:val="28"/>
          <w:szCs w:val="28"/>
          <w:highlight w:val="none"/>
        </w:rPr>
        <w:t>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（202501</w:t>
      </w:r>
      <w:r>
        <w:rPr>
          <w:rFonts w:hint="eastAsia" w:ascii="Calibri" w:hAnsi="Calibri" w:eastAsia="宋体" w:cs="黑体"/>
          <w:b/>
          <w:bCs/>
          <w:sz w:val="24"/>
          <w:highlight w:val="none"/>
          <w:lang w:val="en-US" w:eastAsia="zh-CN"/>
        </w:rPr>
        <w:t>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68"/>
        </w:numPr>
        <w:spacing w:line="360" w:lineRule="auto"/>
        <w:ind w:left="0" w:leftChars="0" w:firstLine="420" w:firstLineChars="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68"/>
        </w:numPr>
        <w:spacing w:line="360" w:lineRule="auto"/>
        <w:ind w:left="0" w:leftChars="0" w:firstLine="420" w:firstLineChars="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销售机构对投资者负有信息保密义务，未经投资者书面许可，销售机构不得向任何组织、个人提供或泄露与投资者有关的业务资料及信息，但法律、法规</w:t>
      </w:r>
      <w:bookmarkStart w:id="1" w:name="OLE_LINK3"/>
      <w:r>
        <w:rPr>
          <w:rFonts w:hint="eastAsia" w:ascii="宋体" w:hAnsi="宋体" w:eastAsia="宋体" w:cs="黑体"/>
          <w:sz w:val="24"/>
          <w:highlight w:val="none"/>
          <w:lang w:val="en-US" w:eastAsia="zh-CN"/>
        </w:rPr>
        <w:t>、监管机构</w:t>
      </w:r>
      <w:bookmarkEnd w:id="1"/>
      <w:r>
        <w:rPr>
          <w:rFonts w:hint="eastAsia" w:ascii="宋体" w:hAnsi="宋体" w:eastAsia="宋体" w:cs="黑体"/>
          <w:sz w:val="24"/>
          <w:highlight w:val="none"/>
          <w:lang w:val="en-US" w:eastAsia="zh-CN"/>
        </w:rPr>
        <w:t>另有规定的除外。</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63"/>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63"/>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63"/>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178"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被告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72"/>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w:t>
      </w:r>
      <w:r>
        <w:rPr>
          <w:rFonts w:hint="eastAsia" w:ascii="宋体" w:hAnsi="宋体"/>
          <w:sz w:val="24"/>
          <w:highlight w:val="none"/>
        </w:rPr>
        <w:t>以纸质书面形式订立的，自投资者签</w:t>
      </w:r>
      <w:r>
        <w:rPr>
          <w:rFonts w:hint="eastAsia" w:ascii="宋体" w:hAnsi="宋体"/>
          <w:sz w:val="24"/>
          <w:highlight w:val="none"/>
          <w:lang w:val="en-US" w:eastAsia="zh-CN"/>
        </w:rPr>
        <w:t>署（如投资者为个人，应签字；如投资者为机构，应法定代表人或授权代理人签字或盖章并加盖公章或有效授权印章）</w:t>
      </w:r>
      <w:r>
        <w:rPr>
          <w:rFonts w:hint="eastAsia" w:ascii="宋体" w:hAnsi="宋体"/>
          <w:sz w:val="24"/>
          <w:highlight w:val="none"/>
        </w:rPr>
        <w:t>和</w:t>
      </w:r>
      <w:r>
        <w:rPr>
          <w:rFonts w:hint="eastAsia" w:ascii="宋体" w:hAnsi="宋体"/>
          <w:sz w:val="24"/>
          <w:highlight w:val="none"/>
          <w:lang w:eastAsia="zh-CN"/>
        </w:rPr>
        <w:t>销售机构</w:t>
      </w:r>
      <w:r>
        <w:rPr>
          <w:rFonts w:hint="eastAsia" w:ascii="宋体" w:hAnsi="宋体"/>
          <w:sz w:val="24"/>
          <w:highlight w:val="none"/>
        </w:rPr>
        <w:t>签章之后立即生效。协议一式叁份，投资者、管理人和</w:t>
      </w:r>
      <w:r>
        <w:rPr>
          <w:rFonts w:hint="eastAsia" w:ascii="宋体" w:hAnsi="宋体"/>
          <w:sz w:val="24"/>
          <w:highlight w:val="none"/>
          <w:lang w:eastAsia="zh-CN"/>
        </w:rPr>
        <w:t>销售机构</w:t>
      </w:r>
      <w:r>
        <w:rPr>
          <w:rFonts w:hint="eastAsia" w:ascii="宋体" w:hAnsi="宋体"/>
          <w:sz w:val="24"/>
          <w:highlight w:val="none"/>
        </w:rPr>
        <w:t>各执壹份，具有同等法律效力。</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default"/>
          <w:highlight w:val="none"/>
          <w:lang w:val="en-US" w:eastAsia="zh-CN"/>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p>
      <w:pPr>
        <w:spacing w:before="156" w:beforeLines="50" w:after="156" w:afterLines="50" w:line="360" w:lineRule="auto"/>
        <w:ind w:firstLine="4800" w:firstLineChars="2000"/>
        <w:jc w:val="right"/>
        <w:rPr>
          <w:rFonts w:hint="eastAsia" w:ascii="Arial" w:hAnsi="Arial"/>
          <w:sz w:val="24"/>
          <w:highlight w:val="none"/>
        </w:rPr>
      </w:pP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c17eW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r>
      <w:rPr>
        <w:rFonts w:hint="eastAsia"/>
        <w:b/>
        <w:bCs/>
      </w:rPr>
      <w:t>理财非存款 产品有风险 投资</w:t>
    </w:r>
    <w:r>
      <w:rPr>
        <w:rFonts w:hint="eastAsia"/>
        <w:b/>
        <w:bCs/>
        <w:lang w:val="en-US" w:eastAsia="zh-CN"/>
      </w:rPr>
      <w:t>须</w:t>
    </w:r>
    <w:r>
      <w:rPr>
        <w:rFonts w:hint="eastAsia"/>
        <w:b/>
        <w:bCs/>
      </w:rPr>
      <w:t>谨慎</w:t>
    </w:r>
    <w:r>
      <w:rPr>
        <w:b/>
        <w:bCs/>
      </w:rPr>
      <w:drawing>
        <wp:anchor distT="0" distB="0" distL="114300" distR="114300" simplePos="0" relativeHeight="251658240" behindDoc="1" locked="0" layoutInCell="1" allowOverlap="1">
          <wp:simplePos x="0" y="0"/>
          <wp:positionH relativeFrom="column">
            <wp:posOffset>5120640</wp:posOffset>
          </wp:positionH>
          <wp:positionV relativeFrom="paragraph">
            <wp:posOffset>-553085</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1">
    <w:nsid w:val="8493557F"/>
    <w:multiLevelType w:val="singleLevel"/>
    <w:tmpl w:val="8493557F"/>
    <w:lvl w:ilvl="0" w:tentative="0">
      <w:start w:val="2"/>
      <w:numFmt w:val="decimal"/>
      <w:suff w:val="nothing"/>
      <w:lvlText w:val="%1．"/>
      <w:lvlJc w:val="left"/>
      <w:pPr>
        <w:ind w:left="0" w:firstLine="403"/>
      </w:pPr>
      <w:rPr>
        <w:rFonts w:hint="default" w:ascii="宋体" w:hAnsi="宋体" w:eastAsia="宋体" w:cs="宋体"/>
        <w:b w:val="0"/>
        <w:bCs w:val="0"/>
      </w:rPr>
    </w:lvl>
  </w:abstractNum>
  <w:abstractNum w:abstractNumId="2">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
    <w:nsid w:val="8906C252"/>
    <w:multiLevelType w:val="singleLevel"/>
    <w:tmpl w:val="8906C252"/>
    <w:lvl w:ilvl="0" w:tentative="0">
      <w:start w:val="1"/>
      <w:numFmt w:val="decimal"/>
      <w:suff w:val="nothing"/>
      <w:lvlText w:val="（%1）"/>
      <w:lvlJc w:val="left"/>
      <w:rPr>
        <w:rFonts w:hint="default"/>
        <w:b w:val="0"/>
        <w:bCs w:val="0"/>
      </w:rPr>
    </w:lvl>
  </w:abstractNum>
  <w:abstractNum w:abstractNumId="4">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5">
    <w:nsid w:val="8CBA9D88"/>
    <w:multiLevelType w:val="singleLevel"/>
    <w:tmpl w:val="8CBA9D88"/>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9">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0">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1">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2">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3">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4">
    <w:nsid w:val="D8D75090"/>
    <w:multiLevelType w:val="singleLevel"/>
    <w:tmpl w:val="D8D75090"/>
    <w:lvl w:ilvl="0" w:tentative="0">
      <w:start w:val="1"/>
      <w:numFmt w:val="decimal"/>
      <w:suff w:val="nothing"/>
      <w:lvlText w:val="（%1）"/>
      <w:lvlJc w:val="left"/>
      <w:rPr>
        <w:rFonts w:hint="default"/>
        <w:b w:val="0"/>
        <w:bCs w:val="0"/>
      </w:rPr>
    </w:lvl>
  </w:abstractNum>
  <w:abstractNum w:abstractNumId="25">
    <w:nsid w:val="DD2251DF"/>
    <w:multiLevelType w:val="singleLevel"/>
    <w:tmpl w:val="DD2251DF"/>
    <w:lvl w:ilvl="0" w:tentative="0">
      <w:start w:val="1"/>
      <w:numFmt w:val="decimal"/>
      <w:suff w:val="nothing"/>
      <w:lvlText w:val="（%1）"/>
      <w:lvlJc w:val="left"/>
      <w:rPr>
        <w:rFonts w:hint="default"/>
        <w:b w:val="0"/>
        <w:bCs w:val="0"/>
      </w:rPr>
    </w:lvl>
  </w:abstractNum>
  <w:abstractNum w:abstractNumId="26">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7">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28">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29">
    <w:nsid w:val="F574F5B6"/>
    <w:multiLevelType w:val="singleLevel"/>
    <w:tmpl w:val="F574F5B6"/>
    <w:lvl w:ilvl="0" w:tentative="0">
      <w:start w:val="1"/>
      <w:numFmt w:val="decimal"/>
      <w:suff w:val="nothing"/>
      <w:lvlText w:val="（%1）"/>
      <w:lvlJc w:val="left"/>
    </w:lvl>
  </w:abstractNum>
  <w:abstractNum w:abstractNumId="30">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1">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2">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4">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35">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36">
    <w:nsid w:val="167B0BB4"/>
    <w:multiLevelType w:val="singleLevel"/>
    <w:tmpl w:val="167B0BB4"/>
    <w:lvl w:ilvl="0" w:tentative="0">
      <w:start w:val="1"/>
      <w:numFmt w:val="decimal"/>
      <w:suff w:val="nothing"/>
      <w:lvlText w:val="（%1）"/>
      <w:lvlJc w:val="left"/>
    </w:lvl>
  </w:abstractNum>
  <w:abstractNum w:abstractNumId="37">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8">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39">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0">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1">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42">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43">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44">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45">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4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4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4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4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5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5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5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5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5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5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5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5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5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6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6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6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6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6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6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6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6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6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6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70">
    <w:nsid w:val="62F21FDB"/>
    <w:multiLevelType w:val="multilevel"/>
    <w:tmpl w:val="62F21FD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7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73">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0"/>
  </w:num>
  <w:num w:numId="3">
    <w:abstractNumId w:val="43"/>
  </w:num>
  <w:num w:numId="4">
    <w:abstractNumId w:val="38"/>
  </w:num>
  <w:num w:numId="5">
    <w:abstractNumId w:val="21"/>
  </w:num>
  <w:num w:numId="6">
    <w:abstractNumId w:val="72"/>
  </w:num>
  <w:num w:numId="7">
    <w:abstractNumId w:val="32"/>
  </w:num>
  <w:num w:numId="8">
    <w:abstractNumId w:val="73"/>
  </w:num>
  <w:num w:numId="9">
    <w:abstractNumId w:val="48"/>
  </w:num>
  <w:num w:numId="10">
    <w:abstractNumId w:val="45"/>
  </w:num>
  <w:num w:numId="11">
    <w:abstractNumId w:val="30"/>
  </w:num>
  <w:num w:numId="12">
    <w:abstractNumId w:val="28"/>
  </w:num>
  <w:num w:numId="13">
    <w:abstractNumId w:val="34"/>
  </w:num>
  <w:num w:numId="14">
    <w:abstractNumId w:val="27"/>
  </w:num>
  <w:num w:numId="15">
    <w:abstractNumId w:val="22"/>
  </w:num>
  <w:num w:numId="16">
    <w:abstractNumId w:val="11"/>
  </w:num>
  <w:num w:numId="17">
    <w:abstractNumId w:val="18"/>
  </w:num>
  <w:num w:numId="18">
    <w:abstractNumId w:val="8"/>
  </w:num>
  <w:num w:numId="19">
    <w:abstractNumId w:val="9"/>
  </w:num>
  <w:num w:numId="20">
    <w:abstractNumId w:val="7"/>
  </w:num>
  <w:num w:numId="21">
    <w:abstractNumId w:val="33"/>
  </w:num>
  <w:num w:numId="22">
    <w:abstractNumId w:val="5"/>
  </w:num>
  <w:num w:numId="23">
    <w:abstractNumId w:val="1"/>
  </w:num>
  <w:num w:numId="24">
    <w:abstractNumId w:val="44"/>
  </w:num>
  <w:num w:numId="25">
    <w:abstractNumId w:val="29"/>
  </w:num>
  <w:num w:numId="26">
    <w:abstractNumId w:val="20"/>
  </w:num>
  <w:num w:numId="27">
    <w:abstractNumId w:val="39"/>
  </w:num>
  <w:num w:numId="28">
    <w:abstractNumId w:val="23"/>
  </w:num>
  <w:num w:numId="29">
    <w:abstractNumId w:val="6"/>
  </w:num>
  <w:num w:numId="30">
    <w:abstractNumId w:val="47"/>
  </w:num>
  <w:num w:numId="31">
    <w:abstractNumId w:val="4"/>
  </w:num>
  <w:num w:numId="32">
    <w:abstractNumId w:val="70"/>
  </w:num>
  <w:num w:numId="33">
    <w:abstractNumId w:val="37"/>
  </w:num>
  <w:num w:numId="34">
    <w:abstractNumId w:val="71"/>
  </w:num>
  <w:num w:numId="35">
    <w:abstractNumId w:val="31"/>
  </w:num>
  <w:num w:numId="36">
    <w:abstractNumId w:val="25"/>
  </w:num>
  <w:num w:numId="37">
    <w:abstractNumId w:val="42"/>
  </w:num>
  <w:num w:numId="38">
    <w:abstractNumId w:val="2"/>
  </w:num>
  <w:num w:numId="39">
    <w:abstractNumId w:val="26"/>
  </w:num>
  <w:num w:numId="40">
    <w:abstractNumId w:val="17"/>
  </w:num>
  <w:num w:numId="41">
    <w:abstractNumId w:val="46"/>
  </w:num>
  <w:num w:numId="42">
    <w:abstractNumId w:val="35"/>
  </w:num>
  <w:num w:numId="43">
    <w:abstractNumId w:val="19"/>
  </w:num>
  <w:num w:numId="44">
    <w:abstractNumId w:val="49"/>
  </w:num>
  <w:num w:numId="45">
    <w:abstractNumId w:val="12"/>
  </w:num>
  <w:num w:numId="46">
    <w:abstractNumId w:val="10"/>
  </w:num>
  <w:num w:numId="47">
    <w:abstractNumId w:val="13"/>
  </w:num>
  <w:num w:numId="48">
    <w:abstractNumId w:val="36"/>
  </w:num>
  <w:num w:numId="49">
    <w:abstractNumId w:val="24"/>
  </w:num>
  <w:num w:numId="50">
    <w:abstractNumId w:val="3"/>
  </w:num>
  <w:num w:numId="51">
    <w:abstractNumId w:val="41"/>
  </w:num>
  <w:num w:numId="52">
    <w:abstractNumId w:val="57"/>
  </w:num>
  <w:num w:numId="53">
    <w:abstractNumId w:val="56"/>
  </w:num>
  <w:num w:numId="54">
    <w:abstractNumId w:val="58"/>
  </w:num>
  <w:num w:numId="55">
    <w:abstractNumId w:val="59"/>
  </w:num>
  <w:num w:numId="56">
    <w:abstractNumId w:val="60"/>
  </w:num>
  <w:num w:numId="57">
    <w:abstractNumId w:val="61"/>
  </w:num>
  <w:num w:numId="58">
    <w:abstractNumId w:val="62"/>
  </w:num>
  <w:num w:numId="59">
    <w:abstractNumId w:val="63"/>
  </w:num>
  <w:num w:numId="60">
    <w:abstractNumId w:val="40"/>
  </w:num>
  <w:num w:numId="61">
    <w:abstractNumId w:val="16"/>
  </w:num>
  <w:num w:numId="62">
    <w:abstractNumId w:val="50"/>
  </w:num>
  <w:num w:numId="63">
    <w:abstractNumId w:val="51"/>
  </w:num>
  <w:num w:numId="64">
    <w:abstractNumId w:val="52"/>
  </w:num>
  <w:num w:numId="65">
    <w:abstractNumId w:val="53"/>
  </w:num>
  <w:num w:numId="66">
    <w:abstractNumId w:val="54"/>
  </w:num>
  <w:num w:numId="67">
    <w:abstractNumId w:val="55"/>
  </w:num>
  <w:num w:numId="68">
    <w:abstractNumId w:val="64"/>
  </w:num>
  <w:num w:numId="69">
    <w:abstractNumId w:val="65"/>
  </w:num>
  <w:num w:numId="70">
    <w:abstractNumId w:val="15"/>
  </w:num>
  <w:num w:numId="71">
    <w:abstractNumId w:val="66"/>
  </w:num>
  <w:num w:numId="72">
    <w:abstractNumId w:val="67"/>
  </w:num>
  <w:num w:numId="73">
    <w:abstractNumId w:val="68"/>
  </w:num>
  <w:num w:numId="74">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0107D6"/>
    <w:rsid w:val="000A19CC"/>
    <w:rsid w:val="000B1563"/>
    <w:rsid w:val="000C5797"/>
    <w:rsid w:val="00123AE9"/>
    <w:rsid w:val="00140EE3"/>
    <w:rsid w:val="00175D3F"/>
    <w:rsid w:val="00187BC5"/>
    <w:rsid w:val="00194470"/>
    <w:rsid w:val="001B4676"/>
    <w:rsid w:val="001C01B2"/>
    <w:rsid w:val="001D2C7B"/>
    <w:rsid w:val="002141BE"/>
    <w:rsid w:val="00232E3B"/>
    <w:rsid w:val="0023532C"/>
    <w:rsid w:val="00263368"/>
    <w:rsid w:val="00274E11"/>
    <w:rsid w:val="00304AEE"/>
    <w:rsid w:val="00327FC6"/>
    <w:rsid w:val="00343F73"/>
    <w:rsid w:val="00386FEC"/>
    <w:rsid w:val="003A1A36"/>
    <w:rsid w:val="003A3C2F"/>
    <w:rsid w:val="003D1B3C"/>
    <w:rsid w:val="003E5127"/>
    <w:rsid w:val="003E5FE8"/>
    <w:rsid w:val="004556BB"/>
    <w:rsid w:val="00475C26"/>
    <w:rsid w:val="004A724E"/>
    <w:rsid w:val="005571F8"/>
    <w:rsid w:val="00557E0E"/>
    <w:rsid w:val="00652A77"/>
    <w:rsid w:val="006B63C1"/>
    <w:rsid w:val="00720124"/>
    <w:rsid w:val="007542C9"/>
    <w:rsid w:val="00765C48"/>
    <w:rsid w:val="00773199"/>
    <w:rsid w:val="00793C62"/>
    <w:rsid w:val="007C65CD"/>
    <w:rsid w:val="008207F1"/>
    <w:rsid w:val="00852C69"/>
    <w:rsid w:val="00873DE6"/>
    <w:rsid w:val="00882FCB"/>
    <w:rsid w:val="008C74C9"/>
    <w:rsid w:val="008D78BD"/>
    <w:rsid w:val="008E13C5"/>
    <w:rsid w:val="00901BED"/>
    <w:rsid w:val="00902D93"/>
    <w:rsid w:val="00914DAB"/>
    <w:rsid w:val="00993044"/>
    <w:rsid w:val="009B2DC4"/>
    <w:rsid w:val="009B40C6"/>
    <w:rsid w:val="009B64A7"/>
    <w:rsid w:val="009C3F7C"/>
    <w:rsid w:val="009C43A4"/>
    <w:rsid w:val="00A20F48"/>
    <w:rsid w:val="00A338FE"/>
    <w:rsid w:val="00A77F3E"/>
    <w:rsid w:val="00B765F3"/>
    <w:rsid w:val="00C012A2"/>
    <w:rsid w:val="00C07905"/>
    <w:rsid w:val="00C2564F"/>
    <w:rsid w:val="00C944CB"/>
    <w:rsid w:val="00D06904"/>
    <w:rsid w:val="00D07D02"/>
    <w:rsid w:val="00D14693"/>
    <w:rsid w:val="00D16C82"/>
    <w:rsid w:val="00D34068"/>
    <w:rsid w:val="00D41665"/>
    <w:rsid w:val="00D44268"/>
    <w:rsid w:val="00D47AB0"/>
    <w:rsid w:val="00D61838"/>
    <w:rsid w:val="00D767CF"/>
    <w:rsid w:val="00DA1B4C"/>
    <w:rsid w:val="00DC5F5C"/>
    <w:rsid w:val="00DF33CE"/>
    <w:rsid w:val="00E13193"/>
    <w:rsid w:val="00E35C54"/>
    <w:rsid w:val="00E406C4"/>
    <w:rsid w:val="00E7096F"/>
    <w:rsid w:val="00EB473B"/>
    <w:rsid w:val="00EE319D"/>
    <w:rsid w:val="00F0077E"/>
    <w:rsid w:val="00F50192"/>
    <w:rsid w:val="00F5498F"/>
    <w:rsid w:val="00F5749D"/>
    <w:rsid w:val="00F8181B"/>
    <w:rsid w:val="00FA0296"/>
    <w:rsid w:val="00FA6CE7"/>
    <w:rsid w:val="00FE2923"/>
    <w:rsid w:val="02562BF7"/>
    <w:rsid w:val="02FF6A3A"/>
    <w:rsid w:val="03BA3F56"/>
    <w:rsid w:val="0460442C"/>
    <w:rsid w:val="04CC55AF"/>
    <w:rsid w:val="0500018B"/>
    <w:rsid w:val="05B13762"/>
    <w:rsid w:val="07376664"/>
    <w:rsid w:val="09130B13"/>
    <w:rsid w:val="0A2C73F7"/>
    <w:rsid w:val="0B1A5A6E"/>
    <w:rsid w:val="0B2D0BA7"/>
    <w:rsid w:val="0B9F06D4"/>
    <w:rsid w:val="0BFD0501"/>
    <w:rsid w:val="0C583EF5"/>
    <w:rsid w:val="0D6706EF"/>
    <w:rsid w:val="0DBE77E4"/>
    <w:rsid w:val="0E2830EC"/>
    <w:rsid w:val="101F6BD5"/>
    <w:rsid w:val="10504FB0"/>
    <w:rsid w:val="110C5156"/>
    <w:rsid w:val="110E3B80"/>
    <w:rsid w:val="117A174C"/>
    <w:rsid w:val="118D4B5D"/>
    <w:rsid w:val="11BF48B2"/>
    <w:rsid w:val="120050A9"/>
    <w:rsid w:val="133A19E0"/>
    <w:rsid w:val="13FC36E3"/>
    <w:rsid w:val="1442705A"/>
    <w:rsid w:val="14AD62A1"/>
    <w:rsid w:val="155F3FC2"/>
    <w:rsid w:val="15841F16"/>
    <w:rsid w:val="15C972B9"/>
    <w:rsid w:val="15FFB4E2"/>
    <w:rsid w:val="162A128A"/>
    <w:rsid w:val="16563388"/>
    <w:rsid w:val="17432384"/>
    <w:rsid w:val="17611875"/>
    <w:rsid w:val="1783542D"/>
    <w:rsid w:val="179972B0"/>
    <w:rsid w:val="17C82AD1"/>
    <w:rsid w:val="18FC27C6"/>
    <w:rsid w:val="1B4B1291"/>
    <w:rsid w:val="1B757EAF"/>
    <w:rsid w:val="1CAD01AC"/>
    <w:rsid w:val="1D4F0AE0"/>
    <w:rsid w:val="1D866C77"/>
    <w:rsid w:val="1D9446FE"/>
    <w:rsid w:val="1DFF113E"/>
    <w:rsid w:val="1E831DF3"/>
    <w:rsid w:val="1E856DEB"/>
    <w:rsid w:val="1F3C154D"/>
    <w:rsid w:val="1F3C1565"/>
    <w:rsid w:val="20BD2325"/>
    <w:rsid w:val="24A67BC4"/>
    <w:rsid w:val="25801A05"/>
    <w:rsid w:val="27CE3874"/>
    <w:rsid w:val="27EB3D24"/>
    <w:rsid w:val="28B13D99"/>
    <w:rsid w:val="2A4135AD"/>
    <w:rsid w:val="2AD52CEA"/>
    <w:rsid w:val="2B683C5D"/>
    <w:rsid w:val="2B8255D3"/>
    <w:rsid w:val="2CB62A77"/>
    <w:rsid w:val="2CED7384"/>
    <w:rsid w:val="2D131CD0"/>
    <w:rsid w:val="2DD45D89"/>
    <w:rsid w:val="2FAF3215"/>
    <w:rsid w:val="307B1E47"/>
    <w:rsid w:val="32FF4CC1"/>
    <w:rsid w:val="348C31DF"/>
    <w:rsid w:val="348E01C6"/>
    <w:rsid w:val="354C4323"/>
    <w:rsid w:val="35CD15B7"/>
    <w:rsid w:val="35D86BDE"/>
    <w:rsid w:val="35FD5667"/>
    <w:rsid w:val="36310E4A"/>
    <w:rsid w:val="36591675"/>
    <w:rsid w:val="372216A6"/>
    <w:rsid w:val="38663D34"/>
    <w:rsid w:val="39310E98"/>
    <w:rsid w:val="39977E11"/>
    <w:rsid w:val="3AA66AF1"/>
    <w:rsid w:val="3B885E8A"/>
    <w:rsid w:val="3BF91FE0"/>
    <w:rsid w:val="3D3D1991"/>
    <w:rsid w:val="3DF2217F"/>
    <w:rsid w:val="3E6E2E42"/>
    <w:rsid w:val="3EA23778"/>
    <w:rsid w:val="3EAC1C1C"/>
    <w:rsid w:val="3EE67142"/>
    <w:rsid w:val="3EFE04EE"/>
    <w:rsid w:val="3FCF347B"/>
    <w:rsid w:val="3FE830E5"/>
    <w:rsid w:val="3FF3288E"/>
    <w:rsid w:val="3FFF2FDA"/>
    <w:rsid w:val="40221B6B"/>
    <w:rsid w:val="41487A0A"/>
    <w:rsid w:val="42342BAA"/>
    <w:rsid w:val="425B6A60"/>
    <w:rsid w:val="426E7500"/>
    <w:rsid w:val="43685ADB"/>
    <w:rsid w:val="44045C03"/>
    <w:rsid w:val="446A4F91"/>
    <w:rsid w:val="46DB254E"/>
    <w:rsid w:val="478A2A1D"/>
    <w:rsid w:val="47C36E36"/>
    <w:rsid w:val="47FFEEA7"/>
    <w:rsid w:val="48A3615E"/>
    <w:rsid w:val="48E00B0C"/>
    <w:rsid w:val="49CB5098"/>
    <w:rsid w:val="4B7B050C"/>
    <w:rsid w:val="4B954EA0"/>
    <w:rsid w:val="4CC84C98"/>
    <w:rsid w:val="4D4708A6"/>
    <w:rsid w:val="4E754A4E"/>
    <w:rsid w:val="4E9967DA"/>
    <w:rsid w:val="4ECF30D7"/>
    <w:rsid w:val="4EDFE998"/>
    <w:rsid w:val="4F1025D9"/>
    <w:rsid w:val="4FC27339"/>
    <w:rsid w:val="502B3CEE"/>
    <w:rsid w:val="509F5AAF"/>
    <w:rsid w:val="50EE58D7"/>
    <w:rsid w:val="519E097B"/>
    <w:rsid w:val="51EB2798"/>
    <w:rsid w:val="53A84543"/>
    <w:rsid w:val="56A66316"/>
    <w:rsid w:val="5851778C"/>
    <w:rsid w:val="58A020D2"/>
    <w:rsid w:val="5A5F3178"/>
    <w:rsid w:val="5A7E2982"/>
    <w:rsid w:val="5B24597E"/>
    <w:rsid w:val="5B7358EA"/>
    <w:rsid w:val="5BEF430C"/>
    <w:rsid w:val="5C2B0A6A"/>
    <w:rsid w:val="5C531CB6"/>
    <w:rsid w:val="5CF01D88"/>
    <w:rsid w:val="5D5C0387"/>
    <w:rsid w:val="5FDF50F0"/>
    <w:rsid w:val="608F3A1C"/>
    <w:rsid w:val="6336483C"/>
    <w:rsid w:val="636F22E5"/>
    <w:rsid w:val="646D7D7D"/>
    <w:rsid w:val="64A47711"/>
    <w:rsid w:val="64BB6AA4"/>
    <w:rsid w:val="64EB1FB1"/>
    <w:rsid w:val="65085FDD"/>
    <w:rsid w:val="66A625FE"/>
    <w:rsid w:val="66BC7D07"/>
    <w:rsid w:val="672D0717"/>
    <w:rsid w:val="67CD4A2A"/>
    <w:rsid w:val="68782DAE"/>
    <w:rsid w:val="69644745"/>
    <w:rsid w:val="69BC658F"/>
    <w:rsid w:val="6A042D14"/>
    <w:rsid w:val="6ABE1B22"/>
    <w:rsid w:val="6B29233B"/>
    <w:rsid w:val="6B8C2015"/>
    <w:rsid w:val="6C1B5E3A"/>
    <w:rsid w:val="6C3E06A6"/>
    <w:rsid w:val="6D966DB7"/>
    <w:rsid w:val="6DFFC3DA"/>
    <w:rsid w:val="6E9FBD1B"/>
    <w:rsid w:val="6EE209DA"/>
    <w:rsid w:val="6FDF216C"/>
    <w:rsid w:val="70597F18"/>
    <w:rsid w:val="7082330A"/>
    <w:rsid w:val="70B07D50"/>
    <w:rsid w:val="71876AC5"/>
    <w:rsid w:val="725917A9"/>
    <w:rsid w:val="73631A55"/>
    <w:rsid w:val="77B75243"/>
    <w:rsid w:val="77C21A5F"/>
    <w:rsid w:val="77D23D86"/>
    <w:rsid w:val="78DE14DC"/>
    <w:rsid w:val="792D1E0D"/>
    <w:rsid w:val="79321117"/>
    <w:rsid w:val="79EF62DB"/>
    <w:rsid w:val="7A3A7C0C"/>
    <w:rsid w:val="7A835F66"/>
    <w:rsid w:val="7A8955BC"/>
    <w:rsid w:val="7A9D6576"/>
    <w:rsid w:val="7AAF2916"/>
    <w:rsid w:val="7BBBE85A"/>
    <w:rsid w:val="7BF7B220"/>
    <w:rsid w:val="7DAE1C60"/>
    <w:rsid w:val="7DF68476"/>
    <w:rsid w:val="7EB27B45"/>
    <w:rsid w:val="7F535A03"/>
    <w:rsid w:val="7F7F7558"/>
    <w:rsid w:val="7FFBBF1D"/>
    <w:rsid w:val="9BDF7602"/>
    <w:rsid w:val="A359F53F"/>
    <w:rsid w:val="AF7F22A7"/>
    <w:rsid w:val="B77F6C8E"/>
    <w:rsid w:val="BBDD94B8"/>
    <w:rsid w:val="DDD7D223"/>
    <w:rsid w:val="DFBFAD6C"/>
    <w:rsid w:val="E235E6E6"/>
    <w:rsid w:val="E7FF9D5A"/>
    <w:rsid w:val="EEDB2018"/>
    <w:rsid w:val="EFDD886D"/>
    <w:rsid w:val="EFE74234"/>
    <w:rsid w:val="F6EBF8EA"/>
    <w:rsid w:val="FBF53B4B"/>
    <w:rsid w:val="FC7BB570"/>
    <w:rsid w:val="FEFF40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黑体"/>
      <w:kern w:val="2"/>
      <w:sz w:val="21"/>
      <w:szCs w:val="24"/>
      <w:lang w:val="en-US" w:eastAsia="zh-CN" w:bidi="ar-SA"/>
    </w:rPr>
  </w:style>
  <w:style w:type="character" w:default="1" w:styleId="10">
    <w:name w:val="Default Paragraph Font"/>
    <w:semiHidden/>
    <w:qFormat/>
    <w:uiPriority w:val="0"/>
  </w:style>
  <w:style w:type="table" w:default="1" w:styleId="8">
    <w:name w:val="Normal Table"/>
    <w:unhideWhenUsed/>
    <w:uiPriority w:val="99"/>
    <w:tblPr>
      <w:tblStyle w:val="8"/>
      <w:tblLayout w:type="fixed"/>
      <w:tblCellMar>
        <w:top w:w="0" w:type="dxa"/>
        <w:left w:w="108" w:type="dxa"/>
        <w:bottom w:w="0" w:type="dxa"/>
        <w:right w:w="108" w:type="dxa"/>
      </w:tblCellMar>
    </w:tblPr>
  </w:style>
  <w:style w:type="paragraph" w:styleId="2">
    <w:name w:val="annotation text"/>
    <w:basedOn w:val="1"/>
    <w:link w:val="16"/>
    <w:uiPriority w:val="0"/>
    <w:pPr>
      <w:jc w:val="left"/>
    </w:pPr>
    <w:rPr>
      <w:rFonts w:cs="Times New Roman"/>
    </w:rPr>
  </w:style>
  <w:style w:type="paragraph" w:styleId="3">
    <w:name w:val="Balloon Text"/>
    <w:basedOn w:val="1"/>
    <w:link w:val="17"/>
    <w:uiPriority w:val="0"/>
    <w:rPr>
      <w:rFonts w:cs="Times New Roman"/>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rPr>
      <w:sz w:val="24"/>
    </w:rPr>
  </w:style>
  <w:style w:type="paragraph" w:styleId="7">
    <w:name w:val="annotation subject"/>
    <w:basedOn w:val="2"/>
    <w:next w:val="2"/>
    <w:link w:val="15"/>
    <w:uiPriority w:val="0"/>
    <w:rPr>
      <w:b/>
      <w:bCs/>
    </w:rPr>
  </w:style>
  <w:style w:type="table" w:styleId="9">
    <w:name w:val="Table Grid"/>
    <w:basedOn w:val="8"/>
    <w:unhideWhenUsed/>
    <w:qFormat/>
    <w:uiPriority w:val="99"/>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Hyperlink"/>
    <w:qFormat/>
    <w:uiPriority w:val="0"/>
    <w:rPr>
      <w:color w:val="0000FF"/>
      <w:u w:val="single"/>
    </w:rPr>
  </w:style>
  <w:style w:type="character" w:styleId="12">
    <w:name w:val="annotation reference"/>
    <w:uiPriority w:val="0"/>
    <w:rPr>
      <w:sz w:val="21"/>
      <w:szCs w:val="21"/>
    </w:rPr>
  </w:style>
  <w:style w:type="paragraph" w:customStyle="1" w:styleId="13">
    <w:name w:val="Default"/>
    <w:qFormat/>
    <w:uiPriority w:val="0"/>
    <w:pPr>
      <w:widowControl w:val="0"/>
      <w:autoSpaceDE w:val="0"/>
      <w:autoSpaceDN w:val="0"/>
      <w:adjustRightInd w:val="0"/>
    </w:pPr>
    <w:rPr>
      <w:color w:val="000000"/>
      <w:sz w:val="24"/>
      <w:szCs w:val="24"/>
      <w:lang w:val="en-US" w:eastAsia="zh-CN" w:bidi="ar-SA"/>
    </w:rPr>
  </w:style>
  <w:style w:type="paragraph" w:customStyle="1" w:styleId="14">
    <w:name w:val="List Paragraph"/>
    <w:basedOn w:val="1"/>
    <w:unhideWhenUsed/>
    <w:uiPriority w:val="99"/>
    <w:pPr>
      <w:ind w:firstLine="420" w:firstLineChars="200"/>
    </w:pPr>
  </w:style>
  <w:style w:type="character" w:customStyle="1" w:styleId="15">
    <w:name w:val="批注主题 Char"/>
    <w:link w:val="7"/>
    <w:uiPriority w:val="0"/>
    <w:rPr>
      <w:rFonts w:ascii="Calibri" w:hAnsi="Calibri" w:cs="黑体"/>
      <w:b/>
      <w:bCs/>
      <w:kern w:val="2"/>
      <w:sz w:val="21"/>
      <w:szCs w:val="24"/>
    </w:rPr>
  </w:style>
  <w:style w:type="character" w:customStyle="1" w:styleId="16">
    <w:name w:val="批注文字 Char"/>
    <w:link w:val="2"/>
    <w:uiPriority w:val="0"/>
    <w:rPr>
      <w:rFonts w:ascii="Calibri" w:hAnsi="Calibri" w:cs="黑体"/>
      <w:kern w:val="2"/>
      <w:sz w:val="21"/>
      <w:szCs w:val="24"/>
    </w:rPr>
  </w:style>
  <w:style w:type="character" w:customStyle="1" w:styleId="17">
    <w:name w:val="批注框文本 Char"/>
    <w:link w:val="3"/>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37391</Words>
  <Characters>40163</Characters>
  <Lines>272</Lines>
  <Paragraphs>76</Paragraphs>
  <TotalTime>0</TotalTime>
  <ScaleCrop>false</ScaleCrop>
  <LinksUpToDate>false</LinksUpToDate>
  <CharactersWithSpaces>40653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2022-11-01T19:18:00Z</dcterms:created>
  <dc:creator>Administrator</dc:creator>
  <cp:lastModifiedBy>hccb</cp:lastModifiedBy>
  <dcterms:modified xsi:type="dcterms:W3CDTF">2025-04-03T08:19:26Z</dcterms:modified>
  <dc:title>杭银理财幸福99XXXX理财计划合同</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A70A2227A99B4340974191B47870DEF5</vt:lpwstr>
  </property>
  <property fmtid="{D5CDD505-2E9C-101B-9397-08002B2CF9AE}" pid="3" name="KSOProductBuildVer">
    <vt:lpwstr>2052-11.8.2.8411</vt:lpwstr>
  </property>
</Properties>
</file>