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rPr>
          <w:rFonts w:hint="eastAsia"/>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center"/>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幸福99丰裕固收763天25076期理财合同</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p>
      <w:pPr>
        <w:jc w:val="center"/>
        <w:rPr>
          <w:rFonts w:hint="eastAsia" w:ascii="宋体" w:hAnsi="宋体" w:cs="宋体"/>
          <w:sz w:val="32"/>
          <w:szCs w:val="32"/>
          <w:highlight w:val="none"/>
        </w:rPr>
      </w:pPr>
      <w:r>
        <w:rPr>
          <w:rFonts w:hint="eastAsia" w:ascii="宋体" w:hAnsi="宋体" w:cs="宋体"/>
          <w:sz w:val="32"/>
          <w:szCs w:val="32"/>
          <w:highlight w:val="none"/>
        </w:rPr>
        <w:t>理财计划管理人：杭银理财有限责任公司</w:t>
      </w:r>
    </w:p>
    <w:p>
      <w:pPr>
        <w:ind w:firstLine="1280" w:firstLineChars="400"/>
        <w:jc w:val="left"/>
        <w:rPr>
          <w:rFonts w:hint="eastAsia" w:ascii="宋体" w:hAnsi="宋体" w:cs="宋体"/>
          <w:sz w:val="32"/>
          <w:szCs w:val="32"/>
          <w:highlight w:val="none"/>
        </w:rPr>
      </w:pPr>
      <w:r>
        <w:rPr>
          <w:rFonts w:hint="eastAsia" w:ascii="宋体" w:hAnsi="宋体" w:cs="宋体"/>
          <w:sz w:val="32"/>
          <w:szCs w:val="32"/>
          <w:highlight w:val="none"/>
        </w:rPr>
        <w:t>理财计划托管人：杭州银行股份有限公司</w:t>
      </w: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p>
    <w:p>
      <w:pPr>
        <w:jc w:val="center"/>
        <w:rPr>
          <w:rFonts w:hint="eastAsia" w:ascii="宋体" w:hAnsi="宋体" w:cs="宋体"/>
          <w:sz w:val="32"/>
          <w:szCs w:val="32"/>
          <w:highlight w:val="none"/>
        </w:rPr>
      </w:pPr>
      <w:r>
        <w:rPr>
          <w:rFonts w:ascii="宋体" w:hAnsi="宋体" w:cs="宋体"/>
          <w:sz w:val="32"/>
          <w:szCs w:val="32"/>
          <w:highlight w:val="none"/>
        </w:rPr>
        <w:br w:type="page"/>
      </w:r>
    </w:p>
    <w:p>
      <w:pPr>
        <w:jc w:val="center"/>
        <w:rPr>
          <w:rFonts w:hint="eastAsia" w:ascii="宋体" w:hAnsi="宋体" w:cs="宋体"/>
          <w:sz w:val="32"/>
          <w:szCs w:val="32"/>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t>幸福99丰裕固收763天25076期理财合同文件</w:t>
      </w:r>
    </w:p>
    <w:p>
      <w:pPr>
        <w:jc w:val="center"/>
        <w:rPr>
          <w:rFonts w:hint="eastAsia" w:ascii="宋体" w:hAnsi="宋体" w:cs="宋体"/>
          <w:sz w:val="44"/>
          <w:szCs w:val="44"/>
          <w:highlight w:val="none"/>
        </w:rPr>
      </w:pPr>
    </w:p>
    <w:p>
      <w:pPr>
        <w:jc w:val="center"/>
        <w:rPr>
          <w:rFonts w:hint="eastAsia" w:ascii="宋体" w:hAnsi="宋体" w:cs="宋体"/>
          <w:sz w:val="44"/>
          <w:szCs w:val="44"/>
          <w:highlight w:val="none"/>
        </w:rPr>
      </w:pPr>
    </w:p>
    <w:tbl>
      <w:tblPr>
        <w:tblStyle w:val="8"/>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序号</w:t>
            </w:r>
          </w:p>
        </w:tc>
        <w:tc>
          <w:tcPr>
            <w:tcW w:w="5160"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理财计划合同文件中的文件名称</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幸福99丰裕固收763天25076期理财风险揭示书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160" w:type="dxa"/>
            <w:noWrap w:val="0"/>
            <w:vAlign w:val="center"/>
          </w:tcPr>
          <w:p>
            <w:pPr>
              <w:widowControl w:val="0"/>
              <w:spacing w:line="360" w:lineRule="auto"/>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幸福99丰裕固收763天25076期理财产品说明书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杭银理财投资者权益须知</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杭银理财理财计划投资协议书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noWrap w:val="0"/>
            <w:vAlign w:val="center"/>
          </w:tcPr>
          <w:p>
            <w:pPr>
              <w:widowControl w:val="0"/>
              <w:spacing w:line="360" w:lineRule="auto"/>
              <w:jc w:val="center"/>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5160" w:type="dxa"/>
            <w:noWrap w:val="0"/>
            <w:vAlign w:val="center"/>
          </w:tcPr>
          <w:p>
            <w:pPr>
              <w:widowControl w:val="0"/>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杭银理财理财计划销售协议书</w:t>
            </w:r>
          </w:p>
        </w:tc>
        <w:tc>
          <w:tcPr>
            <w:tcW w:w="2266" w:type="dxa"/>
            <w:noWrap w:val="0"/>
            <w:vAlign w:val="center"/>
          </w:tcPr>
          <w:p>
            <w:pPr>
              <w:widowControl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理财计划销售协议书</w:t>
            </w:r>
          </w:p>
        </w:tc>
      </w:tr>
    </w:tbl>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jc w:val="center"/>
        <w:rPr>
          <w:rFonts w:hint="eastAsia" w:ascii="宋体" w:hAnsi="宋体" w:cs="宋体"/>
          <w:b/>
          <w:bCs/>
          <w:sz w:val="44"/>
          <w:szCs w:val="44"/>
          <w:highlight w:val="none"/>
        </w:rPr>
      </w:pPr>
    </w:p>
    <w:p>
      <w:pPr>
        <w:rPr>
          <w:rFonts w:hint="eastAsia" w:ascii="宋体" w:hAnsi="宋体" w:cs="宋体"/>
          <w:b/>
          <w:bCs/>
          <w:sz w:val="44"/>
          <w:szCs w:val="44"/>
          <w:highlight w:val="none"/>
        </w:rPr>
      </w:pPr>
    </w:p>
    <w:p>
      <w:pPr>
        <w:jc w:val="center"/>
        <w:outlineLvl w:val="0"/>
        <w:rPr>
          <w:rFonts w:hint="eastAsia" w:ascii="宋体" w:hAnsi="宋体" w:cs="宋体"/>
          <w:b/>
          <w:bCs/>
          <w:sz w:val="44"/>
          <w:szCs w:val="44"/>
          <w:highlight w:val="none"/>
        </w:rPr>
      </w:pPr>
      <w:r>
        <w:rPr>
          <w:rFonts w:hint="eastAsia" w:ascii="宋体" w:hAnsi="宋体" w:cs="宋体"/>
          <w:b/>
          <w:bCs/>
          <w:sz w:val="44"/>
          <w:szCs w:val="44"/>
          <w:highlight w:val="none"/>
        </w:rPr>
        <w:br w:type="page"/>
      </w:r>
      <w:bookmarkStart w:id="1" w:name="_GoBack"/>
      <w:bookmarkEnd w:id="1"/>
      <w:r>
        <w:rPr>
          <w:rFonts w:hint="eastAsia" w:ascii="宋体" w:hAnsi="宋体" w:cs="宋体"/>
          <w:b/>
          <w:bCs/>
          <w:sz w:val="44"/>
          <w:szCs w:val="44"/>
          <w:highlight w:val="none"/>
        </w:rPr>
        <w:t>幸福99丰裕固收763天25076期理财风险揭示书</w:t>
      </w:r>
    </w:p>
    <w:p>
      <w:pPr>
        <w:jc w:val="center"/>
        <w:rPr>
          <w:rFonts w:hint="eastAsia" w:ascii="宋体" w:hAnsi="宋体" w:cs="宋体"/>
          <w:sz w:val="28"/>
          <w:szCs w:val="28"/>
          <w:highlight w:val="none"/>
        </w:rPr>
      </w:pPr>
      <w:r>
        <w:rPr>
          <w:rFonts w:hint="eastAsia" w:ascii="宋体" w:hAnsi="宋体" w:cs="宋体"/>
          <w:sz w:val="28"/>
          <w:szCs w:val="28"/>
          <w:highlight w:val="none"/>
        </w:rPr>
        <w:t>（202</w:t>
      </w:r>
      <w:r>
        <w:rPr>
          <w:rFonts w:hint="eastAsia" w:ascii="宋体" w:hAnsi="宋体" w:cs="宋体"/>
          <w:sz w:val="28"/>
          <w:szCs w:val="28"/>
          <w:highlight w:val="none"/>
          <w:lang w:eastAsia="zh-CN"/>
        </w:rPr>
        <w:t>5</w:t>
      </w:r>
      <w:r>
        <w:rPr>
          <w:rFonts w:hint="eastAsia" w:ascii="宋体" w:hAnsi="宋体" w:cs="宋体"/>
          <w:sz w:val="28"/>
          <w:szCs w:val="28"/>
          <w:highlight w:val="none"/>
        </w:rPr>
        <w:t>01版）</w:t>
      </w:r>
    </w:p>
    <w:p>
      <w:pPr>
        <w:spacing w:line="360" w:lineRule="auto"/>
        <w:jc w:val="left"/>
        <w:rPr>
          <w:rFonts w:hint="eastAsia" w:ascii="宋体" w:hAnsi="宋体" w:cs="宋体"/>
          <w:sz w:val="24"/>
          <w:highlight w:val="none"/>
        </w:rPr>
      </w:pPr>
      <w:r>
        <w:rPr>
          <w:rFonts w:hint="eastAsia" w:ascii="宋体" w:hAnsi="宋体" w:cs="宋体"/>
          <w:sz w:val="24"/>
          <w:highlight w:val="none"/>
        </w:rPr>
        <w:t>尊敬的理财投资者：</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ind w:firstLine="480" w:firstLineChars="200"/>
        <w:jc w:val="left"/>
        <w:rPr>
          <w:rFonts w:hint="eastAsia" w:ascii="宋体" w:hAnsi="宋体" w:cs="宋体"/>
          <w:b/>
          <w:sz w:val="24"/>
          <w:highlight w:val="none"/>
        </w:rPr>
      </w:pPr>
      <w:r>
        <w:rPr>
          <w:rFonts w:hint="eastAsia" w:ascii="宋体" w:hAnsi="宋体" w:cs="宋体"/>
          <w:bCs/>
          <w:sz w:val="24"/>
          <w:highlight w:val="none"/>
        </w:rPr>
        <w:t>根据国家金融监督管理总局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sz w:val="24"/>
          <w:highlight w:val="none"/>
        </w:rPr>
        <w:t>若通过电子渠道购买的，成功交易后视同为投资者与管理人已完成理财计划交易合同的签订</w:t>
      </w:r>
      <w:r>
        <w:rPr>
          <w:rFonts w:hint="eastAsia" w:ascii="宋体" w:hAnsi="宋体" w:cs="宋体"/>
          <w:bCs/>
          <w:sz w:val="24"/>
          <w:highlight w:val="none"/>
        </w:rPr>
        <w:t>），了解理财计划相关具体情况，并确保已评估自身的风险承受能力和理财计划相关风险后，谨慎投资。</w:t>
      </w:r>
      <w:r>
        <w:rPr>
          <w:rFonts w:hint="eastAsia" w:ascii="宋体" w:hAnsi="宋体" w:cs="宋体"/>
          <w:b/>
          <w:sz w:val="24"/>
          <w:highlight w:val="none"/>
        </w:rPr>
        <w:t>如影响您风险承受能力的因素发生变化，请及时更新风险承受能力评估。</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请您根据自身理财目标、投资经验、财务状况、风险承受能力以及其他相关情况慎重购买理财计划。本风险揭示书列示的可能涉及的风险包括但不限于：</w:t>
      </w:r>
    </w:p>
    <w:p>
      <w:pPr>
        <w:numPr>
          <w:ilvl w:val="0"/>
          <w:numId w:val="1"/>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理财计划共性风险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信用风险：理财计划所投资产的相关义务人信用状况恶化，出现信用违约情形，则理财计划本金或收益蒙受部分或全部损失的风险。</w:t>
      </w:r>
    </w:p>
    <w:p>
      <w:pPr>
        <w:numPr>
          <w:ilvl w:val="0"/>
          <w:numId w:val="2"/>
        </w:numPr>
        <w:spacing w:line="360" w:lineRule="auto"/>
        <w:jc w:val="left"/>
        <w:outlineLvl w:val="2"/>
        <w:rPr>
          <w:rFonts w:ascii="宋体" w:hAnsi="宋体" w:cs="宋体"/>
          <w:b/>
          <w:sz w:val="24"/>
          <w:highlight w:val="none"/>
        </w:rPr>
      </w:pPr>
      <w:r>
        <w:rPr>
          <w:rFonts w:hint="eastAsia" w:ascii="宋体" w:hAnsi="宋体" w:cs="宋体"/>
          <w:b/>
          <w:sz w:val="24"/>
          <w:highlight w:val="none"/>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政策风险：因国家宏观政策（如财政政策、货币政策、监管政策等）发生变化，导致市场价格波动而产生风险，从而对理财计划收益产生影响。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经济周期风险：随经济运行周期变化，证券市场的收益水平也呈周期性变化，从而对理财计划收益产生影响。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购买力风险：如发生通货膨胀，则所投资产的收益可能会被通货膨胀抵消，从而对理财计划收益的实际购买力产生影响。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利率风险：金融市场利率波动会导致证券市场价格和收益率波动，从而对理财计划收益产生影响。</w:t>
      </w:r>
    </w:p>
    <w:p>
      <w:pPr>
        <w:numPr>
          <w:ilvl w:val="0"/>
          <w:numId w:val="3"/>
        </w:numPr>
        <w:spacing w:line="360" w:lineRule="auto"/>
        <w:jc w:val="left"/>
        <w:rPr>
          <w:rFonts w:ascii="宋体" w:hAnsi="宋体" w:cs="宋体"/>
          <w:b/>
          <w:sz w:val="24"/>
          <w:highlight w:val="none"/>
        </w:rPr>
      </w:pPr>
      <w:r>
        <w:rPr>
          <w:rFonts w:hint="eastAsia" w:ascii="宋体" w:hAnsi="宋体" w:cs="宋体"/>
          <w:b/>
          <w:sz w:val="24"/>
          <w:highlight w:val="none"/>
        </w:rPr>
        <w:t>汇率风险：理财计划如投资涉及非本国货币，则外汇市场可能会出现汇率波动，从而对理财计划收益产生影响。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政策风险：理财计划根据当前的相关法规和政策设计，如国家宏观政策以及相关市场法律、法规发生变化，可能会影响理财计划的发行、投资、兑付等正常工作流程的进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操作风险：理财计划由于内部作业、人员管理、系统操作、交易对手交易处理不当或失误等，导致理财计划本金或收益蒙受部分或全部损失的风险。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管理风险：理财计划在投资管理运作过程中，投资管理各方受经验、技能、执行力等综合因素的限制，可能会对理财计划的投资与运作产生一定影响，导致理财计划本金或收益蒙受部分或全部损失的风险。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提前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信息传递风险：1.理财计划管理人将按照本理财计划销售文件中约定的信息披露方式、途径向投资者公示本理财计划的各类信息和重大事件，投资者应及时查询、了解。由于投资者未能及时主动了解理财计划信息或由于不抗力及/或意外事件的影响导致投资者无法及时了解理财计划信息，从而影响投资者的投资决策，由此产生的责任和风险由投资者自行承担。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建仓期风险：如理财计划设置建仓期，则在建仓期内理财计划的投资比例可能无法满足约定的投资比例限制，从而对理财计划收益产生影响。</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代销风险：本理财计划通过代销渠道销售，投资者认购理财计划的资金由销售机构从投资者资金账户扣收；理财计划到期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eastAsia="zh-CN"/>
        </w:rPr>
        <w:t>关</w:t>
      </w:r>
      <w:r>
        <w:rPr>
          <w:rFonts w:ascii="宋体" w:hAnsi="宋体" w:cs="宋体"/>
          <w:b/>
          <w:sz w:val="24"/>
          <w:highlight w:val="none"/>
        </w:rPr>
        <w:t>联关系</w:t>
      </w:r>
      <w:r>
        <w:rPr>
          <w:rFonts w:hint="eastAsia" w:ascii="宋体" w:hAnsi="宋体" w:cs="宋体"/>
          <w:b/>
          <w:sz w:val="24"/>
          <w:highlight w:val="none"/>
          <w:lang w:val="en-US" w:eastAsia="zh-CN"/>
        </w:rPr>
        <w:t>及关联交易</w:t>
      </w:r>
      <w:r>
        <w:rPr>
          <w:rFonts w:ascii="宋体" w:hAnsi="宋体" w:cs="宋体"/>
          <w:b/>
          <w:sz w:val="24"/>
          <w:highlight w:val="none"/>
        </w:rPr>
        <w:t>风险：</w:t>
      </w:r>
      <w:r>
        <w:rPr>
          <w:rFonts w:hint="eastAsia" w:ascii="宋体" w:hAnsi="宋体" w:cs="宋体"/>
          <w:b/>
          <w:sz w:val="24"/>
          <w:highlight w:val="none"/>
          <w:lang w:val="en-US" w:eastAsia="zh-CN"/>
        </w:rPr>
        <w:t>本理财计划由杭银理财发行并管理，独立履行理财计划管理人职责，杭银理财有权委托销售服务机构进行代理销售，可能涉及委托</w:t>
      </w:r>
      <w:r>
        <w:rPr>
          <w:rFonts w:ascii="宋体" w:hAnsi="宋体" w:cs="宋体"/>
          <w:b/>
          <w:sz w:val="24"/>
          <w:highlight w:val="none"/>
        </w:rPr>
        <w:t>杭州银行股份有限公司</w:t>
      </w:r>
      <w:r>
        <w:rPr>
          <w:rFonts w:hint="eastAsia" w:ascii="宋体" w:hAnsi="宋体" w:cs="宋体"/>
          <w:b/>
          <w:sz w:val="24"/>
          <w:highlight w:val="none"/>
          <w:lang w:eastAsia="zh-CN"/>
        </w:rPr>
        <w:t>（</w:t>
      </w:r>
      <w:r>
        <w:rPr>
          <w:rFonts w:hint="eastAsia" w:ascii="宋体" w:hAnsi="宋体" w:cs="宋体"/>
          <w:b/>
          <w:sz w:val="24"/>
          <w:highlight w:val="none"/>
          <w:lang w:val="en-US" w:eastAsia="zh-CN"/>
        </w:rPr>
        <w:t>以下简称“杭州银行”</w:t>
      </w:r>
      <w:r>
        <w:rPr>
          <w:rFonts w:hint="eastAsia" w:ascii="宋体" w:hAnsi="宋体" w:cs="宋体"/>
          <w:b/>
          <w:sz w:val="24"/>
          <w:highlight w:val="none"/>
          <w:lang w:eastAsia="zh-CN"/>
        </w:rPr>
        <w:t>）</w:t>
      </w:r>
      <w:r>
        <w:rPr>
          <w:rFonts w:hint="eastAsia" w:ascii="宋体" w:hAnsi="宋体" w:cs="宋体"/>
          <w:b/>
          <w:sz w:val="24"/>
          <w:highlight w:val="none"/>
          <w:lang w:val="en-US" w:eastAsia="zh-CN"/>
        </w:rPr>
        <w:t>作为理财计划的销售服务机构</w:t>
      </w:r>
      <w:r>
        <w:rPr>
          <w:rFonts w:ascii="宋体" w:hAnsi="宋体" w:cs="宋体"/>
          <w:b/>
          <w:sz w:val="24"/>
          <w:highlight w:val="none"/>
        </w:rPr>
        <w:t>，</w:t>
      </w:r>
      <w:r>
        <w:rPr>
          <w:rFonts w:hint="eastAsia" w:ascii="宋体" w:hAnsi="宋体" w:cs="宋体"/>
          <w:b/>
          <w:sz w:val="24"/>
          <w:highlight w:val="none"/>
          <w:lang w:val="en-US" w:eastAsia="zh-CN"/>
        </w:rPr>
        <w:t>负责理财计划的代理销售工作。</w:t>
      </w:r>
      <w:r>
        <w:rPr>
          <w:rFonts w:ascii="宋体" w:hAnsi="宋体" w:cs="宋体"/>
          <w:b/>
          <w:sz w:val="24"/>
          <w:highlight w:val="none"/>
        </w:rPr>
        <w:t>杭银理财系杭州银行全资子公司，双方存在关联关系。</w:t>
      </w:r>
      <w:r>
        <w:rPr>
          <w:rFonts w:hint="eastAsia" w:ascii="宋体" w:hAnsi="宋体" w:cs="宋体"/>
          <w:b/>
          <w:sz w:val="24"/>
          <w:highlight w:val="none"/>
          <w:lang w:val="en-US" w:eastAsia="zh-CN"/>
        </w:rPr>
        <w:t>尽管杭银理财将严格遵守法律、行政法规、金融监管规定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jc w:val="left"/>
        <w:outlineLvl w:val="2"/>
        <w:rPr>
          <w:rFonts w:ascii="宋体" w:hAnsi="宋体" w:cs="宋体"/>
          <w:b/>
          <w:sz w:val="24"/>
          <w:highlight w:val="none"/>
        </w:rPr>
      </w:pPr>
      <w:r>
        <w:rPr>
          <w:rFonts w:hint="eastAsia" w:ascii="宋体" w:hAnsi="宋体" w:cs="宋体"/>
          <w:b/>
          <w:sz w:val="24"/>
          <w:highlight w:val="none"/>
          <w:lang w:val="en-US" w:eastAsia="zh-CN"/>
        </w:rPr>
        <w:t>投资者合规风险：</w:t>
      </w:r>
      <w:r>
        <w:rPr>
          <w:rFonts w:hint="eastAsia" w:ascii="宋体" w:hAnsi="宋体" w:cs="宋体"/>
          <w:b/>
          <w:bCs w:val="0"/>
          <w:color w:val="000000"/>
          <w:sz w:val="24"/>
          <w:highlight w:val="none"/>
          <w:lang w:val="en-US" w:eastAsia="zh-CN"/>
        </w:rPr>
        <w:t>根据</w:t>
      </w:r>
      <w:r>
        <w:rPr>
          <w:rFonts w:hint="eastAsia" w:ascii="宋体" w:hAnsi="宋体" w:cs="宋体"/>
          <w:b/>
          <w:bCs w:val="0"/>
          <w:color w:val="000000"/>
          <w:sz w:val="24"/>
          <w:highlight w:val="none"/>
        </w:rPr>
        <w:t>法律、行政法规、金融监管规定及</w:t>
      </w:r>
      <w:r>
        <w:rPr>
          <w:rFonts w:hint="eastAsia" w:ascii="宋体" w:hAnsi="宋体" w:cs="宋体"/>
          <w:b/>
          <w:bCs w:val="0"/>
          <w:color w:val="000000"/>
          <w:sz w:val="24"/>
          <w:highlight w:val="none"/>
          <w:lang w:val="en-US" w:eastAsia="zh-CN"/>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申请、冻结份额等交易限制措施，由此产生的损失及责任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理财计划特定风险</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资金流动性风险：本理财计划认购份额确认后，封闭式运作，产品终止前投资者不得提前赎回。</w:t>
      </w:r>
    </w:p>
    <w:p>
      <w:pPr>
        <w:numPr>
          <w:ilvl w:val="0"/>
          <w:numId w:val="5"/>
        </w:numPr>
        <w:spacing w:line="360" w:lineRule="auto"/>
        <w:jc w:val="left"/>
        <w:rPr>
          <w:rFonts w:hint="eastAsia" w:ascii="宋体" w:hAnsi="宋体" w:cs="宋体"/>
          <w:b/>
          <w:sz w:val="24"/>
          <w:highlight w:val="none"/>
        </w:rPr>
      </w:pPr>
      <w:r>
        <w:rPr>
          <w:rFonts w:hint="eastAsia" w:ascii="宋体" w:hAnsi="宋体" w:cs="宋体"/>
          <w:b/>
          <w:sz w:val="24"/>
          <w:highlight w:val="none"/>
        </w:rPr>
        <w:t>收益不达业绩比较基准风险：本理财计划可投资于债券及非标准化债权类资产等固定收益类及权益类资产，因融资人违约及市场波动或导致投资者的本金出现损失。</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上述理财计划共性与特定风险发生时，投资者的本金及收益可能遭受损失，在最不利情形下，将损失全部本金及收益（如有），由此产生的风险及损失将由投资者自行承担。</w:t>
      </w: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其他信息提示</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w:t>
      </w:r>
      <w:r>
        <w:rPr>
          <w:rFonts w:hint="eastAsia" w:ascii="宋体" w:hAnsi="宋体" w:cs="宋体"/>
          <w:bCs/>
          <w:sz w:val="24"/>
          <w:highlight w:val="none"/>
        </w:rPr>
        <w:t>根据现有法律法规及金融监管机构对于理财产品的相关分类，投资者还需了解以下信息：</w:t>
      </w:r>
    </w:p>
    <w:p>
      <w:pPr>
        <w:numPr>
          <w:ilvl w:val="0"/>
          <w:numId w:val="6"/>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根据募集方式的不同，理财产品分为公募理财产品和私募理财产品。</w:t>
      </w:r>
      <w:r>
        <w:rPr>
          <w:rFonts w:hint="eastAsia" w:ascii="宋体" w:hAnsi="宋体" w:cs="宋体"/>
          <w:bCs/>
          <w:sz w:val="24"/>
          <w:highlight w:val="none"/>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最近1年末净资产不低于1000万元人民币的法人或者依法成立的其他组织；</w:t>
      </w:r>
    </w:p>
    <w:p>
      <w:pPr>
        <w:numPr>
          <w:ilvl w:val="0"/>
          <w:numId w:val="7"/>
        </w:numPr>
        <w:spacing w:line="360" w:lineRule="auto"/>
        <w:jc w:val="left"/>
        <w:rPr>
          <w:rFonts w:hint="eastAsia" w:ascii="宋体" w:hAnsi="宋体" w:cs="宋体"/>
          <w:bCs/>
          <w:sz w:val="24"/>
          <w:highlight w:val="none"/>
        </w:rPr>
      </w:pPr>
      <w:r>
        <w:rPr>
          <w:rFonts w:hint="eastAsia" w:ascii="宋体" w:hAnsi="宋体" w:cs="宋体"/>
          <w:bCs/>
          <w:sz w:val="24"/>
          <w:highlight w:val="none"/>
        </w:rPr>
        <w:t>国务院银行业监督管理机构规定的其他情形。</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根据投资性质的不同，理财产品分为固定收益类理财产品、权益类理财产品、商品及金融衍生品类理财产品和混合类理财产品。</w:t>
      </w:r>
      <w:r>
        <w:rPr>
          <w:rFonts w:hint="eastAsia" w:ascii="宋体" w:hAnsi="宋体" w:cs="宋体"/>
          <w:bCs/>
          <w:sz w:val="24"/>
          <w:highlight w:val="none"/>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根据运作方式的不同，将理财产品分为封闭式理财产品和开放式理财产品。</w:t>
      </w:r>
      <w:r>
        <w:rPr>
          <w:rFonts w:hint="eastAsia" w:ascii="宋体" w:hAnsi="宋体" w:cs="宋体"/>
          <w:bCs/>
          <w:sz w:val="24"/>
          <w:highlight w:val="none"/>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240" w:firstLineChars="100"/>
        <w:jc w:val="left"/>
        <w:rPr>
          <w:rFonts w:hint="eastAsia" w:ascii="宋体" w:hAnsi="宋体" w:cs="宋体"/>
          <w:bCs/>
          <w:sz w:val="24"/>
          <w:highlight w:val="none"/>
        </w:rPr>
      </w:pP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本理财计划为公募、封闭式、〖固定收益类〗净值型理财计划，〖763天〗</w:t>
      </w:r>
      <w:r>
        <w:rPr>
          <w:rFonts w:hint="eastAsia" w:ascii="宋体" w:hAnsi="宋体" w:cs="宋体"/>
          <w:bCs/>
          <w:color w:val="000000"/>
          <w:sz w:val="24"/>
          <w:highlight w:val="none"/>
        </w:rPr>
        <w:t>，</w:t>
      </w:r>
      <w:r>
        <w:rPr>
          <w:rFonts w:hint="eastAsia" w:ascii="宋体" w:hAnsi="宋体" w:cs="宋体"/>
          <w:b/>
          <w:sz w:val="24"/>
          <w:highlight w:val="none"/>
        </w:rPr>
        <w:t>不保证本金与收益。理财计划过往业绩不代表其未来表现，不等于理财计划实际收益，投资须谨慎！根据本公司理财产品内部风险评级，该理财计划风险评级结果为〖R2〗,〖中低〗风险</w:t>
      </w:r>
      <w:r>
        <w:rPr>
          <w:rFonts w:hint="eastAsia" w:ascii="宋体" w:hAnsi="宋体" w:cs="宋体"/>
          <w:bCs/>
          <w:sz w:val="24"/>
          <w:highlight w:val="none"/>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sz w:val="24"/>
          <w:highlight w:val="none"/>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 w:val="0"/>
          <w:bCs/>
          <w:sz w:val="24"/>
          <w:highlight w:val="none"/>
        </w:rPr>
      </w:pPr>
      <w:r>
        <w:rPr>
          <w:rFonts w:hint="eastAsia" w:ascii="宋体" w:hAnsi="宋体" w:cs="宋体"/>
          <w:b/>
          <w:sz w:val="24"/>
          <w:highlight w:val="none"/>
        </w:rPr>
        <w:t>本理财计划适合〖机构投资者〗以及〖稳健型、平衡型、成长型、进取型〗的个人投资者</w:t>
      </w:r>
      <w:r>
        <w:rPr>
          <w:rFonts w:hint="eastAsia" w:ascii="宋体" w:hAnsi="宋体" w:cs="宋体"/>
          <w:b/>
          <w:sz w:val="24"/>
          <w:highlight w:val="none"/>
          <w:lang w:eastAsia="zh-CN"/>
        </w:rPr>
        <w:t>。</w:t>
      </w:r>
      <w:r>
        <w:rPr>
          <w:rFonts w:hint="eastAsia" w:ascii="宋体" w:hAnsi="宋体" w:cs="宋体"/>
          <w:b w:val="0"/>
          <w:bCs/>
          <w:sz w:val="24"/>
          <w:highlight w:val="none"/>
        </w:rPr>
        <w:t>本理财计划投资者适当性评估由销售机构负责，销售机构应确保个人投资者的风险承受能力不低于本理财计划风险评级。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left"/>
        <w:rPr>
          <w:rFonts w:hint="eastAsia" w:ascii="宋体" w:hAnsi="宋体" w:cs="宋体"/>
          <w:bCs/>
          <w:sz w:val="24"/>
          <w:highlight w:val="none"/>
        </w:rPr>
      </w:pPr>
    </w:p>
    <w:p>
      <w:pPr>
        <w:spacing w:line="360" w:lineRule="auto"/>
        <w:ind w:firstLine="480" w:firstLineChars="200"/>
        <w:jc w:val="right"/>
        <w:rPr>
          <w:rFonts w:hint="eastAsia" w:ascii="宋体" w:hAnsi="宋体" w:cs="宋体"/>
          <w:bCs/>
          <w:sz w:val="24"/>
          <w:highlight w:val="none"/>
        </w:rPr>
      </w:pPr>
      <w:r>
        <w:rPr>
          <w:rFonts w:hint="eastAsia" w:ascii="宋体" w:hAnsi="宋体" w:cs="宋体"/>
          <w:bCs/>
          <w:sz w:val="24"/>
          <w:highlight w:val="none"/>
        </w:rPr>
        <w:t>风险提示方：杭银理财有限责任公司</w:t>
      </w:r>
    </w:p>
    <w:p>
      <w:pPr>
        <w:pStyle w:val="14"/>
        <w:spacing w:line="360" w:lineRule="auto"/>
        <w:jc w:val="center"/>
        <w:outlineLvl w:val="1"/>
        <w:rPr>
          <w:rFonts w:hint="eastAsia"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highlight w:val="none"/>
        </w:rPr>
        <w:t>投资者确认栏（个人投资者填写）</w:t>
      </w:r>
    </w:p>
    <w:p>
      <w:pPr>
        <w:pStyle w:val="14"/>
        <w:spacing w:line="360" w:lineRule="auto"/>
        <w:jc w:val="both"/>
        <w:rPr>
          <w:rFonts w:hint="eastAsia" w:ascii="宋体" w:hAnsi="宋体" w:cs="宋体"/>
          <w:b/>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本人经销售机构评估的风险承受能力等级为（投资者填写）：</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u w:val="single"/>
        </w:rPr>
        <w:t xml:space="preserve">□保守型       □稳健型       □平衡型       □成长型       □进取型    </w:t>
      </w:r>
    </w:p>
    <w:p>
      <w:pPr>
        <w:pStyle w:val="14"/>
        <w:spacing w:line="360" w:lineRule="auto"/>
        <w:ind w:firstLine="480" w:firstLineChars="200"/>
        <w:jc w:val="both"/>
        <w:rPr>
          <w:rFonts w:hint="eastAsia" w:ascii="宋体" w:hAnsi="宋体" w:cs="宋体"/>
          <w:color w:val="auto"/>
          <w:highlight w:val="none"/>
          <w:u w:val="single"/>
        </w:rPr>
      </w:pPr>
      <w:r>
        <w:rPr>
          <w:rFonts w:hint="eastAsia" w:ascii="宋体" w:hAnsi="宋体" w:cs="宋体"/>
          <w:color w:val="auto"/>
          <w:highlight w:val="none"/>
          <w:u w:val="single"/>
        </w:rPr>
        <w:t>如超过一年未进行风险承受能力评估或影响本人风险承受能力的因素发生变化，本人将于再次购买理财计划时及时完成风险承受能力评估。</w:t>
      </w:r>
    </w:p>
    <w:p>
      <w:pPr>
        <w:pStyle w:val="14"/>
        <w:spacing w:line="360" w:lineRule="auto"/>
        <w:ind w:firstLine="472" w:firstLineChars="196"/>
        <w:jc w:val="both"/>
        <w:rPr>
          <w:rFonts w:hint="eastAsia" w:ascii="宋体" w:hAnsi="宋体" w:cs="宋体"/>
          <w:b/>
          <w:bCs/>
          <w:color w:val="auto"/>
          <w:highlight w:val="none"/>
          <w:u w:val="single"/>
        </w:rPr>
      </w:pPr>
      <w:r>
        <w:rPr>
          <w:rFonts w:hint="eastAsia" w:ascii="宋体" w:hAnsi="宋体" w:cs="宋体"/>
          <w:b/>
          <w:bCs/>
          <w:color w:val="auto"/>
          <w:highlight w:val="none"/>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72" w:firstLineChars="196"/>
        <w:jc w:val="both"/>
        <w:rPr>
          <w:rFonts w:ascii="宋体" w:hAnsi="宋体" w:cs="宋体"/>
          <w:b/>
          <w:bCs/>
          <w:color w:val="auto"/>
          <w:highlight w:val="none"/>
          <w:u w:val="single"/>
        </w:rPr>
      </w:pPr>
      <w:r>
        <w:rPr>
          <w:rFonts w:hint="eastAsia" w:ascii="宋体" w:hAnsi="宋体" w:cs="宋体"/>
          <w:b/>
          <w:bCs/>
          <w:color w:val="auto"/>
          <w:highlight w:val="none"/>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14"/>
        <w:spacing w:line="360" w:lineRule="auto"/>
        <w:ind w:firstLine="360" w:firstLineChars="150"/>
        <w:jc w:val="both"/>
        <w:rPr>
          <w:rFonts w:hint="eastAsia" w:ascii="宋体" w:hAnsi="宋体" w:cs="宋体"/>
          <w:b/>
          <w:color w:val="auto"/>
          <w:highlight w:val="none"/>
        </w:rPr>
      </w:pPr>
      <w:r>
        <w:rPr>
          <w:rFonts w:hint="eastAsia" w:ascii="宋体" w:hAnsi="宋体" w:cs="宋体"/>
          <w:color w:val="auto"/>
          <w:highlight w:val="none"/>
        </w:rPr>
        <w:t>（投资者需全文抄录以下文字以完成确认：</w:t>
      </w:r>
      <w:r>
        <w:rPr>
          <w:rFonts w:hint="eastAsia" w:ascii="宋体" w:hAnsi="宋体" w:cs="宋体"/>
          <w:b/>
          <w:color w:val="auto"/>
          <w:highlight w:val="none"/>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14"/>
        <w:spacing w:line="360" w:lineRule="auto"/>
        <w:jc w:val="both"/>
        <w:rPr>
          <w:rFonts w:hint="eastAsia" w:ascii="宋体" w:hAnsi="宋体" w:cs="宋体"/>
          <w:color w:val="auto"/>
          <w:highlight w:val="none"/>
          <w:u w:val="single"/>
        </w:rPr>
      </w:pPr>
      <w:r>
        <w:rPr>
          <w:rFonts w:hint="eastAsia" w:ascii="宋体" w:hAnsi="宋体" w:cs="宋体"/>
          <w:color w:val="auto"/>
          <w:highlight w:val="none"/>
        </w:rPr>
        <w:t>本人同时确认如下：</w:t>
      </w:r>
      <w:r>
        <w:rPr>
          <w:rFonts w:hint="eastAsia" w:ascii="宋体" w:hAnsi="宋体" w:cs="宋体"/>
          <w:color w:val="auto"/>
          <w:highlight w:val="none"/>
          <w:u w:val="single"/>
        </w:rPr>
        <w:t xml:space="preserve">                                                          </w:t>
      </w: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u w:val="single"/>
        </w:rPr>
        <w:t xml:space="preserve">                                                                                </w:t>
      </w:r>
    </w:p>
    <w:p>
      <w:pPr>
        <w:spacing w:line="360" w:lineRule="auto"/>
        <w:rPr>
          <w:rFonts w:hint="eastAsia" w:ascii="宋体" w:hAnsi="宋体" w:cs="宋体"/>
          <w:kern w:val="0"/>
          <w:sz w:val="24"/>
          <w:highlight w:val="none"/>
        </w:rPr>
      </w:pPr>
    </w:p>
    <w:p>
      <w:pPr>
        <w:spacing w:line="360" w:lineRule="auto"/>
        <w:rPr>
          <w:rFonts w:hint="eastAsia" w:ascii="宋体" w:hAnsi="宋体" w:cs="宋体"/>
          <w:kern w:val="0"/>
          <w:sz w:val="24"/>
          <w:highlight w:val="none"/>
        </w:rPr>
      </w:pPr>
      <w:r>
        <w:rPr>
          <w:rFonts w:hint="eastAsia" w:ascii="宋体" w:hAnsi="宋体" w:cs="宋体"/>
          <w:kern w:val="0"/>
          <w:sz w:val="24"/>
          <w:highlight w:val="none"/>
        </w:rPr>
        <w:t>确认人（签字）：</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napToGrid w:val="0"/>
        <w:rPr>
          <w:rFonts w:hint="eastAsia" w:ascii="宋体" w:hAnsi="宋体"/>
          <w:kern w:val="0"/>
          <w:szCs w:val="21"/>
          <w:highlight w:val="none"/>
          <w:u w:val="single"/>
        </w:rPr>
      </w:pPr>
    </w:p>
    <w:p>
      <w:pPr>
        <w:autoSpaceDE w:val="0"/>
        <w:autoSpaceDN w:val="0"/>
        <w:adjustRightInd w:val="0"/>
        <w:spacing w:line="420" w:lineRule="exact"/>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jc w:val="center"/>
        <w:rPr>
          <w:rFonts w:hint="eastAsia" w:ascii="宋体" w:hAnsi="宋体"/>
          <w:b/>
          <w:kern w:val="0"/>
          <w:szCs w:val="21"/>
          <w:highlight w:val="none"/>
        </w:rPr>
      </w:pPr>
    </w:p>
    <w:p>
      <w:pPr>
        <w:autoSpaceDE w:val="0"/>
        <w:autoSpaceDN w:val="0"/>
        <w:adjustRightInd w:val="0"/>
        <w:spacing w:line="360" w:lineRule="auto"/>
        <w:rPr>
          <w:rFonts w:hint="eastAsia" w:ascii="宋体" w:hAnsi="宋体"/>
          <w:b/>
          <w:kern w:val="0"/>
          <w:szCs w:val="21"/>
          <w:highlight w:val="none"/>
        </w:rPr>
      </w:pPr>
    </w:p>
    <w:p>
      <w:pPr>
        <w:pStyle w:val="14"/>
        <w:spacing w:line="360" w:lineRule="auto"/>
        <w:ind w:firstLine="482" w:firstLineChars="200"/>
        <w:jc w:val="center"/>
        <w:outlineLvl w:val="1"/>
        <w:rPr>
          <w:rFonts w:hint="eastAsia" w:ascii="宋体" w:hAnsi="宋体" w:cs="宋体"/>
          <w:b/>
          <w:bCs/>
          <w:color w:val="auto"/>
          <w:highlight w:val="none"/>
        </w:rPr>
      </w:pPr>
      <w:r>
        <w:rPr>
          <w:rFonts w:hint="eastAsia" w:ascii="宋体" w:hAnsi="宋体" w:cs="宋体"/>
          <w:b/>
          <w:bCs/>
          <w:color w:val="auto"/>
          <w:highlight w:val="none"/>
        </w:rPr>
        <w:t>投资者确认栏（机构投资者）</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highlight w:val="none"/>
          <w:u w:val="single"/>
        </w:rPr>
        <w:t>接受本风险揭示书及《理财计划产品说明书》《投资者权益须知》《理财计划投资协议书》《理财计划销售协议书》等本理财计划合同全部内容，自愿且有能力承担投资本理财计划的风险。</w:t>
      </w:r>
    </w:p>
    <w:p>
      <w:pPr>
        <w:pStyle w:val="14"/>
        <w:spacing w:line="360" w:lineRule="auto"/>
        <w:ind w:firstLine="482" w:firstLineChars="200"/>
        <w:jc w:val="both"/>
        <w:rPr>
          <w:rFonts w:hint="eastAsia" w:ascii="宋体" w:hAnsi="宋体" w:cs="宋体"/>
          <w:b/>
          <w:bCs/>
          <w:color w:val="auto"/>
          <w:highlight w:val="none"/>
          <w:u w:val="single"/>
        </w:rPr>
      </w:pPr>
      <w:r>
        <w:rPr>
          <w:rFonts w:hint="eastAsia" w:ascii="宋体" w:hAnsi="宋体" w:cs="宋体"/>
          <w:b/>
          <w:bCs/>
          <w:color w:val="auto"/>
          <w:highlight w:val="none"/>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jc w:val="both"/>
        <w:rPr>
          <w:rFonts w:hint="eastAsia" w:ascii="宋体" w:hAnsi="宋体" w:cs="宋体"/>
          <w:color w:val="auto"/>
          <w:highlight w:val="none"/>
        </w:rPr>
      </w:pPr>
      <w:r>
        <w:rPr>
          <w:rFonts w:hint="eastAsia" w:ascii="宋体" w:hAnsi="宋体" w:cs="宋体"/>
          <w:color w:val="auto"/>
          <w:highlight w:val="none"/>
        </w:rPr>
        <w:t>投资者（公章）                          法定代表人或授权代理人（签章）</w:t>
      </w: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p>
    <w:p>
      <w:pPr>
        <w:pStyle w:val="14"/>
        <w:spacing w:line="360" w:lineRule="auto"/>
        <w:ind w:firstLine="480" w:firstLineChars="200"/>
        <w:jc w:val="right"/>
        <w:rPr>
          <w:rFonts w:hint="eastAsia" w:ascii="宋体" w:hAnsi="宋体" w:cs="宋体"/>
          <w:color w:val="auto"/>
          <w:highlight w:val="none"/>
        </w:rPr>
      </w:pPr>
      <w:r>
        <w:rPr>
          <w:rFonts w:hint="eastAsia" w:ascii="宋体" w:hAnsi="宋体" w:cs="宋体"/>
          <w:color w:val="auto"/>
          <w:highlight w:val="none"/>
        </w:rPr>
        <w:t>日期：</w:t>
      </w:r>
      <w:r>
        <w:rPr>
          <w:rFonts w:hint="eastAsia" w:ascii="宋体" w:hAnsi="宋体" w:cs="宋体"/>
          <w:highlight w:val="none"/>
          <w:u w:val="single"/>
        </w:rPr>
        <w:t xml:space="preserve">      </w:t>
      </w:r>
      <w:r>
        <w:rPr>
          <w:rFonts w:hint="eastAsia" w:ascii="宋体" w:hAnsi="宋体" w:cs="宋体"/>
          <w:color w:val="auto"/>
          <w:highlight w:val="none"/>
        </w:rPr>
        <w:t>年</w:t>
      </w:r>
      <w:r>
        <w:rPr>
          <w:rFonts w:hint="eastAsia" w:ascii="宋体" w:hAnsi="宋体" w:cs="宋体"/>
          <w:highlight w:val="none"/>
          <w:u w:val="single"/>
        </w:rPr>
        <w:t xml:space="preserve">    </w:t>
      </w:r>
      <w:r>
        <w:rPr>
          <w:rFonts w:hint="eastAsia" w:ascii="宋体" w:hAnsi="宋体" w:cs="宋体"/>
          <w:color w:val="auto"/>
          <w:highlight w:val="none"/>
        </w:rPr>
        <w:t>月</w:t>
      </w:r>
      <w:r>
        <w:rPr>
          <w:rFonts w:hint="eastAsia" w:ascii="宋体" w:hAnsi="宋体" w:cs="宋体"/>
          <w:highlight w:val="none"/>
          <w:u w:val="single"/>
        </w:rPr>
        <w:t xml:space="preserve">    </w:t>
      </w:r>
      <w:r>
        <w:rPr>
          <w:rFonts w:hint="eastAsia" w:ascii="宋体" w:hAnsi="宋体" w:cs="宋体"/>
          <w:color w:val="auto"/>
          <w:highlight w:val="none"/>
        </w:rPr>
        <w:t>日</w:t>
      </w:r>
    </w:p>
    <w:p>
      <w:pPr>
        <w:spacing w:line="360" w:lineRule="auto"/>
        <w:jc w:val="center"/>
        <w:outlineLvl w:val="0"/>
        <w:rPr>
          <w:rFonts w:hint="eastAsia" w:ascii="宋体" w:hAnsi="宋体" w:cs="宋体"/>
          <w:b/>
          <w:bCs/>
          <w:sz w:val="44"/>
          <w:szCs w:val="44"/>
          <w:highlight w:val="none"/>
        </w:rPr>
      </w:pPr>
      <w:r>
        <w:rPr>
          <w:rFonts w:hint="eastAsia" w:ascii="宋体" w:hAnsi="宋体" w:cs="宋体"/>
          <w:bCs/>
          <w:sz w:val="24"/>
          <w:highlight w:val="none"/>
        </w:rPr>
        <w:br w:type="page"/>
      </w:r>
      <w:r>
        <w:rPr>
          <w:rFonts w:hint="eastAsia" w:ascii="宋体" w:hAnsi="宋体" w:cs="宋体"/>
          <w:b/>
          <w:bCs/>
          <w:sz w:val="44"/>
          <w:szCs w:val="44"/>
          <w:highlight w:val="none"/>
        </w:rPr>
        <w:t>幸福99丰裕固收763天25076期理财产品说明书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sz w:val="24"/>
          <w:highlight w:val="none"/>
        </w:rPr>
        <w:t>:</w:t>
      </w:r>
      <w:r>
        <w:rPr>
          <w:rFonts w:hint="eastAsia" w:ascii="宋体" w:hAnsi="宋体" w:cs="宋体"/>
          <w:bCs/>
          <w:sz w:val="24"/>
          <w:highlight w:val="none"/>
        </w:rPr>
        <w:t>〖</w:t>
      </w:r>
      <w:r>
        <w:rPr>
          <w:rFonts w:hint="eastAsia" w:ascii="宋体" w:hAnsi="宋体" w:cs="宋体"/>
          <w:color w:val="000000"/>
          <w:sz w:val="24"/>
          <w:highlight w:val="none"/>
        </w:rPr>
        <w:t>Z7002225000126</w:t>
      </w:r>
      <w:r>
        <w:rPr>
          <w:rFonts w:hint="eastAsia" w:ascii="宋体" w:hAnsi="宋体" w:cs="宋体"/>
          <w:bCs/>
          <w:sz w:val="24"/>
          <w:highlight w:val="none"/>
        </w:rPr>
        <w:t>〗</w:t>
      </w:r>
    </w:p>
    <w:p>
      <w:pPr>
        <w:spacing w:line="360" w:lineRule="auto"/>
        <w:jc w:val="center"/>
        <w:rPr>
          <w:rFonts w:hint="eastAsia" w:ascii="宋体" w:hAnsi="宋体" w:cs="宋体"/>
          <w:bCs/>
          <w:sz w:val="24"/>
          <w:highlight w:val="none"/>
        </w:rPr>
      </w:pPr>
    </w:p>
    <w:p>
      <w:pPr>
        <w:numPr>
          <w:ilvl w:val="0"/>
          <w:numId w:val="9"/>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投资协议书》《风险揭示书》《投资者权益须知》《理财计划销售协议书》，将共同构成投资者与管理人之间的理财计划销售文件。</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在本理财计划存续期内，如因监管政策或法律法规发生变化，在不损害投资者利益的前提下，管理人有权对因上述变化导致的本理财计划说明书条款变化进行修订。</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10"/>
        </w:numPr>
        <w:spacing w:line="360" w:lineRule="auto"/>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hint="eastAsia" w:ascii="宋体" w:hAnsi="宋体" w:cs="宋体"/>
          <w:bCs/>
          <w:sz w:val="24"/>
          <w:highlight w:val="none"/>
        </w:rPr>
      </w:pPr>
    </w:p>
    <w:p>
      <w:pPr>
        <w:numPr>
          <w:ilvl w:val="0"/>
          <w:numId w:val="11"/>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https://www.hzbankwealth.com.cn。</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rPr>
          <w:rFonts w:hint="eastAsia" w:ascii="宋体" w:hAnsi="宋体" w:cs="宋体"/>
          <w:bCs/>
          <w:color w:val="auto"/>
          <w:kern w:val="2"/>
          <w:highlight w:val="none"/>
          <w:u w:val="single"/>
        </w:rPr>
        <w:instrText xml:space="preserve"> HYPERLINK "http://www.hzbank.com.cn" </w:instrText>
      </w:r>
      <w:r>
        <w:fldChar w:fldCharType="separate"/>
      </w:r>
      <w:r>
        <w:rPr>
          <w:rFonts w:hint="eastAsia" w:ascii="宋体" w:hAnsi="宋体" w:cs="宋体"/>
          <w:bCs/>
          <w:color w:val="auto"/>
          <w:kern w:val="2"/>
          <w:highlight w:val="none"/>
          <w:u w:val="single"/>
        </w:rPr>
        <w:t>www.hzbank.com.cn</w:t>
      </w:r>
      <w:r>
        <w:fldChar w:fldCharType="end"/>
      </w:r>
      <w:r>
        <w:rPr>
          <w:rFonts w:hint="eastAsia" w:ascii="宋体" w:hAnsi="宋体" w:cs="宋体"/>
          <w:bCs/>
          <w:color w:val="auto"/>
          <w:kern w:val="2"/>
          <w:highlight w:val="none"/>
        </w:rPr>
        <w:t>，客服热线为95398。</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13"/>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国家金融监督管理总局、中国证券监督管理委员会、外汇管理局、银行业理财登记托管中心等。</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指《幸福99丰裕固收763天25076期理财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指作为幸福99丰裕固收763天25076期理财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指作为幸福99丰裕固收763天25076期理财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指作为幸福99丰裕固收763天25076期理财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指作为幸福99丰裕固收763天25076期理财合同不可分割组成部分的理财计划销售协议书，以及对该文件的有效修改与补充。</w:t>
      </w:r>
    </w:p>
    <w:p>
      <w:pPr>
        <w:pStyle w:val="14"/>
        <w:numPr>
          <w:ilvl w:val="0"/>
          <w:numId w:val="14"/>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指《理财计划风险揭示书》《理财计划产品说明书》《投资者权益须知》《理财计划投资协议书》《理财计划销售协议书》五个部分。</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指幸福99丰裕固收763天25076期理财</w:t>
      </w:r>
      <w:r>
        <w:rPr>
          <w:rFonts w:hint="eastAsia" w:ascii="宋体" w:hAnsi="宋体" w:cs="宋体"/>
          <w:bCs/>
          <w:highlight w:val="none"/>
        </w:rPr>
        <w:t>。</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15"/>
        </w:numPr>
        <w:adjustRightInd/>
        <w:spacing w:line="360" w:lineRule="auto"/>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指上海证券交易所、深圳证券交易所的正常交易日。如涉及到监管条例部分，统一以监管条例表述替代。</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如因国家相关主管部门临时调整节假日安排，导致原定成立日、到期日、估值日等日期安排发生变化的，原则上采用顺延方式对原定日期进行调整，如有特殊安排，以管理人对外披露的公告为准。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15"/>
        </w:numPr>
        <w:adjustRightInd/>
        <w:spacing w:line="360" w:lineRule="auto"/>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numPr>
          <w:ilvl w:val="0"/>
          <w:numId w:val="15"/>
        </w:numPr>
        <w:adjustRightInd/>
        <w:spacing w:line="360" w:lineRule="auto"/>
        <w:ind w:left="0" w:firstLine="0"/>
        <w:rPr>
          <w:rFonts w:hint="eastAsia" w:ascii="宋体" w:hAnsi="宋体" w:cs="宋体"/>
          <w:b/>
          <w:color w:val="auto"/>
          <w:kern w:val="2"/>
          <w:highlight w:val="none"/>
        </w:rPr>
      </w:pPr>
      <w:r>
        <w:rPr>
          <w:rFonts w:hint="eastAsia" w:ascii="宋体" w:hAnsi="宋体" w:cs="宋体"/>
          <w:b/>
          <w:bCs w:val="0"/>
          <w:color w:val="auto"/>
          <w:kern w:val="2"/>
          <w:highlight w:val="none"/>
          <w:lang w:val="en-US" w:eastAsia="zh-CN"/>
        </w:rPr>
        <w:t>流动性</w:t>
      </w:r>
      <w:r>
        <w:rPr>
          <w:rFonts w:hint="eastAsia"/>
          <w:b/>
          <w:bCs w:val="0"/>
          <w:highlight w:val="none"/>
          <w:lang w:val="en-US" w:eastAsia="zh-CN"/>
        </w:rPr>
        <w:t>受限资产：</w:t>
      </w:r>
      <w:r>
        <w:rPr>
          <w:rFonts w:hint="eastAsia"/>
          <w:highlight w:val="none"/>
          <w:lang w:val="en-US" w:eastAsia="zh-CN"/>
        </w:rPr>
        <w:t>是指由于法律法规、监管、合同或操作障碍等原因无法以合理价格予以变现的资产，包括到期日在</w:t>
      </w:r>
      <w:r>
        <w:rPr>
          <w:rFonts w:hint="eastAsia" w:ascii="宋体" w:hAnsi="宋体" w:eastAsia="宋体" w:cs="宋体"/>
          <w:highlight w:val="none"/>
          <w:lang w:val="en-US" w:eastAsia="zh-CN"/>
        </w:rPr>
        <w:t>10</w:t>
      </w:r>
      <w:r>
        <w:rPr>
          <w:rFonts w:hint="eastAsia"/>
          <w:highlight w:val="none"/>
          <w:lang w:val="en-US" w:eastAsia="zh-CN"/>
        </w:rPr>
        <w:t>个交易日以上的逆回购与银行定期存款（含协议约定有条件提前支取的银行存款）、距可赎回日在</w:t>
      </w:r>
      <w:r>
        <w:rPr>
          <w:rFonts w:hint="eastAsia" w:ascii="宋体" w:hAnsi="宋体" w:eastAsia="宋体" w:cs="宋体"/>
          <w:highlight w:val="none"/>
          <w:lang w:val="en-US" w:eastAsia="zh-CN"/>
        </w:rPr>
        <w:t>10</w:t>
      </w:r>
      <w:r>
        <w:rPr>
          <w:rFonts w:hint="eastAsia"/>
          <w:highlight w:val="none"/>
          <w:lang w:val="en-US" w:eastAsia="zh-CN"/>
        </w:rPr>
        <w:t>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numPr>
          <w:ilvl w:val="0"/>
          <w:numId w:val="12"/>
        </w:numPr>
        <w:adjustRightInd/>
        <w:spacing w:line="360" w:lineRule="auto"/>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16"/>
        </w:numPr>
        <w:adjustRightInd/>
        <w:spacing w:line="360" w:lineRule="auto"/>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numPr>
          <w:ilvl w:val="0"/>
          <w:numId w:val="1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4"/>
        <w:numPr>
          <w:ilvl w:val="0"/>
          <w:numId w:val="17"/>
        </w:numPr>
        <w:adjustRightInd/>
        <w:spacing w:line="360" w:lineRule="auto"/>
        <w:ind w:firstLine="482" w:firstLineChars="200"/>
        <w:rPr>
          <w:rFonts w:hint="eastAsia" w:ascii="宋体" w:hAnsi="宋体" w:cs="宋体"/>
          <w:b/>
          <w:bCs w:val="0"/>
          <w:color w:val="auto"/>
          <w:kern w:val="2"/>
          <w:highlight w:val="none"/>
        </w:rPr>
      </w:pPr>
      <w:r>
        <w:rPr>
          <w:rFonts w:hint="eastAsia" w:ascii="宋体" w:hAnsi="宋体" w:cs="宋体"/>
          <w:b/>
          <w:bCs w:val="0"/>
          <w:color w:val="auto"/>
          <w:kern w:val="2"/>
          <w:highlight w:val="none"/>
          <w:lang w:val="en-US" w:eastAsia="zh-CN"/>
        </w:rPr>
        <w:t>摆动定价机制：</w:t>
      </w:r>
      <w:r>
        <w:rPr>
          <w:rFonts w:hint="eastAsia" w:ascii="宋体" w:hAnsi="宋体" w:cs="宋体"/>
          <w:b w:val="0"/>
          <w:bCs/>
          <w:color w:val="auto"/>
          <w:kern w:val="2"/>
          <w:highlight w:val="none"/>
          <w:lang w:val="en-US" w:eastAsia="zh-CN"/>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4"/>
        <w:numPr>
          <w:ilvl w:val="0"/>
          <w:numId w:val="17"/>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bCs w:val="0"/>
          <w:color w:val="auto"/>
          <w:kern w:val="2"/>
          <w:highlight w:val="none"/>
          <w:lang w:val="en-US" w:eastAsia="zh-CN"/>
        </w:rPr>
        <w:t>短期赎回费机制：</w:t>
      </w:r>
      <w:r>
        <w:rPr>
          <w:rFonts w:hint="eastAsia" w:ascii="宋体" w:hAnsi="宋体" w:cs="宋体"/>
          <w:b w:val="0"/>
          <w:bCs/>
          <w:color w:val="auto"/>
          <w:kern w:val="2"/>
          <w:highlight w:val="none"/>
          <w:lang w:val="en-US" w:eastAsia="zh-CN"/>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w:t>
      </w:r>
      <w:r>
        <w:rPr>
          <w:rFonts w:hint="eastAsia" w:ascii="宋体" w:hAnsi="宋体" w:cs="宋体"/>
          <w:b/>
          <w:highlight w:val="none"/>
        </w:rPr>
        <w:t>R2</w:t>
      </w:r>
      <w:r>
        <w:rPr>
          <w:rFonts w:hint="eastAsia" w:ascii="宋体" w:hAnsi="宋体" w:cs="宋体"/>
          <w:b/>
          <w:color w:val="auto"/>
          <w:kern w:val="2"/>
          <w:highlight w:val="none"/>
        </w:rPr>
        <w:t>〗，〖</w:t>
      </w:r>
      <w:r>
        <w:rPr>
          <w:rFonts w:hint="eastAsia" w:ascii="宋体" w:hAnsi="宋体" w:cs="宋体"/>
          <w:b/>
          <w:highlight w:val="none"/>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50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内部风险评级</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风险程度</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R1</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R2</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中低</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R3</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R4</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中高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7"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R5</w:t>
            </w:r>
          </w:p>
        </w:tc>
        <w:tc>
          <w:tcPr>
            <w:tcW w:w="1502"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高</w:t>
            </w:r>
          </w:p>
        </w:tc>
        <w:tc>
          <w:tcPr>
            <w:tcW w:w="5163" w:type="dxa"/>
            <w:noWrap w:val="0"/>
            <w:vAlign w:val="top"/>
          </w:tcPr>
          <w:p>
            <w:pPr>
              <w:pStyle w:val="14"/>
              <w:widowControl w:val="0"/>
              <w:autoSpaceDE w:val="0"/>
              <w:autoSpaceDN w:val="0"/>
              <w:adjustRightInd/>
              <w:spacing w:line="360" w:lineRule="auto"/>
              <w:jc w:val="center"/>
              <w:rPr>
                <w:rFonts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hint="eastAsia" w:ascii="宋体" w:hAnsi="宋体" w:cs="宋体"/>
          <w:bCs/>
          <w:color w:val="auto"/>
          <w:kern w:val="2"/>
          <w:highlight w:val="none"/>
        </w:rPr>
      </w:pPr>
    </w:p>
    <w:p>
      <w:pPr>
        <w:pStyle w:val="14"/>
        <w:numPr>
          <w:ilvl w:val="0"/>
          <w:numId w:val="18"/>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8"/>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产品名称</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幸福99丰裕固收763天25076期理财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产品简称</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丰裕固收25076期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产品编号</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〖FYG25076〗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登记编码</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本理财计划在全国银行业理财信息登记系统的登记编码是〖Z7002225000126〗，投资者可依据该编码在“中国理财网（www.chinawealth.com.cn）”查询本理财计划信息。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发行对象</w:t>
            </w:r>
          </w:p>
        </w:tc>
        <w:tc>
          <w:tcPr>
            <w:tcW w:w="7185" w:type="dxa"/>
            <w:noWrap w:val="0"/>
            <w:vAlign w:val="center"/>
          </w:tcPr>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本理财计划适合</w:t>
            </w:r>
            <w:r>
              <w:rPr>
                <w:rFonts w:hint="eastAsia" w:ascii="宋体" w:hAnsi="宋体" w:eastAsia="宋体" w:cs="宋体"/>
                <w:b/>
                <w:kern w:val="2"/>
                <w:sz w:val="21"/>
                <w:szCs w:val="21"/>
                <w:highlight w:val="none"/>
                <w:lang w:val="en-US" w:eastAsia="zh-CN" w:bidi="ar-SA"/>
              </w:rPr>
              <w:t>〖</w:t>
            </w:r>
            <w:r>
              <w:rPr>
                <w:rFonts w:hint="eastAsia" w:ascii="宋体" w:hAnsi="宋体" w:eastAsia="宋体" w:cs="宋体"/>
                <w:b/>
                <w:color w:val="000000"/>
                <w:kern w:val="2"/>
                <w:sz w:val="21"/>
                <w:szCs w:val="21"/>
                <w:highlight w:val="none"/>
                <w:lang w:val="en-US" w:eastAsia="zh-CN" w:bidi="ar-SA"/>
              </w:rPr>
              <w:t>机构投资者〗以及〖稳健型、平衡型、成长型、进取型〗的个人投资者。</w:t>
            </w:r>
            <w:r>
              <w:rPr>
                <w:rFonts w:hint="eastAsia" w:ascii="宋体" w:hAnsi="宋体" w:eastAsia="宋体" w:cs="宋体"/>
                <w:bCs/>
                <w:kern w:val="2"/>
                <w:sz w:val="21"/>
                <w:szCs w:val="24"/>
                <w:highlight w:val="none"/>
                <w:lang w:val="en-US" w:eastAsia="zh-CN" w:bidi="ar-SA"/>
              </w:rPr>
              <w:t>投资者风险承受能力评级水平以销售机构评估为准。</w:t>
            </w:r>
          </w:p>
          <w:p>
            <w:pPr>
              <w:widowControl/>
              <w:spacing w:line="300" w:lineRule="auto"/>
              <w:contextualSpacing/>
              <w:jc w:val="both"/>
              <w:rPr>
                <w:rFonts w:hint="eastAsia" w:ascii="宋体" w:hAnsi="宋体" w:eastAsia="宋体" w:cs="黑体"/>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其中：</w:t>
            </w:r>
            <w:r>
              <w:rPr>
                <w:rFonts w:hint="eastAsia" w:ascii="宋体" w:hAnsi="宋体" w:eastAsia="宋体" w:cs="黑体"/>
                <w:color w:val="000000"/>
                <w:kern w:val="2"/>
                <w:sz w:val="21"/>
                <w:szCs w:val="21"/>
                <w:highlight w:val="none"/>
                <w:lang w:val="en-US" w:eastAsia="zh-CN" w:bidi="ar-SA"/>
              </w:rPr>
              <w:t xml:space="preserve"> </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bCs/>
                <w:color w:val="000000"/>
                <w:kern w:val="2"/>
                <w:sz w:val="21"/>
                <w:szCs w:val="21"/>
                <w:highlight w:val="none"/>
                <w:lang w:val="en-US" w:eastAsia="zh-CN" w:bidi="ar-SA"/>
              </w:rPr>
              <w:t>A份额（销售代码〖FYG25076A〗）：代销机构所有个人及机构客户。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B份额（销售代码〖FYG25076B〗）：部分代销机构客户。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C份额（销售代码〖FYG25076C〗）：部分代销机构客户。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D份额（销售代码〖FYG25076D〗）：部分代销机构客户。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E份额(幸福金桂)（销售代码〖FYG25076E〗）：部分代销机构客户。</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F份额(幸福金桂)（销售代码〖FYG25076F〗）：部分代销机构客户 。</w:t>
            </w:r>
            <w:r>
              <w:rPr>
                <w:rFonts w:hint="eastAsia" w:ascii="宋体" w:hAnsi="宋体" w:eastAsia="宋体" w:cs="宋体"/>
                <w:bCs/>
                <w:color w:val="000000"/>
                <w:kern w:val="2"/>
                <w:sz w:val="21"/>
                <w:szCs w:val="21"/>
                <w:highlight w:val="none"/>
                <w:lang w:val="en-US" w:eastAsia="zh-CN" w:bidi="ar-SA"/>
              </w:rPr>
              <w:br w:type="textWrapping"/>
            </w:r>
            <w:r>
              <w:rPr>
                <w:rFonts w:hint="eastAsia" w:ascii="宋体" w:hAnsi="宋体" w:eastAsia="宋体" w:cs="宋体"/>
                <w:bCs/>
                <w:color w:val="000000"/>
                <w:kern w:val="2"/>
                <w:sz w:val="21"/>
                <w:szCs w:val="21"/>
                <w:highlight w:val="none"/>
                <w:lang w:val="en-US" w:eastAsia="zh-CN" w:bidi="ar-SA"/>
              </w:rPr>
              <w:t>I份额（爽银优选）（销售代码〖FYG25076I〗）：部分代销机构客户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产品类型</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〖固定收益类〗</w:t>
            </w:r>
            <w:r>
              <w:rPr>
                <w:rFonts w:hint="eastAsia" w:ascii="宋体" w:hAnsi="宋体" w:eastAsia="宋体" w:cs="宋体"/>
                <w:color w:val="000000"/>
                <w:kern w:val="2"/>
                <w:sz w:val="21"/>
                <w:szCs w:val="21"/>
                <w:highlight w:val="none"/>
                <w:lang w:val="en-US" w:eastAsia="zh-CN" w:bidi="ar-SA"/>
              </w:rPr>
              <w:t>，非保本浮动收益型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运作模式</w:t>
            </w:r>
          </w:p>
        </w:tc>
        <w:tc>
          <w:tcPr>
            <w:tcW w:w="7185" w:type="dxa"/>
            <w:noWrap w:val="0"/>
            <w:vAlign w:val="center"/>
          </w:tcPr>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分级产品</w:t>
            </w:r>
          </w:p>
        </w:tc>
        <w:tc>
          <w:tcPr>
            <w:tcW w:w="7185" w:type="dxa"/>
            <w:noWrap w:val="0"/>
            <w:vAlign w:val="center"/>
          </w:tcPr>
          <w:p>
            <w:pPr>
              <w:widowControl/>
              <w:spacing w:line="360" w:lineRule="auto"/>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销售范围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全国</w:t>
            </w:r>
            <w:r>
              <w:rPr>
                <w:rFonts w:hint="eastAsia" w:ascii="宋体" w:hAnsi="宋体" w:eastAsia="宋体" w:cs="宋体"/>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可通过杭银理财直销渠道和代理销售机构的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营业网点、网上银行、手机银行</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交易币种</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发行规模上限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〖2025〗年〖4〗月〖10〗日-〖2025〗年〖4〗月〖16〗日</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认购时间</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认购期首日〖9：00〗至认购结束日〖17：00〗</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成立日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〖2025〗年〖4〗月〖17〗日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到期日</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〖2027〗年〖5〗月〖20〗日，若到期日为非工作日则顺延至下一个工作日。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理财期限</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〖763〗天（实际理财期限受制于管理人提前终止权等条款）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认购起点金额</w:t>
            </w:r>
          </w:p>
        </w:tc>
        <w:tc>
          <w:tcPr>
            <w:tcW w:w="7185" w:type="dxa"/>
            <w:noWrap w:val="0"/>
            <w:vAlign w:val="center"/>
          </w:tcPr>
          <w:p>
            <w:pPr>
              <w:widowControl/>
              <w:spacing w:line="360" w:lineRule="auto"/>
              <w:contextualSpacing/>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〖A份额〗起点〖1〗元整，超过认购起点部分，应为〖1〗元的整数倍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〖B份额〗起点〖1〗元整，超过认购起点部分，应为〖1〗元的整数倍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〖C份额〗起点〖1〗元整，超过认购起点部分，应为〖1〗元的整数倍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〖D份额〗起点〖1〗元整，超过认购起点部分，应为〖1〗元的整数倍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〖E份额〗起点〖1〗元整，超过认购起点部分，应为〖1〗元的整数倍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〖F份额〗起点〖1〗元整，超过认购起点部分，应为〖1〗元的整数倍</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〖I份额〗起点〖1〗元整，超过认购起点部分，应为〖1〗元的整数倍</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产品成立</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eastAsia="宋体" w:cs="宋体"/>
                <w:kern w:val="2"/>
                <w:sz w:val="21"/>
                <w:szCs w:val="21"/>
                <w:highlight w:val="none"/>
                <w:lang w:val="en-US" w:eastAsia="zh-CN" w:bidi="ar-SA"/>
              </w:rPr>
              <w:t>〖3000〗</w:t>
            </w:r>
            <w:r>
              <w:rPr>
                <w:rFonts w:hint="eastAsia" w:ascii="宋体" w:hAnsi="宋体" w:eastAsia="宋体" w:cs="宋体"/>
                <w:color w:val="000000"/>
                <w:kern w:val="2"/>
                <w:sz w:val="21"/>
                <w:szCs w:val="21"/>
                <w:highlight w:val="none"/>
                <w:lang w:val="en-US" w:eastAsia="zh-CN" w:bidi="ar-SA"/>
              </w:rPr>
              <w:t>万元，则管理人可宣布本理财计划不成立并在原定理财计划成立日后</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color w:val="000000"/>
                <w:kern w:val="2"/>
                <w:sz w:val="21"/>
                <w:szCs w:val="21"/>
                <w:highlight w:val="none"/>
                <w:lang w:val="en-US" w:eastAsia="zh-CN" w:bidi="ar-SA"/>
              </w:rPr>
              <w:t>个工作日内通过管理人或销售机构发布不成立信息，投资者购买的理财资金将在原定成立日后2个工作日内划转至投资者指定理财账户，</w:t>
            </w:r>
            <w:r>
              <w:rPr>
                <w:rFonts w:hint="eastAsia" w:ascii="宋体" w:hAnsi="宋体" w:eastAsia="宋体" w:cs="宋体"/>
                <w:b/>
                <w:color w:val="000000"/>
                <w:kern w:val="2"/>
                <w:sz w:val="21"/>
                <w:szCs w:val="21"/>
                <w:highlight w:val="none"/>
                <w:lang w:val="en-US" w:eastAsia="zh-CN" w:bidi="ar-SA"/>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单户限额</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单户持有份额不得超过理财计划总份额的50%。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单位净值=理财计划估值日理财计划总净值÷理财计划总份额，单位净值保留小数点后四位，四舍五入。</w:t>
            </w:r>
          </w:p>
          <w:p>
            <w:pPr>
              <w:widowControl/>
              <w:spacing w:line="360" w:lineRule="auto"/>
              <w:contextualSpacing/>
              <w:jc w:val="both"/>
              <w:rPr>
                <w:rFonts w:hint="eastAsia" w:ascii="宋体" w:hAnsi="宋体" w:eastAsia="宋体" w:cs="宋体"/>
                <w:b/>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理财计划总净值=理财计划认购总额+理财计划所获总收益-理财计划总费用（包括但不限于固定管理费、托管费、销售服务费、浮动管理费等）。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资金与收益支付方式</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理财计划到期后，最快</w:t>
            </w:r>
            <w:r>
              <w:rPr>
                <w:rFonts w:hint="eastAsia" w:ascii="宋体" w:hAnsi="宋体" w:eastAsia="宋体" w:cs="宋体"/>
                <w:kern w:val="2"/>
                <w:sz w:val="21"/>
                <w:szCs w:val="21"/>
                <w:highlight w:val="none"/>
                <w:lang w:val="en-US" w:eastAsia="zh-CN" w:bidi="ar-SA"/>
              </w:rPr>
              <w:t>〖1〗</w:t>
            </w:r>
            <w:r>
              <w:rPr>
                <w:rFonts w:hint="eastAsia" w:ascii="宋体" w:hAnsi="宋体" w:eastAsia="宋体" w:cs="宋体"/>
                <w:color w:val="000000"/>
                <w:kern w:val="2"/>
                <w:sz w:val="21"/>
                <w:szCs w:val="21"/>
                <w:highlight w:val="none"/>
                <w:lang w:val="en-US" w:eastAsia="zh-CN" w:bidi="ar-SA"/>
              </w:rPr>
              <w:t>个工作日，最晚</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color w:val="000000"/>
                <w:kern w:val="2"/>
                <w:sz w:val="21"/>
                <w:szCs w:val="21"/>
                <w:highlight w:val="none"/>
                <w:lang w:val="en-US" w:eastAsia="zh-CN" w:bidi="ar-SA"/>
              </w:rPr>
              <w:t>个工作日内（遇节假日顺延）支付。如遇资金在途或法定工作日调整，实际资金到账日以公告为准。</w:t>
            </w:r>
            <w:r>
              <w:rPr>
                <w:rFonts w:hint="eastAsia" w:ascii="宋体" w:hAnsi="宋体" w:eastAsia="宋体" w:cs="宋体"/>
                <w:color w:val="000000"/>
                <w:kern w:val="0"/>
                <w:sz w:val="21"/>
                <w:szCs w:val="21"/>
                <w:highlight w:val="none"/>
                <w:lang w:val="en-US" w:eastAsia="zh-CN" w:bidi="ar-SA"/>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业绩比较基准</w:t>
            </w:r>
          </w:p>
        </w:tc>
        <w:tc>
          <w:tcPr>
            <w:tcW w:w="7185" w:type="dxa"/>
            <w:noWrap w:val="0"/>
            <w:vAlign w:val="center"/>
          </w:tcPr>
          <w:p>
            <w:pPr>
              <w:widowControl/>
              <w:spacing w:line="360"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本理财计划〖A份额〗业绩比较基准为〖2.65%-2.95%〗（年化）。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本理财计划〖B份额〗业绩比较基准为〖2.75%-3.05%〗（年化）。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本理财计划〖C份额〗业绩比较基准为〖2.85%-3.15%〗（年化）。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本理财计划〖D份额〗业绩比较基准为〖2.80%-3.10%〗（年化）。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本理财计划〖E份额〗业绩比较基准为〖2.75%-3.05%〗（年化）。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本理财计划〖F份额〗业绩比较基准为〖2.80%-3.10%〗（年化）。</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本理财计划〖I份额〗业绩比较基准为〖2.65%-2.95%〗（年化）。</w:t>
            </w:r>
          </w:p>
          <w:p>
            <w:pPr>
              <w:widowControl/>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业绩基准测算依据：本理财计划重点投资于货币市场工具、债券、非标准化债权类资产等资产，管理人根据固定收益市场历史表现，结合当前利率水平、资产配比及市场同类型产品情况，经综合判断得出。</w:t>
            </w:r>
          </w:p>
          <w:p>
            <w:pPr>
              <w:widowControl/>
              <w:spacing w:line="360" w:lineRule="auto"/>
              <w:jc w:val="left"/>
              <w:rPr>
                <w:rFonts w:hint="eastAsia" w:ascii="宋体" w:hAnsi="宋体" w:eastAsia="宋体" w:cs="宋体"/>
                <w:b/>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管理人有权根据市场情况及理财计划运作情况调整业绩基准，并至少于新业绩基准启用前</w:t>
            </w:r>
            <w:r>
              <w:rPr>
                <w:rFonts w:hint="eastAsia" w:ascii="宋体" w:hAnsi="宋体" w:eastAsia="宋体" w:cs="宋体"/>
                <w:kern w:val="0"/>
                <w:sz w:val="21"/>
                <w:szCs w:val="24"/>
                <w:highlight w:val="none"/>
                <w:lang w:val="en-US" w:eastAsia="zh-CN" w:bidi="ar-SA"/>
              </w:rPr>
              <w:t>〖2〗</w:t>
            </w:r>
            <w:r>
              <w:rPr>
                <w:rFonts w:hint="eastAsia" w:ascii="宋体" w:hAnsi="宋体" w:eastAsia="宋体" w:cs="宋体"/>
                <w:kern w:val="2"/>
                <w:sz w:val="21"/>
                <w:szCs w:val="21"/>
                <w:highlight w:val="none"/>
                <w:lang w:val="en-US" w:eastAsia="zh-CN" w:bidi="ar-SA"/>
              </w:rPr>
              <w:t>个工作日公告。</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本理财计划为净值型理财产品，其业绩表现将随市场波动具有不确定性。本公司提醒投资者关注，业绩比较基准不是预期收益率，并不代表理财计划的未来表现和实际收益率，不构成对理财计划收益的承诺。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产品费用</w:t>
            </w:r>
          </w:p>
        </w:tc>
        <w:tc>
          <w:tcPr>
            <w:tcW w:w="7185" w:type="dxa"/>
            <w:noWrap w:val="0"/>
            <w:vAlign w:val="center"/>
          </w:tcPr>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1.销售服务费：〖A份额〗收取年化〖0.30%〗的销售服务费, 〖B份额〗收取年化〖0.20%〗的销售服务费, 〖C份额〗收取年化〖0.10%〗的销售服务费, 〖D份额〗收取年化〖0.15%〗的销售服务费, 〖E份额〗收取年化〖0.20%〗的销售服务费, 〖F份额〗收取年化〖0.15%〗的销售服务费, 〖I份额〗收取年化〖0.30%〗的销售服务费。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2.托管费：收取年化</w:t>
            </w:r>
            <w:r>
              <w:rPr>
                <w:rFonts w:hint="eastAsia" w:ascii="宋体" w:hAnsi="宋体" w:eastAsia="宋体" w:cs="宋体"/>
                <w:kern w:val="2"/>
                <w:sz w:val="21"/>
                <w:szCs w:val="21"/>
                <w:highlight w:val="none"/>
                <w:lang w:val="en-US" w:eastAsia="zh-CN" w:bidi="ar-SA"/>
              </w:rPr>
              <w:t>〖0.025%〗</w:t>
            </w:r>
            <w:r>
              <w:rPr>
                <w:rFonts w:hint="eastAsia" w:ascii="宋体" w:hAnsi="宋体" w:eastAsia="宋体" w:cs="宋体"/>
                <w:color w:val="000000"/>
                <w:kern w:val="2"/>
                <w:sz w:val="21"/>
                <w:szCs w:val="21"/>
                <w:highlight w:val="none"/>
                <w:lang w:val="en-US" w:eastAsia="zh-CN" w:bidi="ar-SA"/>
              </w:rPr>
              <w:t>的托管费。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3.固定管理费：〖A份额〗收取年化〖0.20%〗的固定管理费, 〖B份额〗收取年化〖0.20%〗的固定管理费, 〖C份额〗收取年化〖0.20%〗的固定管理费, 〖D份额〗收取年化〖0.20%〗的固定管理费, 〖E份额〗收取年化〖0.20%〗的固定管理费, 〖F份额〗收取年化〖0.20%〗的固定管理费, 〖I份额〗收取年化〖0.20%〗的固定管理费。</w:t>
            </w:r>
          </w:p>
          <w:p>
            <w:pPr>
              <w:widowControl/>
              <w:spacing w:line="360" w:lineRule="auto"/>
              <w:contextualSpacing/>
              <w:jc w:val="both"/>
              <w:rPr>
                <w:rFonts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4.认购费：本理财计划免除认购费。</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5.浮动管理费：管理人根据理财计划投资情况计算浮动管理费，本理财计划份额到期日（提前终止日）的折合年化收益率在〖业绩比较基准下限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至上限</w:t>
            </w:r>
            <w:r>
              <w:rPr>
                <w:rFonts w:hint="eastAsia" w:ascii="宋体" w:hAnsi="宋体" w:eastAsia="宋体" w:cs="宋体"/>
                <w:kern w:val="2"/>
                <w:sz w:val="21"/>
                <w:szCs w:val="21"/>
                <w:highlight w:val="none"/>
                <w:lang w:val="en-US" w:eastAsia="zh-CN" w:bidi="ar-SA"/>
              </w:rPr>
              <w:t>（含）</w:t>
            </w:r>
            <w:r>
              <w:rPr>
                <w:rFonts w:hint="eastAsia" w:ascii="宋体" w:hAnsi="宋体" w:eastAsia="宋体" w:cs="宋体"/>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〖50%〗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,在超过〖</w:t>
            </w:r>
            <w:r>
              <w:rPr>
                <w:rFonts w:hint="eastAsia" w:ascii="宋体" w:hAnsi="宋体" w:eastAsia="宋体" w:cs="宋体"/>
                <w:bCs/>
                <w:kern w:val="2"/>
                <w:sz w:val="21"/>
                <w:szCs w:val="21"/>
                <w:highlight w:val="none"/>
                <w:lang w:val="en-US" w:eastAsia="zh-CN" w:bidi="ar-SA"/>
              </w:rPr>
              <w:t>业绩比较基准上限</w:t>
            </w:r>
            <w:r>
              <w:rPr>
                <w:rFonts w:hint="eastAsia" w:ascii="宋体" w:hAnsi="宋体" w:eastAsia="宋体" w:cs="宋体"/>
                <w:bCs/>
                <w:color w:val="000000"/>
                <w:kern w:val="2"/>
                <w:sz w:val="21"/>
                <w:szCs w:val="21"/>
                <w:highlight w:val="none"/>
                <w:lang w:val="en-US" w:eastAsia="zh-CN" w:bidi="ar-SA"/>
              </w:rPr>
              <w:t>〗的部分,</w:t>
            </w:r>
            <w:r>
              <w:rPr>
                <w:rFonts w:hint="eastAsia" w:ascii="宋体" w:hAnsi="宋体" w:eastAsia="宋体" w:cs="宋体"/>
                <w:b/>
                <w:color w:val="000000"/>
                <w:kern w:val="2"/>
                <w:sz w:val="21"/>
                <w:szCs w:val="21"/>
                <w:highlight w:val="none"/>
                <w:lang w:val="en-US" w:eastAsia="zh-CN" w:bidi="ar-SA"/>
              </w:rPr>
              <w:t>管理人提取</w:t>
            </w:r>
            <w:r>
              <w:rPr>
                <w:rFonts w:hint="eastAsia" w:ascii="宋体" w:hAnsi="宋体" w:eastAsia="宋体" w:cs="宋体"/>
                <w:b/>
                <w:kern w:val="2"/>
                <w:sz w:val="21"/>
                <w:szCs w:val="21"/>
                <w:highlight w:val="none"/>
                <w:lang w:val="en-US" w:eastAsia="zh-CN" w:bidi="ar-SA"/>
              </w:rPr>
              <w:t>〖80%〗</w:t>
            </w:r>
            <w:r>
              <w:rPr>
                <w:rFonts w:hint="eastAsia" w:ascii="宋体" w:hAnsi="宋体" w:eastAsia="宋体" w:cs="宋体"/>
                <w:b/>
                <w:color w:val="000000"/>
                <w:kern w:val="2"/>
                <w:sz w:val="21"/>
                <w:szCs w:val="21"/>
                <w:highlight w:val="none"/>
                <w:lang w:val="en-US" w:eastAsia="zh-CN" w:bidi="ar-SA"/>
              </w:rPr>
              <w:t>作为浮动管理费</w:t>
            </w:r>
            <w:r>
              <w:rPr>
                <w:rFonts w:hint="eastAsia" w:ascii="宋体" w:hAnsi="宋体" w:eastAsia="宋体" w:cs="宋体"/>
                <w:bCs/>
                <w:color w:val="000000"/>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提前终止</w:t>
            </w:r>
          </w:p>
        </w:tc>
        <w:tc>
          <w:tcPr>
            <w:tcW w:w="7185" w:type="dxa"/>
            <w:noWrap w:val="0"/>
            <w:vAlign w:val="center"/>
          </w:tcPr>
          <w:p>
            <w:pPr>
              <w:widowControl/>
              <w:spacing w:line="360" w:lineRule="auto"/>
              <w:contextualSpacing/>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如遇国家金融政策出现重大调整并影响到本理财计划的正常运行的、市场收益率大幅波动可能或实质影响理财计划收益等情况，管理人有权提前终止本理财计划。具体参见说明书“交易规则”部分。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税费规定</w:t>
            </w:r>
          </w:p>
        </w:tc>
        <w:tc>
          <w:tcPr>
            <w:tcW w:w="7185" w:type="dxa"/>
            <w:noWrap w:val="0"/>
            <w:vAlign w:val="center"/>
          </w:tcPr>
          <w:p>
            <w:pPr>
              <w:widowControl w:val="0"/>
              <w:spacing w:line="360" w:lineRule="auto"/>
              <w:jc w:val="both"/>
              <w:outlineLvl w:val="0"/>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融资服务</w:t>
            </w:r>
          </w:p>
        </w:tc>
        <w:tc>
          <w:tcPr>
            <w:tcW w:w="7185" w:type="dxa"/>
            <w:noWrap w:val="0"/>
            <w:vAlign w:val="bottom"/>
          </w:tcPr>
          <w:p>
            <w:pPr>
              <w:widowControl w:val="0"/>
              <w:spacing w:line="360" w:lineRule="auto"/>
              <w:jc w:val="both"/>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2"/>
                <w:sz w:val="21"/>
                <w:szCs w:val="21"/>
                <w:highlight w:val="none"/>
                <w:lang w:val="en-US" w:eastAsia="zh-CN" w:bidi="ar-SA"/>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认购期内按照活期存款利率计息，认购期内的利息不计入认购本金份额。到期日（或理财计划实际终止日）到理财资金返还到账日为清算期，清算期内不计付利息。</w:t>
            </w:r>
            <w:r>
              <w:rPr>
                <w:rFonts w:hint="eastAsia" w:ascii="宋体" w:hAnsi="宋体" w:eastAsia="宋体" w:cs="宋体"/>
                <w:color w:val="000000"/>
                <w:kern w:val="0"/>
                <w:sz w:val="21"/>
                <w:szCs w:val="21"/>
                <w:highlight w:val="none"/>
                <w:lang w:val="en-US" w:eastAsia="zh-CN" w:bidi="ar-SA"/>
              </w:rPr>
              <w:t>（具体以销售机构规定为准）</w:t>
            </w:r>
          </w:p>
          <w:p>
            <w:pPr>
              <w:widowControl w:val="0"/>
              <w:spacing w:line="360" w:lineRule="auto"/>
              <w:jc w:val="both"/>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9"/>
        </w:numPr>
        <w:spacing w:line="360" w:lineRule="auto"/>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固定收益类资产：包括但不限于各类债券、存款、货币市场金融工具、债券基金、质押式及买断式回购、非标准化债权类资产，其他符合监管要求的固定收益类资产及资产管理产品。</w:t>
      </w:r>
    </w:p>
    <w:p>
      <w:pPr>
        <w:numPr>
          <w:ilvl w:val="0"/>
          <w:numId w:val="21"/>
        </w:numPr>
        <w:spacing w:line="360" w:lineRule="auto"/>
        <w:jc w:val="left"/>
        <w:rPr>
          <w:rFonts w:hint="eastAsia"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本理财计划各投资资产占总资产的配置比例如下：</w:t>
      </w:r>
      <w:r>
        <w:rPr>
          <w:rFonts w:hint="eastAsia" w:ascii="宋体" w:hAnsi="宋体" w:cs="宋体"/>
          <w:bCs/>
          <w:color w:val="FF0000"/>
          <w:sz w:val="24"/>
          <w:highlight w:val="none"/>
        </w:rPr>
        <w:t xml:space="preserve"> </w:t>
      </w:r>
    </w:p>
    <w:tbl>
      <w:tblPr>
        <w:tblStyle w:val="8"/>
        <w:tblW w:w="8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90"/>
        <w:gridCol w:w="4716"/>
        <w:gridCol w:w="17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投资资产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配置比例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restart"/>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固定收益类资产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90%-100%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vMerge w:val="continue"/>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大类资产类型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权益类资产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70" w:hRule="atLeast"/>
        </w:trPr>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特殊资产类型</w:t>
            </w:r>
          </w:p>
        </w:tc>
        <w:tc>
          <w:tcPr>
            <w:tcW w:w="4716"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非标准化债权类资产</w:t>
            </w:r>
          </w:p>
        </w:tc>
        <w:tc>
          <w:tcPr>
            <w:tcW w:w="1790" w:type="dxa"/>
            <w:noWrap w:val="0"/>
            <w:vAlign w:val="center"/>
          </w:tcPr>
          <w:p>
            <w:pPr>
              <w:widowControl w:val="0"/>
              <w:jc w:val="center"/>
              <w:textAlignment w:val="center"/>
              <w:rPr>
                <w:rFonts w:ascii="Calibri" w:hAnsi="Calibri" w:eastAsia="宋体" w:cs="黑体"/>
                <w:kern w:val="2"/>
                <w:sz w:val="21"/>
                <w:szCs w:val="24"/>
                <w:lang w:val="en-US" w:eastAsia="zh-CN" w:bidi="ar-SA"/>
              </w:rPr>
            </w:pPr>
            <w:r>
              <w:rPr>
                <w:rFonts w:ascii="宋体" w:hAnsi="宋体" w:eastAsia="宋体" w:cs="宋体"/>
                <w:kern w:val="2"/>
                <w:sz w:val="20"/>
                <w:szCs w:val="24"/>
                <w:lang w:val="en-US" w:eastAsia="zh-CN" w:bidi="ar-SA"/>
              </w:rPr>
              <w:t>0%-50%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本理财计划特殊资产类型为基于大类资产类型项下的进一步细化分类，其配置比例不得超过大类资产配置比例。</w:t>
      </w:r>
    </w:p>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rPr>
        <w:t>1个月</w:t>
      </w:r>
      <w:r>
        <w:rPr>
          <w:rFonts w:hint="eastAsia" w:ascii="宋体" w:hAnsi="宋体" w:cs="宋体"/>
          <w:highlight w:val="none"/>
        </w:rPr>
        <w:t>〗</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pStyle w:val="14"/>
        <w:adjustRightInd/>
        <w:spacing w:line="360" w:lineRule="auto"/>
        <w:ind w:firstLine="458" w:firstLineChars="190"/>
        <w:rPr>
          <w:rFonts w:ascii="宋体" w:hAnsi="宋体" w:cs="宋体"/>
          <w:b/>
          <w:bCs w:val="0"/>
          <w:color w:val="auto"/>
          <w:kern w:val="2"/>
          <w:highlight w:val="none"/>
        </w:rPr>
      </w:pPr>
      <w:r>
        <w:rPr>
          <w:rFonts w:hint="eastAsia" w:ascii="宋体" w:hAnsi="宋体" w:cs="宋体"/>
          <w:b/>
          <w:bCs w:val="0"/>
          <w:color w:val="auto"/>
          <w:kern w:val="2"/>
          <w:highlight w:val="none"/>
        </w:rPr>
        <w:t>本理财计划可以投资不存在活跃交易市场并且需要采用估值技术确定公允价值的资产，上述资产比例可以达到50%以上。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4"/>
        <w:numPr>
          <w:ilvl w:val="0"/>
          <w:numId w:val="22"/>
        </w:numPr>
        <w:adjustRightInd/>
        <w:spacing w:line="360" w:lineRule="auto"/>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14"/>
        <w:adjustRightInd/>
        <w:spacing w:line="360" w:lineRule="auto"/>
        <w:rPr>
          <w:rFonts w:ascii="宋体" w:cs="宋体"/>
          <w:sz w:val="21"/>
          <w:szCs w:val="21"/>
          <w:highlight w:val="none"/>
        </w:rPr>
      </w:pPr>
      <w:r>
        <w:rPr>
          <w:rFonts w:hint="eastAsia" w:ascii="宋体" w:hAnsi="宋体" w:cs="宋体"/>
          <w:bCs/>
          <w:color w:val="auto"/>
          <w:kern w:val="2"/>
          <w:highlight w:val="none"/>
        </w:rPr>
        <w:t xml:space="preserve">    将通过对宏观经济形势、各项国家政策、及证券市场环境的分析来判断经济周期目前的位置，主动判断市场时机进行资产配置，确定在债券、非标准化债权类资产、权益类资产等各类资产上的投资比例。</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债券投资策略</w:t>
      </w:r>
    </w:p>
    <w:p>
      <w:pPr>
        <w:pStyle w:val="14"/>
        <w:adjustRightInd/>
        <w:spacing w:line="360" w:lineRule="auto"/>
        <w:ind w:firstLine="480" w:firstLineChars="200"/>
        <w:rPr>
          <w:rFonts w:hint="eastAsia" w:ascii="宋体" w:hAnsi="宋体" w:cs="宋体"/>
          <w:bCs/>
          <w:highlight w:val="none"/>
        </w:rPr>
      </w:pPr>
      <w:r>
        <w:rPr>
          <w:rFonts w:hint="eastAsia" w:ascii="宋体" w:hAnsi="宋体" w:cs="宋体"/>
          <w:bCs/>
          <w:color w:val="auto"/>
          <w:kern w:val="2"/>
          <w:highlight w:val="none"/>
        </w:rPr>
        <w:t>管理人本着稳健投资的理念，在研究债券市场宏观环境和利率走势的基础上，严格评估信用风险，通过久期策略、骑乘策略、杠杆策略和交易策略等，配置固定收益资产及资产管理产品，力争获取稳定收益。</w:t>
      </w:r>
    </w:p>
    <w:p>
      <w:pPr>
        <w:numPr>
          <w:ilvl w:val="0"/>
          <w:numId w:val="23"/>
        </w:numPr>
        <w:spacing w:line="360" w:lineRule="auto"/>
        <w:jc w:val="left"/>
        <w:rPr>
          <w:rFonts w:hint="eastAsia" w:ascii="宋体" w:hAnsi="宋体" w:cs="宋体"/>
          <w:bCs/>
          <w:sz w:val="24"/>
          <w:highlight w:val="none"/>
        </w:rPr>
      </w:pPr>
      <w:r>
        <w:rPr>
          <w:rFonts w:hint="eastAsia" w:ascii="宋体" w:hAnsi="宋体" w:cs="宋体"/>
          <w:bCs/>
          <w:sz w:val="24"/>
          <w:highlight w:val="none"/>
        </w:rPr>
        <w:t>非标准化债权类资产投资策略</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管理人发挥自身能力优势，在合规前提下开展风险可控、期限匹配的非标准化债权类资产投资，力争获取稳定收益。</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firstLine="480" w:firstLineChars="200"/>
        <w:jc w:val="left"/>
        <w:outlineLvl w:val="2"/>
        <w:rPr>
          <w:rFonts w:hint="eastAsia" w:ascii="宋体" w:hAnsi="宋体" w:cs="宋体"/>
          <w:b/>
          <w:sz w:val="24"/>
          <w:highlight w:val="none"/>
        </w:rPr>
      </w:pPr>
      <w:r>
        <w:rPr>
          <w:rFonts w:hint="eastAsia" w:ascii="宋体" w:hAnsi="宋体" w:cs="宋体"/>
          <w:bCs/>
          <w:color w:val="000000"/>
          <w:sz w:val="24"/>
          <w:highlight w:val="none"/>
          <w:lang w:eastAsia="zh-CN"/>
        </w:rPr>
        <w:t>投资限制中列示的资产品种不代表管理人的实际投向，本理财计划投资范围以“投资范围”章节表述为准。</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2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本理财计划投资的非标准化债权类资产到期日不得晚于理财计划到期日。</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本理财计划的总资产不得超过净资产的200%。</w:t>
      </w:r>
    </w:p>
    <w:p>
      <w:pPr>
        <w:numPr>
          <w:ilvl w:val="0"/>
          <w:numId w:val="24"/>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fldChar w:fldCharType="end"/>
      </w:r>
      <w:r>
        <w:rPr>
          <w:rFonts w:hint="eastAsia" w:ascii="宋体" w:hAnsi="宋体" w:cs="宋体"/>
          <w:bCs/>
          <w:sz w:val="24"/>
          <w:highlight w:val="none"/>
        </w:rPr>
        <w:t>，不得直接或间接投资于未上市公司股权及其受（收）益权。</w:t>
      </w:r>
    </w:p>
    <w:p>
      <w:pPr>
        <w:numPr>
          <w:ilvl w:val="0"/>
          <w:numId w:val="2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8"/>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托管人名称</w:t>
            </w:r>
          </w:p>
        </w:tc>
        <w:tc>
          <w:tcPr>
            <w:tcW w:w="6553" w:type="dxa"/>
            <w:noWrap w:val="0"/>
            <w:vAlign w:val="top"/>
          </w:tcPr>
          <w:p>
            <w:pPr>
              <w:widowControl w:val="0"/>
              <w:spacing w:line="360" w:lineRule="auto"/>
              <w:jc w:val="left"/>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托管人住所</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969" w:type="dxa"/>
            <w:noWrap w:val="0"/>
            <w:vAlign w:val="center"/>
          </w:tcPr>
          <w:p>
            <w:pPr>
              <w:widowControl w:val="0"/>
              <w:spacing w:line="360" w:lineRule="auto"/>
              <w:jc w:val="center"/>
              <w:rPr>
                <w:rFonts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托管人职责</w:t>
            </w:r>
          </w:p>
        </w:tc>
        <w:tc>
          <w:tcPr>
            <w:tcW w:w="6553" w:type="dxa"/>
            <w:noWrap w:val="0"/>
            <w:vAlign w:val="top"/>
          </w:tcPr>
          <w:p>
            <w:pPr>
              <w:widowControl w:val="0"/>
              <w:spacing w:line="360" w:lineRule="auto"/>
              <w:jc w:val="lef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主要提供包括账户开立、资金保管、资金结算、估值核对等理财产品托管服务。</w:t>
            </w:r>
          </w:p>
        </w:tc>
      </w:tr>
    </w:tbl>
    <w:p>
      <w:pPr>
        <w:numPr>
          <w:ilvl w:val="0"/>
          <w:numId w:val="29"/>
        </w:numPr>
        <w:spacing w:line="360" w:lineRule="auto"/>
        <w:ind w:firstLine="482"/>
        <w:jc w:val="left"/>
        <w:outlineLvl w:val="2"/>
        <w:rPr>
          <w:rFonts w:hint="eastAsia" w:ascii="宋体" w:hAnsi="宋体" w:cs="宋体"/>
          <w:bCs/>
          <w:color w:val="000000"/>
          <w:sz w:val="24"/>
          <w:highlight w:val="none"/>
        </w:rPr>
      </w:pPr>
      <w:r>
        <w:rPr>
          <w:rFonts w:hint="eastAsia" w:ascii="宋体" w:hAnsi="宋体" w:cs="宋体"/>
          <w:b/>
          <w:sz w:val="24"/>
          <w:highlight w:val="none"/>
        </w:rPr>
        <w:t>销售机构</w:t>
      </w:r>
    </w:p>
    <w:tbl>
      <w:tblPr>
        <w:tblStyle w:val="8"/>
        <w:tblW w:w="8522" w:type="dxa"/>
        <w:tblInd w:w="0" w:type="dxa"/>
        <w:tblLayout w:type="fixed"/>
        <w:tblCellMar>
          <w:top w:w="0" w:type="dxa"/>
          <w:left w:w="108" w:type="dxa"/>
          <w:bottom w:w="0" w:type="dxa"/>
          <w:right w:w="108" w:type="dxa"/>
        </w:tblCellMar>
      </w:tblPr>
      <w:tblGrid>
        <w:gridCol w:w="675"/>
        <w:gridCol w:w="1701"/>
        <w:gridCol w:w="1718"/>
        <w:gridCol w:w="4428"/>
      </w:tblGrid>
      <w:tr>
        <w:tblPrEx>
          <w:tblLayout w:type="fixed"/>
          <w:tblCellMar>
            <w:top w:w="0" w:type="dxa"/>
            <w:left w:w="108" w:type="dxa"/>
            <w:bottom w:w="0" w:type="dxa"/>
            <w:right w:w="108" w:type="dxa"/>
          </w:tblCellMar>
        </w:tblPrEx>
        <w:trPr>
          <w:trHeight w:val="300" w:hRule="atLeast"/>
        </w:trPr>
        <w:tc>
          <w:tcPr>
            <w:tcW w:w="6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销售机构信息</w:t>
            </w: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杭州银行股份有限公司</w:t>
            </w:r>
          </w:p>
        </w:tc>
        <w:tc>
          <w:tcPr>
            <w:tcW w:w="1718" w:type="dxa"/>
            <w:tcBorders>
              <w:top w:val="single" w:color="auto" w:sz="4" w:space="0"/>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浙江省杭州市上城区解放东路168号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95398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苏州银行股份有限公司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江苏省苏州工业园区钟园路728号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96067</w:t>
            </w:r>
          </w:p>
        </w:tc>
      </w:tr>
      <w:tr>
        <w:tblPrEx>
          <w:tblLayout w:type="fixed"/>
          <w:tblCellMar>
            <w:top w:w="0" w:type="dxa"/>
            <w:left w:w="108" w:type="dxa"/>
            <w:bottom w:w="0" w:type="dxa"/>
            <w:right w:w="108" w:type="dxa"/>
          </w:tblCellMar>
        </w:tblPrEx>
        <w:trPr>
          <w:trHeight w:val="51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厦门银行股份有限公司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福建省厦门市思明区湖滨北路101号商业银行大厦</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400-858-8888</w:t>
            </w:r>
          </w:p>
        </w:tc>
      </w:tr>
      <w:tr>
        <w:tblPrEx>
          <w:tblLayout w:type="fixed"/>
          <w:tblCellMar>
            <w:top w:w="0" w:type="dxa"/>
            <w:left w:w="108" w:type="dxa"/>
            <w:bottom w:w="0" w:type="dxa"/>
            <w:right w:w="108" w:type="dxa"/>
          </w:tblCellMar>
        </w:tblPrEx>
        <w:trPr>
          <w:trHeight w:val="30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中信银行股份有限公司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北京市朝阳区光华路10号院1号楼6-30层、32-42层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95558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齐鲁银行股份有限公司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山东省济南市历下区经十路10817号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400-609-6588</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甘肃省兰州市城关区东岗西路525—1号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4008696666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杭银理财有限责任公司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浙江省杭州市拱墅区庆春路38号金龙财富中心</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400-8950-999</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绍兴银行股份有限公司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浙江省绍兴市越城区中兴南路1号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4000896528</w:t>
            </w:r>
          </w:p>
        </w:tc>
      </w:tr>
      <w:tr>
        <w:tblPrEx>
          <w:tblLayout w:type="fixed"/>
          <w:tblCellMar>
            <w:top w:w="0" w:type="dxa"/>
            <w:left w:w="108" w:type="dxa"/>
            <w:bottom w:w="0" w:type="dxa"/>
            <w:right w:w="108" w:type="dxa"/>
          </w:tblCellMar>
        </w:tblPrEx>
        <w:trPr>
          <w:trHeight w:val="72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浙江萧山农村商业银行股份有限公司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浙江省杭州市萧山区城厢街道人民路258号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4008896596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海南省海口市龙华区海秀东路31号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0898-96566</w:t>
            </w:r>
          </w:p>
        </w:tc>
      </w:tr>
      <w:tr>
        <w:tblPrEx>
          <w:tblLayout w:type="fixed"/>
          <w:tblCellMar>
            <w:top w:w="0" w:type="dxa"/>
            <w:left w:w="108" w:type="dxa"/>
            <w:bottom w:w="0" w:type="dxa"/>
            <w:right w:w="108" w:type="dxa"/>
          </w:tblCellMar>
        </w:tblPrEx>
        <w:trPr>
          <w:trHeight w:val="46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秦皇岛银行股份有限公司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河北省秦皇岛市海港区河北大街西段560号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0335-96336</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温州银行股份有限公司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浙江省温州市鹿城区会展路1316号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0577-96699</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中邮邮惠万家银行有限责任公司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上海市虹口区东大名路1080号25层、26层</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95504</w:t>
            </w:r>
          </w:p>
        </w:tc>
      </w:tr>
      <w:tr>
        <w:tblPrEx>
          <w:tblLayout w:type="fixed"/>
          <w:tblCellMar>
            <w:top w:w="0" w:type="dxa"/>
            <w:left w:w="108" w:type="dxa"/>
            <w:bottom w:w="0" w:type="dxa"/>
            <w:right w:w="108" w:type="dxa"/>
          </w:tblCellMar>
        </w:tblPrEx>
        <w:trPr>
          <w:trHeight w:val="285" w:hRule="atLeast"/>
        </w:trPr>
        <w:tc>
          <w:tcPr>
            <w:tcW w:w="675" w:type="dxa"/>
            <w:vMerge w:val="continue"/>
            <w:tcBorders>
              <w:left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大连农村商业银行股份有限公司</w:t>
            </w: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辽宁省大连经济技术开发区五彩城A区1栋-A1号</w:t>
            </w:r>
          </w:p>
        </w:tc>
      </w:tr>
      <w:tr>
        <w:tblPrEx>
          <w:tblLayout w:type="fixed"/>
          <w:tblCellMar>
            <w:top w:w="0" w:type="dxa"/>
            <w:left w:w="108" w:type="dxa"/>
            <w:bottom w:w="0" w:type="dxa"/>
            <w:right w:w="108" w:type="dxa"/>
          </w:tblCellMar>
        </w:tblPrEx>
        <w:trPr>
          <w:trHeight w:val="270" w:hRule="atLeast"/>
        </w:trPr>
        <w:tc>
          <w:tcPr>
            <w:tcW w:w="675" w:type="dxa"/>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nil"/>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18"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96689</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吉林银行股份有限公司</w:t>
            </w: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住所</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经济开发区东南湖大路1817号</w:t>
            </w:r>
          </w:p>
        </w:tc>
      </w:tr>
      <w:tr>
        <w:tblPrEx>
          <w:tblLayout w:type="fixed"/>
          <w:tblCellMar>
            <w:top w:w="0" w:type="dxa"/>
            <w:left w:w="108" w:type="dxa"/>
            <w:bottom w:w="0" w:type="dxa"/>
            <w:right w:w="108" w:type="dxa"/>
          </w:tblCellMar>
        </w:tblPrEx>
        <w:trPr>
          <w:trHeight w:val="27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宋体"/>
                <w:color w:val="000000"/>
                <w:kern w:val="0"/>
                <w:sz w:val="21"/>
                <w:szCs w:val="21"/>
                <w:highlight w:val="none"/>
                <w:lang w:val="en-US" w:eastAsia="zh-CN" w:bidi="ar-SA"/>
              </w:rPr>
            </w:pPr>
          </w:p>
        </w:tc>
        <w:tc>
          <w:tcPr>
            <w:tcW w:w="1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p>
        </w:tc>
        <w:tc>
          <w:tcPr>
            <w:tcW w:w="1718" w:type="dxa"/>
            <w:tcBorders>
              <w:top w:val="nil"/>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客服热线</w:t>
            </w:r>
          </w:p>
        </w:tc>
        <w:tc>
          <w:tcPr>
            <w:tcW w:w="442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400-88-96666</w:t>
            </w:r>
          </w:p>
        </w:tc>
      </w:tr>
      <w:tr>
        <w:tblPrEx>
          <w:tblLayout w:type="fixed"/>
          <w:tblCellMar>
            <w:top w:w="0" w:type="dxa"/>
            <w:left w:w="108" w:type="dxa"/>
            <w:bottom w:w="0" w:type="dxa"/>
            <w:right w:w="108" w:type="dxa"/>
          </w:tblCellMar>
        </w:tblPrEx>
        <w:trPr>
          <w:trHeight w:val="1635"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销售机构职责</w:t>
            </w:r>
          </w:p>
        </w:tc>
        <w:tc>
          <w:tcPr>
            <w:tcW w:w="78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主要负责理财计划推广、投资者风险承受能力评估、投资者适当性管理、理财计划份额认购、申购及赎回办理。</w:t>
            </w:r>
            <w:r>
              <w:rPr>
                <w:rFonts w:hint="eastAsia" w:ascii="宋体" w:hAnsi="宋体" w:eastAsia="宋体" w:cs="宋体"/>
                <w:color w:val="000000"/>
                <w:kern w:val="0"/>
                <w:sz w:val="21"/>
                <w:szCs w:val="21"/>
                <w:highlight w:val="none"/>
                <w:lang w:val="en-US" w:eastAsia="zh-CN" w:bidi="ar-SA"/>
              </w:rPr>
              <w:br w:type="textWrapping"/>
            </w:r>
            <w:r>
              <w:rPr>
                <w:rFonts w:hint="eastAsia" w:ascii="宋体" w:hAnsi="宋体" w:eastAsia="宋体" w:cs="宋体"/>
                <w:color w:val="000000"/>
                <w:kern w:val="0"/>
                <w:sz w:val="21"/>
                <w:szCs w:val="21"/>
                <w:highlight w:val="none"/>
                <w:lang w:val="en-US" w:eastAsia="zh-CN" w:bidi="ar-SA"/>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0" w:firstLineChars="200"/>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本理财计划估值日为每个工作日，定期由理财管理人和理财托管人核对估值结果并向投资者披露，具体日期以管理人公告为准。</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rPr>
          <w:rFonts w:ascii="宋体" w:hAnsi="宋体" w:cs="宋体"/>
          <w:bCs/>
          <w:color w:val="000000"/>
          <w:sz w:val="24"/>
          <w:highlight w:val="none"/>
        </w:rPr>
      </w:pPr>
      <w:r>
        <w:rPr>
          <w:rFonts w:hint="eastAsia" w:ascii="宋体" w:hAnsi="宋体" w:cs="宋体"/>
          <w:bCs/>
          <w:color w:val="000000"/>
          <w:sz w:val="24"/>
          <w:highlight w:val="none"/>
        </w:rPr>
        <w:t xml:space="preserve">    对于符合监管要求的债权类资产，按照摊余成本法进行计量。其余债权类资产，按市价法估值。市价法不能确定其公允价值的，采用估值技术进行估值。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32"/>
        </w:numPr>
        <w:spacing w:line="360" w:lineRule="auto"/>
        <w:ind w:left="0" w:firstLine="48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3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3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30"/>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本理财计划涉及费用包括销售服务费、托管费、固定管理费、认购费、浮动管理费以及理财计划运作和清算中产生的其他费用等。</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理财计划财产A份额的年化销售服务费率为〖0.30%〗, B份额的年化销售服务费率为〖0.20%〗, C份额的年化销售服务费率为〖0.10%〗, D份额的年化销售服务费率为〖0.15%〗, E份额的年化销售服务费率为〖0.20%〗, F份额的年化销售服务费率为〖0.15%〗, I份额的年化销售服务费率为〖0.30%〗,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bCs/>
          <w:color w:val="000000"/>
          <w:sz w:val="24"/>
          <w:highlight w:val="none"/>
        </w:rPr>
        <w:t>0.30%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理财计划财产的年化托管费为〖0.025%〗，计算方法如下：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H＝E×〖0.025%</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理财计划财产A份额的年化固定管理费率为〖0.20%〗, B份额的年化固定管理费率为〖0.20%〗, C份额的年化固定管理费率为〖0.20%〗, D份额的年化固定管理费率为〖0.20%〗, E份额的年化固定管理费率为〖0.20%〗, F份额的年化固定管理费率为〖0.20%〗, I份额的年化固定管理费率为〖0.20%〗, 以〖A份额〗为例，计算方法如下：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H＝E×〖0.20%</w:t>
      </w:r>
      <w:r>
        <w:rPr>
          <w:rFonts w:hint="eastAsia" w:ascii="宋体" w:hAnsi="宋体" w:cs="宋体"/>
          <w:szCs w:val="21"/>
          <w:highlight w:val="none"/>
        </w:rPr>
        <w:t>〗</w:t>
      </w:r>
      <w:r>
        <w:rPr>
          <w:rFonts w:hint="eastAsia" w:ascii="宋体" w:hAnsi="宋体" w:cs="宋体"/>
          <w:bCs/>
          <w:color w:val="000000"/>
          <w:sz w:val="24"/>
          <w:szCs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sz w:val="24"/>
          <w:highlight w:val="none"/>
        </w:rPr>
        <w:t>A</w:t>
      </w:r>
      <w:r>
        <w:rPr>
          <w:rFonts w:hint="eastAsia" w:ascii="宋体" w:hAnsi="宋体" w:cs="宋体"/>
          <w:bCs/>
          <w:color w:val="000000"/>
          <w:sz w:val="24"/>
          <w:highlight w:val="none"/>
        </w:rPr>
        <w:t>份额每日应计提的固定管理费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sz w:val="24"/>
          <w:highlight w:val="none"/>
        </w:rPr>
        <w:t>A</w:t>
      </w:r>
      <w:r>
        <w:rPr>
          <w:rFonts w:hint="eastAsia" w:ascii="宋体" w:hAnsi="宋体" w:cs="宋体"/>
          <w:bCs/>
          <w:color w:val="000000"/>
          <w:sz w:val="24"/>
          <w:highlight w:val="none"/>
        </w:rPr>
        <w:t>份额前一日资产净值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固定管理费原则上按日计提，如理财计划实际运作结果不达业绩比较基准下限时，管理人有权减免固定管理费。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本理财计划免除认购费。</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理财管理人根据理财计划投资情况计算浮动管理费，浮动管理费原则上按估值日计提，到期收取。具体计算方法如下：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（1）若本理财计划到期日（提前终止日）的折合年化收益率超过业绩比较基准下限但未达到业绩比较基准上限，则超过业绩比较基准下限的部分管理人收取〖50%〗作为浮动管理费，即：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2）若本理财计划到期日（提前终止日）的折合年化收益率超过业绩比较基准上限，则〖业绩比较基准下限(含)至上限(含)〗的部分管理人收取〖50%〗作为浮动管理费，超过〖业绩比较基准上限〗的部分管理人收取〖80%〗作为浮动管理费，即：</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H=E×NAV0×[(K-R)×〖80%〗+(R-S)×〖50%〗]×N÷365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理财计划到期（提前终止）时应</w:t>
      </w:r>
      <w:r>
        <w:rPr>
          <w:rFonts w:hint="eastAsia" w:ascii="宋体" w:hAnsi="宋体" w:cs="宋体"/>
          <w:bCs/>
          <w:color w:val="000000"/>
          <w:sz w:val="24"/>
          <w:highlight w:val="none"/>
        </w:rPr>
        <w:t>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投资者持有</w:t>
      </w:r>
      <w:r>
        <w:rPr>
          <w:rFonts w:hint="eastAsia" w:ascii="宋体" w:hAnsi="宋体" w:cs="宋体"/>
          <w:bCs/>
          <w:color w:val="000000"/>
          <w:sz w:val="24"/>
          <w:highlight w:val="none"/>
        </w:rPr>
        <w:t>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K为收取浮动管理费前投资者</w:t>
      </w:r>
      <w:r>
        <w:rPr>
          <w:rFonts w:hint="eastAsia" w:ascii="宋体" w:hAnsi="宋体" w:cs="宋体"/>
          <w:bCs/>
          <w:color w:val="000000"/>
          <w:sz w:val="24"/>
          <w:highlight w:val="none"/>
          <w:lang w:val="en-US" w:eastAsia="zh-CN"/>
        </w:rPr>
        <w:t>持有</w:t>
      </w:r>
      <w:r>
        <w:rPr>
          <w:rFonts w:hint="eastAsia" w:ascii="宋体" w:hAnsi="宋体" w:cs="宋体"/>
          <w:bCs/>
          <w:color w:val="000000"/>
          <w:sz w:val="24"/>
          <w:highlight w:val="none"/>
        </w:rPr>
        <w:t>份额对应持有区间折合年化收益率</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w:t>
      </w:r>
      <w:r>
        <w:rPr>
          <w:rFonts w:hint="eastAsia" w:ascii="宋体" w:hAnsi="宋体" w:cs="宋体"/>
          <w:bCs/>
          <w:color w:val="000000"/>
          <w:sz w:val="24"/>
          <w:highlight w:val="none"/>
          <w:lang w:val="en-US" w:eastAsia="zh-CN"/>
        </w:rPr>
        <w:t>理财计划成立日之初的</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w:t>
      </w:r>
      <w:r>
        <w:rPr>
          <w:rFonts w:hint="eastAsia" w:ascii="宋体" w:hAnsi="宋体" w:cs="宋体"/>
          <w:bCs/>
          <w:color w:val="000000"/>
          <w:sz w:val="24"/>
          <w:highlight w:val="none"/>
          <w:lang w:val="en-US" w:eastAsia="zh-CN"/>
        </w:rPr>
        <w:t>理财计划到期日</w:t>
      </w:r>
      <w:r>
        <w:rPr>
          <w:rFonts w:hint="eastAsia" w:ascii="宋体" w:hAnsi="宋体" w:cs="宋体"/>
          <w:bCs/>
          <w:color w:val="000000"/>
          <w:sz w:val="24"/>
          <w:highlight w:val="none"/>
        </w:rPr>
        <w:t>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S为</w:t>
      </w:r>
      <w:r>
        <w:rPr>
          <w:rFonts w:hint="eastAsia" w:ascii="宋体" w:hAnsi="宋体" w:cs="宋体"/>
          <w:bCs/>
          <w:color w:val="000000"/>
          <w:sz w:val="24"/>
          <w:highlight w:val="none"/>
          <w:lang w:val="en-US" w:eastAsia="zh-CN"/>
        </w:rPr>
        <w:t>理财计划</w:t>
      </w:r>
      <w:r>
        <w:rPr>
          <w:rFonts w:hint="eastAsia" w:ascii="宋体" w:hAnsi="宋体" w:cs="宋体"/>
          <w:bCs/>
          <w:color w:val="000000"/>
          <w:sz w:val="24"/>
          <w:highlight w:val="none"/>
        </w:rPr>
        <w:t>业绩比较基准下限</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N为</w:t>
      </w:r>
      <w:r>
        <w:rPr>
          <w:rFonts w:hint="eastAsia" w:ascii="宋体" w:hAnsi="宋体" w:cs="宋体"/>
          <w:bCs/>
          <w:color w:val="000000"/>
          <w:sz w:val="24"/>
          <w:highlight w:val="none"/>
          <w:lang w:val="en-US" w:eastAsia="zh-CN"/>
        </w:rPr>
        <w:t>理财计划份额成立日（含）至估值日（含）的区间天数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w:t>
      </w:r>
      <w:r>
        <w:rPr>
          <w:rFonts w:hint="eastAsia" w:ascii="宋体" w:hAnsi="宋体" w:cs="宋体"/>
          <w:bCs/>
          <w:color w:val="000000"/>
          <w:sz w:val="24"/>
          <w:highlight w:val="none"/>
          <w:lang w:val="en-US" w:eastAsia="zh-CN"/>
        </w:rPr>
        <w:t>理财计划运作期间每单位份额的实际分红金额合计</w:t>
      </w:r>
      <w:r>
        <w:rPr>
          <w:rFonts w:hint="eastAsia" w:ascii="宋体" w:hAnsi="宋体" w:cs="宋体"/>
          <w:bCs/>
          <w:color w:val="000000"/>
          <w:sz w:val="24"/>
          <w:highlight w:val="none"/>
        </w:rPr>
        <w:t>（如有）</w:t>
      </w:r>
    </w:p>
    <w:p>
      <w:pPr>
        <w:numPr>
          <w:ilvl w:val="0"/>
          <w:numId w:val="35"/>
        </w:numPr>
        <w:spacing w:line="360" w:lineRule="auto"/>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7"/>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8"/>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8"/>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8"/>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投资者理财收益＝认购份额×到期日（提前终止日）单位净值+份额持有期间累计分红-认购金额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认购份额=认购金额÷1元。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到期日（提前终止日）单位净值为提取相关费用及税费后的单位理财计划份额净值。</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示例说明</w:t>
      </w:r>
    </w:p>
    <w:p>
      <w:pPr>
        <w:numPr>
          <w:ilvl w:val="0"/>
          <w:numId w:val="0"/>
        </w:numPr>
        <w:spacing w:line="360" w:lineRule="auto"/>
        <w:ind w:firstLine="480" w:firstLineChars="200"/>
        <w:jc w:val="left"/>
        <w:outlineLvl w:val="9"/>
        <w:rPr>
          <w:rFonts w:hint="eastAsia" w:ascii="宋体" w:hAnsi="宋体" w:cs="宋体"/>
          <w:b/>
          <w:sz w:val="24"/>
          <w:highlight w:val="none"/>
        </w:rPr>
      </w:pPr>
      <w:r>
        <w:rPr>
          <w:rFonts w:hint="eastAsia" w:ascii="宋体" w:hAnsi="宋体" w:eastAsia="宋体" w:cs="宋体"/>
          <w:bCs/>
          <w:color w:val="000000"/>
          <w:sz w:val="24"/>
          <w:highlight w:val="none"/>
          <w:lang w:val="en-US" w:eastAsia="zh-CN"/>
        </w:rPr>
        <w:t>以下示例均为假设情况，不构成业绩预测，不代表本理财计划实际投资业绩。</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净值未扣除浮动管理费前的为1.0615，此时，(1.0615÷1.0000-1)×365÷362=6.20%&gt;5.00%，即在〖4.00%-5.00%〗部分的投资收益管理人收取80%作为浮动管理费，超过〖5.00%〗部分的投资收益管理人收取100%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100,000×1.0000×[（1.0615÷1.0000-1）×365÷362-5.00%）×100%+(5.00%-4.00%)×80%)]×362÷365=1,984.52（元）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100,000.00×（1.0615-1.0000）-1,984.52= 4,165.48（元）。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扣除托管费、固定管理费、销售服务费（如有）后，投资收益率超过业绩比较基准下限，但未达到业绩比较基准上限。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1.0415，此时，(1.0415÷1.0000-1)×365÷362=4.18%，即投资收益超过〖4.00%〗但未达到〖5.00%〗，则超过〖4.00%〗部分的投资收益管理人收取80%作为浮动管理费，浮动管理费为：</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100,000.00×1.0000×[(1.0415÷1.0000-1)×365÷362-4.00%]×80%×362÷365=146.30（元）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100,000.00×（1.0415-1.0000）-146.30 =4</w:t>
      </w:r>
      <w:r>
        <w:rPr>
          <w:rFonts w:hint="eastAsia" w:ascii="宋体" w:hAnsi="宋体" w:cs="宋体"/>
          <w:bCs/>
          <w:color w:val="000000"/>
          <w:sz w:val="24"/>
          <w:highlight w:val="none"/>
          <w:lang w:val="en-US" w:eastAsia="zh-CN"/>
        </w:rPr>
        <w:t>,</w:t>
      </w:r>
      <w:r>
        <w:rPr>
          <w:rFonts w:hint="eastAsia" w:ascii="宋体" w:hAnsi="宋体" w:cs="宋体"/>
          <w:bCs/>
          <w:color w:val="000000"/>
          <w:sz w:val="24"/>
          <w:highlight w:val="none"/>
        </w:rPr>
        <w:t>003.70（元）。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扣除托管费、固定管理费、销售服务费（如有）后，投资收益率未达到〖业绩比较基准下限〗。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1.0362，此时，(1.0362÷1.0000-1)×365÷362=3.65%&lt;4.00%，即投资收益未达到〖4.00%〗，则投资管理人不收取浮动管理费，投资者最终收益为：100,000.00×(1.0365-1.0000）=3,650.00（元）</w:t>
      </w:r>
    </w:p>
    <w:p>
      <w:pPr>
        <w:numPr>
          <w:ilvl w:val="0"/>
          <w:numId w:val="40"/>
        </w:numPr>
        <w:spacing w:line="360" w:lineRule="auto"/>
        <w:jc w:val="left"/>
        <w:rPr>
          <w:rFonts w:hint="eastAsia" w:ascii="宋体" w:hAnsi="宋体" w:cs="宋体"/>
          <w:b/>
          <w:sz w:val="24"/>
          <w:highlight w:val="none"/>
        </w:rPr>
      </w:pPr>
      <w:r>
        <w:rPr>
          <w:rFonts w:hint="eastAsia" w:ascii="宋体" w:hAnsi="宋体" w:cs="宋体"/>
          <w:b/>
          <w:sz w:val="24"/>
          <w:highlight w:val="none"/>
        </w:rPr>
        <w:t>示例四</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以某投资者投资10万元为例，假设购买时理财计划净值为1.00元，折算份额为100,000.00份，假设份额成立日（含）至估值日（含）的区间天数为362天,业绩比较基准为4.0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%-5.0</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假设理财产品到期时扣除托管费、固定管理费、销售服务费（如有）后，如理财计划未扣除浮动管理费前的净值为0.9975，则投资管理人不收取浮动管理费，投资者最终收益为：100,000.00×（0.9975-1.0000）=-250.00（元）。</w:t>
      </w:r>
    </w:p>
    <w:p>
      <w:pPr>
        <w:numPr>
          <w:ilvl w:val="0"/>
          <w:numId w:val="39"/>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42"/>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如新增认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3"/>
        </w:numPr>
        <w:spacing w:line="360" w:lineRule="auto"/>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3"/>
        </w:numPr>
        <w:spacing w:line="360" w:lineRule="auto"/>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申购及赎回</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本理财计划封闭式运作，存续期间不开放申购和赎回。</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具体以销售机构规定为准）</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szCs w:val="24"/>
          <w:highlight w:val="none"/>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如发生以下事项时，管理人可对本理财计划行使全部或部分提前终止权：</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融资人行使提前到期或还款权利的。</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4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5"/>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48"/>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49"/>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理财计划净值：管理人应在理财计划成立后，每周披露一次净值。</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如本理财计划成立不足90个工作日或剩余存续期不超过90个工作日的，管理人可不编制当期的季度、半年和年度报告等运行报告。</w:t>
      </w:r>
    </w:p>
    <w:p>
      <w:pPr>
        <w:numPr>
          <w:ilvl w:val="0"/>
          <w:numId w:val="49"/>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7"/>
        </w:numPr>
        <w:spacing w:line="360" w:lineRule="auto"/>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50"/>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6"/>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7"/>
        </w:numPr>
        <w:spacing w:line="360" w:lineRule="auto"/>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1"/>
        </w:numPr>
        <w:tabs>
          <w:tab w:val="left" w:pos="6090"/>
        </w:tabs>
        <w:spacing w:line="360" w:lineRule="auto"/>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授权使用时限与履行相关法律法规和监管要求的必要时限一致。</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被告人所在地有管辖权的人民法院诉讼解决。</w:t>
      </w:r>
    </w:p>
    <w:p>
      <w:pPr>
        <w:numPr>
          <w:ilvl w:val="0"/>
          <w:numId w:val="51"/>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highlight w:val="none"/>
        </w:rPr>
      </w:pPr>
      <w:r>
        <w:rPr>
          <w:rFonts w:hint="eastAsia" w:ascii="宋体" w:hAnsi="宋体" w:cs="宋体"/>
          <w:bCs/>
          <w:color w:val="000000"/>
          <w:sz w:val="24"/>
          <w:highlight w:val="none"/>
        </w:rPr>
        <w:br w:type="page"/>
      </w:r>
      <w:r>
        <w:rPr>
          <w:rFonts w:hint="eastAsia" w:ascii="宋体" w:hAnsi="宋体" w:cs="宋体"/>
          <w:b/>
          <w:bCs/>
          <w:color w:val="000000"/>
          <w:sz w:val="44"/>
          <w:szCs w:val="44"/>
          <w:highlight w:val="none"/>
        </w:rPr>
        <w:t>杭银理财投资者权益须知</w:t>
      </w:r>
    </w:p>
    <w:p>
      <w:pPr>
        <w:jc w:val="center"/>
        <w:rPr>
          <w:rFonts w:hint="eastAsia" w:ascii="宋体" w:hAnsi="宋体" w:cs="宋体"/>
          <w:b/>
          <w:bCs/>
          <w:color w:val="000000"/>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ascii="宋体" w:hAnsi="宋体" w:cs="宋体"/>
          <w:b/>
          <w:bCs/>
          <w:sz w:val="24"/>
          <w:highlight w:val="none"/>
          <w:u w:val="single"/>
        </w:rPr>
      </w:pPr>
      <w:r>
        <w:rPr>
          <w:rFonts w:hint="eastAsia" w:ascii="宋体" w:hAnsi="宋体" w:cs="宋体"/>
          <w:b/>
          <w:bCs/>
          <w:sz w:val="24"/>
          <w:highlight w:val="none"/>
          <w:u w:val="single"/>
        </w:rPr>
        <w:t>理财非存款、产品有风险、投资须谨慎</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尊敬的投资者：</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52"/>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理财计划办理流程</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投资者应仔细阅读本理财计划完整合同（包括但不限于</w:t>
      </w:r>
      <w:r>
        <w:rPr>
          <w:rFonts w:hint="eastAsia" w:ascii="宋体" w:hAnsi="宋体" w:cs="宋体"/>
          <w:kern w:val="0"/>
          <w:sz w:val="24"/>
          <w:highlight w:val="none"/>
          <w:lang w:eastAsia="zh-CN"/>
        </w:rPr>
        <w:t>理财计划</w:t>
      </w:r>
      <w:r>
        <w:rPr>
          <w:rFonts w:hint="eastAsia" w:ascii="宋体" w:hAnsi="宋体" w:cs="宋体"/>
          <w:kern w:val="0"/>
          <w:sz w:val="24"/>
          <w:highlight w:val="none"/>
        </w:rPr>
        <w:t>风险揭示书、理财计划产品说明书、投资者权益须知</w:t>
      </w:r>
      <w:r>
        <w:rPr>
          <w:rFonts w:hint="eastAsia" w:ascii="宋体" w:hAnsi="宋体" w:cs="宋体"/>
          <w:kern w:val="0"/>
          <w:sz w:val="24"/>
          <w:highlight w:val="none"/>
          <w:lang w:eastAsia="zh-CN"/>
        </w:rPr>
        <w:t>、</w:t>
      </w:r>
      <w:r>
        <w:rPr>
          <w:rFonts w:hint="eastAsia" w:ascii="宋体" w:hAnsi="宋体" w:cs="宋体"/>
          <w:kern w:val="0"/>
          <w:sz w:val="24"/>
          <w:highlight w:val="none"/>
        </w:rPr>
        <w:t>理财计划投资协议书</w:t>
      </w:r>
      <w:r>
        <w:rPr>
          <w:rFonts w:hint="eastAsia" w:ascii="宋体" w:hAnsi="宋体" w:cs="宋体"/>
          <w:kern w:val="0"/>
          <w:sz w:val="24"/>
          <w:highlight w:val="none"/>
          <w:lang w:eastAsia="zh-CN"/>
        </w:rPr>
        <w:t>和理财计划销售协议书</w:t>
      </w:r>
      <w:r>
        <w:rPr>
          <w:rFonts w:hint="eastAsia" w:ascii="宋体" w:hAnsi="宋体" w:cs="宋体"/>
          <w:kern w:val="0"/>
          <w:sz w:val="24"/>
          <w:highlight w:val="none"/>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lang w:eastAsia="zh-CN"/>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如在银行营业场所购买杭银理财理财计划，销售机构需对每笔理财计划销售过程同步录音录像。</w:t>
      </w:r>
    </w:p>
    <w:p>
      <w:pPr>
        <w:numPr>
          <w:ilvl w:val="0"/>
          <w:numId w:val="53"/>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投资者确定交易金额，完成交易申请，并在确认份额后进行查询。</w:t>
      </w:r>
    </w:p>
    <w:p>
      <w:pPr>
        <w:numPr>
          <w:ilvl w:val="0"/>
          <w:numId w:val="54"/>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杭银理财产品风险评级</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黑体"/>
                <w:kern w:val="0"/>
                <w:sz w:val="24"/>
                <w:szCs w:val="24"/>
                <w:highlight w:val="none"/>
                <w:lang w:val="en-US" w:eastAsia="zh-CN" w:bidi="ar-SA"/>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机构投资者及进取型的个人投资者</w:t>
            </w:r>
          </w:p>
        </w:tc>
      </w:tr>
    </w:tbl>
    <w:p>
      <w:pPr>
        <w:pStyle w:val="14"/>
        <w:adjustRightInd/>
        <w:spacing w:line="360" w:lineRule="auto"/>
        <w:ind w:firstLine="480" w:firstLineChars="200"/>
        <w:rPr>
          <w:rFonts w:hint="default" w:ascii="宋体" w:hAnsi="宋体" w:eastAsia="宋体" w:cs="宋体"/>
          <w:b/>
          <w:kern w:val="0"/>
          <w:sz w:val="24"/>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numPr>
          <w:ilvl w:val="0"/>
          <w:numId w:val="55"/>
        </w:numPr>
        <w:spacing w:line="360" w:lineRule="auto"/>
        <w:outlineLvl w:val="1"/>
        <w:rPr>
          <w:rFonts w:hint="eastAsia" w:ascii="宋体" w:hAnsi="宋体" w:cs="宋体"/>
          <w:b/>
          <w:kern w:val="0"/>
          <w:sz w:val="24"/>
          <w:highlight w:val="none"/>
        </w:rPr>
      </w:pPr>
      <w:r>
        <w:rPr>
          <w:rFonts w:hint="eastAsia" w:ascii="宋体" w:hAnsi="宋体" w:cs="宋体"/>
          <w:b/>
          <w:kern w:val="0"/>
          <w:sz w:val="24"/>
          <w:highlight w:val="none"/>
        </w:rPr>
        <w:t>投资者风险承受能力评估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个人投资者风险承受能力评估结果有效期为一年，如风险承受能力评估时效已超过一年，或影响风险承受能力的因素发生变化，请及时完成风险承受能力的重新评估。</w:t>
      </w:r>
    </w:p>
    <w:p>
      <w:pPr>
        <w:numPr>
          <w:ilvl w:val="0"/>
          <w:numId w:val="56"/>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个人投资者风险承受能力评估流程（详询销售机构工作人员）</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个人投资者在销售机构进行风险承受能力评估；</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填写销售机构个人投资者风险承受能力测试问卷；</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生成相应的个人投资者风险承受能力评估结果；</w:t>
      </w:r>
    </w:p>
    <w:p>
      <w:pPr>
        <w:numPr>
          <w:ilvl w:val="0"/>
          <w:numId w:val="57"/>
        </w:numPr>
        <w:spacing w:line="360" w:lineRule="auto"/>
        <w:rPr>
          <w:rFonts w:hint="eastAsia" w:ascii="宋体" w:hAnsi="宋体" w:cs="宋体"/>
          <w:kern w:val="0"/>
          <w:sz w:val="24"/>
          <w:highlight w:val="none"/>
        </w:rPr>
      </w:pPr>
      <w:r>
        <w:rPr>
          <w:rFonts w:hint="eastAsia" w:ascii="宋体" w:hAnsi="宋体" w:cs="宋体"/>
          <w:kern w:val="0"/>
          <w:sz w:val="24"/>
          <w:highlight w:val="none"/>
        </w:rPr>
        <w:t>投资者对评估结果进行确认。</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风险承受能力评估结果将作为评价个人投资者是否适合购买理财计划的重要因素，风险承受能力评级越高适合购买的理财计划风险评级越高，适合购买的理财计划类型越丰富。</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58"/>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kern w:val="0"/>
          <w:sz w:val="24"/>
          <w:highlight w:val="none"/>
          <w:lang w:eastAsia="zh-CN"/>
        </w:rPr>
        <w:t>理财计划风险揭示书、理财计划</w:t>
      </w:r>
      <w:r>
        <w:rPr>
          <w:rFonts w:hint="eastAsia" w:ascii="宋体" w:hAnsi="宋体" w:cs="宋体"/>
          <w:kern w:val="0"/>
          <w:sz w:val="24"/>
          <w:highlight w:val="none"/>
        </w:rPr>
        <w:t>产品说明书</w:t>
      </w:r>
      <w:r>
        <w:rPr>
          <w:rFonts w:hint="eastAsia" w:ascii="宋体" w:hAnsi="宋体" w:cs="宋体"/>
          <w:kern w:val="0"/>
          <w:sz w:val="24"/>
          <w:highlight w:val="none"/>
          <w:lang w:eastAsia="zh-CN"/>
        </w:rPr>
        <w:t>、理财计划投资协议书和理财计划销售协议书</w:t>
      </w:r>
      <w:r>
        <w:rPr>
          <w:rFonts w:hint="eastAsia" w:ascii="宋体" w:hAnsi="宋体" w:cs="宋体"/>
          <w:kern w:val="0"/>
          <w:sz w:val="24"/>
          <w:highlight w:val="none"/>
        </w:rPr>
        <w:t>的基础上，充分认识投资本理财计划需要承担的风险。</w:t>
      </w:r>
      <w:r>
        <w:rPr>
          <w:rFonts w:hint="eastAsia" w:ascii="宋体" w:hAnsi="宋体" w:cs="宋体"/>
          <w:kern w:val="0"/>
          <w:sz w:val="24"/>
          <w:highlight w:val="none"/>
          <w:lang w:val="en-US" w:eastAsia="zh-CN"/>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四、理财计划信息披露</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五、投资者信息管理</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sz w:val="24"/>
          <w:highlight w:val="none"/>
        </w:rPr>
      </w:pPr>
      <w:r>
        <w:rPr>
          <w:rFonts w:hint="eastAsia" w:ascii="宋体" w:hAnsi="宋体" w:cs="宋体"/>
          <w:b/>
          <w:kern w:val="0"/>
          <w:sz w:val="24"/>
          <w:highlight w:val="none"/>
        </w:rPr>
        <w:t>六、投诉与建议</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投资者如认为理财</w:t>
      </w:r>
      <w:r>
        <w:rPr>
          <w:rFonts w:hint="eastAsia" w:ascii="宋体" w:hAnsi="宋体" w:cs="宋体"/>
          <w:kern w:val="0"/>
          <w:sz w:val="24"/>
          <w:highlight w:val="none"/>
          <w:lang w:val="en-US" w:eastAsia="zh-CN"/>
        </w:rPr>
        <w:t>计划</w:t>
      </w:r>
      <w:r>
        <w:rPr>
          <w:rFonts w:hint="eastAsia" w:ascii="宋体" w:hAnsi="宋体" w:cs="宋体"/>
          <w:kern w:val="0"/>
          <w:sz w:val="24"/>
          <w:highlight w:val="none"/>
        </w:rPr>
        <w:t>推介销售材料及过程中有不实或未尽风险告知职责或其它疑义事项，或对理财计划、销售机构及理财计划管理人服务有任何意见或建议，可通过拨打销售机构</w:t>
      </w:r>
      <w:r>
        <w:rPr>
          <w:rFonts w:hint="eastAsia" w:ascii="宋体" w:hAnsi="宋体" w:cs="宋体"/>
          <w:kern w:val="0"/>
          <w:sz w:val="24"/>
          <w:highlight w:val="none"/>
          <w:lang w:val="en-US" w:eastAsia="zh-CN"/>
        </w:rPr>
        <w:t>或管理人</w:t>
      </w:r>
      <w:r>
        <w:rPr>
          <w:rFonts w:hint="eastAsia" w:ascii="宋体" w:hAnsi="宋体" w:cs="宋体"/>
          <w:kern w:val="0"/>
          <w:sz w:val="24"/>
          <w:highlight w:val="none"/>
        </w:rPr>
        <w:t>热线或客服电话进行反馈</w:t>
      </w:r>
      <w:r>
        <w:rPr>
          <w:rFonts w:hint="eastAsia" w:ascii="宋体" w:hAnsi="宋体" w:cs="宋体"/>
          <w:kern w:val="0"/>
          <w:sz w:val="24"/>
          <w:highlight w:val="none"/>
          <w:lang w:eastAsia="zh-CN"/>
        </w:rPr>
        <w:t>，</w:t>
      </w:r>
      <w:r>
        <w:rPr>
          <w:rFonts w:hint="eastAsia" w:ascii="宋体" w:hAnsi="宋体" w:cs="宋体"/>
          <w:kern w:val="0"/>
          <w:sz w:val="24"/>
          <w:highlight w:val="none"/>
        </w:rPr>
        <w:t>将由专人接听、记录您的意见建议，并由双方协商共同解决。</w:t>
      </w:r>
    </w:p>
    <w:p>
      <w:pPr>
        <w:numPr>
          <w:ilvl w:val="0"/>
          <w:numId w:val="59"/>
        </w:numPr>
        <w:spacing w:line="360" w:lineRule="auto"/>
        <w:outlineLvl w:val="2"/>
        <w:rPr>
          <w:rFonts w:hint="eastAsia" w:ascii="宋体" w:hAnsi="宋体" w:cs="宋体"/>
          <w:kern w:val="0"/>
          <w:sz w:val="24"/>
          <w:highlight w:val="none"/>
        </w:rPr>
      </w:pPr>
      <w:r>
        <w:rPr>
          <w:rFonts w:hint="eastAsia" w:ascii="宋体" w:hAnsi="宋体" w:cs="宋体"/>
          <w:kern w:val="0"/>
          <w:sz w:val="24"/>
          <w:highlight w:val="none"/>
        </w:rPr>
        <w:t>联络方式</w:t>
      </w:r>
    </w:p>
    <w:p>
      <w:p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rPr>
        <w:t>杭银理财联络方式：</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杭银理财联络方式：</w:t>
      </w:r>
    </w:p>
    <w:p>
      <w:pPr>
        <w:numPr>
          <w:ilvl w:val="0"/>
          <w:numId w:val="0"/>
        </w:num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bCs/>
          <w:color w:val="auto"/>
          <w:kern w:val="2"/>
          <w:highlight w:val="none"/>
          <w:u w:val="none"/>
          <w:lang w:val="en-US" w:eastAsia="zh-CN"/>
        </w:rPr>
        <w:t>https://</w:t>
      </w:r>
      <w:r>
        <w:rPr>
          <w:rStyle w:val="11"/>
          <w:rFonts w:hint="eastAsia" w:ascii="宋体" w:hAnsi="宋体" w:cs="宋体"/>
          <w:color w:val="auto"/>
          <w:kern w:val="0"/>
          <w:sz w:val="24"/>
          <w:szCs w:val="22"/>
          <w:highlight w:val="none"/>
          <w:u w:val="none"/>
          <w:lang w:val="en-US" w:eastAsia="zh-CN"/>
        </w:rPr>
        <w:t>www.hzbankwealth.com.cn</w:t>
      </w:r>
    </w:p>
    <w:p>
      <w:pPr>
        <w:numPr>
          <w:ilvl w:val="0"/>
          <w:numId w:val="0"/>
        </w:numPr>
        <w:spacing w:line="360" w:lineRule="auto"/>
        <w:ind w:firstLine="480" w:firstLineChars="200"/>
        <w:rPr>
          <w:rFonts w:hint="default" w:ascii="宋体" w:hAnsi="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客户服务热线：400-8950-999</w:t>
      </w:r>
    </w:p>
    <w:p>
      <w:pPr>
        <w:numPr>
          <w:ilvl w:val="0"/>
          <w:numId w:val="0"/>
        </w:numPr>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u w:val="none"/>
          <w:lang w:val="en-US" w:eastAsia="zh-CN"/>
        </w:rPr>
        <w:t>公司地址：</w:t>
      </w:r>
      <w:r>
        <w:rPr>
          <w:rFonts w:hint="eastAsia" w:ascii="宋体" w:hAnsi="宋体" w:cs="宋体"/>
          <w:kern w:val="0"/>
          <w:sz w:val="24"/>
          <w:highlight w:val="none"/>
        </w:rPr>
        <w:t>杭州市拱墅区庆春路38号金龙财富中心6楼</w:t>
      </w:r>
    </w:p>
    <w:p>
      <w:pPr>
        <w:numPr>
          <w:ilvl w:val="0"/>
          <w:numId w:val="0"/>
        </w:numPr>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cs="宋体"/>
          <w:kern w:val="0"/>
          <w:sz w:val="24"/>
          <w:highlight w:val="none"/>
          <w:lang w:eastAsia="zh-CN"/>
        </w:rPr>
        <w:t>若</w:t>
      </w:r>
      <w:r>
        <w:rPr>
          <w:rFonts w:hint="eastAsia" w:ascii="宋体" w:hAnsi="宋体" w:cs="宋体"/>
          <w:kern w:val="0"/>
          <w:sz w:val="24"/>
          <w:highlight w:val="none"/>
        </w:rPr>
        <w:t>上述联系方式变更，杭银理财将提前通过</w:t>
      </w:r>
      <w:r>
        <w:rPr>
          <w:rFonts w:hint="eastAsia" w:ascii="宋体" w:hAnsi="宋体" w:cs="宋体"/>
          <w:kern w:val="0"/>
          <w:sz w:val="24"/>
          <w:highlight w:val="none"/>
          <w:lang w:eastAsia="zh-CN"/>
        </w:rPr>
        <w:t>官方网站</w:t>
      </w:r>
      <w:r>
        <w:rPr>
          <w:rFonts w:hint="eastAsia" w:ascii="宋体" w:hAnsi="宋体" w:cs="宋体"/>
          <w:kern w:val="0"/>
          <w:sz w:val="24"/>
          <w:highlight w:val="none"/>
        </w:rPr>
        <w:t>及时告知投资者。</w:t>
      </w:r>
    </w:p>
    <w:p>
      <w:pPr>
        <w:numPr>
          <w:ilvl w:val="0"/>
          <w:numId w:val="60"/>
        </w:numPr>
        <w:spacing w:line="360" w:lineRule="auto"/>
        <w:ind w:left="0" w:leftChars="0" w:firstLine="400" w:firstLineChars="0"/>
        <w:rPr>
          <w:rFonts w:hint="eastAsia" w:ascii="宋体" w:hAnsi="宋体" w:cs="宋体"/>
          <w:kern w:val="0"/>
          <w:sz w:val="24"/>
          <w:highlight w:val="none"/>
        </w:rPr>
      </w:pPr>
      <w:r>
        <w:rPr>
          <w:rFonts w:hint="eastAsia" w:ascii="宋体" w:hAnsi="宋体" w:cs="宋体"/>
          <w:kern w:val="0"/>
          <w:sz w:val="24"/>
          <w:highlight w:val="none"/>
          <w:lang w:eastAsia="zh-CN"/>
        </w:rPr>
        <w:t>杭州银行</w:t>
      </w:r>
      <w:r>
        <w:rPr>
          <w:rFonts w:hint="eastAsia" w:ascii="宋体" w:hAnsi="宋体" w:cs="宋体"/>
          <w:kern w:val="0"/>
          <w:sz w:val="24"/>
          <w:highlight w:val="none"/>
        </w:rPr>
        <w:t>（作为销售机构）</w:t>
      </w:r>
      <w:r>
        <w:rPr>
          <w:rFonts w:hint="eastAsia" w:ascii="宋体" w:hAnsi="宋体" w:cs="宋体"/>
          <w:kern w:val="0"/>
          <w:sz w:val="24"/>
          <w:highlight w:val="none"/>
          <w:lang w:eastAsia="zh-CN"/>
        </w:rPr>
        <w:t>联络方式：</w:t>
      </w:r>
    </w:p>
    <w:p>
      <w:pPr>
        <w:spacing w:line="360" w:lineRule="auto"/>
        <w:ind w:firstLine="480" w:firstLineChars="200"/>
        <w:rPr>
          <w:rFonts w:hint="eastAsia" w:ascii="宋体" w:hAnsi="宋体" w:cs="宋体"/>
          <w:kern w:val="0"/>
          <w:sz w:val="24"/>
          <w:highlight w:val="none"/>
          <w:u w:val="single"/>
          <w:lang w:val="en-US" w:eastAsia="zh-CN"/>
        </w:rPr>
      </w:pPr>
      <w:r>
        <w:rPr>
          <w:rFonts w:hint="eastAsia" w:ascii="宋体" w:hAnsi="宋体" w:cs="宋体"/>
          <w:kern w:val="0"/>
          <w:sz w:val="24"/>
          <w:highlight w:val="none"/>
          <w:lang w:eastAsia="zh-CN"/>
        </w:rPr>
        <w:t>官方网站</w:t>
      </w:r>
      <w:r>
        <w:rPr>
          <w:rFonts w:hint="eastAsia" w:ascii="宋体" w:hAnsi="宋体" w:cs="宋体"/>
          <w:kern w:val="0"/>
          <w:sz w:val="24"/>
          <w:highlight w:val="none"/>
          <w:lang w:val="en-US" w:eastAsia="zh-CN"/>
        </w:rPr>
        <w:t xml:space="preserve">: </w:t>
      </w:r>
      <w:r>
        <w:fldChar w:fldCharType="begin"/>
      </w:r>
      <w:r>
        <w:rPr>
          <w:rStyle w:val="11"/>
          <w:rFonts w:hint="eastAsia" w:ascii="宋体" w:hAnsi="宋体" w:cs="宋体"/>
          <w:color w:val="auto"/>
          <w:kern w:val="0"/>
          <w:sz w:val="24"/>
          <w:highlight w:val="none"/>
          <w:u w:val="none"/>
          <w:lang w:val="en-US" w:eastAsia="zh-CN"/>
        </w:rPr>
        <w:instrText xml:space="preserve"> HYPERLINK "http://www.hzbankwealth.cn" </w:instrText>
      </w:r>
      <w:r>
        <w:fldChar w:fldCharType="separate"/>
      </w:r>
      <w:r>
        <w:rPr>
          <w:rStyle w:val="11"/>
          <w:rFonts w:hint="eastAsia" w:ascii="宋体" w:hAnsi="宋体" w:cs="宋体"/>
          <w:color w:val="auto"/>
          <w:kern w:val="0"/>
          <w:sz w:val="24"/>
          <w:highlight w:val="none"/>
          <w:u w:val="none"/>
          <w:lang w:val="en-US" w:eastAsia="zh-CN"/>
        </w:rPr>
        <w:t>www.hzbank.com.cn</w:t>
      </w:r>
      <w:r>
        <w:fldChar w:fldCharType="end"/>
      </w:r>
    </w:p>
    <w:p>
      <w:pPr>
        <w:spacing w:line="360" w:lineRule="auto"/>
        <w:ind w:firstLine="480" w:firstLineChars="200"/>
        <w:rPr>
          <w:rFonts w:hint="default" w:ascii="宋体" w:hAnsi="宋体" w:eastAsia="宋体" w:cs="宋体"/>
          <w:kern w:val="0"/>
          <w:sz w:val="24"/>
          <w:highlight w:val="none"/>
          <w:u w:val="none"/>
          <w:lang w:val="en-US" w:eastAsia="zh-CN"/>
        </w:rPr>
      </w:pPr>
      <w:r>
        <w:rPr>
          <w:rFonts w:hint="eastAsia" w:ascii="宋体" w:hAnsi="宋体" w:cs="宋体"/>
          <w:kern w:val="0"/>
          <w:sz w:val="24"/>
          <w:highlight w:val="none"/>
          <w:u w:val="none"/>
          <w:lang w:val="en-US" w:eastAsia="zh-CN"/>
        </w:rPr>
        <w:t>客户服务热线：95398、</w:t>
      </w:r>
      <w:r>
        <w:rPr>
          <w:rFonts w:hint="eastAsia" w:ascii="宋体" w:hAnsi="宋体" w:cs="宋体"/>
          <w:kern w:val="0"/>
          <w:sz w:val="24"/>
          <w:highlight w:val="none"/>
        </w:rPr>
        <w:t>4008888508</w:t>
      </w:r>
    </w:p>
    <w:p>
      <w:pPr>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在</w:t>
      </w:r>
      <w:r>
        <w:rPr>
          <w:rFonts w:hint="eastAsia" w:ascii="宋体" w:hAnsi="宋体" w:cs="宋体"/>
          <w:kern w:val="0"/>
          <w:sz w:val="24"/>
          <w:highlight w:val="none"/>
        </w:rPr>
        <w:t>其他销售机构购买理财计划的，请联系其他销售机构，联系方式以其披露为准。</w:t>
      </w:r>
    </w:p>
    <w:p>
      <w:pPr>
        <w:jc w:val="center"/>
        <w:outlineLvl w:val="0"/>
        <w:rPr>
          <w:rFonts w:hint="eastAsia"/>
          <w:b/>
          <w:sz w:val="44"/>
          <w:szCs w:val="44"/>
          <w:highlight w:val="none"/>
        </w:rPr>
      </w:pPr>
      <w:r>
        <w:rPr>
          <w:rFonts w:hint="eastAsia"/>
          <w:b/>
          <w:sz w:val="44"/>
          <w:szCs w:val="44"/>
          <w:highlight w:val="none"/>
        </w:rPr>
        <w:br w:type="page"/>
      </w:r>
      <w:r>
        <w:rPr>
          <w:rFonts w:hint="eastAsia"/>
          <w:b/>
          <w:sz w:val="44"/>
          <w:szCs w:val="44"/>
          <w:highlight w:val="none"/>
        </w:rPr>
        <w:t>杭银理财理财计划投资协议书</w:t>
      </w:r>
    </w:p>
    <w:p>
      <w:pPr>
        <w:jc w:val="center"/>
        <w:rPr>
          <w:rFonts w:hint="eastAsia"/>
          <w:b/>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202501</w:t>
      </w:r>
      <w:r>
        <w:rPr>
          <w:rFonts w:hint="eastAsia" w:ascii="宋体" w:hAnsi="宋体" w:cs="宋体"/>
          <w:sz w:val="28"/>
          <w:szCs w:val="28"/>
          <w:highlight w:val="none"/>
        </w:rPr>
        <w:t>版）</w:t>
      </w:r>
    </w:p>
    <w:p>
      <w:pPr>
        <w:spacing w:line="360" w:lineRule="auto"/>
        <w:jc w:val="center"/>
        <w:rPr>
          <w:rFonts w:hint="eastAsia"/>
          <w:b/>
          <w:sz w:val="32"/>
          <w:szCs w:val="32"/>
          <w:highlight w:val="none"/>
        </w:rPr>
      </w:pPr>
      <w:r>
        <w:rPr>
          <w:rFonts w:hint="eastAsia" w:ascii="宋体" w:hAnsi="宋体" w:cs="宋体"/>
          <w:b/>
          <w:bCs/>
          <w:sz w:val="24"/>
          <w:highlight w:val="none"/>
          <w:u w:val="single"/>
        </w:rPr>
        <w:t>理财非存款、产品有风险、投资须谨慎</w:t>
      </w:r>
    </w:p>
    <w:p>
      <w:pPr>
        <w:spacing w:line="360" w:lineRule="auto"/>
        <w:ind w:firstLine="482" w:firstLineChars="200"/>
        <w:rPr>
          <w:rFonts w:hint="eastAsia"/>
          <w:b/>
          <w:bCs/>
          <w:sz w:val="24"/>
          <w:highlight w:val="none"/>
        </w:rPr>
      </w:pPr>
      <w:r>
        <w:rPr>
          <w:rFonts w:hint="eastAsia"/>
          <w:b/>
          <w:bCs/>
          <w:sz w:val="24"/>
          <w:highlight w:val="none"/>
        </w:rPr>
        <w:t>特别提示：杭银理财理财计划投资协议书与</w:t>
      </w:r>
      <w:r>
        <w:rPr>
          <w:rFonts w:hint="eastAsia"/>
          <w:b/>
          <w:bCs/>
          <w:sz w:val="24"/>
          <w:highlight w:val="none"/>
          <w:lang w:eastAsia="zh-CN"/>
        </w:rPr>
        <w:t>理财计划风险揭示书、理财计划产品说明书、</w:t>
      </w:r>
      <w:r>
        <w:rPr>
          <w:rFonts w:hint="eastAsia"/>
          <w:b/>
          <w:bCs/>
          <w:sz w:val="24"/>
          <w:highlight w:val="none"/>
        </w:rPr>
        <w:t>投资者权益须知</w:t>
      </w:r>
      <w:r>
        <w:rPr>
          <w:rFonts w:hint="eastAsia"/>
          <w:b/>
          <w:bCs/>
          <w:sz w:val="24"/>
          <w:highlight w:val="none"/>
          <w:lang w:eastAsia="zh-CN"/>
        </w:rPr>
        <w:t>及理财计划销售协议书</w:t>
      </w:r>
      <w:r>
        <w:rPr>
          <w:rFonts w:hint="eastAsia"/>
          <w:b/>
          <w:bCs/>
          <w:sz w:val="24"/>
          <w:highlight w:val="none"/>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sz w:val="24"/>
          <w:highlight w:val="none"/>
        </w:rPr>
      </w:pPr>
      <w:r>
        <w:rPr>
          <w:rFonts w:hint="eastAsia"/>
          <w:sz w:val="24"/>
          <w:highlight w:val="none"/>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sz w:val="24"/>
          <w:highlight w:val="none"/>
        </w:rPr>
      </w:pPr>
    </w:p>
    <w:p>
      <w:pPr>
        <w:numPr>
          <w:ilvl w:val="0"/>
          <w:numId w:val="61"/>
        </w:numPr>
        <w:spacing w:line="360" w:lineRule="auto"/>
        <w:ind w:firstLine="482" w:firstLineChars="200"/>
        <w:outlineLvl w:val="1"/>
        <w:rPr>
          <w:rFonts w:hint="eastAsia" w:ascii="宋体" w:hAnsi="宋体"/>
          <w:b/>
          <w:bCs/>
          <w:sz w:val="24"/>
          <w:highlight w:val="none"/>
        </w:rPr>
      </w:pPr>
      <w:r>
        <w:rPr>
          <w:rFonts w:hint="eastAsia"/>
          <w:b/>
          <w:bCs/>
          <w:sz w:val="24"/>
          <w:highlight w:val="none"/>
        </w:rPr>
        <w:t>名词释义</w:t>
      </w:r>
    </w:p>
    <w:p>
      <w:pPr>
        <w:spacing w:line="360" w:lineRule="auto"/>
        <w:ind w:firstLine="480" w:firstLineChars="200"/>
        <w:rPr>
          <w:rFonts w:hint="eastAsia"/>
          <w:bCs/>
          <w:sz w:val="24"/>
          <w:highlight w:val="none"/>
        </w:rPr>
      </w:pPr>
      <w:r>
        <w:rPr>
          <w:rFonts w:hint="eastAsia"/>
          <w:bCs/>
          <w:sz w:val="24"/>
          <w:highlight w:val="none"/>
        </w:rPr>
        <w:t>详见理财计划说明书“释义”部分。</w:t>
      </w:r>
    </w:p>
    <w:p>
      <w:pPr>
        <w:spacing w:line="360" w:lineRule="auto"/>
        <w:ind w:firstLine="480" w:firstLineChars="200"/>
        <w:rPr>
          <w:rFonts w:hint="eastAsia"/>
          <w:bCs/>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投资者权利与义务</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投资者保证自身完全了解理财投资的性质，投资所涉及的风险以及自身风险承受能力，在慎重考虑后独立作出交易决定。</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投资者保证其有权利签署本协议和履行本协议所述的义务，并已为此采取一切所需的行为。</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本协议终止前，投资者不得将授权指定账户销户。若发生因投资者注销授权指定账户造成理财计划无法正常兑付的，管理人不承担任何责任。</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62"/>
        </w:numPr>
        <w:spacing w:line="360" w:lineRule="auto"/>
        <w:contextualSpacing/>
        <w:outlineLvl w:val="2"/>
        <w:rPr>
          <w:rFonts w:ascii="宋体" w:hAnsi="宋体"/>
          <w:sz w:val="24"/>
          <w:highlight w:val="none"/>
        </w:rPr>
      </w:pPr>
      <w:r>
        <w:rPr>
          <w:rFonts w:hint="eastAsia" w:ascii="宋体" w:hAnsi="宋体"/>
          <w:sz w:val="24"/>
          <w:highlight w:val="none"/>
        </w:rPr>
        <w:t xml:space="preserve">投资者进行投资时，应严格遵守反洗钱相关法规的规定，切实履行反洗钱及反恐怖融资义务。 </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管理人权利与义务</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管理人应当诚实守信、勤勉尽责地履行受人之托、代人理财职责。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管理人应当按照理财计划销售文件的约定收取管理费用、确定收益分配方案、向投资者分配收益。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管理人应当按照理财计划销售文件的约定履行风险揭示及信息披露义务。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管理人应当确保理财业务与其他业务相分离，理财计划之间相分离，理财业务操作与其他业务操作相分离。 </w:t>
      </w:r>
    </w:p>
    <w:p>
      <w:pPr>
        <w:widowControl/>
        <w:numPr>
          <w:ilvl w:val="0"/>
          <w:numId w:val="63"/>
        </w:numPr>
        <w:spacing w:line="360" w:lineRule="auto"/>
        <w:contextualSpacing/>
        <w:outlineLvl w:val="2"/>
        <w:rPr>
          <w:rFonts w:ascii="宋体" w:hAnsi="宋体"/>
          <w:sz w:val="24"/>
          <w:highlight w:val="none"/>
        </w:rPr>
      </w:pPr>
      <w:r>
        <w:rPr>
          <w:rFonts w:ascii="宋体" w:hAnsi="宋体"/>
          <w:sz w:val="24"/>
          <w:highlight w:val="none"/>
        </w:rPr>
        <w:t>管理人不得将理财</w:t>
      </w:r>
      <w:r>
        <w:rPr>
          <w:rFonts w:hint="eastAsia" w:ascii="宋体" w:hAnsi="宋体"/>
          <w:sz w:val="24"/>
          <w:highlight w:val="none"/>
        </w:rPr>
        <w:t>计划</w:t>
      </w:r>
      <w:r>
        <w:rPr>
          <w:rFonts w:ascii="宋体" w:hAnsi="宋体"/>
          <w:sz w:val="24"/>
          <w:highlight w:val="none"/>
        </w:rPr>
        <w:t>财产归入其自有资产</w:t>
      </w:r>
      <w:r>
        <w:rPr>
          <w:rFonts w:hint="eastAsia" w:ascii="宋体" w:hAnsi="宋体"/>
          <w:sz w:val="24"/>
          <w:highlight w:val="none"/>
        </w:rPr>
        <w:t>，</w:t>
      </w:r>
      <w:r>
        <w:rPr>
          <w:rFonts w:ascii="宋体" w:hAnsi="宋体"/>
          <w:sz w:val="24"/>
          <w:highlight w:val="none"/>
        </w:rPr>
        <w:t>因依法解散</w:t>
      </w:r>
      <w:r>
        <w:rPr>
          <w:rFonts w:hint="eastAsia" w:ascii="宋体" w:hAnsi="宋体"/>
          <w:sz w:val="24"/>
          <w:highlight w:val="none"/>
        </w:rPr>
        <w:t>、</w:t>
      </w:r>
      <w:r>
        <w:rPr>
          <w:rFonts w:ascii="宋体" w:hAnsi="宋体"/>
          <w:sz w:val="24"/>
          <w:highlight w:val="none"/>
        </w:rPr>
        <w:t>被依法撤销或者被依法宣告破产等原因进行清算的</w:t>
      </w:r>
      <w:r>
        <w:rPr>
          <w:rFonts w:hint="eastAsia" w:ascii="宋体" w:hAnsi="宋体"/>
          <w:sz w:val="24"/>
          <w:highlight w:val="none"/>
        </w:rPr>
        <w:t>，</w:t>
      </w:r>
      <w:r>
        <w:rPr>
          <w:rFonts w:ascii="宋体" w:hAnsi="宋体"/>
          <w:sz w:val="24"/>
          <w:highlight w:val="none"/>
        </w:rPr>
        <w:t>理财</w:t>
      </w:r>
      <w:r>
        <w:rPr>
          <w:rFonts w:hint="eastAsia" w:ascii="宋体" w:hAnsi="宋体"/>
          <w:sz w:val="24"/>
          <w:highlight w:val="none"/>
        </w:rPr>
        <w:t>计划</w:t>
      </w:r>
      <w:r>
        <w:rPr>
          <w:rFonts w:ascii="宋体" w:hAnsi="宋体"/>
          <w:sz w:val="24"/>
          <w:highlight w:val="none"/>
        </w:rPr>
        <w:t>财产不属于其清算财产</w:t>
      </w:r>
      <w:r>
        <w:rPr>
          <w:rFonts w:hint="eastAsia" w:ascii="宋体" w:hAnsi="宋体"/>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管理人应当选择具有证券投资基金托管业务资格的金融机构、银行业理财登记托管机构或者国务院银行业监督管理机构认可的其他机构托管理财计划。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管理人</w:t>
      </w:r>
      <w:r>
        <w:rPr>
          <w:rFonts w:hint="eastAsia" w:ascii="宋体" w:hAnsi="宋体" w:cs="宋体"/>
          <w:bCs/>
          <w:color w:val="000000"/>
          <w:sz w:val="24"/>
          <w:highlight w:val="none"/>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sz w:val="24"/>
          <w:highlight w:val="none"/>
          <w:lang w:eastAsia="zh-CN"/>
        </w:rPr>
        <w:t>，</w:t>
      </w:r>
      <w:r>
        <w:rPr>
          <w:rFonts w:hint="eastAsia" w:ascii="宋体" w:hAnsi="宋体" w:cs="宋体"/>
          <w:b w:val="0"/>
          <w:bCs/>
          <w:color w:val="000000"/>
          <w:sz w:val="24"/>
          <w:highlight w:val="none"/>
          <w:lang w:val="en-US" w:eastAsia="zh-CN"/>
        </w:rPr>
        <w:t>授权使用时限与履行相关法律法规和监管要求的必要时限一致</w:t>
      </w:r>
      <w:r>
        <w:rPr>
          <w:rFonts w:hint="eastAsia" w:ascii="宋体" w:hAnsi="宋体" w:cs="宋体"/>
          <w:b w:val="0"/>
          <w:bCs/>
          <w:color w:val="000000"/>
          <w:sz w:val="24"/>
          <w:highlight w:val="none"/>
        </w:rPr>
        <w:t>。</w:t>
      </w:r>
    </w:p>
    <w:p>
      <w:pPr>
        <w:widowControl/>
        <w:numPr>
          <w:ilvl w:val="0"/>
          <w:numId w:val="63"/>
        </w:numPr>
        <w:spacing w:line="360" w:lineRule="auto"/>
        <w:contextualSpacing/>
        <w:outlineLvl w:val="2"/>
        <w:rPr>
          <w:rFonts w:ascii="宋体" w:hAnsi="宋体"/>
          <w:sz w:val="24"/>
          <w:highlight w:val="none"/>
        </w:rPr>
      </w:pPr>
      <w:r>
        <w:rPr>
          <w:rFonts w:hint="eastAsia" w:ascii="宋体" w:hAnsi="宋体"/>
          <w:sz w:val="24"/>
          <w:highlight w:val="none"/>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理财计划认（申）购、赎回及终止</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理财计划认/申购办理流程：参照《投资者权益须知》约定。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64"/>
        </w:numPr>
        <w:spacing w:line="360" w:lineRule="auto"/>
        <w:contextualSpacing/>
        <w:outlineLvl w:val="2"/>
        <w:rPr>
          <w:rFonts w:hint="eastAsia" w:ascii="宋体" w:hAnsi="宋体"/>
          <w:sz w:val="24"/>
          <w:highlight w:val="none"/>
        </w:rPr>
      </w:pPr>
      <w:r>
        <w:rPr>
          <w:rFonts w:hint="eastAsia" w:ascii="宋体" w:hAnsi="宋体"/>
          <w:sz w:val="24"/>
          <w:highlight w:val="none"/>
        </w:rPr>
        <w:t xml:space="preserve">理财计划投资品种、投资起点金额、收益支付方式：参照对应期次的《理财计划产品说明书》中的条款约定。 </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64"/>
        </w:numPr>
        <w:spacing w:line="360" w:lineRule="auto"/>
        <w:contextualSpacing/>
        <w:outlineLvl w:val="2"/>
        <w:rPr>
          <w:rFonts w:ascii="宋体" w:hAnsi="宋体"/>
          <w:sz w:val="24"/>
          <w:highlight w:val="none"/>
        </w:rPr>
      </w:pPr>
      <w:r>
        <w:rPr>
          <w:rFonts w:hint="eastAsia" w:ascii="宋体" w:hAnsi="宋体"/>
          <w:sz w:val="24"/>
          <w:highlight w:val="none"/>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税收处理</w:t>
      </w:r>
    </w:p>
    <w:p>
      <w:pPr>
        <w:widowControl/>
        <w:spacing w:line="360" w:lineRule="auto"/>
        <w:ind w:firstLine="480" w:firstLineChars="200"/>
        <w:contextualSpacing/>
        <w:rPr>
          <w:rFonts w:hint="eastAsia" w:ascii="宋体" w:hAnsi="宋体"/>
          <w:sz w:val="24"/>
          <w:highlight w:val="none"/>
        </w:rPr>
      </w:pPr>
      <w:r>
        <w:rPr>
          <w:rFonts w:hint="eastAsia" w:ascii="宋体" w:hAnsi="宋体"/>
          <w:sz w:val="24"/>
          <w:highlight w:val="none"/>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违约责任及免责条款</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若因投资人原因导致司法或行政机构采取强制措施对其理财本金、收益进行部分或全部被扣划，均视投资者本人就全部理财本金违约进行了提前</w:t>
      </w:r>
      <w:r>
        <w:rPr>
          <w:rFonts w:hint="eastAsia" w:ascii="宋体" w:hAnsi="宋体"/>
          <w:sz w:val="24"/>
          <w:highlight w:val="none"/>
          <w:lang w:eastAsia="zh-CN"/>
        </w:rPr>
        <w:t>赎回</w:t>
      </w:r>
      <w:r>
        <w:rPr>
          <w:rFonts w:hint="eastAsia" w:ascii="宋体" w:hAnsi="宋体"/>
          <w:sz w:val="24"/>
          <w:highlight w:val="none"/>
        </w:rPr>
        <w:t>，本合同自动终止。因提前终止而产生的损失及相关费用由投资者承担。本合同前述情况终止的，理财本金不计付</w:t>
      </w:r>
      <w:r>
        <w:rPr>
          <w:rFonts w:hint="eastAsia" w:ascii="宋体" w:hAnsi="宋体"/>
          <w:sz w:val="24"/>
          <w:highlight w:val="none"/>
          <w:lang w:eastAsia="zh-CN"/>
        </w:rPr>
        <w:t>赎回</w:t>
      </w:r>
      <w:r>
        <w:rPr>
          <w:rFonts w:hint="eastAsia" w:ascii="宋体" w:hAnsi="宋体"/>
          <w:sz w:val="24"/>
          <w:highlight w:val="none"/>
        </w:rPr>
        <w:t>日前的理财收益，也不计付存款利息。</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65"/>
        </w:numPr>
        <w:spacing w:line="360" w:lineRule="auto"/>
        <w:contextualSpacing/>
        <w:outlineLvl w:val="2"/>
        <w:rPr>
          <w:rFonts w:ascii="宋体" w:hAnsi="宋体"/>
          <w:sz w:val="24"/>
          <w:highlight w:val="none"/>
        </w:rPr>
      </w:pPr>
      <w:r>
        <w:rPr>
          <w:rFonts w:hint="eastAsia" w:ascii="宋体" w:hAnsi="宋体"/>
          <w:sz w:val="24"/>
          <w:highlight w:val="none"/>
        </w:rPr>
        <w:t>若由于管理人过错导致理财计划资产发生损失，管理人应按其过错承担赔偿责任，管理人赔偿的款项计入本理财计划的资产和收益，由所有投资者按理财本金比例分配。</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因国家有关法律、法规、规章、政策的修改或新的法律、法规、规章、政策颁布以及紧急措施的出台导致的风险及损失，管理人不承担责任。</w:t>
      </w:r>
    </w:p>
    <w:p>
      <w:pPr>
        <w:widowControl/>
        <w:numPr>
          <w:ilvl w:val="0"/>
          <w:numId w:val="65"/>
        </w:numPr>
        <w:spacing w:line="360" w:lineRule="auto"/>
        <w:contextualSpacing/>
        <w:outlineLvl w:val="2"/>
        <w:rPr>
          <w:rFonts w:hint="eastAsia" w:ascii="宋体" w:hAnsi="宋体"/>
          <w:sz w:val="24"/>
          <w:highlight w:val="none"/>
        </w:rPr>
      </w:pPr>
      <w:r>
        <w:rPr>
          <w:rFonts w:hint="eastAsia" w:ascii="宋体" w:hAnsi="宋体"/>
          <w:sz w:val="24"/>
          <w:highlight w:val="none"/>
        </w:rPr>
        <w:t>管理人若严格按照产品说明书相关规定进行投资运作，给投资者造成损失的，应免除管理人责任。</w:t>
      </w:r>
    </w:p>
    <w:p>
      <w:pPr>
        <w:widowControl/>
        <w:spacing w:line="360" w:lineRule="auto"/>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适用法律与争议解决</w:t>
      </w:r>
    </w:p>
    <w:p>
      <w:pPr>
        <w:widowControl/>
        <w:spacing w:line="360" w:lineRule="auto"/>
        <w:ind w:firstLine="480" w:firstLineChars="200"/>
        <w:contextualSpacing/>
        <w:rPr>
          <w:rFonts w:ascii="宋体" w:hAnsi="宋体"/>
          <w:sz w:val="24"/>
          <w:highlight w:val="none"/>
        </w:rPr>
      </w:pPr>
      <w:r>
        <w:rPr>
          <w:rFonts w:hint="eastAsia" w:ascii="宋体" w:hAnsi="宋体"/>
          <w:sz w:val="24"/>
          <w:highlight w:val="none"/>
        </w:rPr>
        <w:t>本合同适用</w:t>
      </w:r>
      <w:r>
        <w:rPr>
          <w:rFonts w:hint="eastAsia" w:ascii="宋体" w:hAnsi="宋体" w:cs="宋体"/>
          <w:bCs/>
          <w:color w:val="000000"/>
          <w:sz w:val="24"/>
          <w:highlight w:val="none"/>
        </w:rPr>
        <w:t>中华人民共和国（仅为明确本合同适用法律规则，不含香港特别行政区、澳门特别行政区及中国台湾地区）</w:t>
      </w:r>
      <w:r>
        <w:rPr>
          <w:rFonts w:hint="eastAsia" w:ascii="宋体" w:hAnsi="宋体"/>
          <w:sz w:val="24"/>
          <w:highlight w:val="none"/>
        </w:rPr>
        <w:t>的法律和行政法规。本合同项下的及与之有关的一切争议，投资者与管理人双方应首先协商解决，协商不成的，应提交</w:t>
      </w:r>
      <w:r>
        <w:rPr>
          <w:rFonts w:hint="eastAsia" w:ascii="宋体" w:hAnsi="宋体"/>
          <w:sz w:val="24"/>
          <w:highlight w:val="none"/>
          <w:lang w:val="en-US" w:eastAsia="zh-CN"/>
        </w:rPr>
        <w:t>被告人</w:t>
      </w:r>
      <w:r>
        <w:rPr>
          <w:rFonts w:hint="eastAsia" w:ascii="宋体" w:hAnsi="宋体"/>
          <w:sz w:val="24"/>
          <w:highlight w:val="none"/>
        </w:rPr>
        <w:t>所在地人民法院司法裁决。诉讼期间，未涉及争议的条款仍需继续履行。</w:t>
      </w:r>
    </w:p>
    <w:p>
      <w:pPr>
        <w:spacing w:line="360" w:lineRule="auto"/>
        <w:ind w:left="482"/>
        <w:rPr>
          <w:b/>
          <w:sz w:val="24"/>
          <w:highlight w:val="none"/>
        </w:rPr>
      </w:pPr>
    </w:p>
    <w:p>
      <w:pPr>
        <w:numPr>
          <w:ilvl w:val="0"/>
          <w:numId w:val="61"/>
        </w:numPr>
        <w:spacing w:line="360" w:lineRule="auto"/>
        <w:ind w:firstLine="482" w:firstLineChars="200"/>
        <w:outlineLvl w:val="1"/>
        <w:rPr>
          <w:rFonts w:hint="eastAsia"/>
          <w:b/>
          <w:sz w:val="24"/>
          <w:highlight w:val="none"/>
        </w:rPr>
      </w:pPr>
      <w:r>
        <w:rPr>
          <w:rFonts w:hint="eastAsia"/>
          <w:b/>
          <w:sz w:val="24"/>
          <w:highlight w:val="none"/>
        </w:rPr>
        <w:t>协议生效和终止</w:t>
      </w:r>
    </w:p>
    <w:p>
      <w:pPr>
        <w:widowControl/>
        <w:numPr>
          <w:ilvl w:val="0"/>
          <w:numId w:val="66"/>
        </w:numPr>
        <w:spacing w:line="360" w:lineRule="auto"/>
        <w:contextualSpacing/>
        <w:outlineLvl w:val="2"/>
        <w:rPr>
          <w:rFonts w:ascii="宋体" w:hAnsi="宋体"/>
          <w:sz w:val="24"/>
          <w:highlight w:val="none"/>
        </w:rPr>
      </w:pPr>
      <w:r>
        <w:rPr>
          <w:rFonts w:hint="eastAsia" w:ascii="宋体" w:hAnsi="宋体"/>
          <w:sz w:val="24"/>
          <w:highlight w:val="none"/>
        </w:rPr>
        <w:t xml:space="preserve">投资者和管理人双方认可本协议可以纸质或电子数据等形式提交、订立或确认。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本协议书以纸质书面形式订立的，自投资者</w:t>
      </w:r>
      <w:r>
        <w:rPr>
          <w:rFonts w:hint="eastAsia" w:ascii="宋体" w:hAnsi="宋体"/>
          <w:sz w:val="24"/>
          <w:highlight w:val="none"/>
          <w:lang w:val="en-US" w:eastAsia="zh-CN"/>
        </w:rPr>
        <w:t>签署（如投资者为个人，应签字；如投资者为机构，应法定代表人或授权代理人签字或盖章并加盖公章或有效授权印章）并经管理人系统确认购买理财计划份额</w:t>
      </w:r>
      <w:r>
        <w:rPr>
          <w:rFonts w:hint="eastAsia" w:ascii="宋体" w:hAnsi="宋体"/>
          <w:sz w:val="24"/>
          <w:highlight w:val="none"/>
        </w:rPr>
        <w:t>之后立即生效。协议一式</w:t>
      </w:r>
      <w:r>
        <w:rPr>
          <w:rFonts w:hint="eastAsia" w:ascii="宋体" w:hAnsi="宋体"/>
          <w:sz w:val="24"/>
          <w:highlight w:val="none"/>
          <w:lang w:eastAsia="zh-CN"/>
        </w:rPr>
        <w:t>贰</w:t>
      </w:r>
      <w:r>
        <w:rPr>
          <w:rFonts w:hint="eastAsia" w:ascii="宋体" w:hAnsi="宋体"/>
          <w:sz w:val="24"/>
          <w:highlight w:val="none"/>
        </w:rPr>
        <w:t>份，投资者和管理人双方各执</w:t>
      </w:r>
      <w:r>
        <w:rPr>
          <w:rFonts w:hint="eastAsia" w:ascii="宋体" w:hAnsi="宋体"/>
          <w:sz w:val="24"/>
          <w:highlight w:val="none"/>
          <w:lang w:eastAsia="zh-CN"/>
        </w:rPr>
        <w:t>壹</w:t>
      </w:r>
      <w:r>
        <w:rPr>
          <w:rFonts w:hint="eastAsia" w:ascii="宋体" w:hAnsi="宋体"/>
          <w:sz w:val="24"/>
          <w:highlight w:val="none"/>
        </w:rPr>
        <w:t xml:space="preserve">份，具有同等法律效力。 </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66"/>
        </w:numPr>
        <w:spacing w:line="360" w:lineRule="auto"/>
        <w:contextualSpacing/>
        <w:outlineLvl w:val="2"/>
        <w:rPr>
          <w:rFonts w:hint="eastAsia" w:ascii="宋体" w:hAnsi="宋体"/>
          <w:sz w:val="24"/>
          <w:highlight w:val="none"/>
        </w:rPr>
      </w:pPr>
      <w:r>
        <w:rPr>
          <w:rFonts w:hint="eastAsia" w:ascii="宋体" w:hAnsi="宋体"/>
          <w:sz w:val="24"/>
          <w:highlight w:val="none"/>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sz w:val="24"/>
          <w:highlight w:val="none"/>
        </w:rPr>
      </w:pPr>
    </w:p>
    <w:p>
      <w:pPr>
        <w:numPr>
          <w:ilvl w:val="0"/>
          <w:numId w:val="61"/>
        </w:numPr>
        <w:spacing w:line="360" w:lineRule="auto"/>
        <w:ind w:firstLine="482" w:firstLineChars="200"/>
        <w:outlineLvl w:val="1"/>
        <w:rPr>
          <w:b/>
          <w:sz w:val="24"/>
          <w:highlight w:val="none"/>
        </w:rPr>
      </w:pPr>
      <w:r>
        <w:rPr>
          <w:rFonts w:hint="eastAsia"/>
          <w:b/>
          <w:sz w:val="24"/>
          <w:highlight w:val="none"/>
        </w:rPr>
        <w:t>附则</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如果由于任何原因使本合同下的任何条款或内容成为无效或被依法撤销，本合同其他条款或内容的合法性、有效性和可执行性不受影响。</w:t>
      </w:r>
    </w:p>
    <w:p>
      <w:pPr>
        <w:widowControl/>
        <w:numPr>
          <w:ilvl w:val="0"/>
          <w:numId w:val="67"/>
        </w:numPr>
        <w:spacing w:line="360" w:lineRule="auto"/>
        <w:contextualSpacing/>
        <w:outlineLvl w:val="2"/>
        <w:rPr>
          <w:rFonts w:ascii="宋体" w:hAnsi="宋体"/>
          <w:sz w:val="24"/>
          <w:highlight w:val="none"/>
        </w:rPr>
      </w:pPr>
      <w:r>
        <w:rPr>
          <w:rFonts w:hint="eastAsia" w:ascii="宋体" w:hAnsi="宋体"/>
          <w:sz w:val="24"/>
          <w:highlight w:val="none"/>
        </w:rPr>
        <w:t>在理财计划存续期内，如因监管政策或法律法规发生变化，在不损害投资者利益的前提下，管理人有权单方对理财计划合同进行修订。</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pStyle w:val="6"/>
        <w:widowControl/>
        <w:spacing w:line="360" w:lineRule="auto"/>
        <w:jc w:val="right"/>
        <w:rPr>
          <w:rFonts w:hint="eastAsia" w:ascii="宋体" w:hAnsi="Wingdings" w:cs="宋体"/>
          <w:color w:val="000000"/>
          <w:kern w:val="0"/>
          <w:highlight w:val="none"/>
        </w:rPr>
      </w:pPr>
      <w:r>
        <w:rPr>
          <w:rFonts w:hint="eastAsia" w:ascii="宋体" w:hAnsi="宋体" w:cs="宋体"/>
          <w:kern w:val="0"/>
          <w:highlight w:val="none"/>
        </w:rPr>
        <w:t>杭银理财有限责任公司</w:t>
      </w: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cs="宋体"/>
          <w:bCs/>
          <w:color w:val="000000"/>
          <w:sz w:val="24"/>
          <w:highlight w:val="none"/>
        </w:rPr>
      </w:pPr>
    </w:p>
    <w:p>
      <w:pPr>
        <w:spacing w:line="360" w:lineRule="auto"/>
        <w:rPr>
          <w:rFonts w:ascii="宋体" w:hAnsi="宋体"/>
          <w:sz w:val="24"/>
          <w:highlight w:val="none"/>
        </w:rPr>
      </w:pPr>
      <w:r>
        <w:rPr>
          <w:rFonts w:hint="eastAsia" w:ascii="宋体" w:hAnsi="宋体"/>
          <w:sz w:val="24"/>
          <w:highlight w:val="none"/>
        </w:rPr>
        <w:t>本页为纸质形式（如有）</w:t>
      </w:r>
      <w:r>
        <w:rPr>
          <w:rFonts w:hint="eastAsia" w:ascii="宋体" w:hAnsi="宋体"/>
          <w:sz w:val="24"/>
          <w:highlight w:val="none"/>
          <w:lang w:val="en-US" w:eastAsia="zh-CN"/>
        </w:rPr>
        <w:t>投资</w:t>
      </w:r>
      <w:r>
        <w:rPr>
          <w:rFonts w:hint="eastAsia" w:ascii="宋体" w:hAnsi="宋体"/>
          <w:sz w:val="24"/>
          <w:highlight w:val="none"/>
        </w:rPr>
        <w:t>协议书签章页</w:t>
      </w: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投资者（签字</w:t>
      </w:r>
      <w:r>
        <w:rPr>
          <w:rFonts w:hint="eastAsia" w:ascii="宋体" w:hAnsi="宋体" w:eastAsia="宋体" w:cs="黑体"/>
          <w:b/>
          <w:bCs/>
          <w:sz w:val="24"/>
          <w:highlight w:val="none"/>
          <w:lang w:eastAsia="zh-CN"/>
        </w:rPr>
        <w:t>或签章</w:t>
      </w:r>
      <w:r>
        <w:rPr>
          <w:rFonts w:hint="eastAsia" w:ascii="宋体" w:hAnsi="宋体"/>
          <w:b/>
          <w:bCs/>
          <w:sz w:val="24"/>
          <w:highlight w:val="none"/>
        </w:rPr>
        <w:t>）：</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both"/>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9"/>
        <w:rPr>
          <w:rFonts w:hint="eastAsia" w:ascii="Calibri" w:hAnsi="Calibri" w:eastAsia="宋体" w:cs="黑体"/>
          <w:b/>
          <w:bCs w:val="0"/>
          <w:sz w:val="44"/>
          <w:szCs w:val="44"/>
          <w:highlight w:val="none"/>
          <w:lang w:val="en-US" w:eastAsia="zh-CN"/>
        </w:rPr>
      </w:pPr>
    </w:p>
    <w:p>
      <w:pPr>
        <w:jc w:val="center"/>
        <w:outlineLvl w:val="0"/>
        <w:rPr>
          <w:rFonts w:hint="eastAsia" w:ascii="Calibri" w:hAnsi="Calibri" w:eastAsia="宋体" w:cs="黑体"/>
          <w:b/>
          <w:bCs w:val="0"/>
          <w:sz w:val="44"/>
          <w:szCs w:val="44"/>
          <w:highlight w:val="none"/>
        </w:rPr>
      </w:pPr>
      <w:r>
        <w:rPr>
          <w:rFonts w:hint="eastAsia" w:ascii="Calibri" w:hAnsi="Calibri" w:eastAsia="宋体" w:cs="黑体"/>
          <w:b/>
          <w:bCs w:val="0"/>
          <w:sz w:val="44"/>
          <w:szCs w:val="44"/>
          <w:highlight w:val="none"/>
          <w:lang w:val="en-US" w:eastAsia="zh-CN"/>
        </w:rPr>
        <w:t>杭银理财理财计划</w:t>
      </w:r>
      <w:r>
        <w:rPr>
          <w:rFonts w:hint="eastAsia" w:ascii="Calibri" w:hAnsi="Calibri" w:eastAsia="宋体" w:cs="黑体"/>
          <w:b/>
          <w:bCs w:val="0"/>
          <w:sz w:val="44"/>
          <w:szCs w:val="44"/>
          <w:highlight w:val="none"/>
        </w:rPr>
        <w:t>销售协议书</w:t>
      </w:r>
    </w:p>
    <w:p>
      <w:pPr>
        <w:jc w:val="center"/>
        <w:rPr>
          <w:rFonts w:hint="eastAsia" w:ascii="宋体" w:hAnsi="宋体" w:eastAsia="宋体" w:cs="宋体"/>
          <w:b w:val="0"/>
          <w:bCs w:val="0"/>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202501</w:t>
      </w:r>
      <w:r>
        <w:rPr>
          <w:rFonts w:hint="eastAsia" w:ascii="宋体" w:hAnsi="宋体" w:eastAsia="宋体" w:cs="宋体"/>
          <w:sz w:val="28"/>
          <w:szCs w:val="28"/>
          <w:highlight w:val="none"/>
        </w:rPr>
        <w:t>版）</w:t>
      </w:r>
    </w:p>
    <w:p>
      <w:pPr>
        <w:spacing w:line="360" w:lineRule="auto"/>
        <w:jc w:val="center"/>
        <w:rPr>
          <w:rFonts w:hint="default"/>
          <w:sz w:val="32"/>
          <w:szCs w:val="40"/>
          <w:highlight w:val="none"/>
          <w:lang w:val="en-US" w:eastAsia="zh-CN"/>
        </w:rPr>
      </w:pPr>
      <w:r>
        <w:rPr>
          <w:rFonts w:hint="eastAsia" w:ascii="宋体" w:hAnsi="宋体" w:cs="宋体"/>
          <w:b/>
          <w:bCs/>
          <w:sz w:val="24"/>
          <w:highlight w:val="none"/>
          <w:u w:val="single"/>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sz w:val="24"/>
          <w:highlight w:val="none"/>
        </w:rPr>
      </w:pPr>
      <w:r>
        <w:rPr>
          <w:rFonts w:hint="eastAsia" w:ascii="Calibri" w:hAnsi="Calibri" w:eastAsia="宋体" w:cs="黑体"/>
          <w:b/>
          <w:bCs/>
          <w:sz w:val="24"/>
          <w:highlight w:val="none"/>
        </w:rPr>
        <w:t>特别提示：</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rPr>
        <w:t>杭银理财</w:t>
      </w:r>
      <w:r>
        <w:rPr>
          <w:rFonts w:hint="eastAsia" w:ascii="Calibri" w:hAnsi="Calibri" w:eastAsia="宋体" w:cs="黑体"/>
          <w:b/>
          <w:bCs/>
          <w:sz w:val="24"/>
          <w:highlight w:val="none"/>
          <w:lang w:val="en-US" w:eastAsia="zh-CN"/>
        </w:rPr>
        <w:t>理财计划销售协议书</w:t>
      </w:r>
      <w:r>
        <w:rPr>
          <w:rFonts w:hint="eastAsia" w:ascii="宋体" w:hAnsi="宋体" w:eastAsia="宋体" w:cs="宋体"/>
          <w:b/>
          <w:bCs/>
          <w:sz w:val="24"/>
          <w:highlight w:val="none"/>
          <w:lang w:val="en-US" w:eastAsia="zh-CN"/>
        </w:rPr>
        <w:t>（202501</w:t>
      </w:r>
      <w:r>
        <w:rPr>
          <w:rFonts w:hint="eastAsia" w:ascii="Calibri" w:hAnsi="Calibri" w:eastAsia="宋体" w:cs="黑体"/>
          <w:b/>
          <w:bCs/>
          <w:sz w:val="24"/>
          <w:highlight w:val="none"/>
          <w:lang w:val="en-US" w:eastAsia="zh-CN"/>
        </w:rPr>
        <w:t>版）</w:t>
      </w:r>
      <w:r>
        <w:rPr>
          <w:rFonts w:hint="eastAsia" w:ascii="Calibri" w:hAnsi="Calibri" w:eastAsia="宋体" w:cs="黑体"/>
          <w:b/>
          <w:bCs/>
          <w:sz w:val="24"/>
          <w:highlight w:val="none"/>
          <w:lang w:eastAsia="zh-CN"/>
        </w:rPr>
        <w:t>》</w:t>
      </w:r>
      <w:r>
        <w:rPr>
          <w:rFonts w:hint="eastAsia" w:ascii="Calibri" w:hAnsi="Calibri" w:eastAsia="宋体" w:cs="黑体"/>
          <w:b/>
          <w:bCs/>
          <w:sz w:val="24"/>
          <w:highlight w:val="none"/>
          <w:lang w:val="en-US" w:eastAsia="zh-CN"/>
        </w:rPr>
        <w:t>与对应期次的</w:t>
      </w:r>
      <w:r>
        <w:rPr>
          <w:rFonts w:hint="eastAsia" w:eastAsia="宋体" w:cs="黑体"/>
          <w:b/>
          <w:bCs/>
          <w:sz w:val="24"/>
          <w:highlight w:val="none"/>
          <w:lang w:val="en-US" w:eastAsia="zh-CN"/>
        </w:rPr>
        <w:t>理财计划风险揭示书、理财计划产品说明书、投资者权益须知及</w:t>
      </w:r>
      <w:r>
        <w:rPr>
          <w:rFonts w:hint="eastAsia" w:ascii="Calibri" w:hAnsi="Calibri" w:eastAsia="宋体" w:cs="黑体"/>
          <w:b/>
          <w:bCs/>
          <w:sz w:val="24"/>
          <w:highlight w:val="none"/>
        </w:rPr>
        <w:t>理财计划投资协议书共同构成完整且不可分割的理财计划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。杭银理财有限责任公司（以下简称“杭银理财”）建议投资者在购买理财计划前认真阅读</w:t>
      </w:r>
      <w:r>
        <w:rPr>
          <w:rFonts w:hint="eastAsia" w:ascii="Calibri" w:hAnsi="Calibri" w:eastAsia="宋体" w:cs="黑体"/>
          <w:b/>
          <w:bCs/>
          <w:sz w:val="24"/>
          <w:highlight w:val="none"/>
          <w:lang w:val="en-US" w:eastAsia="zh-CN"/>
        </w:rPr>
        <w:t>全套</w:t>
      </w:r>
      <w:r>
        <w:rPr>
          <w:rFonts w:hint="eastAsia" w:ascii="Calibri" w:hAnsi="Calibri" w:eastAsia="宋体" w:cs="黑体"/>
          <w:b/>
          <w:bCs/>
          <w:sz w:val="24"/>
          <w:highlight w:val="none"/>
        </w:rPr>
        <w:t>理财计划</w:t>
      </w:r>
      <w:r>
        <w:rPr>
          <w:rFonts w:hint="eastAsia" w:ascii="Calibri" w:hAnsi="Calibri" w:eastAsia="宋体" w:cs="黑体"/>
          <w:b/>
          <w:bCs/>
          <w:sz w:val="24"/>
          <w:highlight w:val="none"/>
          <w:lang w:val="en-US" w:eastAsia="zh-CN"/>
        </w:rPr>
        <w:t>合同</w:t>
      </w:r>
      <w:r>
        <w:rPr>
          <w:rFonts w:hint="eastAsia" w:ascii="Calibri" w:hAnsi="Calibri" w:eastAsia="宋体" w:cs="黑体"/>
          <w:b/>
          <w:bCs/>
          <w:sz w:val="24"/>
          <w:highlight w:val="none"/>
        </w:rPr>
        <w:t>，投资者签署</w:t>
      </w:r>
      <w:r>
        <w:rPr>
          <w:rFonts w:hint="eastAsia" w:ascii="Calibri" w:hAnsi="Calibri" w:eastAsia="宋体" w:cs="黑体"/>
          <w:b/>
          <w:bCs/>
          <w:sz w:val="24"/>
          <w:highlight w:val="none"/>
          <w:lang w:val="en-US" w:eastAsia="zh-CN"/>
        </w:rPr>
        <w:t>本</w:t>
      </w:r>
      <w:r>
        <w:rPr>
          <w:rFonts w:hint="eastAsia" w:ascii="Calibri" w:hAnsi="Calibri" w:eastAsia="宋体" w:cs="黑体"/>
          <w:b/>
          <w:bCs/>
          <w:sz w:val="24"/>
          <w:highlight w:val="none"/>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sz w:val="24"/>
          <w:highlight w:val="none"/>
          <w:lang w:val="en-US" w:eastAsia="zh-CN"/>
        </w:rPr>
      </w:pPr>
      <w:r>
        <w:rPr>
          <w:rFonts w:hint="eastAsia" w:ascii="Calibri" w:hAnsi="Calibri" w:eastAsia="宋体" w:cs="黑体"/>
          <w:b/>
          <w:bCs/>
          <w:sz w:val="24"/>
          <w:highlight w:val="none"/>
          <w:lang w:val="en-US" w:eastAsia="zh-CN"/>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理财计划销售的相关法律主体为发行理财计划的理财公司、</w:t>
      </w:r>
      <w:r>
        <w:rPr>
          <w:rFonts w:hint="eastAsia" w:eastAsia="宋体" w:cs="黑体"/>
          <w:sz w:val="24"/>
          <w:highlight w:val="none"/>
          <w:lang w:val="en-US" w:eastAsia="zh-CN"/>
        </w:rPr>
        <w:t>理财公司自有销售渠道以及</w:t>
      </w:r>
      <w:r>
        <w:rPr>
          <w:rFonts w:hint="eastAsia" w:ascii="Calibri" w:hAnsi="Calibri" w:eastAsia="宋体" w:cs="黑体"/>
          <w:sz w:val="24"/>
          <w:highlight w:val="none"/>
          <w:lang w:val="en-US" w:eastAsia="zh-CN"/>
        </w:rPr>
        <w:t>接受理财公司委托销售其发行理财计划的代理销售机构（以下简称“销售机构”）和投资者三方。理财公司是理财计划的设计发行方与管理人，</w:t>
      </w:r>
      <w:r>
        <w:rPr>
          <w:rFonts w:hint="eastAsia" w:eastAsia="宋体" w:cs="黑体"/>
          <w:sz w:val="24"/>
          <w:highlight w:val="none"/>
          <w:lang w:val="en-US" w:eastAsia="zh-CN"/>
        </w:rPr>
        <w:t>理财公司和</w:t>
      </w:r>
      <w:r>
        <w:rPr>
          <w:rFonts w:hint="eastAsia" w:ascii="Calibri" w:hAnsi="Calibri" w:eastAsia="宋体" w:cs="黑体"/>
          <w:sz w:val="24"/>
          <w:highlight w:val="none"/>
          <w:lang w:val="en-US" w:eastAsia="zh-CN"/>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r>
        <w:rPr>
          <w:rFonts w:hint="eastAsia" w:ascii="Calibri" w:hAnsi="Calibri" w:eastAsia="宋体" w:cs="黑体"/>
          <w:sz w:val="24"/>
          <w:highlight w:val="none"/>
          <w:lang w:val="en-US" w:eastAsia="zh-CN"/>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第一条 </w:t>
      </w:r>
      <w:r>
        <w:rPr>
          <w:rFonts w:hint="eastAsia" w:ascii="Calibri" w:hAnsi="Calibri" w:eastAsia="宋体" w:cs="黑体"/>
          <w:b/>
          <w:bCs/>
          <w:sz w:val="24"/>
          <w:highlight w:val="none"/>
          <w:lang w:val="en-US" w:eastAsia="zh-CN"/>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r>
        <w:rPr>
          <w:rFonts w:hint="eastAsia" w:ascii="Calibri" w:hAnsi="Calibri" w:eastAsia="宋体" w:cs="黑体"/>
          <w:bCs/>
          <w:sz w:val="24"/>
          <w:highlight w:val="none"/>
          <w:lang w:val="en-US" w:eastAsia="zh-CN"/>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第二条 </w:t>
      </w:r>
      <w:r>
        <w:rPr>
          <w:rFonts w:hint="eastAsia" w:ascii="Calibri" w:hAnsi="Calibri" w:eastAsia="宋体" w:cs="黑体"/>
          <w:b/>
          <w:bCs/>
          <w:sz w:val="24"/>
          <w:highlight w:val="none"/>
          <w:lang w:val="en-US" w:eastAsia="zh-CN"/>
        </w:rPr>
        <w:t>投资者权利与义务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kern w:val="2"/>
          <w:sz w:val="24"/>
          <w:highlight w:val="none"/>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投资者保证自身完全了解理财投资的性质，投资所涉及的风险以及自身风险承受能力，在慎重考虑后独立作出交易决定。</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rPr>
        <w:t>投资者购买</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lang w:eastAsia="zh-CN"/>
        </w:rPr>
        <w:t>代理销售</w:t>
      </w:r>
      <w:r>
        <w:rPr>
          <w:rFonts w:hint="eastAsia" w:ascii="宋体" w:hAnsi="宋体" w:eastAsia="宋体" w:cs="黑体"/>
          <w:b/>
          <w:bCs/>
          <w:sz w:val="24"/>
          <w:highlight w:val="none"/>
        </w:rPr>
        <w:t>的私募</w:t>
      </w:r>
      <w:r>
        <w:rPr>
          <w:rFonts w:hint="eastAsia" w:ascii="宋体" w:hAnsi="宋体" w:eastAsia="宋体" w:cs="黑体"/>
          <w:b/>
          <w:bCs/>
          <w:sz w:val="24"/>
          <w:highlight w:val="none"/>
          <w:lang w:eastAsia="zh-CN"/>
        </w:rPr>
        <w:t>理财计划</w:t>
      </w:r>
      <w:r>
        <w:rPr>
          <w:rFonts w:hint="eastAsia" w:ascii="宋体" w:hAnsi="宋体" w:eastAsia="宋体" w:cs="黑体"/>
          <w:b/>
          <w:bCs/>
          <w:sz w:val="24"/>
          <w:highlight w:val="none"/>
        </w:rPr>
        <w:t>后，可以享有24 小时的投资冷静期，在投资冷静期内，如</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改变投资决定，应提出解除相应理财</w:t>
      </w:r>
      <w:r>
        <w:rPr>
          <w:rFonts w:hint="eastAsia" w:ascii="宋体" w:hAnsi="宋体" w:eastAsia="宋体" w:cs="黑体"/>
          <w:b/>
          <w:bCs/>
          <w:sz w:val="24"/>
          <w:highlight w:val="none"/>
          <w:lang w:val="en-US" w:eastAsia="zh-CN"/>
        </w:rPr>
        <w:t>计划合同</w:t>
      </w:r>
      <w:r>
        <w:rPr>
          <w:rFonts w:hint="eastAsia" w:ascii="宋体" w:hAnsi="宋体" w:eastAsia="宋体" w:cs="黑体"/>
          <w:b/>
          <w:bCs/>
          <w:sz w:val="24"/>
          <w:highlight w:val="none"/>
        </w:rPr>
        <w:t>文件申请，</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将及时退还</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的全部投资款项。</w:t>
      </w:r>
      <w:r>
        <w:rPr>
          <w:rFonts w:hint="eastAsia" w:ascii="宋体" w:hAnsi="宋体" w:eastAsia="宋体" w:cs="黑体"/>
          <w:sz w:val="24"/>
          <w:highlight w:val="none"/>
        </w:rPr>
        <w:t>投资冷静期相关约定详见</w:t>
      </w:r>
      <w:r>
        <w:rPr>
          <w:rFonts w:hint="eastAsia" w:ascii="宋体" w:hAnsi="宋体" w:eastAsia="宋体" w:cs="黑体"/>
          <w:sz w:val="24"/>
          <w:highlight w:val="none"/>
          <w:lang w:val="en-US" w:eastAsia="zh-CN"/>
        </w:rPr>
        <w:t>理财计划产品</w:t>
      </w:r>
      <w:r>
        <w:rPr>
          <w:rFonts w:hint="eastAsia" w:ascii="宋体" w:hAnsi="宋体" w:eastAsia="宋体" w:cs="黑体"/>
          <w:sz w:val="24"/>
          <w:highlight w:val="none"/>
        </w:rPr>
        <w:t>说明书</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投资者保证其有权利签署本协议和履行本协议所述的义务，并已为此采取一切所需的行为。</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投资者保证执行及交付任何文件或履行本协议项下的义务，均不会违反任何适用法律、法规、法令或法律限制</w:t>
      </w:r>
      <w:r>
        <w:rPr>
          <w:rFonts w:hint="eastAsia" w:ascii="宋体" w:hAnsi="宋体" w:eastAsia="宋体" w:cs="黑体"/>
          <w:sz w:val="24"/>
          <w:highlight w:val="none"/>
          <w:lang w:eastAsia="zh-CN"/>
        </w:rPr>
        <w:t>；</w:t>
      </w:r>
      <w:r>
        <w:rPr>
          <w:rFonts w:hint="eastAsia" w:ascii="宋体" w:hAnsi="宋体" w:eastAsia="宋体" w:cs="黑体"/>
          <w:sz w:val="24"/>
          <w:highlight w:val="none"/>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sz w:val="24"/>
          <w:highlight w:val="none"/>
          <w:lang w:val="en-US" w:eastAsia="zh-CN"/>
        </w:rPr>
        <w:t>其</w:t>
      </w:r>
      <w:r>
        <w:rPr>
          <w:rFonts w:hint="eastAsia" w:ascii="宋体" w:hAnsi="宋体" w:eastAsia="宋体" w:cs="黑体"/>
          <w:sz w:val="24"/>
          <w:highlight w:val="none"/>
        </w:rPr>
        <w:t>授权指定</w:t>
      </w:r>
      <w:r>
        <w:rPr>
          <w:rFonts w:hint="eastAsia" w:ascii="宋体" w:hAnsi="宋体" w:eastAsia="宋体" w:cs="黑体"/>
          <w:sz w:val="24"/>
          <w:highlight w:val="none"/>
          <w:lang w:val="en-US" w:eastAsia="zh-CN"/>
        </w:rPr>
        <w:t>的</w:t>
      </w:r>
      <w:r>
        <w:rPr>
          <w:rFonts w:hint="eastAsia" w:ascii="宋体" w:hAnsi="宋体" w:eastAsia="宋体" w:cs="黑体"/>
          <w:sz w:val="24"/>
          <w:highlight w:val="none"/>
        </w:rPr>
        <w:t>账户</w:t>
      </w:r>
      <w:r>
        <w:rPr>
          <w:rFonts w:hint="eastAsia" w:ascii="宋体" w:hAnsi="宋体" w:eastAsia="宋体" w:cs="黑体"/>
          <w:sz w:val="24"/>
          <w:highlight w:val="none"/>
          <w:lang w:val="en-US" w:eastAsia="zh-CN"/>
        </w:rPr>
        <w:t>中（以下简称“授权指定账户”）</w:t>
      </w:r>
      <w:r>
        <w:rPr>
          <w:rFonts w:hint="eastAsia" w:ascii="宋体" w:hAnsi="宋体" w:eastAsia="宋体" w:cs="黑体"/>
          <w:sz w:val="24"/>
          <w:highlight w:val="none"/>
        </w:rPr>
        <w:t>存入足额的资金以确保账户余额大于或等于认/申购金额。</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在此确认</w:t>
      </w:r>
      <w:r>
        <w:rPr>
          <w:rFonts w:hint="eastAsia" w:ascii="宋体" w:hAnsi="宋体" w:eastAsia="宋体" w:cs="黑体"/>
          <w:b/>
          <w:bCs/>
          <w:sz w:val="24"/>
          <w:highlight w:val="none"/>
          <w:lang w:val="en-US" w:eastAsia="zh-CN"/>
        </w:rPr>
        <w:t>销售机构</w:t>
      </w:r>
      <w:r>
        <w:rPr>
          <w:rFonts w:hint="eastAsia" w:ascii="宋体" w:hAnsi="宋体" w:eastAsia="宋体" w:cs="黑体"/>
          <w:b/>
          <w:bCs/>
          <w:sz w:val="24"/>
          <w:highlight w:val="none"/>
        </w:rPr>
        <w:t>的系统记录以及录音、录像构成对</w:t>
      </w:r>
      <w:r>
        <w:rPr>
          <w:rFonts w:hint="eastAsia" w:ascii="宋体" w:hAnsi="宋体" w:eastAsia="宋体" w:cs="黑体"/>
          <w:b/>
          <w:bCs/>
          <w:sz w:val="24"/>
          <w:highlight w:val="none"/>
          <w:lang w:val="en-US" w:eastAsia="zh-CN"/>
        </w:rPr>
        <w:t>投资者</w:t>
      </w:r>
      <w:r>
        <w:rPr>
          <w:rFonts w:hint="eastAsia" w:ascii="宋体" w:hAnsi="宋体" w:eastAsia="宋体" w:cs="黑体"/>
          <w:b/>
          <w:bCs/>
          <w:sz w:val="24"/>
          <w:highlight w:val="none"/>
        </w:rPr>
        <w:t>操作行为（包括但不限于购买、赎回、撤单）的有效证据，并且在</w:t>
      </w:r>
      <w:r>
        <w:rPr>
          <w:rFonts w:hint="eastAsia" w:ascii="宋体" w:hAnsi="宋体" w:eastAsia="宋体" w:cs="黑体"/>
          <w:b/>
          <w:bCs/>
          <w:sz w:val="24"/>
          <w:highlight w:val="none"/>
          <w:lang w:val="en-US" w:eastAsia="zh-CN"/>
        </w:rPr>
        <w:t>双</w:t>
      </w:r>
      <w:r>
        <w:rPr>
          <w:rFonts w:hint="eastAsia" w:ascii="宋体" w:hAnsi="宋体" w:eastAsia="宋体" w:cs="黑体"/>
          <w:b/>
          <w:bCs/>
          <w:sz w:val="24"/>
          <w:highlight w:val="none"/>
        </w:rPr>
        <w:t>方发生争议时可以作为合法有效的证据使用</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在本理财计划存续期内，如有权机关要求</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配合对投资者理财份额、理财账户、授权指定账户进行查封、冻结或扣划的，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有权根据实际情况采取</w:t>
      </w:r>
      <w:r>
        <w:rPr>
          <w:rFonts w:hint="eastAsia" w:ascii="宋体" w:hAnsi="宋体" w:eastAsia="宋体" w:cs="黑体"/>
          <w:sz w:val="24"/>
          <w:highlight w:val="none"/>
          <w:lang w:val="en-US" w:eastAsia="zh-CN"/>
        </w:rPr>
        <w:t>相应</w:t>
      </w:r>
      <w:r>
        <w:rPr>
          <w:rFonts w:hint="eastAsia" w:ascii="宋体" w:hAnsi="宋体" w:eastAsia="宋体" w:cs="黑体"/>
          <w:sz w:val="24"/>
          <w:highlight w:val="none"/>
        </w:rPr>
        <w:t>措施。</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对上述后果不承担任何责任。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本协议终止前，投资者不得将授权指定账户销户。若发生因投资者注销授权指定账户造成理财计划无法正常兑付的，</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不承担任何责任。</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rPr>
        <w:t>投资者应确保其提供的所有资料真实、完整、合法、有效，如果有任何变更，投资者应及时通知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并办理变更手续。如因投资者未及时通知</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并办理相应的变更手续，由此导致的一切后果由投资者自行承担，</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对此不承担任何责任。 </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rPr>
      </w:pPr>
      <w:r>
        <w:rPr>
          <w:rFonts w:hint="eastAsia" w:ascii="宋体" w:hAnsi="宋体" w:eastAsia="宋体" w:cs="黑体"/>
          <w:sz w:val="24"/>
          <w:highlight w:val="none"/>
          <w:lang w:val="en-US" w:eastAsia="zh-CN"/>
        </w:rPr>
        <w:t>投资者</w:t>
      </w:r>
      <w:r>
        <w:rPr>
          <w:rFonts w:hint="eastAsia" w:ascii="宋体" w:hAnsi="宋体" w:eastAsia="宋体" w:cs="黑体"/>
          <w:sz w:val="24"/>
          <w:highlight w:val="none"/>
        </w:rPr>
        <w:t>对本协议及其条款负有保密义务，未经</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书面许可，不得向任何组织、个人提供或泄露与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有关的业务资料及信息，但法律、法规另有规定的除外</w:t>
      </w:r>
      <w:r>
        <w:rPr>
          <w:rFonts w:hint="eastAsia" w:ascii="宋体" w:hAnsi="宋体" w:eastAsia="宋体" w:cs="黑体"/>
          <w:sz w:val="24"/>
          <w:highlight w:val="none"/>
          <w:lang w:eastAsia="zh-CN"/>
        </w:rPr>
        <w:t>。</w:t>
      </w:r>
    </w:p>
    <w:p>
      <w:pPr>
        <w:widowControl/>
        <w:numPr>
          <w:ilvl w:val="0"/>
          <w:numId w:val="68"/>
        </w:numPr>
        <w:spacing w:line="360" w:lineRule="auto"/>
        <w:ind w:left="0" w:leftChars="0" w:firstLine="420" w:firstLineChars="0"/>
        <w:contextualSpacing/>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投资者进行投资时，应严格遵守反洗钱相关法规的规定，切实履行反洗钱及反恐怖融资义务。</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68"/>
        </w:numPr>
        <w:spacing w:line="360" w:lineRule="auto"/>
        <w:ind w:left="0" w:leftChars="0" w:firstLine="420" w:firstLineChars="0"/>
        <w:contextualSpacing/>
        <w:outlineLvl w:val="2"/>
        <w:rPr>
          <w:rFonts w:hint="eastAsia" w:ascii="宋体" w:hAnsi="宋体" w:eastAsia="宋体" w:cs="黑体"/>
          <w:b/>
          <w:bCs/>
          <w:sz w:val="24"/>
          <w:highlight w:val="none"/>
          <w:lang w:val="en-US" w:eastAsia="zh-CN"/>
        </w:rPr>
      </w:pPr>
      <w:r>
        <w:rPr>
          <w:rFonts w:hint="eastAsia" w:ascii="宋体" w:hAnsi="宋体" w:eastAsia="宋体" w:cs="黑体"/>
          <w:b/>
          <w:bCs/>
          <w:sz w:val="24"/>
          <w:highlight w:val="none"/>
          <w:lang w:val="en-US" w:eastAsia="zh-CN"/>
        </w:rPr>
        <w:t>投</w:t>
      </w:r>
      <w:r>
        <w:rPr>
          <w:rFonts w:hint="eastAsia" w:ascii="宋体" w:hAnsi="宋体"/>
          <w:b/>
          <w:bCs/>
          <w:sz w:val="24"/>
          <w:highlight w:val="none"/>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第三条 </w:t>
      </w:r>
      <w:r>
        <w:rPr>
          <w:rFonts w:hint="eastAsia" w:ascii="Calibri" w:hAnsi="Calibri" w:eastAsia="宋体" w:cs="黑体"/>
          <w:b/>
          <w:bCs/>
          <w:sz w:val="24"/>
          <w:highlight w:val="none"/>
          <w:lang w:val="en-US" w:eastAsia="zh-CN"/>
        </w:rPr>
        <w:t>销售机构的权利与义务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b/>
          <w:bCs/>
          <w:sz w:val="24"/>
          <w:highlight w:val="none"/>
          <w:lang w:val="en-US" w:eastAsia="zh-CN"/>
        </w:rPr>
        <w:t>代理销售机构非本计划的发行、管理机构，对本计划的业绩不承担任何保证和其他经济责任，不承担本计划的投资、兑付和风险管理责任</w:t>
      </w:r>
      <w:r>
        <w:rPr>
          <w:rFonts w:hint="eastAsia" w:ascii="宋体" w:hAnsi="宋体" w:eastAsia="宋体" w:cs="黑体"/>
          <w:sz w:val="24"/>
          <w:highlight w:val="none"/>
          <w:lang w:val="en-US" w:eastAsia="zh-CN"/>
        </w:rPr>
        <w:t>。</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both"/>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销售机构对投资者负有信息保密义务，未经投资者书面许可，销售机构不得向任何组织、个人提供或泄露与投资者有关的业务资料及信息，但法律、法规</w:t>
      </w:r>
      <w:bookmarkStart w:id="0" w:name="OLE_LINK3"/>
      <w:r>
        <w:rPr>
          <w:rFonts w:hint="eastAsia" w:ascii="宋体" w:hAnsi="宋体" w:eastAsia="宋体" w:cs="黑体"/>
          <w:sz w:val="24"/>
          <w:highlight w:val="none"/>
          <w:lang w:val="en-US" w:eastAsia="zh-CN"/>
        </w:rPr>
        <w:t>、监管机构</w:t>
      </w:r>
      <w:bookmarkEnd w:id="0"/>
      <w:r>
        <w:rPr>
          <w:rFonts w:hint="eastAsia" w:ascii="宋体" w:hAnsi="宋体" w:eastAsia="宋体" w:cs="黑体"/>
          <w:sz w:val="24"/>
          <w:highlight w:val="none"/>
          <w:lang w:val="en-US" w:eastAsia="zh-CN"/>
        </w:rPr>
        <w:t>另有规定的除外。</w:t>
      </w:r>
    </w:p>
    <w:p>
      <w:pPr>
        <w:keepNext w:val="0"/>
        <w:keepLines w:val="0"/>
        <w:pageBreakBefore w:val="0"/>
        <w:widowControl/>
        <w:numPr>
          <w:ilvl w:val="0"/>
          <w:numId w:val="69"/>
        </w:numPr>
        <w:kinsoku/>
        <w:wordWrap/>
        <w:overflowPunct/>
        <w:topLinePunct w:val="0"/>
        <w:autoSpaceDE/>
        <w:autoSpaceDN/>
        <w:bidi w:val="0"/>
        <w:adjustRightInd/>
        <w:snapToGrid/>
        <w:spacing w:line="360" w:lineRule="auto"/>
        <w:ind w:left="0" w:leftChars="0" w:firstLine="420" w:firstLineChars="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63"/>
        </w:numPr>
        <w:kinsoku/>
        <w:wordWrap/>
        <w:overflowPunct/>
        <w:topLinePunct w:val="0"/>
        <w:autoSpaceDE/>
        <w:autoSpaceDN/>
        <w:bidi w:val="0"/>
        <w:adjustRightInd/>
        <w:snapToGrid/>
        <w:spacing w:line="360" w:lineRule="auto"/>
        <w:ind w:firstLine="420"/>
        <w:contextualSpacing/>
        <w:jc w:val="left"/>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第四条 </w:t>
      </w:r>
      <w:r>
        <w:rPr>
          <w:rFonts w:hint="eastAsia" w:ascii="Calibri" w:hAnsi="Calibri" w:eastAsia="宋体" w:cs="黑体"/>
          <w:b/>
          <w:bCs/>
          <w:sz w:val="24"/>
          <w:highlight w:val="none"/>
          <w:lang w:val="en-US" w:eastAsia="zh-CN"/>
        </w:rPr>
        <w:t>理财计划认（申）购、赎回及终止</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理财计划认/申购办理流程：参照投资者权益须知约定。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理财计划认/申购确认：管理人根据</w:t>
      </w:r>
      <w:r>
        <w:rPr>
          <w:rFonts w:hint="eastAsia" w:ascii="宋体" w:hAnsi="宋体" w:eastAsia="宋体" w:cs="黑体"/>
          <w:sz w:val="24"/>
          <w:highlight w:val="none"/>
          <w:lang w:eastAsia="zh-CN"/>
        </w:rPr>
        <w:t>销售</w:t>
      </w:r>
      <w:r>
        <w:rPr>
          <w:rFonts w:hint="eastAsia" w:ascii="宋体" w:hAnsi="宋体" w:eastAsia="宋体" w:cs="黑体"/>
          <w:sz w:val="24"/>
          <w:highlight w:val="none"/>
        </w:rPr>
        <w:t>渠道提供的交易信息及资金划付对投资者相应认/申购进行确认。</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理财计划不成立：若在募集期结束日，本理财计划发行规模未能达到对应期次的理财计划产品说明书规定的要求，则本理财计划不成立，</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 xml:space="preserve">理财计划投资品种、投资起点金额、收益支付方式：参照对应期次的理财计划产品说明书中的条款约定。 </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理财计划赎回/终止兑付：在正常情况下，管理人和</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产品说明书约定管理人对理财计划进行延期或转换时，</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将于原约定清算日前通过信息披露途径及时通知，并根据实际情况进行后续处理。</w:t>
      </w:r>
    </w:p>
    <w:p>
      <w:pPr>
        <w:keepNext w:val="0"/>
        <w:keepLines w:val="0"/>
        <w:pageBreakBefore w:val="0"/>
        <w:widowControl/>
        <w:numPr>
          <w:ilvl w:val="0"/>
          <w:numId w:val="70"/>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资金清算：理财计划终止或份额赎回时，管理人按理财计划合同约定划付至</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清算账户后，由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向投资者划付投资者应得资金。如因投资者清算账户余额不足，或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未及时足额划付资金，或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清算账户内资金被依法冻结或扣划，或</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清算账户处于被挂失、冻结、注销或其他非正常状态等原因而导致交易失败</w:t>
      </w:r>
      <w:r>
        <w:rPr>
          <w:rFonts w:hint="eastAsia" w:ascii="宋体" w:hAnsi="宋体" w:eastAsia="宋体" w:cs="黑体"/>
          <w:sz w:val="24"/>
          <w:highlight w:val="none"/>
          <w:lang w:eastAsia="zh-CN"/>
        </w:rPr>
        <w:t>，</w:t>
      </w:r>
      <w:r>
        <w:rPr>
          <w:rFonts w:hint="eastAsia" w:ascii="宋体" w:hAnsi="宋体" w:eastAsia="宋体" w:cs="黑体"/>
          <w:sz w:val="24"/>
          <w:highlight w:val="none"/>
        </w:rPr>
        <w:t>对于因上述原因导致的交易失败可能带来的任何损失及预期损失，投资者须自行承担或向</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78" w:leftChars="85" w:firstLine="0" w:firstLineChars="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第五条 </w:t>
      </w:r>
      <w:r>
        <w:rPr>
          <w:rFonts w:hint="eastAsia" w:ascii="Calibri" w:hAnsi="Calibri" w:eastAsia="宋体" w:cs="黑体"/>
          <w:b/>
          <w:bCs/>
          <w:sz w:val="24"/>
          <w:highlight w:val="none"/>
          <w:lang w:val="en-US" w:eastAsia="zh-CN"/>
        </w:rPr>
        <w:t>违约责任及免责条款</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原因导致司法或行政</w:t>
      </w:r>
      <w:r>
        <w:rPr>
          <w:rFonts w:hint="eastAsia" w:ascii="宋体" w:hAnsi="宋体" w:eastAsia="宋体" w:cs="黑体"/>
          <w:sz w:val="24"/>
          <w:highlight w:val="none"/>
          <w:lang w:eastAsia="zh-CN"/>
        </w:rPr>
        <w:t>等有权机关</w:t>
      </w:r>
      <w:r>
        <w:rPr>
          <w:rFonts w:hint="eastAsia" w:ascii="宋体" w:hAnsi="宋体" w:eastAsia="宋体" w:cs="黑体"/>
          <w:sz w:val="24"/>
          <w:highlight w:val="none"/>
        </w:rPr>
        <w:t>采取强制措施对其理财本金、收益进行部分或全部被扣划，均视投资者本人就全部理财本金进行了提前</w:t>
      </w:r>
      <w:r>
        <w:rPr>
          <w:rFonts w:hint="eastAsia" w:ascii="宋体" w:hAnsi="宋体" w:eastAsia="宋体" w:cs="黑体"/>
          <w:sz w:val="24"/>
          <w:highlight w:val="none"/>
          <w:lang w:eastAsia="zh-CN"/>
        </w:rPr>
        <w:t>赎回</w:t>
      </w:r>
      <w:r>
        <w:rPr>
          <w:rFonts w:hint="eastAsia" w:ascii="宋体" w:hAnsi="宋体" w:eastAsia="宋体" w:cs="黑体"/>
          <w:sz w:val="24"/>
          <w:highlight w:val="none"/>
        </w:rPr>
        <w:t>，本</w:t>
      </w:r>
      <w:r>
        <w:rPr>
          <w:rFonts w:hint="eastAsia" w:ascii="宋体" w:hAnsi="宋体" w:eastAsia="宋体" w:cs="黑体"/>
          <w:sz w:val="24"/>
          <w:highlight w:val="none"/>
          <w:lang w:eastAsia="zh-CN"/>
        </w:rPr>
        <w:t>协议</w:t>
      </w:r>
      <w:r>
        <w:rPr>
          <w:rFonts w:hint="eastAsia" w:ascii="宋体" w:hAnsi="宋体" w:eastAsia="宋体" w:cs="黑体"/>
          <w:sz w:val="24"/>
          <w:highlight w:val="none"/>
        </w:rPr>
        <w:t>自动终止。因提前终止而产生的损失及相关费用由投资者承担。本</w:t>
      </w:r>
      <w:r>
        <w:rPr>
          <w:rFonts w:hint="eastAsia" w:ascii="宋体" w:hAnsi="宋体" w:eastAsia="宋体" w:cs="黑体"/>
          <w:sz w:val="24"/>
          <w:highlight w:val="none"/>
          <w:lang w:eastAsia="zh-CN"/>
        </w:rPr>
        <w:t>协议因</w:t>
      </w:r>
      <w:r>
        <w:rPr>
          <w:rFonts w:hint="eastAsia" w:ascii="宋体" w:hAnsi="宋体" w:eastAsia="宋体" w:cs="黑体"/>
          <w:sz w:val="24"/>
          <w:highlight w:val="none"/>
        </w:rPr>
        <w:t>前述情况终止的，理财本金不计付</w:t>
      </w:r>
      <w:r>
        <w:rPr>
          <w:rFonts w:hint="eastAsia" w:ascii="宋体" w:hAnsi="宋体" w:eastAsia="宋体" w:cs="黑体"/>
          <w:sz w:val="24"/>
          <w:highlight w:val="none"/>
          <w:lang w:eastAsia="zh-CN"/>
        </w:rPr>
        <w:t>赎回</w:t>
      </w:r>
      <w:r>
        <w:rPr>
          <w:rFonts w:hint="eastAsia" w:ascii="宋体" w:hAnsi="宋体" w:eastAsia="宋体" w:cs="黑体"/>
          <w:sz w:val="24"/>
          <w:highlight w:val="none"/>
        </w:rPr>
        <w:t>日前的理财收益，也不计付存款利息。</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投资者违反本协议第二条内容，应承担相应违约责任。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对由此导致的理财业务交易延误、中断、终止及</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损失不承担任何责任，并有权单方终止双方理财业务关系。因</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违反双方约定给</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或全体投资者造成损失的，</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应承担相应的赔偿责任。</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若由于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过错导致理财计划资产发生损失，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应按其过错承担赔偿责任，</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赔偿的款项计入理财计划的资产和收益。</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由于地震、火灾、战争等不可抗力或突发重大卫生公共事件等不可预测事件造成的交易中断、延误等风险及损失，</w:t>
      </w:r>
      <w:r>
        <w:rPr>
          <w:rFonts w:hint="eastAsia" w:ascii="宋体" w:hAnsi="宋体" w:eastAsia="宋体" w:cs="黑体"/>
          <w:sz w:val="24"/>
          <w:highlight w:val="none"/>
          <w:lang w:eastAsia="zh-CN"/>
        </w:rPr>
        <w:t>销售机构</w:t>
      </w:r>
      <w:r>
        <w:rPr>
          <w:rFonts w:hint="eastAsia" w:ascii="宋体" w:hAnsi="宋体" w:eastAsia="宋体" w:cs="黑体"/>
          <w:sz w:val="24"/>
          <w:highlight w:val="none"/>
        </w:rPr>
        <w:t>不承担责任；但</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应在上述情况发生</w:t>
      </w:r>
      <w:r>
        <w:rPr>
          <w:rFonts w:hint="eastAsia" w:ascii="宋体" w:hAnsi="宋体" w:eastAsia="宋体" w:cs="黑体"/>
          <w:sz w:val="24"/>
          <w:highlight w:val="none"/>
          <w:lang w:eastAsia="zh-CN"/>
        </w:rPr>
        <w:t>后</w:t>
      </w:r>
      <w:r>
        <w:rPr>
          <w:rFonts w:hint="eastAsia" w:ascii="宋体" w:hAnsi="宋体" w:eastAsia="宋体" w:cs="黑体"/>
          <w:sz w:val="24"/>
          <w:highlight w:val="none"/>
        </w:rPr>
        <w:t>在条件允许时及时通知</w:t>
      </w:r>
      <w:r>
        <w:rPr>
          <w:rFonts w:hint="eastAsia" w:ascii="宋体" w:hAnsi="宋体" w:eastAsia="宋体" w:cs="黑体"/>
          <w:sz w:val="24"/>
          <w:highlight w:val="none"/>
          <w:lang w:eastAsia="zh-CN"/>
        </w:rPr>
        <w:t>投资者</w:t>
      </w:r>
      <w:r>
        <w:rPr>
          <w:rFonts w:hint="eastAsia" w:ascii="宋体" w:hAnsi="宋体" w:eastAsia="宋体" w:cs="黑体"/>
          <w:sz w:val="24"/>
          <w:highlight w:val="none"/>
        </w:rPr>
        <w:t>并采取一切必要且可能的措施阻止损失扩大。</w:t>
      </w:r>
    </w:p>
    <w:p>
      <w:pPr>
        <w:keepNext w:val="0"/>
        <w:keepLines w:val="0"/>
        <w:pageBreakBefore w:val="0"/>
        <w:widowControl/>
        <w:numPr>
          <w:ilvl w:val="0"/>
          <w:numId w:val="71"/>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因国家有关法律、法规、规章、政策的修改或新的法律、法规、规章、政策颁布以及紧急措施的出台导致的风险及损失，</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sz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第六条 </w:t>
      </w:r>
      <w:r>
        <w:rPr>
          <w:rFonts w:hint="eastAsia" w:ascii="Calibri" w:hAnsi="Calibri" w:eastAsia="宋体" w:cs="黑体"/>
          <w:b/>
          <w:bCs/>
          <w:sz w:val="24"/>
          <w:highlight w:val="none"/>
          <w:lang w:val="en-US" w:eastAsia="zh-CN"/>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sz w:val="24"/>
          <w:highlight w:val="none"/>
          <w:lang w:val="en-US" w:eastAsia="zh-CN"/>
        </w:rPr>
      </w:pPr>
      <w:r>
        <w:rPr>
          <w:rFonts w:hint="eastAsia" w:ascii="宋体" w:hAnsi="宋体" w:eastAsia="宋体" w:cs="黑体"/>
          <w:sz w:val="24"/>
          <w:highlight w:val="none"/>
          <w:lang w:val="en-US" w:eastAsia="zh-CN"/>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被告人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sz w:val="24"/>
          <w:highlight w:val="none"/>
          <w:lang w:val="en-US" w:eastAsia="zh-CN"/>
        </w:rPr>
      </w:pPr>
      <w:r>
        <w:rPr>
          <w:rFonts w:hint="eastAsia" w:eastAsia="宋体" w:cs="黑体"/>
          <w:b/>
          <w:bCs/>
          <w:sz w:val="24"/>
          <w:highlight w:val="none"/>
          <w:lang w:val="en-US" w:eastAsia="zh-CN"/>
        </w:rPr>
        <w:t xml:space="preserve">第七条 </w:t>
      </w:r>
      <w:r>
        <w:rPr>
          <w:rFonts w:hint="eastAsia" w:ascii="Calibri" w:hAnsi="Calibri" w:eastAsia="宋体" w:cs="黑体"/>
          <w:b/>
          <w:bCs/>
          <w:sz w:val="24"/>
          <w:highlight w:val="none"/>
          <w:lang w:val="en-US" w:eastAsia="zh-CN"/>
        </w:rPr>
        <w:t>协议生效和终止</w:t>
      </w:r>
    </w:p>
    <w:p>
      <w:pPr>
        <w:keepNext w:val="0"/>
        <w:keepLines w:val="0"/>
        <w:pageBreakBefore w:val="0"/>
        <w:widowControl/>
        <w:numPr>
          <w:ilvl w:val="0"/>
          <w:numId w:val="72"/>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 xml:space="preserve">双方认可本协议可以纸质或电子数据等形式提交、订立或确认。 </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本协议书</w:t>
      </w:r>
      <w:r>
        <w:rPr>
          <w:rFonts w:hint="eastAsia" w:ascii="宋体" w:hAnsi="宋体"/>
          <w:sz w:val="24"/>
          <w:highlight w:val="none"/>
        </w:rPr>
        <w:t>以纸质书面形式订立的，自投资者签</w:t>
      </w:r>
      <w:r>
        <w:rPr>
          <w:rFonts w:hint="eastAsia" w:ascii="宋体" w:hAnsi="宋体"/>
          <w:sz w:val="24"/>
          <w:highlight w:val="none"/>
          <w:lang w:val="en-US" w:eastAsia="zh-CN"/>
        </w:rPr>
        <w:t>署（如投资者为个人，应签字；如投资者为机构，应法定代表人或授权代理人签字或盖章并加盖公章或有效授权印章）</w:t>
      </w:r>
      <w:r>
        <w:rPr>
          <w:rFonts w:hint="eastAsia" w:ascii="宋体" w:hAnsi="宋体"/>
          <w:sz w:val="24"/>
          <w:highlight w:val="none"/>
        </w:rPr>
        <w:t>和</w:t>
      </w:r>
      <w:r>
        <w:rPr>
          <w:rFonts w:hint="eastAsia" w:ascii="宋体" w:hAnsi="宋体"/>
          <w:sz w:val="24"/>
          <w:highlight w:val="none"/>
          <w:lang w:eastAsia="zh-CN"/>
        </w:rPr>
        <w:t>销售机构</w:t>
      </w:r>
      <w:r>
        <w:rPr>
          <w:rFonts w:hint="eastAsia" w:ascii="宋体" w:hAnsi="宋体"/>
          <w:sz w:val="24"/>
          <w:highlight w:val="none"/>
        </w:rPr>
        <w:t>签章之后立即生效。协议一式叁份，投资者、管理人和</w:t>
      </w:r>
      <w:r>
        <w:rPr>
          <w:rFonts w:hint="eastAsia" w:ascii="宋体" w:hAnsi="宋体"/>
          <w:sz w:val="24"/>
          <w:highlight w:val="none"/>
          <w:lang w:eastAsia="zh-CN"/>
        </w:rPr>
        <w:t>销售机构</w:t>
      </w:r>
      <w:r>
        <w:rPr>
          <w:rFonts w:hint="eastAsia" w:ascii="宋体" w:hAnsi="宋体"/>
          <w:sz w:val="24"/>
          <w:highlight w:val="none"/>
        </w:rPr>
        <w:t>各执壹份，具有同等法律效力。</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本协议书以数据电文形式订立的，投资者在销售机构的电子银行</w:t>
      </w:r>
      <w:r>
        <w:rPr>
          <w:rFonts w:hint="eastAsia" w:ascii="宋体" w:hAnsi="宋体" w:eastAsia="宋体" w:cs="黑体"/>
          <w:sz w:val="24"/>
          <w:highlight w:val="none"/>
          <w:lang w:eastAsia="zh-CN"/>
        </w:rPr>
        <w:t>渠道</w:t>
      </w:r>
      <w:r>
        <w:rPr>
          <w:rFonts w:hint="eastAsia" w:ascii="宋体" w:hAnsi="宋体" w:eastAsia="宋体" w:cs="黑体"/>
          <w:sz w:val="24"/>
          <w:highlight w:val="none"/>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73"/>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lang w:val="en-US" w:eastAsia="zh-CN"/>
        </w:rPr>
      </w:pPr>
      <w:r>
        <w:rPr>
          <w:rFonts w:hint="eastAsia" w:ascii="宋体" w:hAnsi="宋体" w:eastAsia="宋体" w:cs="黑体"/>
          <w:sz w:val="24"/>
          <w:highlight w:val="none"/>
        </w:rPr>
        <w:t>投资者和</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sz w:val="24"/>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sz w:val="24"/>
          <w:highlight w:val="none"/>
          <w:lang w:val="en-US" w:eastAsia="zh-CN"/>
        </w:rPr>
      </w:pPr>
      <w:r>
        <w:rPr>
          <w:rFonts w:hint="eastAsia" w:eastAsia="宋体" w:cs="黑体"/>
          <w:b/>
          <w:bCs w:val="0"/>
          <w:sz w:val="24"/>
          <w:highlight w:val="none"/>
          <w:lang w:val="en-US" w:eastAsia="zh-CN"/>
        </w:rPr>
        <w:t xml:space="preserve">第八条 </w:t>
      </w:r>
      <w:r>
        <w:rPr>
          <w:rFonts w:hint="eastAsia" w:ascii="Calibri" w:hAnsi="Calibri" w:eastAsia="宋体" w:cs="黑体"/>
          <w:b/>
          <w:bCs w:val="0"/>
          <w:sz w:val="24"/>
          <w:highlight w:val="none"/>
          <w:lang w:val="en-US" w:eastAsia="zh-CN"/>
        </w:rPr>
        <w:t xml:space="preserve">附则 </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如果投资者与</w:t>
      </w:r>
      <w:r>
        <w:rPr>
          <w:rFonts w:hint="eastAsia" w:ascii="宋体" w:hAnsi="宋体" w:eastAsia="宋体" w:cs="黑体"/>
          <w:sz w:val="24"/>
          <w:highlight w:val="none"/>
          <w:lang w:val="en-US" w:eastAsia="zh-CN"/>
        </w:rPr>
        <w:t>销售机构</w:t>
      </w:r>
      <w:r>
        <w:rPr>
          <w:rFonts w:hint="eastAsia" w:ascii="宋体" w:hAnsi="宋体" w:eastAsia="宋体" w:cs="黑体"/>
          <w:sz w:val="24"/>
          <w:highlight w:val="none"/>
        </w:rPr>
        <w:t>之间存在多份理财计划</w:t>
      </w:r>
      <w:r>
        <w:rPr>
          <w:rFonts w:hint="eastAsia" w:ascii="宋体" w:hAnsi="宋体" w:eastAsia="宋体" w:cs="黑体"/>
          <w:sz w:val="24"/>
          <w:highlight w:val="none"/>
          <w:lang w:val="en-US" w:eastAsia="zh-CN"/>
        </w:rPr>
        <w:t>销售</w:t>
      </w:r>
      <w:r>
        <w:rPr>
          <w:rFonts w:hint="eastAsia" w:ascii="宋体" w:hAnsi="宋体" w:eastAsia="宋体" w:cs="黑体"/>
          <w:sz w:val="24"/>
          <w:highlight w:val="none"/>
        </w:rPr>
        <w:t>协议书，则每一协议书分别与其所对应的</w:t>
      </w:r>
      <w:r>
        <w:rPr>
          <w:rFonts w:hint="eastAsia" w:ascii="宋体" w:hAnsi="宋体" w:eastAsia="宋体" w:cs="黑体"/>
          <w:sz w:val="24"/>
          <w:highlight w:val="none"/>
          <w:lang w:val="en-US" w:eastAsia="zh-CN"/>
        </w:rPr>
        <w:t>理财计划</w:t>
      </w:r>
      <w:r>
        <w:rPr>
          <w:rFonts w:hint="eastAsia" w:ascii="宋体" w:hAnsi="宋体" w:eastAsia="宋体" w:cs="黑体"/>
          <w:sz w:val="24"/>
          <w:highlight w:val="none"/>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74"/>
        </w:numPr>
        <w:kinsoku/>
        <w:wordWrap/>
        <w:overflowPunct/>
        <w:topLinePunct w:val="0"/>
        <w:autoSpaceDE/>
        <w:autoSpaceDN/>
        <w:bidi w:val="0"/>
        <w:adjustRightInd/>
        <w:snapToGrid/>
        <w:spacing w:line="360" w:lineRule="auto"/>
        <w:ind w:left="0" w:leftChars="0" w:firstLine="420" w:firstLineChars="0"/>
        <w:contextualSpacing/>
        <w:textAlignment w:val="auto"/>
        <w:outlineLvl w:val="2"/>
        <w:rPr>
          <w:rFonts w:hint="eastAsia" w:ascii="宋体" w:hAnsi="宋体" w:eastAsia="宋体" w:cs="黑体"/>
          <w:sz w:val="24"/>
          <w:highlight w:val="none"/>
        </w:rPr>
      </w:pPr>
      <w:r>
        <w:rPr>
          <w:rFonts w:hint="eastAsia" w:ascii="宋体" w:hAnsi="宋体" w:eastAsia="宋体" w:cs="黑体"/>
          <w:sz w:val="24"/>
          <w:highlight w:val="none"/>
        </w:rPr>
        <w:t>在理财计划存续期内，如因监管政策或法律法规发生变化，在不损害投资者利益的前提下，</w:t>
      </w:r>
      <w:r>
        <w:rPr>
          <w:rFonts w:hint="eastAsia" w:ascii="宋体" w:hAnsi="宋体" w:eastAsia="宋体" w:cs="黑体"/>
          <w:sz w:val="24"/>
          <w:highlight w:val="none"/>
          <w:lang w:val="en-US" w:eastAsia="zh-CN"/>
        </w:rPr>
        <w:t>管理人</w:t>
      </w:r>
      <w:r>
        <w:rPr>
          <w:rFonts w:hint="eastAsia" w:ascii="宋体" w:hAnsi="宋体" w:eastAsia="宋体" w:cs="黑体"/>
          <w:sz w:val="24"/>
          <w:highlight w:val="none"/>
        </w:rPr>
        <w:t>有权单方对理财计划</w:t>
      </w:r>
      <w:r>
        <w:rPr>
          <w:rFonts w:hint="default" w:ascii="宋体" w:hAnsi="宋体" w:eastAsia="宋体" w:cs="黑体"/>
          <w:sz w:val="24"/>
          <w:highlight w:val="none"/>
          <w:lang w:val="en-US"/>
        </w:rPr>
        <w:t>合同</w:t>
      </w:r>
      <w:r>
        <w:rPr>
          <w:rFonts w:hint="eastAsia" w:ascii="宋体" w:hAnsi="宋体" w:eastAsia="宋体" w:cs="黑体"/>
          <w:sz w:val="24"/>
          <w:highlight w:val="none"/>
          <w:lang w:val="en-US" w:eastAsia="zh-CN"/>
        </w:rPr>
        <w:t>销售文件</w:t>
      </w:r>
      <w:r>
        <w:rPr>
          <w:rFonts w:hint="eastAsia" w:ascii="宋体" w:hAnsi="宋体" w:eastAsia="宋体" w:cs="黑体"/>
          <w:sz w:val="24"/>
          <w:highlight w:val="none"/>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widowControl/>
        <w:spacing w:line="360" w:lineRule="auto"/>
        <w:jc w:val="right"/>
        <w:rPr>
          <w:rFonts w:hint="default"/>
          <w:highlight w:val="none"/>
          <w:lang w:val="en-US" w:eastAsia="zh-CN"/>
        </w:rPr>
      </w:pPr>
      <w:r>
        <w:rPr>
          <w:rFonts w:hint="eastAsia" w:ascii="宋体" w:hAnsi="宋体" w:eastAsia="宋体" w:cs="宋体"/>
          <w:kern w:val="0"/>
          <w:sz w:val="24"/>
          <w:szCs w:val="24"/>
          <w:highlight w:val="none"/>
          <w:lang w:val="en-US" w:eastAsia="zh-CN" w:bidi="ar-SA"/>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sz w:val="24"/>
          <w:szCs w:val="24"/>
          <w:highlight w:val="none"/>
          <w:lang w:val="en-US" w:eastAsia="zh-CN"/>
        </w:rPr>
      </w:pPr>
      <w:r>
        <w:rPr>
          <w:rFonts w:hint="eastAsia" w:ascii="宋体" w:hAnsi="宋体" w:eastAsia="宋体" w:cs="黑体"/>
          <w:b w:val="0"/>
          <w:bCs w:val="0"/>
          <w:sz w:val="24"/>
          <w:szCs w:val="24"/>
          <w:highlight w:val="none"/>
          <w:lang w:val="en-US" w:eastAsia="zh-CN"/>
        </w:rPr>
        <w:t>本页为</w:t>
      </w:r>
      <w:r>
        <w:rPr>
          <w:rFonts w:hint="eastAsia" w:ascii="宋体" w:hAnsi="宋体" w:eastAsia="宋体" w:cs="黑体"/>
          <w:b w:val="0"/>
          <w:bCs w:val="0"/>
          <w:sz w:val="24"/>
          <w:szCs w:val="24"/>
          <w:highlight w:val="none"/>
        </w:rPr>
        <w:t>纸质</w:t>
      </w:r>
      <w:r>
        <w:rPr>
          <w:rFonts w:hint="eastAsia" w:ascii="宋体" w:hAnsi="宋体" w:eastAsia="宋体" w:cs="黑体"/>
          <w:b w:val="0"/>
          <w:bCs w:val="0"/>
          <w:sz w:val="24"/>
          <w:szCs w:val="24"/>
          <w:highlight w:val="none"/>
          <w:lang w:val="en-US" w:eastAsia="zh-CN"/>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r>
        <w:rPr>
          <w:rFonts w:hint="eastAsia" w:ascii="宋体" w:hAnsi="宋体" w:eastAsia="宋体" w:cs="黑体"/>
          <w:b/>
          <w:bCs/>
          <w:sz w:val="24"/>
          <w:highlight w:val="none"/>
        </w:rPr>
        <w:t>投资者</w:t>
      </w:r>
      <w:r>
        <w:rPr>
          <w:rFonts w:hint="eastAsia" w:ascii="宋体" w:hAnsi="宋体" w:eastAsia="宋体" w:cs="黑体"/>
          <w:b/>
          <w:bCs/>
          <w:sz w:val="24"/>
          <w:highlight w:val="none"/>
          <w:lang w:eastAsia="zh-CN"/>
        </w:rPr>
        <w:t>（</w:t>
      </w:r>
      <w:r>
        <w:rPr>
          <w:rFonts w:hint="eastAsia" w:ascii="宋体" w:hAnsi="宋体" w:eastAsia="宋体" w:cs="黑体"/>
          <w:b/>
          <w:bCs/>
          <w:sz w:val="24"/>
          <w:highlight w:val="none"/>
        </w:rPr>
        <w:t>签字</w:t>
      </w:r>
      <w:r>
        <w:rPr>
          <w:rFonts w:hint="eastAsia" w:ascii="宋体" w:hAnsi="宋体" w:eastAsia="宋体" w:cs="黑体"/>
          <w:b/>
          <w:bCs/>
          <w:sz w:val="24"/>
          <w:highlight w:val="none"/>
          <w:lang w:eastAsia="zh-CN"/>
        </w:rPr>
        <w:t>或签章）</w:t>
      </w:r>
      <w:r>
        <w:rPr>
          <w:rFonts w:hint="eastAsia" w:ascii="宋体" w:hAnsi="宋体" w:eastAsia="宋体" w:cs="黑体"/>
          <w:b/>
          <w:bCs/>
          <w:sz w:val="24"/>
          <w:szCs w:val="24"/>
          <w:highlight w:val="none"/>
          <w:lang w:eastAsia="zh-CN"/>
        </w:rPr>
        <w:t>：</w:t>
      </w: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r>
        <w:rPr>
          <w:rFonts w:hint="eastAsia" w:ascii="宋体" w:hAnsi="宋体" w:eastAsia="宋体" w:cs="黑体"/>
          <w:b/>
          <w:bCs/>
          <w:sz w:val="24"/>
          <w:highlight w:val="none"/>
        </w:rPr>
        <w:t>销售机构签章</w:t>
      </w:r>
      <w:r>
        <w:rPr>
          <w:rFonts w:hint="eastAsia" w:ascii="宋体" w:hAnsi="宋体" w:eastAsia="宋体" w:cs="黑体"/>
          <w:b/>
          <w:bCs/>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sz w:val="24"/>
          <w:szCs w:val="24"/>
          <w:highlight w:val="none"/>
          <w:lang w:eastAsia="zh-CN"/>
        </w:rPr>
      </w:pPr>
    </w:p>
    <w:p>
      <w:pPr>
        <w:spacing w:before="156" w:beforeLines="50" w:after="156" w:afterLines="50" w:line="360" w:lineRule="auto"/>
        <w:ind w:firstLine="4800" w:firstLineChars="2000"/>
        <w:jc w:val="right"/>
        <w:rPr>
          <w:rFonts w:hint="eastAsia" w:ascii="Arial" w:hAnsi="Arial"/>
          <w:sz w:val="24"/>
          <w:highlight w:val="none"/>
        </w:rPr>
      </w:pPr>
      <w:r>
        <w:rPr>
          <w:rFonts w:hint="eastAsia" w:ascii="Arial" w:hAnsi="Arial"/>
          <w:sz w:val="24"/>
          <w:highlight w:val="none"/>
        </w:rPr>
        <w:t xml:space="preserve">   年   月   日</w:t>
      </w:r>
    </w:p>
    <w:p>
      <w:pPr>
        <w:spacing w:line="360" w:lineRule="auto"/>
        <w:rPr>
          <w:rFonts w:ascii="宋体" w:hAnsi="宋体" w:cs="宋体"/>
          <w:bCs/>
          <w:color w:val="000000"/>
          <w:sz w:val="24"/>
          <w:highlight w:val="none"/>
        </w:rPr>
      </w:pPr>
    </w:p>
    <w:p>
      <w:pPr>
        <w:spacing w:before="156" w:beforeLines="50" w:after="156" w:afterLines="50" w:line="360" w:lineRule="auto"/>
        <w:ind w:firstLine="4800" w:firstLineChars="2000"/>
        <w:jc w:val="right"/>
        <w:rPr>
          <w:rFonts w:hint="eastAsia" w:ascii="Arial" w:hAnsi="Arial"/>
          <w:sz w:val="24"/>
          <w:highlight w:val="none"/>
        </w:rPr>
      </w:pPr>
    </w:p>
    <w:p>
      <w:pPr>
        <w:spacing w:line="360" w:lineRule="auto"/>
        <w:rPr>
          <w:rFonts w:ascii="宋体" w:hAnsi="宋体" w:cs="宋体"/>
          <w:bCs/>
          <w:color w:val="000000"/>
          <w:sz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b/>
        <w:bCs/>
      </w:rPr>
      <w:t>理财非存款 产品有风险 投资须谨慎</w:t>
    </w:r>
    <w:r>
      <w:rPr>
        <w:b/>
        <w:bCs/>
      </w:rPr>
      <w:drawing>
        <wp:anchor distT="0" distB="0" distL="114300" distR="114300" simplePos="0" relativeHeight="251658240" behindDoc="1" locked="0" layoutInCell="1" allowOverlap="1">
          <wp:simplePos x="0" y="0"/>
          <wp:positionH relativeFrom="column">
            <wp:posOffset>5120640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4">
    <w:nsid w:val="D8D75090"/>
    <w:multiLevelType w:val="singleLevel"/>
    <w:tmpl w:val="D8D75090"/>
    <w:lvl w:ilvl="0" w:tentative="0">
      <w:start w:val="1"/>
      <w:numFmt w:val="decimal"/>
      <w:suff w:val="nothing"/>
      <w:lvlText w:val="（%1）"/>
      <w:lvlJc w:val="left"/>
      <w:rPr>
        <w:rFonts w:hint="default"/>
        <w:b w:val="0"/>
        <w:bCs w:val="0"/>
      </w:rPr>
    </w:lvl>
  </w:abstractNum>
  <w:abstractNum w:abstractNumId="25">
    <w:nsid w:val="DD2251DF"/>
    <w:multiLevelType w:val="singleLevel"/>
    <w:tmpl w:val="DD2251DF"/>
    <w:lvl w:ilvl="0" w:tentative="0">
      <w:start w:val="1"/>
      <w:numFmt w:val="decimal"/>
      <w:suff w:val="nothing"/>
      <w:lvlText w:val="（%1）"/>
      <w:lvlJc w:val="left"/>
      <w:rPr>
        <w:rFonts w:hint="default"/>
        <w:b w:val="0"/>
        <w:bCs w:val="0"/>
      </w:rPr>
    </w:lvl>
  </w:abstractNum>
  <w:abstractNum w:abstractNumId="26">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574F5B6"/>
    <w:multiLevelType w:val="singleLevel"/>
    <w:tmpl w:val="F574F5B6"/>
    <w:lvl w:ilvl="0" w:tentative="0">
      <w:start w:val="1"/>
      <w:numFmt w:val="decimal"/>
      <w:suff w:val="nothing"/>
      <w:lvlText w:val="（%1）"/>
      <w:lvlJc w:val="left"/>
    </w:lvl>
  </w:abstractNum>
  <w:abstractNum w:abstractNumId="30">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1">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2">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8">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39">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5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5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5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5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5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5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5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5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5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6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6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6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6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6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6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6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6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6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6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70">
    <w:nsid w:val="62F21FDB"/>
    <w:multiLevelType w:val="multilevel"/>
    <w:tmpl w:val="62F21F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7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7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0"/>
  </w:num>
  <w:num w:numId="3">
    <w:abstractNumId w:val="43"/>
  </w:num>
  <w:num w:numId="4">
    <w:abstractNumId w:val="38"/>
  </w:num>
  <w:num w:numId="5">
    <w:abstractNumId w:val="21"/>
  </w:num>
  <w:num w:numId="6">
    <w:abstractNumId w:val="72"/>
  </w:num>
  <w:num w:numId="7">
    <w:abstractNumId w:val="32"/>
  </w:num>
  <w:num w:numId="8">
    <w:abstractNumId w:val="73"/>
  </w:num>
  <w:num w:numId="9">
    <w:abstractNumId w:val="48"/>
  </w:num>
  <w:num w:numId="10">
    <w:abstractNumId w:val="45"/>
  </w:num>
  <w:num w:numId="11">
    <w:abstractNumId w:val="30"/>
  </w:num>
  <w:num w:numId="12">
    <w:abstractNumId w:val="28"/>
  </w:num>
  <w:num w:numId="13">
    <w:abstractNumId w:val="34"/>
  </w:num>
  <w:num w:numId="14">
    <w:abstractNumId w:val="27"/>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3"/>
  </w:num>
  <w:num w:numId="22">
    <w:abstractNumId w:val="5"/>
  </w:num>
  <w:num w:numId="23">
    <w:abstractNumId w:val="1"/>
  </w:num>
  <w:num w:numId="24">
    <w:abstractNumId w:val="44"/>
  </w:num>
  <w:num w:numId="25">
    <w:abstractNumId w:val="29"/>
  </w:num>
  <w:num w:numId="26">
    <w:abstractNumId w:val="20"/>
  </w:num>
  <w:num w:numId="27">
    <w:abstractNumId w:val="39"/>
  </w:num>
  <w:num w:numId="28">
    <w:abstractNumId w:val="23"/>
  </w:num>
  <w:num w:numId="29">
    <w:abstractNumId w:val="6"/>
  </w:num>
  <w:num w:numId="30">
    <w:abstractNumId w:val="47"/>
  </w:num>
  <w:num w:numId="31">
    <w:abstractNumId w:val="4"/>
  </w:num>
  <w:num w:numId="32">
    <w:abstractNumId w:val="70"/>
  </w:num>
  <w:num w:numId="33">
    <w:abstractNumId w:val="37"/>
  </w:num>
  <w:num w:numId="34">
    <w:abstractNumId w:val="71"/>
  </w:num>
  <w:num w:numId="35">
    <w:abstractNumId w:val="31"/>
  </w:num>
  <w:num w:numId="36">
    <w:abstractNumId w:val="25"/>
  </w:num>
  <w:num w:numId="37">
    <w:abstractNumId w:val="42"/>
  </w:num>
  <w:num w:numId="38">
    <w:abstractNumId w:val="2"/>
  </w:num>
  <w:num w:numId="39">
    <w:abstractNumId w:val="26"/>
  </w:num>
  <w:num w:numId="40">
    <w:abstractNumId w:val="17"/>
  </w:num>
  <w:num w:numId="41">
    <w:abstractNumId w:val="46"/>
  </w:num>
  <w:num w:numId="42">
    <w:abstractNumId w:val="35"/>
  </w:num>
  <w:num w:numId="43">
    <w:abstractNumId w:val="19"/>
  </w:num>
  <w:num w:numId="44">
    <w:abstractNumId w:val="49"/>
  </w:num>
  <w:num w:numId="45">
    <w:abstractNumId w:val="12"/>
  </w:num>
  <w:num w:numId="46">
    <w:abstractNumId w:val="10"/>
  </w:num>
  <w:num w:numId="47">
    <w:abstractNumId w:val="13"/>
  </w:num>
  <w:num w:numId="48">
    <w:abstractNumId w:val="36"/>
  </w:num>
  <w:num w:numId="49">
    <w:abstractNumId w:val="24"/>
  </w:num>
  <w:num w:numId="50">
    <w:abstractNumId w:val="3"/>
  </w:num>
  <w:num w:numId="51">
    <w:abstractNumId w:val="41"/>
  </w:num>
  <w:num w:numId="52">
    <w:abstractNumId w:val="57"/>
  </w:num>
  <w:num w:numId="53">
    <w:abstractNumId w:val="56"/>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40"/>
  </w:num>
  <w:num w:numId="61">
    <w:abstractNumId w:val="16"/>
  </w:num>
  <w:num w:numId="62">
    <w:abstractNumId w:val="50"/>
  </w:num>
  <w:num w:numId="63">
    <w:abstractNumId w:val="51"/>
  </w:num>
  <w:num w:numId="64">
    <w:abstractNumId w:val="52"/>
  </w:num>
  <w:num w:numId="65">
    <w:abstractNumId w:val="53"/>
  </w:num>
  <w:num w:numId="66">
    <w:abstractNumId w:val="54"/>
  </w:num>
  <w:num w:numId="67">
    <w:abstractNumId w:val="55"/>
  </w:num>
  <w:num w:numId="68">
    <w:abstractNumId w:val="64"/>
  </w:num>
  <w:num w:numId="69">
    <w:abstractNumId w:val="65"/>
  </w:num>
  <w:num w:numId="70">
    <w:abstractNumId w:val="15"/>
  </w:num>
  <w:num w:numId="71">
    <w:abstractNumId w:val="66"/>
  </w:num>
  <w:num w:numId="72">
    <w:abstractNumId w:val="67"/>
  </w:num>
  <w:num w:numId="73">
    <w:abstractNumId w:val="68"/>
  </w:num>
  <w:num w:numId="74">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0107D6"/>
    <w:rsid w:val="000A19CC"/>
    <w:rsid w:val="000B1563"/>
    <w:rsid w:val="000C5797"/>
    <w:rsid w:val="00123AE9"/>
    <w:rsid w:val="00140EE3"/>
    <w:rsid w:val="00175D3F"/>
    <w:rsid w:val="00187BC5"/>
    <w:rsid w:val="00194470"/>
    <w:rsid w:val="001B4676"/>
    <w:rsid w:val="001C01B2"/>
    <w:rsid w:val="001D2C7B"/>
    <w:rsid w:val="00200604"/>
    <w:rsid w:val="002141BE"/>
    <w:rsid w:val="00232E3B"/>
    <w:rsid w:val="0023532C"/>
    <w:rsid w:val="002441E4"/>
    <w:rsid w:val="00263368"/>
    <w:rsid w:val="00274E11"/>
    <w:rsid w:val="00304AEE"/>
    <w:rsid w:val="00327FC6"/>
    <w:rsid w:val="00343F73"/>
    <w:rsid w:val="00386FEC"/>
    <w:rsid w:val="003A1A36"/>
    <w:rsid w:val="003A3C2F"/>
    <w:rsid w:val="003D1B3C"/>
    <w:rsid w:val="003E5127"/>
    <w:rsid w:val="003E5FE8"/>
    <w:rsid w:val="004556BB"/>
    <w:rsid w:val="00475C26"/>
    <w:rsid w:val="004A724E"/>
    <w:rsid w:val="005571F8"/>
    <w:rsid w:val="00557E0E"/>
    <w:rsid w:val="00652A77"/>
    <w:rsid w:val="006B63C1"/>
    <w:rsid w:val="00720124"/>
    <w:rsid w:val="007542C9"/>
    <w:rsid w:val="00765C48"/>
    <w:rsid w:val="00773199"/>
    <w:rsid w:val="00793C62"/>
    <w:rsid w:val="007C65CD"/>
    <w:rsid w:val="008207F1"/>
    <w:rsid w:val="00852C69"/>
    <w:rsid w:val="00873DE6"/>
    <w:rsid w:val="008C74C9"/>
    <w:rsid w:val="008D78BD"/>
    <w:rsid w:val="008E13C5"/>
    <w:rsid w:val="00901BED"/>
    <w:rsid w:val="00902D93"/>
    <w:rsid w:val="00914DAB"/>
    <w:rsid w:val="00993044"/>
    <w:rsid w:val="009B065F"/>
    <w:rsid w:val="009B2DC4"/>
    <w:rsid w:val="009B40C6"/>
    <w:rsid w:val="009B64A7"/>
    <w:rsid w:val="009C3F7C"/>
    <w:rsid w:val="009C43A4"/>
    <w:rsid w:val="00A20F48"/>
    <w:rsid w:val="00A338FE"/>
    <w:rsid w:val="00A77F3E"/>
    <w:rsid w:val="00B765F3"/>
    <w:rsid w:val="00C012A2"/>
    <w:rsid w:val="00C07905"/>
    <w:rsid w:val="00C2564F"/>
    <w:rsid w:val="00C944CB"/>
    <w:rsid w:val="00D06904"/>
    <w:rsid w:val="00D07D02"/>
    <w:rsid w:val="00D14693"/>
    <w:rsid w:val="00D16C82"/>
    <w:rsid w:val="00D34068"/>
    <w:rsid w:val="00D41665"/>
    <w:rsid w:val="00D44268"/>
    <w:rsid w:val="00D47AB0"/>
    <w:rsid w:val="00D61838"/>
    <w:rsid w:val="00D767CF"/>
    <w:rsid w:val="00DA1B4C"/>
    <w:rsid w:val="00DC5F5C"/>
    <w:rsid w:val="00DF33CE"/>
    <w:rsid w:val="00E13193"/>
    <w:rsid w:val="00E35C54"/>
    <w:rsid w:val="00E406C4"/>
    <w:rsid w:val="00E701C5"/>
    <w:rsid w:val="00E7096F"/>
    <w:rsid w:val="00EB473B"/>
    <w:rsid w:val="00EE319D"/>
    <w:rsid w:val="00F0077E"/>
    <w:rsid w:val="00F50192"/>
    <w:rsid w:val="00F5498F"/>
    <w:rsid w:val="00F5749D"/>
    <w:rsid w:val="00F8181B"/>
    <w:rsid w:val="00FA0296"/>
    <w:rsid w:val="00FA6CE7"/>
    <w:rsid w:val="00FE2923"/>
    <w:rsid w:val="02562BF7"/>
    <w:rsid w:val="03BA3F56"/>
    <w:rsid w:val="0460442C"/>
    <w:rsid w:val="04CC55AF"/>
    <w:rsid w:val="0500018B"/>
    <w:rsid w:val="05B13762"/>
    <w:rsid w:val="07376664"/>
    <w:rsid w:val="07817326"/>
    <w:rsid w:val="09130B13"/>
    <w:rsid w:val="0B1A5A6E"/>
    <w:rsid w:val="0B2D0BA7"/>
    <w:rsid w:val="0BC67461"/>
    <w:rsid w:val="0C583EF5"/>
    <w:rsid w:val="0D6706EF"/>
    <w:rsid w:val="0DBE77E4"/>
    <w:rsid w:val="0E2830EC"/>
    <w:rsid w:val="101F6BD5"/>
    <w:rsid w:val="10504FB0"/>
    <w:rsid w:val="110C5156"/>
    <w:rsid w:val="110E3B80"/>
    <w:rsid w:val="117A174C"/>
    <w:rsid w:val="118D4B5D"/>
    <w:rsid w:val="11BF48B2"/>
    <w:rsid w:val="120050A9"/>
    <w:rsid w:val="123C7A66"/>
    <w:rsid w:val="133A19E0"/>
    <w:rsid w:val="13FC36E3"/>
    <w:rsid w:val="1442705A"/>
    <w:rsid w:val="14AD62A1"/>
    <w:rsid w:val="155F3FC2"/>
    <w:rsid w:val="15841F16"/>
    <w:rsid w:val="15C972B9"/>
    <w:rsid w:val="162A128A"/>
    <w:rsid w:val="16563388"/>
    <w:rsid w:val="17432384"/>
    <w:rsid w:val="17611875"/>
    <w:rsid w:val="1783542D"/>
    <w:rsid w:val="179972B0"/>
    <w:rsid w:val="18FC27C6"/>
    <w:rsid w:val="1B757EAF"/>
    <w:rsid w:val="1CAD01AC"/>
    <w:rsid w:val="1D866C77"/>
    <w:rsid w:val="1D9446FE"/>
    <w:rsid w:val="1DA62CA8"/>
    <w:rsid w:val="1E831DF3"/>
    <w:rsid w:val="1E856DEB"/>
    <w:rsid w:val="1F3C1565"/>
    <w:rsid w:val="20BD2325"/>
    <w:rsid w:val="24A67BC4"/>
    <w:rsid w:val="25801A05"/>
    <w:rsid w:val="27CE3874"/>
    <w:rsid w:val="27EB3D24"/>
    <w:rsid w:val="28B13D99"/>
    <w:rsid w:val="2A4135AD"/>
    <w:rsid w:val="2AD52CEA"/>
    <w:rsid w:val="2B683C5D"/>
    <w:rsid w:val="2B8255D3"/>
    <w:rsid w:val="2CED7384"/>
    <w:rsid w:val="2D131CD0"/>
    <w:rsid w:val="2DD45D89"/>
    <w:rsid w:val="2F237638"/>
    <w:rsid w:val="2F6A71CE"/>
    <w:rsid w:val="307B1E47"/>
    <w:rsid w:val="348C31DF"/>
    <w:rsid w:val="348E01C6"/>
    <w:rsid w:val="354C4323"/>
    <w:rsid w:val="35CD15B7"/>
    <w:rsid w:val="35D86BDE"/>
    <w:rsid w:val="35FD5667"/>
    <w:rsid w:val="36310E4A"/>
    <w:rsid w:val="36591675"/>
    <w:rsid w:val="372216A6"/>
    <w:rsid w:val="38663D34"/>
    <w:rsid w:val="39310E98"/>
    <w:rsid w:val="3AA66AF1"/>
    <w:rsid w:val="3B885E8A"/>
    <w:rsid w:val="3C4454BA"/>
    <w:rsid w:val="3D3D1991"/>
    <w:rsid w:val="3E6E2E42"/>
    <w:rsid w:val="3EA23778"/>
    <w:rsid w:val="3EAC1C1C"/>
    <w:rsid w:val="3EE67142"/>
    <w:rsid w:val="3EFE04EE"/>
    <w:rsid w:val="3F0A6615"/>
    <w:rsid w:val="3FCF347B"/>
    <w:rsid w:val="3FE830E5"/>
    <w:rsid w:val="40221B6B"/>
    <w:rsid w:val="40E021B1"/>
    <w:rsid w:val="41487A0A"/>
    <w:rsid w:val="42342BAA"/>
    <w:rsid w:val="425B6A60"/>
    <w:rsid w:val="426E7500"/>
    <w:rsid w:val="43685ADB"/>
    <w:rsid w:val="44045C03"/>
    <w:rsid w:val="46DB254E"/>
    <w:rsid w:val="47C36E36"/>
    <w:rsid w:val="48A3615E"/>
    <w:rsid w:val="48E00B0C"/>
    <w:rsid w:val="4B954EA0"/>
    <w:rsid w:val="4CC84C98"/>
    <w:rsid w:val="4D4708A6"/>
    <w:rsid w:val="4E754A4E"/>
    <w:rsid w:val="4E9967DA"/>
    <w:rsid w:val="4ECF6E10"/>
    <w:rsid w:val="4F1025D9"/>
    <w:rsid w:val="4FC27339"/>
    <w:rsid w:val="502B3CEE"/>
    <w:rsid w:val="509F5AAF"/>
    <w:rsid w:val="50EE58D7"/>
    <w:rsid w:val="519E097B"/>
    <w:rsid w:val="51EB2798"/>
    <w:rsid w:val="53A84543"/>
    <w:rsid w:val="56A66316"/>
    <w:rsid w:val="5851778C"/>
    <w:rsid w:val="58A020D2"/>
    <w:rsid w:val="5A5F3178"/>
    <w:rsid w:val="5A7E2982"/>
    <w:rsid w:val="5B24597E"/>
    <w:rsid w:val="5B7358EA"/>
    <w:rsid w:val="5BEF430C"/>
    <w:rsid w:val="5C531CB6"/>
    <w:rsid w:val="5CF01D88"/>
    <w:rsid w:val="5D5C0387"/>
    <w:rsid w:val="5DF35554"/>
    <w:rsid w:val="608F3A1C"/>
    <w:rsid w:val="61423886"/>
    <w:rsid w:val="6336483C"/>
    <w:rsid w:val="646D7D7D"/>
    <w:rsid w:val="64A47711"/>
    <w:rsid w:val="64BB6AA4"/>
    <w:rsid w:val="64EB1FB1"/>
    <w:rsid w:val="65085FDD"/>
    <w:rsid w:val="65F53E4A"/>
    <w:rsid w:val="66A625FE"/>
    <w:rsid w:val="66BC7D07"/>
    <w:rsid w:val="672D0717"/>
    <w:rsid w:val="68782DAE"/>
    <w:rsid w:val="69644745"/>
    <w:rsid w:val="69BC658F"/>
    <w:rsid w:val="6A042D14"/>
    <w:rsid w:val="6ABE1B22"/>
    <w:rsid w:val="6B29233B"/>
    <w:rsid w:val="6B8C2015"/>
    <w:rsid w:val="6C1B5E3A"/>
    <w:rsid w:val="6C3E06A6"/>
    <w:rsid w:val="6D966DB7"/>
    <w:rsid w:val="6EE209DA"/>
    <w:rsid w:val="70597F18"/>
    <w:rsid w:val="7082330A"/>
    <w:rsid w:val="725917A9"/>
    <w:rsid w:val="73631A55"/>
    <w:rsid w:val="77B75243"/>
    <w:rsid w:val="77C21A5F"/>
    <w:rsid w:val="77D23D86"/>
    <w:rsid w:val="792D1E0D"/>
    <w:rsid w:val="79321117"/>
    <w:rsid w:val="7A3A7C0C"/>
    <w:rsid w:val="7A835F66"/>
    <w:rsid w:val="7A8955BC"/>
    <w:rsid w:val="7A9D6576"/>
    <w:rsid w:val="7D3E6993"/>
    <w:rsid w:val="7DAE1C60"/>
    <w:rsid w:val="7F160731"/>
    <w:rsid w:val="7FEEF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semiHidden/>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annotation text"/>
    <w:basedOn w:val="1"/>
    <w:link w:val="16"/>
    <w:uiPriority w:val="0"/>
    <w:pPr>
      <w:jc w:val="left"/>
    </w:pPr>
    <w:rPr>
      <w:rFonts w:cs="Times New Roman"/>
    </w:rPr>
  </w:style>
  <w:style w:type="paragraph" w:styleId="3">
    <w:name w:val="Balloon Text"/>
    <w:basedOn w:val="1"/>
    <w:link w:val="17"/>
    <w:uiPriority w:val="0"/>
    <w:rPr>
      <w:rFonts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styleId="7">
    <w:name w:val="annotation subject"/>
    <w:basedOn w:val="2"/>
    <w:next w:val="2"/>
    <w:link w:val="15"/>
    <w:uiPriority w:val="0"/>
    <w:rPr>
      <w:b/>
      <w:bCs/>
    </w:rPr>
  </w:style>
  <w:style w:type="table" w:styleId="9">
    <w:name w:val="Table Grid"/>
    <w:basedOn w:val="8"/>
    <w:unhideWhenUsed/>
    <w:qFormat/>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qFormat/>
    <w:uiPriority w:val="0"/>
    <w:rPr>
      <w:color w:val="0000FF"/>
      <w:u w:val="single"/>
    </w:rPr>
  </w:style>
  <w:style w:type="character" w:styleId="12">
    <w:name w:val="annotation reference"/>
    <w:uiPriority w:val="0"/>
    <w:rPr>
      <w:sz w:val="21"/>
      <w:szCs w:val="21"/>
    </w:rPr>
  </w:style>
  <w:style w:type="paragraph" w:customStyle="1" w:styleId="13">
    <w:name w:val="List Paragraph"/>
    <w:basedOn w:val="1"/>
    <w:unhideWhenUsed/>
    <w:uiPriority w:val="99"/>
    <w:pPr>
      <w:ind w:firstLine="420" w:firstLineChars="200"/>
    </w:p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character" w:customStyle="1" w:styleId="15">
    <w:name w:val="批注主题 字符"/>
    <w:link w:val="7"/>
    <w:uiPriority w:val="0"/>
    <w:rPr>
      <w:rFonts w:ascii="Calibri" w:hAnsi="Calibri" w:cs="黑体"/>
      <w:b/>
      <w:bCs/>
      <w:kern w:val="2"/>
      <w:sz w:val="21"/>
      <w:szCs w:val="24"/>
    </w:rPr>
  </w:style>
  <w:style w:type="character" w:customStyle="1" w:styleId="16">
    <w:name w:val="批注文字 字符"/>
    <w:link w:val="2"/>
    <w:uiPriority w:val="0"/>
    <w:rPr>
      <w:rFonts w:ascii="Calibri" w:hAnsi="Calibri" w:cs="黑体"/>
      <w:kern w:val="2"/>
      <w:sz w:val="21"/>
      <w:szCs w:val="24"/>
    </w:rPr>
  </w:style>
  <w:style w:type="character" w:customStyle="1" w:styleId="17">
    <w:name w:val="批注框文本 字符"/>
    <w:link w:val="3"/>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34987</Words>
  <Characters>37274</Characters>
  <Lines>259</Lines>
  <Paragraphs>72</Paragraphs>
  <TotalTime>0</TotalTime>
  <ScaleCrop>false</ScaleCrop>
  <LinksUpToDate>false</LinksUpToDate>
  <CharactersWithSpaces>37667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2022-10-31T19:18:00Z</dcterms:created>
  <dc:creator>Administrator</dc:creator>
  <cp:lastModifiedBy>hccb</cp:lastModifiedBy>
  <dcterms:modified xsi:type="dcterms:W3CDTF">2025-04-03T06:19:42Z</dcterms:modified>
  <dc:title>杭银理财幸福99XXXX理财计划合同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