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69C04ABB"/>
    <w:rsid w:val="6ACE4D37"/>
    <w:rsid w:val="6E8B25B8"/>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2025-04-11T00:38:16Z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