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0" w:beforeAutospacing="0" w:after="0" w:afterAutospacing="0" w:line="360" w:lineRule="auto"/>
        <w:jc w:val="center"/>
        <w:rPr>
          <w:rFonts w:ascii="楷体" w:hAnsi="楷体" w:eastAsia="楷体"/>
          <w:b/>
          <w:sz w:val="36"/>
          <w:szCs w:val="36"/>
        </w:rPr>
      </w:pPr>
      <w:bookmarkStart w:id="3" w:name="_GoBack"/>
      <w:bookmarkEnd w:id="3"/>
      <w:bookmarkStart w:id="0" w:name="_Hlk167980810"/>
      <w:bookmarkStart w:id="1" w:name="_Hlk168577216"/>
      <w:r>
        <w:rPr>
          <w:rFonts w:hint="eastAsia" w:ascii="楷体" w:hAnsi="楷体" w:eastAsia="楷体"/>
          <w:b/>
          <w:sz w:val="36"/>
          <w:szCs w:val="36"/>
        </w:rPr>
        <w:t>“苏银理财</w:t>
      </w:r>
      <w:r>
        <w:rPr>
          <w:rFonts w:hint="eastAsia" w:ascii="楷体" w:hAnsi="楷体" w:eastAsia="楷体"/>
          <w:b/>
          <w:sz w:val="36"/>
          <w:szCs w:val="36"/>
          <w:lang w:eastAsia="zh-CN"/>
        </w:rPr>
        <w:t>恒源封闭债权170期优选款</w:t>
      </w:r>
      <w:r>
        <w:rPr>
          <w:rFonts w:hint="eastAsia" w:ascii="楷体" w:hAnsi="楷体" w:eastAsia="楷体"/>
          <w:b/>
          <w:sz w:val="36"/>
          <w:szCs w:val="36"/>
        </w:rPr>
        <w:t>”理财产品说明书</w:t>
      </w:r>
    </w:p>
    <w:p>
      <w:pPr>
        <w:jc w:val="center"/>
        <w:rPr>
          <w:rFonts w:ascii="楷体" w:hAnsi="楷体" w:eastAsia="楷体"/>
          <w:b/>
          <w:sz w:val="28"/>
          <w:szCs w:val="28"/>
        </w:rPr>
      </w:pPr>
      <w:r>
        <w:rPr>
          <w:rFonts w:hint="eastAsia" w:ascii="楷体" w:hAnsi="楷体" w:eastAsia="楷体" w:cs="宋体"/>
          <w:b/>
          <w:kern w:val="0"/>
          <w:sz w:val="32"/>
          <w:szCs w:val="32"/>
        </w:rPr>
        <w:t>理财非存款、产品有风险、投资须谨慎</w:t>
      </w:r>
    </w:p>
    <w:p>
      <w:pPr>
        <w:rPr>
          <w:rFonts w:ascii="楷体" w:hAnsi="楷体" w:eastAsia="楷体"/>
          <w:b/>
          <w:sz w:val="28"/>
          <w:szCs w:val="28"/>
        </w:rPr>
      </w:pPr>
      <w:r>
        <w:rPr>
          <w:rFonts w:hint="eastAsia" w:ascii="楷体" w:hAnsi="楷体" w:eastAsia="楷体"/>
          <w:b/>
          <w:sz w:val="28"/>
          <w:szCs w:val="28"/>
        </w:rPr>
        <w:t>重要须知</w:t>
      </w:r>
    </w:p>
    <w:p>
      <w:pPr>
        <w:numPr>
          <w:ilvl w:val="0"/>
          <w:numId w:val="1"/>
        </w:numPr>
        <w:rPr>
          <w:rFonts w:ascii="楷体" w:hAnsi="楷体" w:eastAsia="楷体"/>
          <w:sz w:val="24"/>
          <w:szCs w:val="24"/>
        </w:rPr>
      </w:pPr>
      <w:r>
        <w:rPr>
          <w:rFonts w:hint="eastAsia" w:ascii="楷体" w:hAnsi="楷体" w:eastAsia="楷体"/>
          <w:sz w:val="24"/>
          <w:szCs w:val="24"/>
        </w:rPr>
        <w:t>在购买本理财产品前，投资者应确保自己完全理解该项投资的性质和所涉及的风险，详细了解和审慎评估该理财产品的资金方向、风险类型等基本情况，在慎重考虑后自行决定购买与自身风险承受能力和资产管理需求匹配的理财产品。</w:t>
      </w:r>
    </w:p>
    <w:p>
      <w:pPr>
        <w:numPr>
          <w:ilvl w:val="0"/>
          <w:numId w:val="1"/>
        </w:numPr>
        <w:rPr>
          <w:rFonts w:ascii="楷体" w:hAnsi="楷体" w:eastAsia="楷体"/>
          <w:b/>
          <w:sz w:val="24"/>
          <w:szCs w:val="24"/>
          <w:u w:val="single"/>
        </w:rPr>
      </w:pPr>
      <w:r>
        <w:rPr>
          <w:rFonts w:hint="eastAsia" w:ascii="楷体" w:hAnsi="楷体" w:eastAsia="楷体"/>
          <w:b/>
          <w:sz w:val="24"/>
          <w:szCs w:val="24"/>
          <w:u w:val="single"/>
        </w:rPr>
        <w:t>本理财产品不保证本金及收益，您的本金可能因市场变动或者交易违约等事项而蒙受相应损失，投资者应充分认识投资风险，谨慎投资；本理财产品过往业绩不代表其未来表现，不等于理财产品实际收益，投资须谨慎；理财非存款、产品有风险、投资须谨慎。</w:t>
      </w:r>
    </w:p>
    <w:p>
      <w:pPr>
        <w:numPr>
          <w:ilvl w:val="0"/>
          <w:numId w:val="1"/>
        </w:numPr>
        <w:rPr>
          <w:rFonts w:ascii="楷体" w:hAnsi="楷体" w:eastAsia="楷体"/>
          <w:b/>
          <w:sz w:val="24"/>
          <w:szCs w:val="24"/>
          <w:u w:val="single"/>
        </w:rPr>
      </w:pPr>
      <w:r>
        <w:rPr>
          <w:rFonts w:hint="eastAsia" w:ascii="楷体" w:hAnsi="楷体" w:eastAsia="楷体"/>
          <w:b/>
          <w:sz w:val="24"/>
          <w:szCs w:val="24"/>
          <w:u w:val="single"/>
        </w:rPr>
        <w:t>本理财产品的任何业绩比较区间、业绩比较基准等类似表述均属不具有法律约束力的用语，业绩比较基准为管理人对本产品所设定的投资目标，不代表投资者可能获得的实际收益，亦不构成苏银理财有限责任公司（以下简称“苏银理财”）对本理财产品的任何收益承诺。</w:t>
      </w:r>
    </w:p>
    <w:p>
      <w:pPr>
        <w:numPr>
          <w:ilvl w:val="0"/>
          <w:numId w:val="1"/>
        </w:numPr>
        <w:rPr>
          <w:rFonts w:ascii="楷体" w:hAnsi="楷体" w:eastAsia="楷体"/>
          <w:sz w:val="24"/>
          <w:szCs w:val="24"/>
        </w:rPr>
      </w:pPr>
      <w:r>
        <w:rPr>
          <w:rFonts w:hint="eastAsia" w:ascii="楷体" w:hAnsi="楷体" w:eastAsia="楷体"/>
          <w:sz w:val="24"/>
          <w:szCs w:val="24"/>
        </w:rPr>
        <w:t>《理财产品说明书》、《风险揭示书》、《投资者权益须知》、《理财产品投资协议书》、《理财产品（代理）销售协议书》共同构成本理财产品完整的不可分割的理财产品合同。</w:t>
      </w:r>
    </w:p>
    <w:p>
      <w:pPr>
        <w:numPr>
          <w:ilvl w:val="0"/>
          <w:numId w:val="1"/>
        </w:numPr>
        <w:rPr>
          <w:rFonts w:ascii="楷体" w:hAnsi="楷体" w:eastAsia="楷体"/>
          <w:sz w:val="24"/>
          <w:szCs w:val="24"/>
        </w:rPr>
      </w:pPr>
      <w:r>
        <w:rPr>
          <w:rFonts w:hint="eastAsia" w:ascii="楷体" w:hAnsi="楷体" w:eastAsia="楷体"/>
          <w:sz w:val="24"/>
          <w:szCs w:val="24"/>
        </w:rPr>
        <w:t>本理财产品涉及的主要风险包括政策风险、信用风险、市场风险、流动性风险、管理风险、操作风险、产品不成立风险、延期兑付风险、提前终止风险、信息传递风险、税务风险、代销风险（如有）、其他风险等。请仔细阅读《“苏银理财</w:t>
      </w:r>
      <w:r>
        <w:rPr>
          <w:rFonts w:hint="eastAsia" w:ascii="楷体" w:hAnsi="楷体" w:eastAsia="楷体"/>
          <w:sz w:val="24"/>
          <w:szCs w:val="24"/>
          <w:lang w:eastAsia="zh-CN"/>
        </w:rPr>
        <w:t>恒源封闭债权170期优选款</w:t>
      </w:r>
      <w:r>
        <w:rPr>
          <w:rFonts w:hint="eastAsia" w:ascii="楷体" w:hAnsi="楷体" w:eastAsia="楷体"/>
          <w:sz w:val="24"/>
          <w:szCs w:val="24"/>
        </w:rPr>
        <w:t>”理财产品风险揭示书》的“风险揭示”部分。</w:t>
      </w:r>
    </w:p>
    <w:p>
      <w:pPr>
        <w:numPr>
          <w:ilvl w:val="0"/>
          <w:numId w:val="1"/>
        </w:numPr>
        <w:rPr>
          <w:rFonts w:ascii="楷体" w:hAnsi="楷体" w:eastAsia="楷体"/>
          <w:b/>
          <w:sz w:val="24"/>
          <w:szCs w:val="24"/>
          <w:u w:val="single"/>
        </w:rPr>
      </w:pPr>
      <w:r>
        <w:rPr>
          <w:rFonts w:hint="eastAsia" w:ascii="楷体" w:hAnsi="楷体" w:eastAsia="楷体"/>
          <w:b/>
          <w:sz w:val="24"/>
          <w:szCs w:val="24"/>
          <w:u w:val="single"/>
        </w:rPr>
        <w:t>投资者不得使用贷款、发行债券等筹集的非自有资金投资本理财产品。</w:t>
      </w:r>
    </w:p>
    <w:p>
      <w:pPr>
        <w:numPr>
          <w:ilvl w:val="0"/>
          <w:numId w:val="1"/>
        </w:numPr>
        <w:rPr>
          <w:rFonts w:ascii="楷体" w:hAnsi="楷体" w:eastAsia="楷体"/>
          <w:b/>
          <w:bCs/>
          <w:sz w:val="24"/>
          <w:szCs w:val="24"/>
        </w:rPr>
      </w:pPr>
      <w:r>
        <w:rPr>
          <w:rFonts w:hint="eastAsia" w:ascii="楷体" w:hAnsi="楷体" w:eastAsia="楷体"/>
          <w:sz w:val="24"/>
          <w:szCs w:val="24"/>
        </w:rPr>
        <w:t>本理财产品类型为</w:t>
      </w:r>
      <w:r>
        <w:rPr>
          <w:rFonts w:hint="eastAsia" w:ascii="楷体" w:hAnsi="楷体" w:eastAsia="楷体"/>
          <w:b/>
          <w:sz w:val="24"/>
          <w:szCs w:val="24"/>
          <w:u w:val="single"/>
        </w:rPr>
        <w:t>固定收益类</w:t>
      </w:r>
      <w:r>
        <w:rPr>
          <w:rFonts w:hint="eastAsia" w:ascii="楷体" w:hAnsi="楷体" w:eastAsia="楷体"/>
          <w:sz w:val="24"/>
          <w:szCs w:val="24"/>
        </w:rPr>
        <w:t>产品。若法律法规、监管政策及市场情况发生变化，苏银理财有权在不改变产品类型的情况下，可对本说明书中已约定的投资范围、投资品种、投资比例以及收费项目、条件、标准、方式和收益分配原则进行调整，</w:t>
      </w:r>
      <w:r>
        <w:rPr>
          <w:rFonts w:hint="eastAsia" w:ascii="楷体" w:hAnsi="楷体" w:eastAsia="楷体"/>
          <w:b/>
          <w:bCs/>
          <w:sz w:val="24"/>
          <w:szCs w:val="24"/>
          <w:u w:val="single"/>
        </w:rPr>
        <w:t>产品管理人将于</w:t>
      </w:r>
      <w:r>
        <w:rPr>
          <w:rFonts w:hint="eastAsia" w:ascii="楷体" w:hAnsi="楷体" w:eastAsia="楷体"/>
          <w:b/>
          <w:bCs/>
          <w:sz w:val="24"/>
          <w:szCs w:val="24"/>
          <w:u w:val="single"/>
          <w:lang w:val="en-US" w:eastAsia="zh-CN"/>
        </w:rPr>
        <w:t>调整事项</w:t>
      </w:r>
      <w:r>
        <w:rPr>
          <w:rFonts w:hint="eastAsia" w:ascii="楷体" w:hAnsi="楷体" w:eastAsia="楷体"/>
          <w:b/>
          <w:bCs/>
          <w:sz w:val="24"/>
          <w:szCs w:val="24"/>
          <w:u w:val="single"/>
        </w:rPr>
        <w:t>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1"/>
        </w:numPr>
        <w:rPr>
          <w:rFonts w:ascii="楷体" w:hAnsi="楷体" w:eastAsia="楷体"/>
          <w:sz w:val="24"/>
          <w:szCs w:val="24"/>
        </w:rPr>
      </w:pPr>
      <w:r>
        <w:rPr>
          <w:rFonts w:hint="eastAsia" w:ascii="楷体" w:hAnsi="楷体" w:eastAsia="楷体"/>
          <w:sz w:val="24"/>
          <w:szCs w:val="24"/>
        </w:rPr>
        <w:t>为贯彻落实金融监管总局和银行业理财登记托管中心的要求，苏银理财将向监管机构报送理财产品投资者身份信息、每日交易、持仓等信息。后续金融监管总局和银行业理财登记托管中心等机关如果提出新的信息报送要求，苏银理财将按照该等机关的要求执行。投资者签署本理财产品销售文件即视为已经同意苏银理财将按照相关机关要求报送投资者相关信息。</w:t>
      </w:r>
    </w:p>
    <w:p>
      <w:pPr>
        <w:numPr>
          <w:ilvl w:val="0"/>
          <w:numId w:val="1"/>
        </w:numPr>
        <w:rPr>
          <w:rFonts w:ascii="楷体" w:hAnsi="楷体" w:eastAsia="楷体"/>
          <w:sz w:val="24"/>
          <w:szCs w:val="24"/>
        </w:rPr>
      </w:pPr>
      <w:r>
        <w:rPr>
          <w:rFonts w:hint="eastAsia" w:ascii="楷体" w:hAnsi="楷体" w:eastAsia="楷体"/>
          <w:sz w:val="24"/>
          <w:szCs w:val="24"/>
        </w:rPr>
        <w:t>在本产品存续期内，如因监管政策或法律法规发生变化，在不损害投资者利益的前提下，苏银理财有权单方对本产品条款进行修订，并按本理财产品说明书约定的信息披露方式予以披露。</w:t>
      </w:r>
    </w:p>
    <w:p>
      <w:pPr>
        <w:numPr>
          <w:ilvl w:val="0"/>
          <w:numId w:val="1"/>
        </w:numPr>
        <w:rPr>
          <w:rFonts w:ascii="楷体" w:hAnsi="楷体" w:eastAsia="楷体"/>
          <w:sz w:val="24"/>
          <w:szCs w:val="24"/>
        </w:rPr>
      </w:pPr>
      <w:r>
        <w:rPr>
          <w:rFonts w:hint="eastAsia" w:ascii="楷体" w:hAnsi="楷体" w:eastAsia="楷体"/>
          <w:sz w:val="24"/>
          <w:szCs w:val="24"/>
        </w:rPr>
        <w:t>在购买本理财产品后，投资者应随时关注该理财产品的信息披露情况，及时获取相关信息。</w:t>
      </w:r>
    </w:p>
    <w:p>
      <w:pPr>
        <w:numPr>
          <w:ilvl w:val="0"/>
          <w:numId w:val="1"/>
        </w:numPr>
        <w:rPr>
          <w:rFonts w:ascii="楷体" w:hAnsi="楷体" w:eastAsia="楷体"/>
        </w:rPr>
      </w:pPr>
      <w:r>
        <w:rPr>
          <w:rFonts w:hint="eastAsia" w:ascii="楷体" w:hAnsi="楷体" w:eastAsia="楷体"/>
          <w:sz w:val="24"/>
          <w:szCs w:val="24"/>
        </w:rPr>
        <w:t>本理财产品说明书在法律许可的范围内由苏银理财负责解释。</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产品要素</w:t>
      </w:r>
    </w:p>
    <w:p>
      <w:pPr>
        <w:ind w:firstLine="480" w:firstLineChars="200"/>
        <w:rPr>
          <w:rFonts w:ascii="楷体" w:hAnsi="楷体" w:eastAsia="楷体" w:cs="Calibri"/>
          <w:sz w:val="24"/>
          <w:szCs w:val="24"/>
        </w:rPr>
      </w:pPr>
      <w:r>
        <w:rPr>
          <w:rFonts w:hint="eastAsia" w:ascii="楷体" w:hAnsi="楷体" w:eastAsia="楷体" w:cs="Calibri"/>
          <w:sz w:val="24"/>
          <w:szCs w:val="24"/>
        </w:rPr>
        <w:t>为保护投资者合法权益，尊重投资者的知情权和自主选择权，现将本理财产品的基本要素说明如下：</w:t>
      </w:r>
    </w:p>
    <w:tbl>
      <w:tblPr>
        <w:tblStyle w:val="15"/>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1"/>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产品名称</w:t>
            </w:r>
          </w:p>
        </w:tc>
        <w:tc>
          <w:tcPr>
            <w:tcW w:w="6614" w:type="dxa"/>
            <w:noWrap w:val="0"/>
            <w:vAlign w:val="center"/>
          </w:tcPr>
          <w:p>
            <w:pPr>
              <w:pStyle w:val="37"/>
              <w:kinsoku w:val="0"/>
              <w:overflowPunct w:val="0"/>
              <w:spacing w:before="13"/>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rPr>
              <w:t>苏银理财</w:t>
            </w:r>
            <w:r>
              <w:rPr>
                <w:rFonts w:hint="eastAsia" w:ascii="楷体" w:hAnsi="楷体" w:eastAsia="楷体" w:cs="宋体"/>
                <w:spacing w:val="-2"/>
                <w:sz w:val="21"/>
                <w:szCs w:val="21"/>
                <w:lang w:eastAsia="zh-CN"/>
              </w:rPr>
              <w:t>恒源封闭债权170期优选款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ind w:left="57"/>
              <w:jc w:val="both"/>
              <w:rPr>
                <w:rFonts w:ascii="楷体" w:hAnsi="楷体" w:eastAsia="楷体" w:cs="宋体"/>
                <w:b/>
                <w:spacing w:val="-2"/>
                <w:sz w:val="21"/>
                <w:szCs w:val="21"/>
              </w:rPr>
            </w:pPr>
            <w:r>
              <w:rPr>
                <w:rFonts w:hint="eastAsia" w:ascii="楷体" w:hAnsi="楷体" w:eastAsia="楷体" w:cs="宋体"/>
                <w:b/>
                <w:spacing w:val="-2"/>
                <w:sz w:val="21"/>
                <w:szCs w:val="21"/>
              </w:rPr>
              <w:t>理财产品登记编码</w:t>
            </w:r>
          </w:p>
        </w:tc>
        <w:tc>
          <w:tcPr>
            <w:tcW w:w="6614" w:type="dxa"/>
            <w:noWrap w:val="0"/>
            <w:vAlign w:val="center"/>
          </w:tcPr>
          <w:p>
            <w:pPr>
              <w:pStyle w:val="37"/>
              <w:kinsoku w:val="0"/>
              <w:overflowPunct w:val="0"/>
              <w:spacing w:line="260" w:lineRule="exact"/>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Z7003125000049</w:t>
            </w:r>
          </w:p>
          <w:p>
            <w:pPr>
              <w:pStyle w:val="37"/>
              <w:kinsoku w:val="0"/>
              <w:overflowPunct w:val="0"/>
              <w:spacing w:line="260" w:lineRule="exact"/>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（投资者可依据该编码在中国理财网</w:t>
            </w:r>
            <w:r>
              <w:fldChar w:fldCharType="begin"/>
            </w:r>
            <w:r>
              <w:instrText xml:space="preserve"> HYPERLINK "http://www.chinawealth.com.cn/" </w:instrText>
            </w:r>
            <w:r>
              <w:fldChar w:fldCharType="separate"/>
            </w:r>
            <w:r>
              <w:rPr>
                <w:rFonts w:ascii="楷体" w:hAnsi="楷体" w:eastAsia="楷体" w:cs="宋体"/>
                <w:spacing w:val="-2"/>
                <w:sz w:val="21"/>
                <w:szCs w:val="21"/>
              </w:rPr>
              <w:t>www.chinawealth.com.cn</w:t>
            </w:r>
            <w:r>
              <w:rPr>
                <w:rFonts w:ascii="楷体" w:hAnsi="楷体" w:eastAsia="楷体" w:cs="宋体"/>
                <w:spacing w:val="-2"/>
                <w:sz w:val="21"/>
                <w:szCs w:val="21"/>
              </w:rPr>
              <w:fldChar w:fldCharType="end"/>
            </w:r>
            <w:r>
              <w:rPr>
                <w:rFonts w:hint="eastAsia" w:ascii="楷体" w:hAnsi="楷体" w:eastAsia="楷体" w:cs="宋体"/>
                <w:spacing w:val="-2"/>
                <w:sz w:val="21"/>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销售简称/销售代码</w:t>
            </w:r>
          </w:p>
        </w:tc>
        <w:tc>
          <w:tcPr>
            <w:tcW w:w="6614" w:type="dxa"/>
            <w:noWrap w:val="0"/>
            <w:vAlign w:val="center"/>
          </w:tcPr>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rPr>
              <w:t>A份额：苏银理财</w:t>
            </w:r>
            <w:r>
              <w:rPr>
                <w:rFonts w:hint="eastAsia" w:ascii="楷体" w:hAnsi="楷体" w:eastAsia="楷体" w:cs="宋体"/>
                <w:spacing w:val="-2"/>
                <w:sz w:val="21"/>
                <w:szCs w:val="21"/>
                <w:lang w:eastAsia="zh-CN"/>
              </w:rPr>
              <w:t>恒源封闭债权170期优选款13月</w:t>
            </w:r>
            <w:r>
              <w:rPr>
                <w:rFonts w:hint="eastAsia" w:ascii="楷体" w:hAnsi="楷体" w:eastAsia="楷体" w:cs="宋体"/>
                <w:spacing w:val="-2"/>
                <w:sz w:val="21"/>
                <w:szCs w:val="21"/>
              </w:rPr>
              <w:t>A/J0</w:t>
            </w:r>
            <w:r>
              <w:rPr>
                <w:rFonts w:hint="eastAsia" w:ascii="楷体" w:hAnsi="楷体" w:eastAsia="楷体" w:cs="宋体"/>
                <w:spacing w:val="-2"/>
                <w:sz w:val="21"/>
                <w:szCs w:val="21"/>
                <w:lang w:val="en-US" w:eastAsia="zh-CN"/>
              </w:rPr>
              <w:t>4001</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rPr>
              <w:t>B份额：苏银理财</w:t>
            </w:r>
            <w:r>
              <w:rPr>
                <w:rFonts w:hint="eastAsia" w:ascii="楷体" w:hAnsi="楷体" w:eastAsia="楷体" w:cs="宋体"/>
                <w:spacing w:val="-2"/>
                <w:sz w:val="21"/>
                <w:szCs w:val="21"/>
                <w:lang w:eastAsia="zh-CN"/>
              </w:rPr>
              <w:t>恒源封闭债权170期优选款13月</w:t>
            </w:r>
            <w:r>
              <w:rPr>
                <w:rFonts w:hint="eastAsia" w:ascii="楷体" w:hAnsi="楷体" w:eastAsia="楷体" w:cs="宋体"/>
                <w:spacing w:val="-2"/>
                <w:sz w:val="21"/>
                <w:szCs w:val="21"/>
              </w:rPr>
              <w:t>B/J0</w:t>
            </w:r>
            <w:r>
              <w:rPr>
                <w:rFonts w:hint="eastAsia" w:ascii="楷体" w:hAnsi="楷体" w:eastAsia="楷体" w:cs="宋体"/>
                <w:spacing w:val="-2"/>
                <w:sz w:val="21"/>
                <w:szCs w:val="21"/>
                <w:lang w:val="en-US" w:eastAsia="zh-CN"/>
              </w:rPr>
              <w:t>4002</w:t>
            </w:r>
          </w:p>
          <w:p>
            <w:pPr>
              <w:pStyle w:val="37"/>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rPr>
              <w:t>C份额：苏银理财</w:t>
            </w:r>
            <w:r>
              <w:rPr>
                <w:rFonts w:hint="eastAsia" w:ascii="楷体" w:hAnsi="楷体" w:eastAsia="楷体" w:cs="宋体"/>
                <w:spacing w:val="-2"/>
                <w:sz w:val="21"/>
                <w:szCs w:val="21"/>
                <w:lang w:eastAsia="zh-CN"/>
              </w:rPr>
              <w:t>恒源封闭债权170期优选款13月</w:t>
            </w:r>
            <w:r>
              <w:rPr>
                <w:rFonts w:hint="eastAsia" w:ascii="楷体" w:hAnsi="楷体" w:eastAsia="楷体" w:cs="宋体"/>
                <w:spacing w:val="-2"/>
                <w:sz w:val="21"/>
                <w:szCs w:val="21"/>
              </w:rPr>
              <w:t>C/J0</w:t>
            </w:r>
            <w:r>
              <w:rPr>
                <w:rFonts w:hint="eastAsia" w:ascii="楷体" w:hAnsi="楷体" w:eastAsia="楷体" w:cs="宋体"/>
                <w:spacing w:val="-2"/>
                <w:sz w:val="21"/>
                <w:szCs w:val="21"/>
                <w:lang w:val="en-US" w:eastAsia="zh-CN"/>
              </w:rPr>
              <w:t>4003</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D</w:t>
            </w:r>
            <w:r>
              <w:rPr>
                <w:rFonts w:hint="eastAsia" w:ascii="楷体" w:hAnsi="楷体" w:eastAsia="楷体" w:cs="宋体"/>
                <w:spacing w:val="-2"/>
                <w:sz w:val="21"/>
                <w:szCs w:val="21"/>
              </w:rPr>
              <w:t>份额：苏银理财</w:t>
            </w:r>
            <w:r>
              <w:rPr>
                <w:rFonts w:hint="eastAsia" w:ascii="楷体" w:hAnsi="楷体" w:eastAsia="楷体" w:cs="宋体"/>
                <w:spacing w:val="-2"/>
                <w:sz w:val="21"/>
                <w:szCs w:val="21"/>
                <w:lang w:eastAsia="zh-CN"/>
              </w:rPr>
              <w:t>恒源封闭债权170期优选款13月</w:t>
            </w:r>
            <w:r>
              <w:rPr>
                <w:rFonts w:hint="eastAsia" w:ascii="楷体" w:hAnsi="楷体" w:eastAsia="楷体" w:cs="宋体"/>
                <w:spacing w:val="-2"/>
                <w:sz w:val="21"/>
                <w:szCs w:val="21"/>
                <w:lang w:val="en-US" w:eastAsia="zh-CN"/>
              </w:rPr>
              <w:t>D</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4004</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E份额：</w:t>
            </w:r>
            <w:r>
              <w:rPr>
                <w:rFonts w:hint="eastAsia" w:ascii="楷体" w:hAnsi="楷体" w:eastAsia="楷体" w:cs="宋体"/>
                <w:spacing w:val="-2"/>
                <w:sz w:val="21"/>
                <w:szCs w:val="21"/>
              </w:rPr>
              <w:t>苏银理财</w:t>
            </w:r>
            <w:r>
              <w:rPr>
                <w:rFonts w:hint="eastAsia" w:ascii="楷体" w:hAnsi="楷体" w:eastAsia="楷体" w:cs="宋体"/>
                <w:spacing w:val="-2"/>
                <w:sz w:val="21"/>
                <w:szCs w:val="21"/>
                <w:lang w:eastAsia="zh-CN"/>
              </w:rPr>
              <w:t>恒源封闭债权170期优选款13月</w:t>
            </w:r>
            <w:r>
              <w:rPr>
                <w:rFonts w:hint="eastAsia" w:ascii="楷体" w:hAnsi="楷体" w:eastAsia="楷体" w:cs="宋体"/>
                <w:spacing w:val="-2"/>
                <w:sz w:val="21"/>
                <w:szCs w:val="21"/>
                <w:lang w:val="en-US" w:eastAsia="zh-CN"/>
              </w:rPr>
              <w:t>E</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4005</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F份额：</w:t>
            </w:r>
            <w:r>
              <w:rPr>
                <w:rFonts w:hint="eastAsia" w:ascii="楷体" w:hAnsi="楷体" w:eastAsia="楷体" w:cs="宋体"/>
                <w:spacing w:val="-2"/>
                <w:sz w:val="21"/>
                <w:szCs w:val="21"/>
              </w:rPr>
              <w:t>苏银理财</w:t>
            </w:r>
            <w:r>
              <w:rPr>
                <w:rFonts w:hint="eastAsia" w:ascii="楷体" w:hAnsi="楷体" w:eastAsia="楷体" w:cs="宋体"/>
                <w:spacing w:val="-2"/>
                <w:sz w:val="21"/>
                <w:szCs w:val="21"/>
                <w:lang w:eastAsia="zh-CN"/>
              </w:rPr>
              <w:t>恒源封闭债权170期优选款13月</w:t>
            </w:r>
            <w:r>
              <w:rPr>
                <w:rFonts w:hint="eastAsia" w:ascii="楷体" w:hAnsi="楷体" w:eastAsia="楷体" w:cs="宋体"/>
                <w:spacing w:val="-2"/>
                <w:sz w:val="21"/>
                <w:szCs w:val="21"/>
                <w:lang w:val="en-US" w:eastAsia="zh-CN"/>
              </w:rPr>
              <w:t>F</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4006</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G份额：</w:t>
            </w:r>
            <w:r>
              <w:rPr>
                <w:rFonts w:hint="eastAsia" w:ascii="楷体" w:hAnsi="楷体" w:eastAsia="楷体" w:cs="宋体"/>
                <w:spacing w:val="-2"/>
                <w:sz w:val="21"/>
                <w:szCs w:val="21"/>
              </w:rPr>
              <w:t>苏银理财</w:t>
            </w:r>
            <w:r>
              <w:rPr>
                <w:rFonts w:hint="eastAsia" w:ascii="楷体" w:hAnsi="楷体" w:eastAsia="楷体" w:cs="宋体"/>
                <w:spacing w:val="-2"/>
                <w:sz w:val="21"/>
                <w:szCs w:val="21"/>
                <w:lang w:eastAsia="zh-CN"/>
              </w:rPr>
              <w:t>恒源封闭债权170期优选款13月</w:t>
            </w:r>
            <w:r>
              <w:rPr>
                <w:rFonts w:hint="eastAsia" w:ascii="楷体" w:hAnsi="楷体" w:eastAsia="楷体" w:cs="宋体"/>
                <w:spacing w:val="-2"/>
                <w:sz w:val="21"/>
                <w:szCs w:val="21"/>
                <w:lang w:val="en-US" w:eastAsia="zh-CN"/>
              </w:rPr>
              <w:t>G</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4007</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H份额：</w:t>
            </w:r>
            <w:r>
              <w:rPr>
                <w:rFonts w:hint="eastAsia" w:ascii="楷体" w:hAnsi="楷体" w:eastAsia="楷体" w:cs="宋体"/>
                <w:spacing w:val="-2"/>
                <w:sz w:val="21"/>
                <w:szCs w:val="21"/>
              </w:rPr>
              <w:t>苏银理财</w:t>
            </w:r>
            <w:r>
              <w:rPr>
                <w:rFonts w:hint="eastAsia" w:ascii="楷体" w:hAnsi="楷体" w:eastAsia="楷体" w:cs="宋体"/>
                <w:spacing w:val="-2"/>
                <w:sz w:val="21"/>
                <w:szCs w:val="21"/>
                <w:lang w:eastAsia="zh-CN"/>
              </w:rPr>
              <w:t>恒源封闭债权170期优选款13月</w:t>
            </w:r>
            <w:r>
              <w:rPr>
                <w:rFonts w:hint="eastAsia" w:ascii="楷体" w:hAnsi="楷体" w:eastAsia="楷体" w:cs="宋体"/>
                <w:spacing w:val="-2"/>
                <w:sz w:val="21"/>
                <w:szCs w:val="21"/>
                <w:lang w:val="en-US" w:eastAsia="zh-CN"/>
              </w:rPr>
              <w:t>H</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4008</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I份额：</w:t>
            </w:r>
            <w:r>
              <w:rPr>
                <w:rFonts w:hint="eastAsia" w:ascii="楷体" w:hAnsi="楷体" w:eastAsia="楷体" w:cs="宋体"/>
                <w:spacing w:val="-2"/>
                <w:sz w:val="21"/>
                <w:szCs w:val="21"/>
              </w:rPr>
              <w:t>苏银理财</w:t>
            </w:r>
            <w:r>
              <w:rPr>
                <w:rFonts w:hint="eastAsia" w:ascii="楷体" w:hAnsi="楷体" w:eastAsia="楷体" w:cs="宋体"/>
                <w:spacing w:val="-2"/>
                <w:sz w:val="21"/>
                <w:szCs w:val="21"/>
                <w:lang w:eastAsia="zh-CN"/>
              </w:rPr>
              <w:t>恒源封闭债权170期优选款13月</w:t>
            </w:r>
            <w:r>
              <w:rPr>
                <w:rFonts w:hint="eastAsia" w:ascii="楷体" w:hAnsi="楷体" w:eastAsia="楷体" w:cs="宋体"/>
                <w:spacing w:val="-2"/>
                <w:sz w:val="21"/>
                <w:szCs w:val="21"/>
                <w:lang w:val="en-US" w:eastAsia="zh-CN"/>
              </w:rPr>
              <w:t>I</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4009</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AJS份额：</w:t>
            </w:r>
            <w:r>
              <w:rPr>
                <w:rFonts w:hint="eastAsia" w:ascii="楷体" w:hAnsi="楷体" w:eastAsia="楷体" w:cs="宋体"/>
                <w:spacing w:val="-2"/>
                <w:sz w:val="21"/>
                <w:szCs w:val="21"/>
              </w:rPr>
              <w:t>苏银理财</w:t>
            </w:r>
            <w:r>
              <w:rPr>
                <w:rFonts w:hint="eastAsia" w:ascii="楷体" w:hAnsi="楷体" w:eastAsia="楷体" w:cs="宋体"/>
                <w:spacing w:val="-2"/>
                <w:sz w:val="21"/>
                <w:szCs w:val="21"/>
                <w:lang w:eastAsia="zh-CN"/>
              </w:rPr>
              <w:t>恒源封闭债权170期优选款13月</w:t>
            </w:r>
            <w:r>
              <w:rPr>
                <w:rFonts w:hint="eastAsia" w:ascii="楷体" w:hAnsi="楷体" w:eastAsia="楷体" w:cs="宋体"/>
                <w:spacing w:val="-2"/>
                <w:sz w:val="21"/>
                <w:szCs w:val="21"/>
                <w:lang w:val="en-US" w:eastAsia="zh-CN"/>
              </w:rPr>
              <w:t>AJS鑫福款</w:t>
            </w:r>
            <w:r>
              <w:rPr>
                <w:rFonts w:hint="eastAsia" w:ascii="楷体" w:hAnsi="楷体" w:eastAsia="楷体" w:cs="宋体"/>
                <w:spacing w:val="-2"/>
                <w:sz w:val="21"/>
                <w:szCs w:val="21"/>
              </w:rPr>
              <w:t>/J0</w:t>
            </w:r>
            <w:r>
              <w:rPr>
                <w:rFonts w:hint="eastAsia" w:ascii="楷体" w:hAnsi="楷体" w:eastAsia="楷体" w:cs="宋体"/>
                <w:spacing w:val="-2"/>
                <w:sz w:val="21"/>
                <w:szCs w:val="21"/>
                <w:lang w:val="en-US" w:eastAsia="zh-CN"/>
              </w:rPr>
              <w:t>4010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4"/>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产品管理人</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苏银理财有限责任公司，详见下文“二、产品管理人”。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产品托管人</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江苏银行股份有限公司，详见下文“十三、产品托管人”。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销售机构</w:t>
            </w:r>
          </w:p>
        </w:tc>
        <w:tc>
          <w:tcPr>
            <w:tcW w:w="6614" w:type="dxa"/>
            <w:noWrap w:val="0"/>
            <w:vAlign w:val="center"/>
          </w:tcPr>
          <w:p>
            <w:pPr>
              <w:pStyle w:val="37"/>
              <w:kinsoku w:val="0"/>
              <w:overflowPunct w:val="0"/>
              <w:spacing w:before="13"/>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详见下文“三、销售机构”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产品内部风险评级</w:t>
            </w:r>
          </w:p>
        </w:tc>
        <w:tc>
          <w:tcPr>
            <w:tcW w:w="6614" w:type="dxa"/>
            <w:noWrap w:val="0"/>
            <w:vAlign w:val="center"/>
          </w:tcPr>
          <w:p>
            <w:pPr>
              <w:pStyle w:val="37"/>
              <w:kinsoku w:val="0"/>
              <w:overflowPunct w:val="0"/>
              <w:spacing w:before="13"/>
              <w:ind w:left="59" w:right="73" w:rightChars="35"/>
              <w:jc w:val="both"/>
              <w:rPr>
                <w:rFonts w:ascii="楷体" w:hAnsi="楷体" w:eastAsia="楷体" w:cs="宋体"/>
                <w:b/>
                <w:spacing w:val="-2"/>
                <w:sz w:val="21"/>
                <w:szCs w:val="21"/>
                <w:u w:val="single"/>
              </w:rPr>
            </w:pPr>
            <w:r>
              <w:rPr>
                <w:rFonts w:hint="eastAsia" w:ascii="楷体" w:hAnsi="楷体" w:eastAsia="楷体" w:cs="宋体"/>
                <w:b/>
                <w:spacing w:val="-2"/>
                <w:sz w:val="21"/>
                <w:szCs w:val="21"/>
                <w:u w:val="single"/>
              </w:rPr>
              <w:t>1、★★二级，</w:t>
            </w:r>
            <w:r>
              <w:rPr>
                <w:rFonts w:hint="eastAsia" w:ascii="楷体" w:hAnsi="楷体" w:eastAsia="楷体" w:cs="宋体"/>
                <w:spacing w:val="-2"/>
                <w:sz w:val="21"/>
                <w:szCs w:val="21"/>
              </w:rPr>
              <w:t>本评级为苏银理财有限责任公司内部评级，由苏银理财根据理财产品的投资组合、同类产品过往业绩和风险状况等因素，对理财产品进行评级，仅供客户参考。</w:t>
            </w:r>
          </w:p>
          <w:p>
            <w:pPr>
              <w:pStyle w:val="37"/>
              <w:kinsoku w:val="0"/>
              <w:overflowPunct w:val="0"/>
              <w:spacing w:before="13"/>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2、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w:t>
            </w:r>
            <w:r>
              <w:rPr>
                <w:rFonts w:ascii="楷体" w:hAnsi="楷体" w:eastAsia="楷体" w:cs="宋体"/>
                <w:spacing w:val="-2"/>
                <w:sz w:val="21"/>
                <w:szCs w:val="21"/>
              </w:rPr>
              <w:t>销售评级与</w:t>
            </w:r>
            <w:r>
              <w:rPr>
                <w:rFonts w:hint="eastAsia" w:ascii="楷体" w:hAnsi="楷体" w:eastAsia="楷体" w:cs="宋体"/>
                <w:spacing w:val="-2"/>
                <w:sz w:val="21"/>
                <w:szCs w:val="21"/>
              </w:rPr>
              <w:t>苏银理财</w:t>
            </w:r>
            <w:r>
              <w:rPr>
                <w:rFonts w:ascii="楷体" w:hAnsi="楷体" w:eastAsia="楷体" w:cs="宋体"/>
                <w:spacing w:val="-2"/>
                <w:sz w:val="21"/>
                <w:szCs w:val="21"/>
              </w:rPr>
              <w:t>产品评级结果不一致的，代理销售机构应当采用对应较高风险等级的评级结果并予以披露</w:t>
            </w:r>
            <w:r>
              <w:rPr>
                <w:rFonts w:hint="eastAsia" w:ascii="楷体" w:hAnsi="楷体" w:eastAsia="楷体" w:cs="宋体"/>
                <w:spacing w:val="-2"/>
                <w:sz w:val="21"/>
                <w:szCs w:val="21"/>
              </w:rPr>
              <w:t>。</w:t>
            </w:r>
          </w:p>
          <w:p>
            <w:pPr>
              <w:pStyle w:val="37"/>
              <w:kinsoku w:val="0"/>
              <w:overflowPunct w:val="0"/>
              <w:spacing w:before="13"/>
              <w:ind w:left="59" w:right="73" w:rightChars="35"/>
              <w:jc w:val="both"/>
              <w:rPr>
                <w:rFonts w:ascii="楷体" w:hAnsi="楷体" w:eastAsia="楷体" w:cs="宋体"/>
                <w:spacing w:val="-2"/>
                <w:sz w:val="21"/>
                <w:szCs w:val="21"/>
              </w:rPr>
            </w:pPr>
            <w:r>
              <w:rPr>
                <w:rFonts w:hint="eastAsia" w:ascii="楷体" w:hAnsi="楷体" w:eastAsia="楷体" w:cs="宋体"/>
                <w:b/>
                <w:spacing w:val="-2"/>
                <w:sz w:val="21"/>
                <w:szCs w:val="21"/>
                <w:u w:val="single"/>
              </w:rPr>
              <w:t>3、如本产品</w:t>
            </w:r>
            <w:r>
              <w:rPr>
                <w:rFonts w:ascii="楷体" w:hAnsi="楷体" w:eastAsia="楷体" w:cs="宋体"/>
                <w:b/>
                <w:spacing w:val="-2"/>
                <w:sz w:val="21"/>
                <w:szCs w:val="21"/>
                <w:u w:val="single"/>
              </w:rPr>
              <w:t>通过代理销售机构渠道销售，理财产品评级</w:t>
            </w:r>
            <w:r>
              <w:rPr>
                <w:rFonts w:hint="eastAsia" w:ascii="楷体" w:hAnsi="楷体" w:eastAsia="楷体" w:cs="宋体"/>
                <w:b/>
                <w:spacing w:val="-2"/>
                <w:sz w:val="21"/>
                <w:szCs w:val="21"/>
                <w:u w:val="single"/>
              </w:rPr>
              <w:t>以</w:t>
            </w:r>
            <w:r>
              <w:rPr>
                <w:rFonts w:ascii="楷体" w:hAnsi="楷体" w:eastAsia="楷体" w:cs="宋体"/>
                <w:b/>
                <w:spacing w:val="-2"/>
                <w:sz w:val="21"/>
                <w:szCs w:val="21"/>
                <w:u w:val="single"/>
              </w:rPr>
              <w:t>代理销售机构最终披露的评级结果为准</w:t>
            </w:r>
            <w:r>
              <w:rPr>
                <w:rFonts w:hint="eastAsia" w:ascii="楷体" w:hAnsi="楷体" w:eastAsia="楷体" w:cs="宋体"/>
                <w:b/>
                <w:spacing w:val="-2"/>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收益类型</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净值型（非保本浮动收益）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产品类型</w:t>
            </w:r>
          </w:p>
        </w:tc>
        <w:tc>
          <w:tcPr>
            <w:tcW w:w="6614" w:type="dxa"/>
            <w:noWrap w:val="0"/>
            <w:vAlign w:val="center"/>
          </w:tcPr>
          <w:p>
            <w:pPr>
              <w:pStyle w:val="37"/>
              <w:kinsoku w:val="0"/>
              <w:overflowPunct w:val="0"/>
              <w:spacing w:before="12"/>
              <w:ind w:left="59" w:right="73" w:rightChars="35"/>
              <w:jc w:val="both"/>
              <w:rPr>
                <w:rFonts w:ascii="楷体" w:hAnsi="楷体" w:eastAsia="楷体" w:cs="宋体"/>
                <w:b/>
                <w:spacing w:val="-2"/>
                <w:sz w:val="21"/>
                <w:szCs w:val="21"/>
                <w:u w:val="single"/>
              </w:rPr>
            </w:pPr>
            <w:r>
              <w:rPr>
                <w:rFonts w:hint="eastAsia" w:ascii="楷体" w:hAnsi="楷体" w:eastAsia="楷体" w:cs="宋体"/>
                <w:b/>
                <w:spacing w:val="-2"/>
                <w:sz w:val="21"/>
                <w:szCs w:val="21"/>
                <w:u w:val="single"/>
              </w:rPr>
              <w:t>固定收益类、公募、封闭式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销售对象</w:t>
            </w:r>
          </w:p>
        </w:tc>
        <w:tc>
          <w:tcPr>
            <w:tcW w:w="6614" w:type="dxa"/>
            <w:noWrap w:val="0"/>
            <w:vAlign w:val="center"/>
          </w:tcPr>
          <w:p>
            <w:pPr>
              <w:pStyle w:val="37"/>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rPr>
              <w:t>A份额面向个人和机构投资者销售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B</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default"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C</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销售机构江苏银行仅限新资金客户及新客户，具体以销售机构系统设置为准。新资金的达标条件为“客户前一日资产时点余额”较“前一月末资产月日均余额”的新增额大于5万元；新客户是指首次购买苏银理财理财产品的客户）；</w:t>
            </w:r>
          </w:p>
          <w:p>
            <w:pPr>
              <w:pStyle w:val="37"/>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D</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E</w:t>
            </w:r>
            <w:r>
              <w:rPr>
                <w:rFonts w:hint="eastAsia" w:ascii="楷体" w:hAnsi="楷体" w:eastAsia="楷体" w:cs="宋体"/>
                <w:spacing w:val="-2"/>
                <w:sz w:val="21"/>
                <w:szCs w:val="21"/>
              </w:rPr>
              <w:t>份额面向个人和机构投资者销售（销售机构江苏银行仅限财富客户、私行客户</w:t>
            </w:r>
            <w:r>
              <w:rPr>
                <w:rFonts w:hint="eastAsia" w:ascii="楷体" w:hAnsi="楷体" w:eastAsia="楷体" w:cs="宋体"/>
                <w:spacing w:val="-2"/>
                <w:sz w:val="21"/>
                <w:szCs w:val="21"/>
                <w:lang w:eastAsia="zh-CN"/>
              </w:rPr>
              <w:t>、企业高管客户</w:t>
            </w:r>
            <w:r>
              <w:rPr>
                <w:rFonts w:hint="eastAsia" w:ascii="楷体" w:hAnsi="楷体" w:eastAsia="楷体" w:cs="宋体"/>
                <w:spacing w:val="-2"/>
                <w:sz w:val="21"/>
                <w:szCs w:val="21"/>
              </w:rPr>
              <w:t>，江苏银行财富客户指在江苏银行日均资产大于等于200万元的个人客户，江苏银行私行客户指在江苏银行日均资产大于等于600万元的个人客户</w:t>
            </w:r>
            <w:r>
              <w:rPr>
                <w:rFonts w:hint="eastAsia" w:ascii="楷体" w:hAnsi="楷体" w:eastAsia="楷体" w:cs="宋体"/>
                <w:spacing w:val="-2"/>
                <w:sz w:val="21"/>
                <w:szCs w:val="21"/>
                <w:lang w:eastAsia="zh-CN"/>
              </w:rPr>
              <w:t>，企业高管客户是指与江苏银行有业务来往的企业的高管客户</w:t>
            </w:r>
            <w:r>
              <w:rPr>
                <w:rFonts w:hint="eastAsia" w:ascii="楷体" w:hAnsi="楷体" w:eastAsia="楷体" w:cs="宋体"/>
                <w:spacing w:val="-2"/>
                <w:sz w:val="21"/>
                <w:szCs w:val="21"/>
              </w:rPr>
              <w:t>；机构投资者具体以销售机构设置为准</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F</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G</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H</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val="en-US" w:eastAsia="zh-CN"/>
              </w:rPr>
            </w:pPr>
            <w:r>
              <w:rPr>
                <w:rFonts w:hint="eastAsia" w:ascii="楷体" w:hAnsi="楷体" w:eastAsia="楷体" w:cs="宋体"/>
                <w:spacing w:val="-2"/>
                <w:sz w:val="21"/>
                <w:szCs w:val="21"/>
                <w:lang w:val="en-US" w:eastAsia="zh-CN"/>
              </w:rPr>
              <w:t>I</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p>
            <w:pPr>
              <w:pStyle w:val="37"/>
              <w:kinsoku w:val="0"/>
              <w:overflowPunct w:val="0"/>
              <w:spacing w:before="12"/>
              <w:ind w:left="59" w:right="73" w:rightChars="35"/>
              <w:jc w:val="both"/>
              <w:rPr>
                <w:rFonts w:hint="eastAsia" w:ascii="楷体" w:hAnsi="楷体" w:eastAsia="楷体" w:cs="宋体"/>
                <w:spacing w:val="-2"/>
                <w:sz w:val="21"/>
                <w:szCs w:val="21"/>
                <w:lang w:eastAsia="zh-CN"/>
              </w:rPr>
            </w:pPr>
            <w:r>
              <w:rPr>
                <w:rFonts w:hint="eastAsia" w:ascii="楷体" w:hAnsi="楷体" w:eastAsia="楷体" w:cs="宋体"/>
                <w:spacing w:val="-2"/>
                <w:sz w:val="21"/>
                <w:szCs w:val="21"/>
                <w:lang w:val="en-US" w:eastAsia="zh-CN"/>
              </w:rPr>
              <w:t>AJS</w:t>
            </w:r>
            <w:r>
              <w:rPr>
                <w:rFonts w:hint="eastAsia" w:ascii="楷体" w:hAnsi="楷体" w:eastAsia="楷体" w:cs="宋体"/>
                <w:spacing w:val="-2"/>
                <w:sz w:val="21"/>
                <w:szCs w:val="21"/>
              </w:rPr>
              <w:t>份额面向个人和机构投资者销售</w:t>
            </w:r>
            <w:r>
              <w:rPr>
                <w:rFonts w:hint="eastAsia" w:ascii="楷体" w:hAnsi="楷体" w:eastAsia="楷体" w:cs="宋体"/>
                <w:spacing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4"/>
              <w:ind w:left="55"/>
              <w:jc w:val="both"/>
              <w:rPr>
                <w:rFonts w:ascii="楷体" w:hAnsi="楷体" w:eastAsia="楷体" w:cs="宋体"/>
                <w:b/>
                <w:spacing w:val="-2"/>
                <w:sz w:val="21"/>
                <w:szCs w:val="21"/>
              </w:rPr>
            </w:pPr>
            <w:r>
              <w:rPr>
                <w:rFonts w:hint="eastAsia" w:ascii="楷体" w:hAnsi="楷体" w:eastAsia="楷体" w:cs="宋体"/>
                <w:b/>
                <w:spacing w:val="-2"/>
                <w:sz w:val="21"/>
                <w:szCs w:val="21"/>
              </w:rPr>
              <w:t>募集币种</w:t>
            </w:r>
          </w:p>
        </w:tc>
        <w:tc>
          <w:tcPr>
            <w:tcW w:w="6614" w:type="dxa"/>
            <w:noWrap w:val="0"/>
            <w:vAlign w:val="center"/>
          </w:tcPr>
          <w:p>
            <w:pPr>
              <w:pStyle w:val="37"/>
              <w:kinsoku w:val="0"/>
              <w:overflowPunct w:val="0"/>
              <w:spacing w:before="14"/>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spacing w:val="-2"/>
                <w:sz w:val="21"/>
                <w:szCs w:val="21"/>
              </w:rPr>
            </w:pPr>
            <w:r>
              <w:rPr>
                <w:rFonts w:hint="eastAsia" w:ascii="楷体" w:hAnsi="楷体" w:eastAsia="楷体" w:cs="宋体"/>
                <w:b/>
                <w:spacing w:val="-2"/>
                <w:sz w:val="21"/>
                <w:szCs w:val="21"/>
              </w:rPr>
              <w:t>计划发行规模</w:t>
            </w:r>
          </w:p>
        </w:tc>
        <w:tc>
          <w:tcPr>
            <w:tcW w:w="6614" w:type="dxa"/>
            <w:noWrap w:val="0"/>
            <w:vAlign w:val="center"/>
          </w:tcPr>
          <w:p>
            <w:pPr>
              <w:ind w:left="59" w:right="73" w:rightChars="35"/>
              <w:rPr>
                <w:rFonts w:ascii="楷体" w:hAnsi="楷体" w:eastAsia="楷体"/>
                <w:szCs w:val="21"/>
              </w:rPr>
            </w:pPr>
            <w:r>
              <w:rPr>
                <w:rFonts w:hint="eastAsia" w:ascii="楷体" w:hAnsi="楷体" w:eastAsia="楷体"/>
                <w:szCs w:val="21"/>
              </w:rPr>
              <w:t>计划发行总规模：</w:t>
            </w:r>
            <w:r>
              <w:rPr>
                <w:rFonts w:hint="eastAsia" w:ascii="楷体" w:hAnsi="楷体" w:eastAsia="楷体"/>
                <w:szCs w:val="21"/>
                <w:lang w:val="en-US" w:eastAsia="zh-CN"/>
              </w:rPr>
              <w:t>10</w:t>
            </w:r>
            <w:r>
              <w:rPr>
                <w:rFonts w:hint="eastAsia" w:ascii="楷体" w:hAnsi="楷体" w:eastAsia="楷体"/>
                <w:szCs w:val="21"/>
              </w:rPr>
              <w:t>亿份。</w:t>
            </w:r>
          </w:p>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募集过程中管理人有权根据产品的募集情况调整计划发行规模。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认购起点</w:t>
            </w:r>
            <w:r>
              <w:rPr>
                <w:rFonts w:ascii="楷体" w:hAnsi="楷体" w:eastAsia="楷体" w:cs="宋体"/>
                <w:b/>
                <w:spacing w:val="-2"/>
                <w:sz w:val="21"/>
                <w:szCs w:val="21"/>
              </w:rPr>
              <w:t>/</w:t>
            </w:r>
            <w:r>
              <w:rPr>
                <w:rFonts w:hint="eastAsia" w:ascii="楷体" w:hAnsi="楷体" w:eastAsia="楷体" w:cs="宋体"/>
                <w:b/>
                <w:spacing w:val="-2"/>
                <w:sz w:val="21"/>
                <w:szCs w:val="21"/>
              </w:rPr>
              <w:t>追加金额</w:t>
            </w:r>
          </w:p>
        </w:tc>
        <w:tc>
          <w:tcPr>
            <w:tcW w:w="6614" w:type="dxa"/>
            <w:noWrap w:val="0"/>
            <w:vAlign w:val="center"/>
          </w:tcPr>
          <w:p>
            <w:pPr>
              <w:ind w:left="59" w:right="73" w:rightChars="35"/>
              <w:rPr>
                <w:rFonts w:hint="eastAsia" w:ascii="楷体" w:hAnsi="楷体" w:eastAsia="楷体"/>
                <w:szCs w:val="21"/>
              </w:rPr>
            </w:pPr>
            <w:r>
              <w:rPr>
                <w:rFonts w:hint="eastAsia" w:ascii="楷体" w:hAnsi="楷体" w:eastAsia="楷体"/>
                <w:szCs w:val="21"/>
              </w:rPr>
              <w:t>A份额购买起点金额为1元，追加金额为1元的整数倍；（具体以销售机构设置为准）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B</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C</w:t>
            </w:r>
            <w:r>
              <w:rPr>
                <w:rFonts w:hint="eastAsia" w:ascii="楷体" w:hAnsi="楷体" w:eastAsia="楷体"/>
                <w:szCs w:val="21"/>
              </w:rPr>
              <w:t>份额购买起点金额为1</w:t>
            </w:r>
            <w:r>
              <w:rPr>
                <w:rFonts w:hint="eastAsia" w:ascii="楷体" w:hAnsi="楷体" w:eastAsia="楷体"/>
                <w:szCs w:val="21"/>
                <w:lang w:val="en-US" w:eastAsia="zh-CN"/>
              </w:rPr>
              <w:t>0,000</w:t>
            </w:r>
            <w:r>
              <w:rPr>
                <w:rFonts w:hint="eastAsia" w:ascii="楷体" w:hAnsi="楷体" w:eastAsia="楷体"/>
                <w:szCs w:val="21"/>
              </w:rPr>
              <w:t>元，追加金额为1</w:t>
            </w:r>
            <w:r>
              <w:rPr>
                <w:rFonts w:hint="eastAsia" w:ascii="楷体" w:hAnsi="楷体" w:eastAsia="楷体"/>
                <w:szCs w:val="21"/>
                <w:lang w:val="en-US" w:eastAsia="zh-CN"/>
              </w:rPr>
              <w:t>0,000</w:t>
            </w:r>
            <w:r>
              <w:rPr>
                <w:rFonts w:hint="eastAsia" w:ascii="楷体" w:hAnsi="楷体" w:eastAsia="楷体"/>
                <w:szCs w:val="21"/>
              </w:rPr>
              <w:t>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D</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E</w:t>
            </w:r>
            <w:r>
              <w:rPr>
                <w:rFonts w:hint="eastAsia" w:ascii="楷体" w:hAnsi="楷体" w:eastAsia="楷体"/>
                <w:szCs w:val="21"/>
              </w:rPr>
              <w:t>份额购买起点金额为</w:t>
            </w:r>
            <w:r>
              <w:rPr>
                <w:rFonts w:hint="eastAsia" w:ascii="楷体" w:hAnsi="楷体" w:eastAsia="楷体"/>
                <w:szCs w:val="21"/>
                <w:lang w:val="en-US" w:eastAsia="zh-CN"/>
              </w:rPr>
              <w:t>300,000</w:t>
            </w:r>
            <w:r>
              <w:rPr>
                <w:rFonts w:hint="eastAsia" w:ascii="楷体" w:hAnsi="楷体" w:eastAsia="楷体"/>
                <w:szCs w:val="21"/>
              </w:rPr>
              <w:t>元，追加金额为1</w:t>
            </w:r>
            <w:r>
              <w:rPr>
                <w:rFonts w:hint="eastAsia" w:ascii="楷体" w:hAnsi="楷体" w:eastAsia="楷体"/>
                <w:szCs w:val="21"/>
                <w:lang w:val="en-US" w:eastAsia="zh-CN"/>
              </w:rPr>
              <w:t>0,000</w:t>
            </w:r>
            <w:r>
              <w:rPr>
                <w:rFonts w:hint="eastAsia" w:ascii="楷体" w:hAnsi="楷体" w:eastAsia="楷体"/>
                <w:szCs w:val="21"/>
              </w:rPr>
              <w:t>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F</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G</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H</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lang w:val="en-US" w:eastAsia="zh-CN"/>
              </w:rPr>
              <w:t>I</w:t>
            </w:r>
            <w:r>
              <w:rPr>
                <w:rFonts w:hint="eastAsia" w:ascii="楷体" w:hAnsi="楷体" w:eastAsia="楷体"/>
                <w:szCs w:val="21"/>
              </w:rPr>
              <w:t>份额购买起点金额为1元，追加金额为1元的整数倍；（具体以销售机构设置为准）</w:t>
            </w:r>
          </w:p>
          <w:p>
            <w:pPr>
              <w:ind w:left="59" w:right="73" w:rightChars="35"/>
              <w:rPr>
                <w:rFonts w:hint="eastAsia" w:ascii="楷体" w:hAnsi="楷体" w:eastAsia="楷体"/>
                <w:szCs w:val="21"/>
              </w:rPr>
            </w:pPr>
            <w:r>
              <w:rPr>
                <w:rFonts w:hint="eastAsia" w:ascii="楷体" w:hAnsi="楷体" w:eastAsia="楷体"/>
                <w:szCs w:val="21"/>
              </w:rPr>
              <w:t>A</w:t>
            </w:r>
            <w:r>
              <w:rPr>
                <w:rFonts w:hint="eastAsia" w:ascii="楷体" w:hAnsi="楷体" w:eastAsia="楷体"/>
                <w:szCs w:val="21"/>
                <w:lang w:val="en-US" w:eastAsia="zh-CN"/>
              </w:rPr>
              <w:t>JS</w:t>
            </w:r>
            <w:r>
              <w:rPr>
                <w:rFonts w:hint="eastAsia" w:ascii="楷体" w:hAnsi="楷体" w:eastAsia="楷体"/>
                <w:szCs w:val="21"/>
              </w:rPr>
              <w:t>份额购买起点金额为1元，追加金额为1元的整数倍；（具体以销售机构设置为准）</w:t>
            </w:r>
          </w:p>
          <w:p>
            <w:pPr>
              <w:ind w:left="59" w:right="73" w:rightChars="35"/>
              <w:rPr>
                <w:rFonts w:ascii="楷体" w:hAnsi="楷体" w:eastAsia="楷体" w:cs="宋体"/>
                <w:spacing w:val="-2"/>
                <w:szCs w:val="21"/>
              </w:rPr>
            </w:pPr>
            <w:r>
              <w:rPr>
                <w:rFonts w:hint="eastAsia" w:ascii="楷体" w:hAnsi="楷体" w:eastAsia="楷体"/>
                <w:szCs w:val="21"/>
              </w:rPr>
              <w:t>认购资金的清算和认购份额的计算详见下文“八、产品认购”。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份额面值</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3"/>
              <w:ind w:left="55"/>
              <w:jc w:val="both"/>
              <w:rPr>
                <w:rFonts w:ascii="楷体" w:hAnsi="楷体" w:eastAsia="楷体" w:cs="宋体"/>
                <w:b/>
                <w:spacing w:val="-2"/>
                <w:sz w:val="21"/>
                <w:szCs w:val="21"/>
              </w:rPr>
            </w:pPr>
            <w:r>
              <w:rPr>
                <w:rFonts w:hint="eastAsia" w:ascii="楷体" w:hAnsi="楷体" w:eastAsia="楷体" w:cs="宋体"/>
                <w:b/>
                <w:spacing w:val="-2"/>
                <w:sz w:val="21"/>
                <w:szCs w:val="21"/>
              </w:rPr>
              <w:t>募集期</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202</w:t>
            </w:r>
            <w:r>
              <w:rPr>
                <w:rFonts w:hint="eastAsia" w:ascii="楷体" w:hAnsi="楷体" w:eastAsia="楷体" w:cs="宋体"/>
                <w:spacing w:val="-2"/>
                <w:sz w:val="21"/>
                <w:szCs w:val="21"/>
                <w:lang w:val="en-US" w:eastAsia="zh-CN"/>
              </w:rPr>
              <w:t>5</w:t>
            </w:r>
            <w:r>
              <w:rPr>
                <w:rFonts w:hint="eastAsia" w:ascii="楷体" w:hAnsi="楷体" w:eastAsia="楷体" w:cs="宋体"/>
                <w:spacing w:val="-2"/>
                <w:sz w:val="21"/>
                <w:szCs w:val="21"/>
              </w:rPr>
              <w:t>年</w:t>
            </w:r>
            <w:r>
              <w:rPr>
                <w:rFonts w:hint="eastAsia" w:ascii="楷体" w:hAnsi="楷体" w:eastAsia="楷体" w:cs="宋体"/>
                <w:spacing w:val="-2"/>
                <w:sz w:val="21"/>
                <w:szCs w:val="21"/>
                <w:lang w:val="en-US" w:eastAsia="zh-CN"/>
              </w:rPr>
              <w:t>4</w:t>
            </w:r>
            <w:r>
              <w:rPr>
                <w:rFonts w:hint="eastAsia" w:ascii="楷体" w:hAnsi="楷体" w:eastAsia="楷体" w:cs="宋体"/>
                <w:spacing w:val="-2"/>
                <w:sz w:val="21"/>
                <w:szCs w:val="21"/>
              </w:rPr>
              <w:t>月</w:t>
            </w:r>
            <w:r>
              <w:rPr>
                <w:rFonts w:hint="eastAsia" w:ascii="楷体" w:hAnsi="楷体" w:eastAsia="楷体" w:cs="宋体"/>
                <w:spacing w:val="-2"/>
                <w:sz w:val="21"/>
                <w:szCs w:val="21"/>
                <w:lang w:val="en-US" w:eastAsia="zh-CN"/>
              </w:rPr>
              <w:t>16</w:t>
            </w:r>
            <w:r>
              <w:rPr>
                <w:rFonts w:hint="eastAsia" w:ascii="楷体" w:hAnsi="楷体" w:eastAsia="楷体" w:cs="宋体"/>
                <w:spacing w:val="-2"/>
                <w:sz w:val="21"/>
                <w:szCs w:val="21"/>
              </w:rPr>
              <w:t>日9:00至202</w:t>
            </w:r>
            <w:r>
              <w:rPr>
                <w:rFonts w:hint="eastAsia" w:ascii="楷体" w:hAnsi="楷体" w:eastAsia="楷体" w:cs="宋体"/>
                <w:spacing w:val="-2"/>
                <w:sz w:val="21"/>
                <w:szCs w:val="21"/>
                <w:lang w:val="en-US" w:eastAsia="zh-CN"/>
              </w:rPr>
              <w:t>5</w:t>
            </w:r>
            <w:r>
              <w:rPr>
                <w:rFonts w:hint="eastAsia" w:ascii="楷体" w:hAnsi="楷体" w:eastAsia="楷体" w:cs="宋体"/>
                <w:spacing w:val="-2"/>
                <w:sz w:val="21"/>
                <w:szCs w:val="21"/>
              </w:rPr>
              <w:t>年</w:t>
            </w:r>
            <w:r>
              <w:rPr>
                <w:rFonts w:hint="eastAsia" w:ascii="楷体" w:hAnsi="楷体" w:eastAsia="楷体" w:cs="宋体"/>
                <w:spacing w:val="-2"/>
                <w:sz w:val="21"/>
                <w:szCs w:val="21"/>
                <w:lang w:val="en-US" w:eastAsia="zh-CN"/>
              </w:rPr>
              <w:t>4</w:t>
            </w:r>
            <w:r>
              <w:rPr>
                <w:rFonts w:hint="eastAsia" w:ascii="楷体" w:hAnsi="楷体" w:eastAsia="楷体" w:cs="宋体"/>
                <w:spacing w:val="-2"/>
                <w:sz w:val="21"/>
                <w:szCs w:val="21"/>
              </w:rPr>
              <w:t>月</w:t>
            </w:r>
            <w:r>
              <w:rPr>
                <w:rFonts w:hint="eastAsia" w:ascii="楷体" w:hAnsi="楷体" w:eastAsia="楷体" w:cs="宋体"/>
                <w:spacing w:val="-2"/>
                <w:sz w:val="21"/>
                <w:szCs w:val="21"/>
                <w:lang w:val="en-US" w:eastAsia="zh-CN"/>
              </w:rPr>
              <w:t>22</w:t>
            </w:r>
            <w:r>
              <w:rPr>
                <w:rFonts w:hint="eastAsia" w:ascii="楷体" w:hAnsi="楷体" w:eastAsia="楷体" w:cs="宋体"/>
                <w:spacing w:val="-2"/>
                <w:sz w:val="21"/>
                <w:szCs w:val="21"/>
              </w:rPr>
              <w:t>日17:00</w:t>
            </w:r>
          </w:p>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管理人在法律允许的范围内保留延长或提前终止产品募集期的权利。如有变动，实际产品募集期以管理人公告为准。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产品成立日/份额登记日</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202</w:t>
            </w:r>
            <w:r>
              <w:rPr>
                <w:rFonts w:hint="eastAsia" w:ascii="楷体" w:hAnsi="楷体" w:eastAsia="楷体" w:cs="宋体"/>
                <w:spacing w:val="-2"/>
                <w:sz w:val="21"/>
                <w:szCs w:val="21"/>
                <w:lang w:val="en-US" w:eastAsia="zh-CN"/>
              </w:rPr>
              <w:t>5</w:t>
            </w:r>
            <w:r>
              <w:rPr>
                <w:rFonts w:hint="eastAsia" w:ascii="楷体" w:hAnsi="楷体" w:eastAsia="楷体" w:cs="宋体"/>
                <w:spacing w:val="-2"/>
                <w:sz w:val="21"/>
                <w:szCs w:val="21"/>
              </w:rPr>
              <w:t>年</w:t>
            </w:r>
            <w:r>
              <w:rPr>
                <w:rFonts w:hint="eastAsia" w:ascii="楷体" w:hAnsi="楷体" w:eastAsia="楷体" w:cs="宋体"/>
                <w:spacing w:val="-2"/>
                <w:sz w:val="21"/>
                <w:szCs w:val="21"/>
                <w:lang w:val="en-US" w:eastAsia="zh-CN"/>
              </w:rPr>
              <w:t>4</w:t>
            </w:r>
            <w:r>
              <w:rPr>
                <w:rFonts w:hint="eastAsia" w:ascii="楷体" w:hAnsi="楷体" w:eastAsia="楷体" w:cs="宋体"/>
                <w:spacing w:val="-2"/>
                <w:sz w:val="21"/>
                <w:szCs w:val="21"/>
              </w:rPr>
              <w:t>月</w:t>
            </w:r>
            <w:r>
              <w:rPr>
                <w:rFonts w:hint="eastAsia" w:ascii="楷体" w:hAnsi="楷体" w:eastAsia="楷体" w:cs="宋体"/>
                <w:spacing w:val="-2"/>
                <w:sz w:val="21"/>
                <w:szCs w:val="21"/>
                <w:lang w:val="en-US" w:eastAsia="zh-CN"/>
              </w:rPr>
              <w:t>23</w:t>
            </w:r>
            <w:r>
              <w:rPr>
                <w:rFonts w:hint="eastAsia" w:ascii="楷体" w:hAnsi="楷体" w:eastAsia="楷体" w:cs="宋体"/>
                <w:spacing w:val="-2"/>
                <w:sz w:val="21"/>
                <w:szCs w:val="21"/>
              </w:rPr>
              <w:t>日</w:t>
            </w:r>
          </w:p>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若产品认购份额未达到最低发行总规模3000万，或新的法律、法规导致本产品无法合法合规运行，或出现其他导致影响产品成立不可抗力因素，产品管理人有权利但无义务宣布产品不成立，并于产品募集期结束后5个工作日内将投资者认购资金返还至投资者资金账户，募集期及资金在途期间投资者投资本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产品到期日</w:t>
            </w:r>
          </w:p>
        </w:tc>
        <w:tc>
          <w:tcPr>
            <w:tcW w:w="6614" w:type="dxa"/>
            <w:noWrap w:val="0"/>
            <w:vAlign w:val="center"/>
          </w:tcPr>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202</w:t>
            </w:r>
            <w:r>
              <w:rPr>
                <w:rFonts w:hint="eastAsia" w:ascii="楷体" w:hAnsi="楷体" w:eastAsia="楷体" w:cs="宋体"/>
                <w:spacing w:val="-2"/>
                <w:sz w:val="21"/>
                <w:szCs w:val="21"/>
                <w:lang w:val="en-US" w:eastAsia="zh-CN"/>
              </w:rPr>
              <w:t>6</w:t>
            </w:r>
            <w:r>
              <w:rPr>
                <w:rFonts w:hint="eastAsia" w:ascii="楷体" w:hAnsi="楷体" w:eastAsia="楷体" w:cs="宋体"/>
                <w:spacing w:val="-2"/>
                <w:sz w:val="21"/>
                <w:szCs w:val="21"/>
              </w:rPr>
              <w:t>年</w:t>
            </w:r>
            <w:r>
              <w:rPr>
                <w:rFonts w:hint="eastAsia" w:ascii="楷体" w:hAnsi="楷体" w:eastAsia="楷体" w:cs="宋体"/>
                <w:spacing w:val="-2"/>
                <w:sz w:val="21"/>
                <w:szCs w:val="21"/>
                <w:lang w:val="en-US" w:eastAsia="zh-CN"/>
              </w:rPr>
              <w:t>5</w:t>
            </w:r>
            <w:r>
              <w:rPr>
                <w:rFonts w:hint="eastAsia" w:ascii="楷体" w:hAnsi="楷体" w:eastAsia="楷体" w:cs="宋体"/>
                <w:spacing w:val="-2"/>
                <w:sz w:val="21"/>
                <w:szCs w:val="21"/>
              </w:rPr>
              <w:t>月</w:t>
            </w:r>
            <w:r>
              <w:rPr>
                <w:rFonts w:hint="eastAsia" w:ascii="楷体" w:hAnsi="楷体" w:eastAsia="楷体" w:cs="宋体"/>
                <w:spacing w:val="-2"/>
                <w:sz w:val="21"/>
                <w:szCs w:val="21"/>
                <w:lang w:val="en-US" w:eastAsia="zh-CN"/>
              </w:rPr>
              <w:t>22</w:t>
            </w:r>
            <w:r>
              <w:rPr>
                <w:rFonts w:hint="eastAsia" w:ascii="楷体" w:hAnsi="楷体" w:eastAsia="楷体" w:cs="宋体"/>
                <w:spacing w:val="-2"/>
                <w:sz w:val="21"/>
                <w:szCs w:val="21"/>
              </w:rPr>
              <w:t>日（如遇节假日，顺延至下一工作日）</w:t>
            </w:r>
          </w:p>
          <w:p>
            <w:pPr>
              <w:pStyle w:val="37"/>
              <w:kinsoku w:val="0"/>
              <w:overflowPunct w:val="0"/>
              <w:spacing w:before="12"/>
              <w:ind w:left="59" w:right="73" w:rightChars="35"/>
              <w:jc w:val="both"/>
              <w:rPr>
                <w:rFonts w:ascii="楷体" w:hAnsi="楷体" w:eastAsia="楷体" w:cs="宋体"/>
                <w:spacing w:val="-2"/>
                <w:sz w:val="21"/>
                <w:szCs w:val="21"/>
              </w:rPr>
            </w:pPr>
            <w:r>
              <w:rPr>
                <w:rFonts w:hint="eastAsia" w:ascii="楷体" w:hAnsi="楷体" w:eastAsia="楷体" w:cs="宋体"/>
                <w:spacing w:val="-2"/>
                <w:sz w:val="21"/>
                <w:szCs w:val="21"/>
              </w:rPr>
              <w:t>在符合产品说明书约定的条件下，管理人有权提前终止该产品，产品到期日受制于提前终止条款。详见下文“十、产品的终止与清算”。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9" w:right="73" w:rightChars="35"/>
              <w:jc w:val="both"/>
              <w:rPr>
                <w:rFonts w:ascii="楷体" w:hAnsi="楷体" w:eastAsia="楷体" w:cs="宋体"/>
                <w:b/>
                <w:spacing w:val="-2"/>
                <w:sz w:val="21"/>
                <w:szCs w:val="21"/>
              </w:rPr>
            </w:pPr>
            <w:r>
              <w:rPr>
                <w:rFonts w:hint="eastAsia" w:ascii="楷体" w:hAnsi="楷体" w:eastAsia="楷体" w:cs="宋体"/>
                <w:b/>
                <w:spacing w:val="-2"/>
                <w:sz w:val="21"/>
                <w:szCs w:val="21"/>
              </w:rPr>
              <w:t>产品存续期限</w:t>
            </w:r>
          </w:p>
        </w:tc>
        <w:tc>
          <w:tcPr>
            <w:tcW w:w="6614" w:type="dxa"/>
            <w:noWrap w:val="0"/>
            <w:vAlign w:val="center"/>
          </w:tcPr>
          <w:p>
            <w:pPr>
              <w:ind w:left="59" w:right="73" w:rightChars="35"/>
              <w:rPr>
                <w:rFonts w:ascii="楷体" w:hAnsi="楷体" w:eastAsia="楷体" w:cs="宋体"/>
                <w:spacing w:val="-2"/>
                <w:kern w:val="0"/>
                <w:szCs w:val="21"/>
              </w:rPr>
            </w:pPr>
            <w:r>
              <w:rPr>
                <w:rFonts w:hint="eastAsia" w:ascii="楷体" w:hAnsi="楷体" w:eastAsia="楷体" w:cs="宋体"/>
                <w:spacing w:val="-2"/>
                <w:kern w:val="0"/>
                <w:szCs w:val="21"/>
                <w:lang w:val="en-US" w:eastAsia="zh-CN"/>
              </w:rPr>
              <w:t>394</w:t>
            </w:r>
            <w:r>
              <w:rPr>
                <w:rFonts w:hint="eastAsia" w:ascii="楷体" w:hAnsi="楷体" w:eastAsia="楷体" w:cs="宋体"/>
                <w:spacing w:val="-2"/>
                <w:kern w:val="0"/>
                <w:szCs w:val="21"/>
              </w:rPr>
              <w:t>天（以理财产品实际存续天数为准），</w:t>
            </w:r>
            <w:r>
              <w:rPr>
                <w:rFonts w:hint="eastAsia" w:ascii="楷体" w:hAnsi="楷体" w:eastAsia="楷体" w:cs="Calibri"/>
                <w:b/>
                <w:szCs w:val="21"/>
                <w:u w:val="single"/>
              </w:rPr>
              <w:t>本产品运行期间，不开放申购、赎回。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5"/>
              <w:jc w:val="both"/>
              <w:rPr>
                <w:rFonts w:ascii="楷体" w:hAnsi="楷体" w:eastAsia="楷体" w:cs="宋体"/>
                <w:b/>
                <w:spacing w:val="-2"/>
                <w:sz w:val="21"/>
                <w:szCs w:val="21"/>
              </w:rPr>
            </w:pPr>
            <w:r>
              <w:rPr>
                <w:rFonts w:hint="eastAsia" w:ascii="楷体" w:hAnsi="楷体" w:eastAsia="楷体" w:cs="宋体"/>
                <w:b/>
                <w:spacing w:val="-2"/>
                <w:sz w:val="21"/>
                <w:szCs w:val="21"/>
              </w:rPr>
              <w:t>单个客户持有份额上限</w:t>
            </w:r>
          </w:p>
        </w:tc>
        <w:tc>
          <w:tcPr>
            <w:tcW w:w="6614" w:type="dxa"/>
            <w:noWrap w:val="0"/>
            <w:vAlign w:val="center"/>
          </w:tcPr>
          <w:p>
            <w:pPr>
              <w:ind w:left="59" w:right="73" w:rightChars="35"/>
              <w:rPr>
                <w:rFonts w:ascii="楷体" w:hAnsi="楷体" w:eastAsia="楷体" w:cs="宋体"/>
                <w:spacing w:val="-2"/>
                <w:kern w:val="0"/>
                <w:szCs w:val="21"/>
              </w:rPr>
            </w:pPr>
            <w:r>
              <w:rPr>
                <w:rFonts w:hint="eastAsia" w:ascii="楷体" w:hAnsi="楷体" w:eastAsia="楷体" w:cs="宋体"/>
                <w:spacing w:val="-2"/>
                <w:kern w:val="0"/>
                <w:szCs w:val="21"/>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2"/>
              <w:ind w:left="59" w:right="73" w:rightChars="35"/>
              <w:jc w:val="both"/>
              <w:rPr>
                <w:rFonts w:ascii="楷体" w:hAnsi="楷体" w:eastAsia="楷体" w:cs="宋体"/>
                <w:b/>
                <w:spacing w:val="-2"/>
                <w:sz w:val="21"/>
                <w:szCs w:val="21"/>
              </w:rPr>
            </w:pPr>
            <w:r>
              <w:rPr>
                <w:rFonts w:hint="eastAsia" w:ascii="楷体" w:hAnsi="楷体" w:eastAsia="楷体" w:cs="宋体"/>
                <w:b/>
                <w:spacing w:val="-2"/>
                <w:sz w:val="21"/>
                <w:szCs w:val="21"/>
              </w:rPr>
              <w:t>业绩比较基准（年化）</w:t>
            </w:r>
          </w:p>
        </w:tc>
        <w:tc>
          <w:tcPr>
            <w:tcW w:w="6614" w:type="dxa"/>
            <w:noWrap w:val="0"/>
            <w:vAlign w:val="center"/>
          </w:tcPr>
          <w:p>
            <w:pPr>
              <w:pStyle w:val="37"/>
              <w:kinsoku w:val="0"/>
              <w:overflowPunct w:val="0"/>
              <w:spacing w:before="37"/>
              <w:ind w:left="21" w:leftChars="10" w:right="73" w:rightChars="35"/>
              <w:jc w:val="both"/>
              <w:rPr>
                <w:rFonts w:ascii="楷体" w:hAnsi="楷体" w:eastAsia="楷体" w:cs="宋体"/>
                <w:spacing w:val="-2"/>
                <w:sz w:val="21"/>
                <w:szCs w:val="21"/>
              </w:rPr>
            </w:pPr>
            <w:r>
              <w:rPr>
                <w:rFonts w:hint="eastAsia" w:ascii="楷体" w:hAnsi="楷体" w:eastAsia="楷体" w:cs="宋体"/>
                <w:b/>
                <w:bCs/>
                <w:spacing w:val="-2"/>
                <w:sz w:val="21"/>
                <w:szCs w:val="21"/>
                <w:u w:val="single"/>
              </w:rPr>
              <w:t>苏银理财</w:t>
            </w:r>
            <w:r>
              <w:rPr>
                <w:rFonts w:ascii="楷体" w:hAnsi="楷体" w:eastAsia="楷体" w:cs="宋体"/>
                <w:b/>
                <w:bCs/>
                <w:spacing w:val="-2"/>
                <w:sz w:val="21"/>
                <w:szCs w:val="21"/>
                <w:u w:val="single"/>
              </w:rPr>
              <w:t>参考过往投资经验，依据近期货币市场工具、债券</w:t>
            </w:r>
            <w:r>
              <w:rPr>
                <w:rFonts w:hint="eastAsia" w:ascii="楷体" w:hAnsi="楷体" w:eastAsia="楷体" w:cs="宋体"/>
                <w:b/>
                <w:bCs/>
                <w:spacing w:val="-2"/>
                <w:sz w:val="21"/>
                <w:szCs w:val="21"/>
                <w:u w:val="single"/>
              </w:rPr>
              <w:t>、非标准化债权</w:t>
            </w:r>
            <w:r>
              <w:rPr>
                <w:rFonts w:ascii="楷体" w:hAnsi="楷体" w:eastAsia="楷体" w:cs="宋体"/>
                <w:b/>
                <w:bCs/>
                <w:spacing w:val="-2"/>
                <w:sz w:val="21"/>
                <w:szCs w:val="21"/>
                <w:u w:val="single"/>
              </w:rPr>
              <w:t>等资产</w:t>
            </w:r>
            <w:r>
              <w:rPr>
                <w:rFonts w:hint="eastAsia" w:ascii="楷体" w:hAnsi="楷体" w:eastAsia="楷体" w:cs="宋体"/>
                <w:b/>
                <w:bCs/>
                <w:spacing w:val="-2"/>
                <w:sz w:val="21"/>
                <w:szCs w:val="21"/>
                <w:u w:val="single"/>
              </w:rPr>
              <w:t>投资</w:t>
            </w:r>
            <w:r>
              <w:rPr>
                <w:rFonts w:ascii="楷体" w:hAnsi="楷体" w:eastAsia="楷体" w:cs="宋体"/>
                <w:b/>
                <w:bCs/>
                <w:spacing w:val="-2"/>
                <w:sz w:val="21"/>
                <w:szCs w:val="21"/>
                <w:u w:val="single"/>
              </w:rPr>
              <w:t>收益水平，在产品说明书约定的投资范围和投资比例内</w:t>
            </w:r>
            <w:r>
              <w:rPr>
                <w:rFonts w:hint="eastAsia" w:ascii="楷体" w:hAnsi="楷体" w:eastAsia="楷体" w:cs="宋体"/>
                <w:b/>
                <w:bCs/>
                <w:spacing w:val="-2"/>
                <w:sz w:val="21"/>
                <w:szCs w:val="21"/>
                <w:u w:val="single"/>
              </w:rPr>
              <w:t>，综合考虑各份额收取的销售服务费和投资管理费的情况，</w:t>
            </w:r>
            <w:r>
              <w:rPr>
                <w:rFonts w:ascii="楷体" w:hAnsi="楷体" w:eastAsia="楷体" w:cs="宋体"/>
                <w:b/>
                <w:bCs/>
                <w:spacing w:val="-2"/>
                <w:sz w:val="21"/>
                <w:szCs w:val="21"/>
                <w:u w:val="single"/>
              </w:rPr>
              <w:t>模拟测算得出</w:t>
            </w:r>
            <w:r>
              <w:rPr>
                <w:rFonts w:hint="eastAsia" w:ascii="楷体" w:hAnsi="楷体" w:eastAsia="楷体" w:cs="宋体"/>
                <w:b/>
                <w:bCs/>
                <w:spacing w:val="-2"/>
                <w:sz w:val="21"/>
                <w:szCs w:val="21"/>
                <w:u w:val="single"/>
              </w:rPr>
              <w:t>业绩比较基准。本产品各份额因收取的销售服务费和投资管理费存在差异，业绩比较基准设置将有所不同。</w:t>
            </w:r>
            <w:r>
              <w:rPr>
                <w:rFonts w:hint="eastAsia" w:ascii="楷体" w:hAnsi="楷体" w:eastAsia="楷体" w:cs="宋体"/>
                <w:spacing w:val="-2"/>
                <w:sz w:val="21"/>
                <w:szCs w:val="21"/>
              </w:rPr>
              <w:t>各份额业绩比较基准如下：</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rPr>
              <w:t>A份额：年化</w:t>
            </w:r>
            <w:r>
              <w:rPr>
                <w:rFonts w:hint="eastAsia" w:ascii="楷体" w:hAnsi="楷体" w:eastAsia="楷体" w:cs="宋体"/>
                <w:bCs/>
                <w:spacing w:val="-2"/>
                <w:kern w:val="2"/>
                <w:sz w:val="21"/>
                <w:szCs w:val="21"/>
                <w:lang w:val="en-US" w:eastAsia="zh-CN"/>
              </w:rPr>
              <w:t>2.85%-3.05%</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B</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2.75%-2.95%</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C</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2.90%-3.10%</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D</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2.75%-2.95%</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E</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2.95%-3.15%</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F</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2.80%-3.00%</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G</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2.75%-2.95%</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H</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2.65%-2.85%</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lang w:val="en-US" w:eastAsia="zh-CN"/>
              </w:rPr>
              <w:t>I</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2.55%-2.75%</w:t>
            </w:r>
          </w:p>
          <w:p>
            <w:pPr>
              <w:pStyle w:val="37"/>
              <w:kinsoku w:val="0"/>
              <w:overflowPunct w:val="0"/>
              <w:spacing w:before="12"/>
              <w:ind w:left="59" w:right="73" w:rightChars="35"/>
              <w:jc w:val="both"/>
              <w:rPr>
                <w:rFonts w:hint="eastAsia" w:ascii="楷体" w:hAnsi="楷体" w:eastAsia="楷体" w:cs="宋体"/>
                <w:bCs/>
                <w:spacing w:val="-2"/>
                <w:kern w:val="2"/>
                <w:sz w:val="21"/>
                <w:szCs w:val="21"/>
                <w:lang w:val="en-US" w:eastAsia="zh-CN"/>
              </w:rPr>
            </w:pPr>
            <w:r>
              <w:rPr>
                <w:rFonts w:hint="eastAsia" w:ascii="楷体" w:hAnsi="楷体" w:eastAsia="楷体" w:cs="宋体"/>
                <w:bCs/>
                <w:spacing w:val="-2"/>
                <w:kern w:val="2"/>
                <w:sz w:val="21"/>
                <w:szCs w:val="21"/>
              </w:rPr>
              <w:t>A</w:t>
            </w:r>
            <w:r>
              <w:rPr>
                <w:rFonts w:hint="eastAsia" w:ascii="楷体" w:hAnsi="楷体" w:eastAsia="楷体" w:cs="宋体"/>
                <w:bCs/>
                <w:spacing w:val="-2"/>
                <w:kern w:val="2"/>
                <w:sz w:val="21"/>
                <w:szCs w:val="21"/>
                <w:lang w:val="en-US" w:eastAsia="zh-CN"/>
              </w:rPr>
              <w:t>JS</w:t>
            </w:r>
            <w:r>
              <w:rPr>
                <w:rFonts w:hint="eastAsia" w:ascii="楷体" w:hAnsi="楷体" w:eastAsia="楷体" w:cs="宋体"/>
                <w:bCs/>
                <w:spacing w:val="-2"/>
                <w:kern w:val="2"/>
                <w:sz w:val="21"/>
                <w:szCs w:val="21"/>
              </w:rPr>
              <w:t>份额：年化</w:t>
            </w:r>
            <w:r>
              <w:rPr>
                <w:rFonts w:hint="eastAsia" w:ascii="楷体" w:hAnsi="楷体" w:eastAsia="楷体" w:cs="宋体"/>
                <w:bCs/>
                <w:spacing w:val="-2"/>
                <w:kern w:val="2"/>
                <w:sz w:val="21"/>
                <w:szCs w:val="21"/>
                <w:lang w:val="en-US" w:eastAsia="zh-CN"/>
              </w:rPr>
              <w:t>2.75%-2.95%</w:t>
            </w:r>
          </w:p>
          <w:p>
            <w:pPr>
              <w:ind w:left="59" w:right="73" w:rightChars="35"/>
              <w:rPr>
                <w:rFonts w:ascii="楷体" w:hAnsi="楷体" w:eastAsia="楷体" w:cs="宋体"/>
                <w:b/>
                <w:spacing w:val="-2"/>
                <w:szCs w:val="21"/>
                <w:u w:val="single"/>
              </w:rPr>
            </w:pPr>
            <w:r>
              <w:rPr>
                <w:rFonts w:hint="eastAsia" w:ascii="楷体" w:hAnsi="楷体" w:eastAsia="楷体" w:cs="宋体"/>
                <w:b/>
                <w:spacing w:val="-2"/>
                <w:szCs w:val="21"/>
                <w:u w:val="single"/>
              </w:rPr>
              <w:t>本产品为净值型产品，业绩表现将随市场波动，具有不确定性。业绩比</w:t>
            </w:r>
          </w:p>
          <w:p>
            <w:pPr>
              <w:ind w:left="59" w:right="73" w:rightChars="35"/>
              <w:rPr>
                <w:rFonts w:ascii="楷体" w:hAnsi="楷体" w:eastAsia="楷体" w:cs="宋体"/>
                <w:spacing w:val="-2"/>
                <w:kern w:val="0"/>
                <w:szCs w:val="21"/>
              </w:rPr>
            </w:pPr>
            <w:r>
              <w:rPr>
                <w:rFonts w:hint="eastAsia" w:ascii="楷体" w:hAnsi="楷体" w:eastAsia="楷体" w:cs="宋体"/>
                <w:b/>
                <w:spacing w:val="-2"/>
                <w:szCs w:val="21"/>
                <w:u w:val="single"/>
              </w:rPr>
              <w:t>较基准为管理人对本产品所设定的投资目标，不代表理财产品未来表现，不等于理财产品实际收益，不构成管理人对产品实际投资收益率的承诺或担保，投资者的实际收益由产品净值表现决定。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noWrap w:val="0"/>
            <w:vAlign w:val="center"/>
          </w:tcPr>
          <w:p>
            <w:pPr>
              <w:pStyle w:val="37"/>
              <w:kinsoku w:val="0"/>
              <w:overflowPunct w:val="0"/>
              <w:spacing w:before="18"/>
              <w:ind w:left="55"/>
              <w:jc w:val="both"/>
              <w:rPr>
                <w:rFonts w:ascii="楷体" w:hAnsi="楷体" w:eastAsia="楷体" w:cs="宋体"/>
                <w:spacing w:val="-2"/>
                <w:sz w:val="21"/>
                <w:szCs w:val="21"/>
              </w:rPr>
            </w:pPr>
            <w:r>
              <w:rPr>
                <w:rFonts w:hint="eastAsia" w:ascii="楷体" w:hAnsi="楷体" w:eastAsia="楷体" w:cs="宋体"/>
                <w:b/>
                <w:spacing w:val="-2"/>
                <w:sz w:val="21"/>
                <w:szCs w:val="21"/>
              </w:rPr>
              <w:t>产品费用</w:t>
            </w:r>
          </w:p>
        </w:tc>
        <w:tc>
          <w:tcPr>
            <w:tcW w:w="6614" w:type="dxa"/>
            <w:noWrap w:val="0"/>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本产品费用包括托管费、销售服务费、投资管理费、超额业绩报酬（如有）以及产品运作和清算中产生的其他费用等。</w:t>
            </w:r>
          </w:p>
          <w:p>
            <w:pPr>
              <w:ind w:left="59" w:right="73" w:rightChars="35"/>
              <w:rPr>
                <w:rFonts w:ascii="楷体" w:hAnsi="楷体" w:eastAsia="楷体" w:cs="宋体"/>
                <w:spacing w:val="-2"/>
                <w:szCs w:val="21"/>
              </w:rPr>
            </w:pPr>
            <w:r>
              <w:rPr>
                <w:rFonts w:hint="eastAsia" w:ascii="楷体" w:hAnsi="楷体" w:eastAsia="楷体" w:cs="宋体"/>
                <w:spacing w:val="-2"/>
                <w:szCs w:val="21"/>
              </w:rPr>
              <w:t>1.托管费率：0.02%/年；</w:t>
            </w:r>
          </w:p>
          <w:p>
            <w:pPr>
              <w:ind w:left="59" w:right="73" w:rightChars="35"/>
              <w:rPr>
                <w:rFonts w:ascii="楷体" w:hAnsi="楷体" w:eastAsia="楷体" w:cs="宋体"/>
                <w:spacing w:val="-2"/>
                <w:szCs w:val="21"/>
              </w:rPr>
            </w:pPr>
            <w:r>
              <w:rPr>
                <w:rFonts w:hint="eastAsia" w:ascii="楷体" w:hAnsi="楷体" w:eastAsia="楷体" w:cs="宋体"/>
                <w:spacing w:val="-2"/>
                <w:szCs w:val="21"/>
              </w:rPr>
              <w:t>2.销售服务费率：A份额0.</w:t>
            </w:r>
            <w:r>
              <w:rPr>
                <w:rFonts w:hint="eastAsia" w:ascii="楷体" w:hAnsi="楷体" w:eastAsia="楷体" w:cs="宋体"/>
                <w:spacing w:val="-2"/>
                <w:szCs w:val="21"/>
                <w:lang w:val="en-US" w:eastAsia="zh-CN"/>
              </w:rPr>
              <w:t>10</w:t>
            </w:r>
            <w:r>
              <w:rPr>
                <w:rFonts w:hint="eastAsia" w:ascii="楷体" w:hAnsi="楷体" w:eastAsia="楷体" w:cs="宋体"/>
                <w:spacing w:val="-2"/>
                <w:szCs w:val="21"/>
              </w:rPr>
              <w:t>%/年，B份额0.</w:t>
            </w:r>
            <w:r>
              <w:rPr>
                <w:rFonts w:hint="eastAsia" w:ascii="楷体" w:hAnsi="楷体" w:eastAsia="楷体" w:cs="宋体"/>
                <w:spacing w:val="-2"/>
                <w:szCs w:val="21"/>
                <w:lang w:val="en-US" w:eastAsia="zh-CN"/>
              </w:rPr>
              <w:t>15</w:t>
            </w:r>
            <w:r>
              <w:rPr>
                <w:rFonts w:hint="eastAsia" w:ascii="楷体" w:hAnsi="楷体" w:eastAsia="楷体" w:cs="宋体"/>
                <w:spacing w:val="-2"/>
                <w:szCs w:val="21"/>
              </w:rPr>
              <w:t>%/年，C份额0.</w:t>
            </w:r>
            <w:r>
              <w:rPr>
                <w:rFonts w:hint="eastAsia" w:ascii="楷体" w:hAnsi="楷体" w:eastAsia="楷体" w:cs="宋体"/>
                <w:spacing w:val="-2"/>
                <w:szCs w:val="21"/>
                <w:lang w:val="en-US" w:eastAsia="zh-CN"/>
              </w:rPr>
              <w:t>05</w:t>
            </w:r>
            <w:r>
              <w:rPr>
                <w:rFonts w:hint="eastAsia" w:ascii="楷体" w:hAnsi="楷体" w:eastAsia="楷体" w:cs="宋体"/>
                <w:spacing w:val="-2"/>
                <w:szCs w:val="21"/>
              </w:rPr>
              <w:t>%/年</w:t>
            </w:r>
            <w:r>
              <w:rPr>
                <w:rFonts w:hint="eastAsia" w:ascii="楷体" w:hAnsi="楷体" w:eastAsia="楷体" w:cs="宋体"/>
                <w:spacing w:val="-2"/>
                <w:szCs w:val="21"/>
                <w:lang w:val="en-US" w:eastAsia="zh-CN"/>
              </w:rPr>
              <w:t>，D</w:t>
            </w:r>
            <w:r>
              <w:rPr>
                <w:rFonts w:hint="eastAsia" w:ascii="楷体" w:hAnsi="楷体" w:eastAsia="楷体" w:cs="宋体"/>
                <w:spacing w:val="-2"/>
                <w:szCs w:val="21"/>
              </w:rPr>
              <w:t>份额0.</w:t>
            </w:r>
            <w:r>
              <w:rPr>
                <w:rFonts w:hint="eastAsia" w:ascii="楷体" w:hAnsi="楷体" w:eastAsia="楷体" w:cs="宋体"/>
                <w:spacing w:val="-2"/>
                <w:szCs w:val="21"/>
                <w:lang w:val="en-US" w:eastAsia="zh-CN"/>
              </w:rPr>
              <w:t>2</w:t>
            </w:r>
            <w:r>
              <w:rPr>
                <w:rFonts w:hint="eastAsia" w:ascii="楷体" w:hAnsi="楷体" w:eastAsia="楷体" w:cs="宋体"/>
                <w:spacing w:val="-2"/>
                <w:szCs w:val="21"/>
              </w:rPr>
              <w:t>0%/年</w:t>
            </w:r>
            <w:r>
              <w:rPr>
                <w:rFonts w:hint="eastAsia" w:ascii="楷体" w:hAnsi="楷体" w:eastAsia="楷体" w:cs="宋体"/>
                <w:spacing w:val="-2"/>
                <w:szCs w:val="21"/>
                <w:lang w:val="en-US" w:eastAsia="zh-CN"/>
              </w:rPr>
              <w:t>，</w:t>
            </w:r>
            <w:r>
              <w:rPr>
                <w:rFonts w:hint="eastAsia" w:ascii="楷体" w:hAnsi="楷体" w:eastAsia="楷体" w:cs="宋体"/>
                <w:bCs/>
                <w:spacing w:val="-2"/>
                <w:kern w:val="2"/>
                <w:sz w:val="21"/>
                <w:szCs w:val="21"/>
                <w:lang w:val="en-US" w:eastAsia="zh-CN"/>
              </w:rPr>
              <w:t>E份额0.05%/年，F份额0.15%/年，G份额0.20%/年，H份额0.30%/年，I份额0.40%/年，AJS份额0.20%/年</w:t>
            </w:r>
            <w:r>
              <w:rPr>
                <w:rFonts w:hint="eastAsia" w:ascii="楷体" w:hAnsi="楷体" w:eastAsia="楷体" w:cs="宋体"/>
                <w:spacing w:val="-2"/>
                <w:szCs w:val="21"/>
              </w:rPr>
              <w:t>；</w:t>
            </w:r>
          </w:p>
          <w:p>
            <w:pPr>
              <w:ind w:left="59" w:right="73" w:rightChars="35"/>
              <w:rPr>
                <w:rFonts w:ascii="楷体" w:hAnsi="楷体" w:eastAsia="楷体" w:cs="宋体"/>
                <w:spacing w:val="-2"/>
                <w:szCs w:val="21"/>
              </w:rPr>
            </w:pPr>
            <w:r>
              <w:rPr>
                <w:rFonts w:hint="eastAsia" w:ascii="楷体" w:hAnsi="楷体" w:eastAsia="楷体" w:cs="宋体"/>
                <w:spacing w:val="-2"/>
                <w:szCs w:val="21"/>
              </w:rPr>
              <w:t>3.投资管理费率：A份额0.</w:t>
            </w:r>
            <w:r>
              <w:rPr>
                <w:rFonts w:hint="eastAsia" w:ascii="楷体" w:hAnsi="楷体" w:eastAsia="楷体" w:cs="宋体"/>
                <w:spacing w:val="-2"/>
                <w:szCs w:val="21"/>
                <w:lang w:val="en-US" w:eastAsia="zh-CN"/>
              </w:rPr>
              <w:t>06</w:t>
            </w:r>
            <w:r>
              <w:rPr>
                <w:rFonts w:hint="eastAsia" w:ascii="楷体" w:hAnsi="楷体" w:eastAsia="楷体" w:cs="宋体"/>
                <w:spacing w:val="-2"/>
                <w:szCs w:val="21"/>
              </w:rPr>
              <w:t>%/年</w:t>
            </w:r>
            <w:r>
              <w:rPr>
                <w:rFonts w:hint="eastAsia" w:ascii="楷体" w:hAnsi="楷体" w:eastAsia="楷体" w:cs="宋体"/>
                <w:spacing w:val="-2"/>
                <w:szCs w:val="21"/>
                <w:lang w:eastAsia="zh-CN"/>
              </w:rPr>
              <w:t>，</w:t>
            </w:r>
            <w:r>
              <w:rPr>
                <w:rFonts w:hint="eastAsia" w:ascii="楷体" w:hAnsi="楷体" w:eastAsia="楷体" w:cs="宋体"/>
                <w:spacing w:val="-2"/>
                <w:szCs w:val="21"/>
              </w:rPr>
              <w:t>B份额0.</w:t>
            </w:r>
            <w:r>
              <w:rPr>
                <w:rFonts w:hint="eastAsia" w:ascii="楷体" w:hAnsi="楷体" w:eastAsia="楷体" w:cs="宋体"/>
                <w:spacing w:val="-2"/>
                <w:szCs w:val="21"/>
                <w:lang w:val="en-US" w:eastAsia="zh-CN"/>
              </w:rPr>
              <w:t>11%</w:t>
            </w:r>
            <w:r>
              <w:rPr>
                <w:rFonts w:hint="eastAsia" w:ascii="楷体" w:hAnsi="楷体" w:eastAsia="楷体" w:cs="宋体"/>
                <w:spacing w:val="-2"/>
                <w:szCs w:val="21"/>
              </w:rPr>
              <w:t>/年，C份额0.</w:t>
            </w:r>
            <w:r>
              <w:rPr>
                <w:rFonts w:hint="eastAsia" w:ascii="楷体" w:hAnsi="楷体" w:eastAsia="楷体" w:cs="宋体"/>
                <w:spacing w:val="-2"/>
                <w:szCs w:val="21"/>
                <w:lang w:val="en-US" w:eastAsia="zh-CN"/>
              </w:rPr>
              <w:t>06</w:t>
            </w:r>
            <w:r>
              <w:rPr>
                <w:rFonts w:hint="eastAsia" w:ascii="楷体" w:hAnsi="楷体" w:eastAsia="楷体" w:cs="宋体"/>
                <w:spacing w:val="-2"/>
                <w:szCs w:val="21"/>
              </w:rPr>
              <w:t>%/年</w:t>
            </w:r>
            <w:r>
              <w:rPr>
                <w:rFonts w:hint="eastAsia" w:ascii="楷体" w:hAnsi="楷体" w:eastAsia="楷体" w:cs="宋体"/>
                <w:spacing w:val="-2"/>
                <w:szCs w:val="21"/>
                <w:lang w:eastAsia="zh-CN"/>
              </w:rPr>
              <w:t>，</w:t>
            </w:r>
            <w:r>
              <w:rPr>
                <w:rFonts w:hint="eastAsia" w:ascii="楷体" w:hAnsi="楷体" w:eastAsia="楷体" w:cs="宋体"/>
                <w:spacing w:val="-2"/>
                <w:szCs w:val="21"/>
                <w:lang w:val="en-US" w:eastAsia="zh-CN"/>
              </w:rPr>
              <w:t>D</w:t>
            </w:r>
            <w:r>
              <w:rPr>
                <w:rFonts w:hint="eastAsia" w:ascii="楷体" w:hAnsi="楷体" w:eastAsia="楷体" w:cs="宋体"/>
                <w:spacing w:val="-2"/>
                <w:szCs w:val="21"/>
              </w:rPr>
              <w:t>份额0.</w:t>
            </w:r>
            <w:r>
              <w:rPr>
                <w:rFonts w:hint="eastAsia" w:ascii="楷体" w:hAnsi="楷体" w:eastAsia="楷体" w:cs="宋体"/>
                <w:spacing w:val="-2"/>
                <w:szCs w:val="21"/>
                <w:lang w:val="en-US" w:eastAsia="zh-CN"/>
              </w:rPr>
              <w:t>06</w:t>
            </w:r>
            <w:r>
              <w:rPr>
                <w:rFonts w:hint="eastAsia" w:ascii="楷体" w:hAnsi="楷体" w:eastAsia="楷体" w:cs="宋体"/>
                <w:spacing w:val="-2"/>
                <w:szCs w:val="21"/>
              </w:rPr>
              <w:t>%/年</w:t>
            </w:r>
            <w:r>
              <w:rPr>
                <w:rFonts w:hint="eastAsia" w:ascii="楷体" w:hAnsi="楷体" w:eastAsia="楷体" w:cs="宋体"/>
                <w:spacing w:val="-2"/>
                <w:szCs w:val="21"/>
                <w:lang w:eastAsia="zh-CN"/>
              </w:rPr>
              <w:t>，</w:t>
            </w:r>
            <w:r>
              <w:rPr>
                <w:rFonts w:hint="eastAsia" w:ascii="楷体" w:hAnsi="楷体" w:eastAsia="楷体" w:cs="宋体"/>
                <w:bCs/>
                <w:spacing w:val="-2"/>
                <w:kern w:val="2"/>
                <w:sz w:val="21"/>
                <w:szCs w:val="21"/>
                <w:lang w:val="en-US" w:eastAsia="zh-CN"/>
              </w:rPr>
              <w:t>E份额0.01%/年，F份额0.06%/年，G份额0.06%/年，H份额0.06%/年，I份额0.06%/年，AJS份额0.06%/年</w:t>
            </w:r>
            <w:r>
              <w:rPr>
                <w:rFonts w:hint="eastAsia" w:ascii="楷体" w:hAnsi="楷体" w:eastAsia="楷体" w:cs="宋体"/>
                <w:spacing w:val="-2"/>
                <w:szCs w:val="21"/>
              </w:rPr>
              <w:t>；</w:t>
            </w:r>
          </w:p>
          <w:p>
            <w:pPr>
              <w:ind w:left="59" w:right="73" w:rightChars="35"/>
              <w:rPr>
                <w:rFonts w:ascii="楷体" w:hAnsi="楷体" w:eastAsia="楷体" w:cs="宋体"/>
                <w:spacing w:val="-2"/>
                <w:szCs w:val="21"/>
              </w:rPr>
            </w:pPr>
            <w:r>
              <w:rPr>
                <w:rFonts w:hint="eastAsia" w:ascii="楷体" w:hAnsi="楷体" w:eastAsia="楷体" w:cs="宋体"/>
                <w:spacing w:val="-2"/>
                <w:szCs w:val="21"/>
              </w:rPr>
              <w:t>4.超额业绩报酬：若产品各份额实际投资收益在扣除托管费、销售服务费、投资管理费</w:t>
            </w:r>
            <w:r>
              <w:rPr>
                <w:rFonts w:hint="eastAsia" w:ascii="楷体" w:hAnsi="楷体" w:eastAsia="楷体" w:cs="宋体"/>
                <w:spacing w:val="-2"/>
                <w:szCs w:val="21"/>
                <w:lang w:val="en-US" w:eastAsia="zh-CN"/>
              </w:rPr>
              <w:t>等费用</w:t>
            </w:r>
            <w:r>
              <w:rPr>
                <w:rFonts w:hint="eastAsia" w:ascii="楷体" w:hAnsi="楷体" w:eastAsia="楷体" w:cs="宋体"/>
                <w:spacing w:val="-2"/>
                <w:szCs w:val="21"/>
              </w:rPr>
              <w:t>后超过各份额业绩比较基准</w:t>
            </w:r>
            <w:r>
              <w:rPr>
                <w:rFonts w:hint="eastAsia" w:ascii="楷体" w:hAnsi="楷体" w:eastAsia="楷体" w:cs="宋体"/>
                <w:spacing w:val="-2"/>
                <w:szCs w:val="21"/>
                <w:lang w:val="en-US" w:eastAsia="zh-CN"/>
              </w:rPr>
              <w:t>上限</w:t>
            </w:r>
            <w:r>
              <w:rPr>
                <w:rFonts w:hint="eastAsia" w:ascii="楷体" w:hAnsi="楷体" w:eastAsia="楷体" w:cs="宋体"/>
                <w:spacing w:val="-2"/>
                <w:szCs w:val="21"/>
              </w:rPr>
              <w:t>，产品管理人将按照超出部分的</w:t>
            </w:r>
            <w:r>
              <w:rPr>
                <w:rFonts w:hint="eastAsia" w:ascii="楷体" w:hAnsi="楷体" w:eastAsia="楷体" w:cs="宋体"/>
                <w:spacing w:val="-2"/>
                <w:szCs w:val="21"/>
                <w:lang w:val="en-US" w:eastAsia="zh-CN"/>
              </w:rPr>
              <w:t>5</w:t>
            </w:r>
            <w:r>
              <w:rPr>
                <w:rFonts w:hint="eastAsia" w:ascii="楷体" w:hAnsi="楷体" w:eastAsia="楷体" w:cs="宋体"/>
                <w:spacing w:val="-2"/>
                <w:szCs w:val="21"/>
              </w:rPr>
              <w:t>0%收取超额业绩报酬。</w:t>
            </w:r>
          </w:p>
          <w:p>
            <w:pPr>
              <w:ind w:left="59" w:right="73" w:rightChars="35"/>
              <w:rPr>
                <w:rFonts w:ascii="楷体" w:hAnsi="楷体" w:eastAsia="楷体" w:cs="宋体"/>
                <w:spacing w:val="-2"/>
                <w:szCs w:val="21"/>
              </w:rPr>
            </w:pPr>
            <w:r>
              <w:rPr>
                <w:rFonts w:hint="eastAsia" w:ascii="楷体" w:hAnsi="楷体" w:eastAsia="楷体" w:cs="宋体"/>
                <w:spacing w:val="-2"/>
                <w:szCs w:val="21"/>
              </w:rPr>
              <w:t>产品存续期内理财产品将每日暂估超额业绩报酬，仅用于理财产品会计核算，并将扣除“暂估超额业绩报酬”后的理财产品份额净值按照说明书约定向投资者进行披露。理财产品实际的超额业绩报酬以到期日计提核算的数值为准。计算累计年化收益率和业绩比较基准时，1年按365日计算。</w:t>
            </w:r>
          </w:p>
          <w:p>
            <w:pPr>
              <w:ind w:left="59" w:right="73" w:rightChars="35"/>
              <w:rPr>
                <w:rFonts w:ascii="楷体" w:hAnsi="楷体" w:eastAsia="楷体"/>
                <w:sz w:val="24"/>
                <w:szCs w:val="24"/>
              </w:rPr>
            </w:pPr>
            <w:r>
              <w:rPr>
                <w:rFonts w:hint="eastAsia" w:ascii="楷体" w:hAnsi="楷体" w:eastAsia="楷体" w:cs="宋体"/>
                <w:spacing w:val="-2"/>
                <w:szCs w:val="21"/>
              </w:rPr>
              <w:t>产品存续期内苏银理财可对费用进行调整，实际收取费率以管理人公告为准。</w:t>
            </w:r>
            <w:r>
              <w:rPr>
                <w:rFonts w:hint="eastAsia" w:ascii="楷体" w:hAnsi="楷体" w:eastAsia="楷体" w:cs="宋体"/>
                <w:b/>
                <w:spacing w:val="-2"/>
                <w:szCs w:val="21"/>
                <w:u w:val="single"/>
              </w:rPr>
              <w:t>本产品设置有多个份额，各份额按照设置的销售对象和销售起点进行销售，各份额实际收取的销售服务费率和投资管理费率可能存在差异，客户根据产品销售时设置的条件自主选择购买。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bottom w:val="single" w:color="auto" w:sz="4" w:space="0"/>
            </w:tcBorders>
            <w:noWrap w:val="0"/>
            <w:vAlign w:val="center"/>
          </w:tcPr>
          <w:p>
            <w:pPr>
              <w:pStyle w:val="37"/>
              <w:kinsoku w:val="0"/>
              <w:overflowPunct w:val="0"/>
              <w:spacing w:before="18"/>
              <w:ind w:left="55"/>
              <w:jc w:val="both"/>
              <w:rPr>
                <w:rFonts w:ascii="楷体" w:hAnsi="楷体" w:eastAsia="楷体" w:cs="宋体"/>
                <w:b/>
                <w:spacing w:val="-2"/>
                <w:sz w:val="21"/>
                <w:szCs w:val="21"/>
              </w:rPr>
            </w:pPr>
            <w:r>
              <w:rPr>
                <w:rFonts w:hint="eastAsia" w:ascii="楷体" w:hAnsi="楷体" w:eastAsia="楷体" w:cs="宋体"/>
                <w:b/>
                <w:spacing w:val="-2"/>
                <w:sz w:val="21"/>
                <w:szCs w:val="21"/>
              </w:rPr>
              <w:t>估值日</w:t>
            </w:r>
          </w:p>
        </w:tc>
        <w:tc>
          <w:tcPr>
            <w:tcW w:w="6614" w:type="dxa"/>
            <w:tcBorders>
              <w:bottom w:val="single" w:color="auto" w:sz="4" w:space="0"/>
            </w:tcBorders>
            <w:noWrap w:val="0"/>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每周估值，并于估值日后第2个工作日内，通过本产品说明书约定方式披露产品单位净值。详见下文“九、产品估值”。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bottom w:val="single" w:color="auto" w:sz="4" w:space="0"/>
            </w:tcBorders>
            <w:noWrap w:val="0"/>
            <w:vAlign w:val="center"/>
          </w:tcPr>
          <w:p>
            <w:pPr>
              <w:pStyle w:val="37"/>
              <w:kinsoku w:val="0"/>
              <w:overflowPunct w:val="0"/>
              <w:spacing w:before="18"/>
              <w:ind w:left="55"/>
              <w:jc w:val="both"/>
              <w:rPr>
                <w:rFonts w:ascii="楷体" w:hAnsi="楷体" w:eastAsia="楷体" w:cs="宋体"/>
                <w:b/>
                <w:spacing w:val="-2"/>
                <w:sz w:val="21"/>
                <w:szCs w:val="21"/>
              </w:rPr>
            </w:pPr>
            <w:r>
              <w:rPr>
                <w:rFonts w:hint="eastAsia" w:ascii="楷体" w:hAnsi="楷体" w:eastAsia="楷体" w:cs="宋体"/>
                <w:b/>
                <w:spacing w:val="-2"/>
                <w:sz w:val="21"/>
                <w:szCs w:val="21"/>
              </w:rPr>
              <w:t>信息披露</w:t>
            </w:r>
          </w:p>
        </w:tc>
        <w:tc>
          <w:tcPr>
            <w:tcW w:w="6614" w:type="dxa"/>
            <w:tcBorders>
              <w:bottom w:val="single" w:color="auto" w:sz="4" w:space="0"/>
            </w:tcBorders>
            <w:noWrap w:val="0"/>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管理人将按照《产品说明书》中约定的方式进行信息披露，详见下文“十四、信息披露”。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bottom w:val="single" w:color="auto" w:sz="4" w:space="0"/>
            </w:tcBorders>
            <w:noWrap w:val="0"/>
            <w:vAlign w:val="center"/>
          </w:tcPr>
          <w:p>
            <w:pPr>
              <w:pStyle w:val="37"/>
              <w:kinsoku w:val="0"/>
              <w:overflowPunct w:val="0"/>
              <w:spacing w:before="18"/>
              <w:ind w:left="55"/>
              <w:jc w:val="both"/>
              <w:rPr>
                <w:rFonts w:ascii="楷体" w:hAnsi="楷体" w:eastAsia="楷体" w:cs="宋体"/>
                <w:b/>
                <w:spacing w:val="-2"/>
                <w:sz w:val="21"/>
                <w:szCs w:val="21"/>
              </w:rPr>
            </w:pPr>
            <w:r>
              <w:rPr>
                <w:rFonts w:hint="eastAsia" w:ascii="楷体" w:hAnsi="楷体" w:eastAsia="楷体" w:cs="宋体"/>
                <w:b/>
                <w:spacing w:val="-2"/>
                <w:sz w:val="21"/>
                <w:szCs w:val="21"/>
              </w:rPr>
              <w:t>收益分配</w:t>
            </w:r>
          </w:p>
        </w:tc>
        <w:tc>
          <w:tcPr>
            <w:tcW w:w="6614" w:type="dxa"/>
            <w:tcBorders>
              <w:bottom w:val="single" w:color="auto" w:sz="4" w:space="0"/>
            </w:tcBorders>
            <w:noWrap w:val="0"/>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本产品无分红机制，投资运作情况体现为产品净值变化。产品投资运作到期，投资收益扣除相关费用后，全部分配给投资者。</w:t>
            </w:r>
            <w:r>
              <w:rPr>
                <w:rFonts w:ascii="楷体" w:hAnsi="楷体" w:eastAsia="楷体" w:cs="宋体"/>
                <w:spacing w:val="-2"/>
                <w:szCs w:val="21"/>
              </w:rPr>
              <w:t>详见下文</w:t>
            </w:r>
            <w:r>
              <w:rPr>
                <w:rFonts w:hint="eastAsia" w:ascii="楷体" w:hAnsi="楷体" w:eastAsia="楷体" w:cs="宋体"/>
                <w:spacing w:val="-2"/>
                <w:szCs w:val="21"/>
              </w:rPr>
              <w:t>“十、产品的终止与清算”。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78" w:type="dxa"/>
            <w:tcBorders>
              <w:top w:val="single" w:color="auto" w:sz="4" w:space="0"/>
              <w:left w:val="single" w:color="auto" w:sz="4" w:space="0"/>
              <w:bottom w:val="single" w:color="auto" w:sz="4" w:space="0"/>
              <w:right w:val="single" w:color="auto" w:sz="4" w:space="0"/>
            </w:tcBorders>
            <w:noWrap w:val="0"/>
            <w:vAlign w:val="center"/>
          </w:tcPr>
          <w:p>
            <w:pPr>
              <w:pStyle w:val="37"/>
              <w:kinsoku w:val="0"/>
              <w:overflowPunct w:val="0"/>
              <w:spacing w:before="18"/>
              <w:ind w:left="55"/>
              <w:jc w:val="both"/>
              <w:rPr>
                <w:rFonts w:ascii="楷体" w:hAnsi="楷体" w:eastAsia="楷体" w:cs="宋体"/>
                <w:b/>
                <w:spacing w:val="-2"/>
                <w:sz w:val="21"/>
                <w:szCs w:val="21"/>
              </w:rPr>
            </w:pPr>
            <w:r>
              <w:rPr>
                <w:rFonts w:hint="eastAsia" w:ascii="楷体" w:hAnsi="楷体" w:eastAsia="楷体" w:cs="宋体"/>
                <w:b/>
                <w:spacing w:val="-2"/>
                <w:sz w:val="21"/>
                <w:szCs w:val="21"/>
              </w:rPr>
              <w:t>税款</w:t>
            </w:r>
          </w:p>
        </w:tc>
        <w:tc>
          <w:tcPr>
            <w:tcW w:w="6614" w:type="dxa"/>
            <w:tcBorders>
              <w:top w:val="single" w:color="auto" w:sz="4" w:space="0"/>
              <w:left w:val="single" w:color="auto" w:sz="4" w:space="0"/>
              <w:bottom w:val="single" w:color="auto" w:sz="4" w:space="0"/>
              <w:right w:val="single" w:color="auto" w:sz="4" w:space="0"/>
            </w:tcBorders>
            <w:noWrap w:val="0"/>
            <w:vAlign w:val="center"/>
          </w:tcPr>
          <w:p>
            <w:pPr>
              <w:ind w:left="59" w:right="73" w:rightChars="35"/>
              <w:rPr>
                <w:rFonts w:ascii="楷体" w:hAnsi="楷体" w:eastAsia="楷体" w:cs="宋体"/>
                <w:spacing w:val="-2"/>
                <w:szCs w:val="21"/>
              </w:rPr>
            </w:pPr>
            <w:r>
              <w:rPr>
                <w:rFonts w:hint="eastAsia" w:ascii="楷体" w:hAnsi="楷体" w:eastAsia="楷体" w:cs="宋体"/>
                <w:spacing w:val="-2"/>
                <w:szCs w:val="21"/>
              </w:rPr>
              <w:t xml:space="preserve">本产品运作过程中涉及的各纳税主体，其纳税义务按国家税收法律、法规执行。详见下文“十二、税收规定”。 </w:t>
            </w:r>
          </w:p>
        </w:tc>
      </w:tr>
    </w:tbl>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产品管理人</w:t>
      </w:r>
    </w:p>
    <w:p>
      <w:pPr>
        <w:ind w:firstLine="480" w:firstLineChars="200"/>
        <w:rPr>
          <w:rFonts w:ascii="楷体" w:hAnsi="楷体" w:eastAsia="楷体"/>
          <w:sz w:val="24"/>
          <w:szCs w:val="24"/>
        </w:rPr>
      </w:pPr>
      <w:r>
        <w:rPr>
          <w:rFonts w:hint="eastAsia" w:ascii="楷体" w:hAnsi="楷体" w:eastAsia="楷体"/>
          <w:sz w:val="24"/>
          <w:szCs w:val="24"/>
        </w:rPr>
        <w:t>本产品管理人为苏银理财有限责任公司，苏银理财系江苏银行股份有限公司全资控股的银行理财子公司。公司成立于2020年8月，注册资本为20亿元人民币，全部由江苏银行股份有限公司以货币资金认购并一次性足额缴纳。公司注册地为江苏省南京市。公司主要业务范围为：面向不特定社会公众公开发行理财产品，对受托的投资和财产进行投资和管理；面向合格投资者非公开发行理财产品，对受托的投资和财产进行投资和管理；理财顾问和咨询服务；经监管机构批准的其他业务等。</w:t>
      </w:r>
    </w:p>
    <w:p>
      <w:pPr>
        <w:ind w:firstLine="480" w:firstLineChars="200"/>
        <w:rPr>
          <w:rFonts w:ascii="楷体" w:hAnsi="楷体" w:eastAsia="楷体"/>
          <w:sz w:val="24"/>
          <w:szCs w:val="24"/>
        </w:rPr>
      </w:pPr>
      <w:r>
        <w:rPr>
          <w:rFonts w:hint="eastAsia" w:ascii="楷体" w:hAnsi="楷体" w:eastAsia="楷体"/>
          <w:sz w:val="24"/>
          <w:szCs w:val="24"/>
        </w:rPr>
        <w:t>投资</w:t>
      </w:r>
      <w:r>
        <w:rPr>
          <w:rFonts w:ascii="楷体" w:hAnsi="楷体" w:eastAsia="楷体"/>
          <w:sz w:val="24"/>
          <w:szCs w:val="24"/>
        </w:rPr>
        <w:t>者</w:t>
      </w:r>
      <w:r>
        <w:rPr>
          <w:rFonts w:hint="eastAsia" w:ascii="楷体" w:hAnsi="楷体" w:eastAsia="楷体"/>
          <w:sz w:val="24"/>
          <w:szCs w:val="24"/>
        </w:rPr>
        <w:t>在此</w:t>
      </w:r>
      <w:r>
        <w:rPr>
          <w:rFonts w:ascii="楷体" w:hAnsi="楷体" w:eastAsia="楷体"/>
          <w:sz w:val="24"/>
          <w:szCs w:val="24"/>
        </w:rPr>
        <w:t>授权并同意苏银理财享有以下权利：</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按照</w:t>
      </w:r>
      <w:r>
        <w:rPr>
          <w:rFonts w:ascii="楷体" w:hAnsi="楷体" w:eastAsia="楷体" w:cs="Calibri"/>
          <w:sz w:val="24"/>
          <w:szCs w:val="24"/>
        </w:rPr>
        <w:t>本理财产品合同</w:t>
      </w:r>
      <w:r>
        <w:rPr>
          <w:rFonts w:hint="eastAsia" w:ascii="楷体" w:hAnsi="楷体" w:eastAsia="楷体" w:cs="Calibri"/>
          <w:sz w:val="24"/>
          <w:szCs w:val="24"/>
        </w:rPr>
        <w:t>的</w:t>
      </w:r>
      <w:r>
        <w:rPr>
          <w:rFonts w:ascii="楷体" w:hAnsi="楷体" w:eastAsia="楷体" w:cs="Calibri"/>
          <w:sz w:val="24"/>
          <w:szCs w:val="24"/>
        </w:rPr>
        <w:t>约定，管理、运用和处分理财计划资金。</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按照</w:t>
      </w:r>
      <w:r>
        <w:rPr>
          <w:rFonts w:ascii="楷体" w:hAnsi="楷体" w:eastAsia="楷体" w:cs="Calibri"/>
          <w:sz w:val="24"/>
          <w:szCs w:val="24"/>
        </w:rPr>
        <w:t>本理财</w:t>
      </w:r>
      <w:r>
        <w:rPr>
          <w:rFonts w:hint="eastAsia" w:ascii="楷体" w:hAnsi="楷体" w:eastAsia="楷体" w:cs="Calibri"/>
          <w:sz w:val="24"/>
          <w:szCs w:val="24"/>
        </w:rPr>
        <w:t>产品</w:t>
      </w:r>
      <w:r>
        <w:rPr>
          <w:rFonts w:ascii="楷体" w:hAnsi="楷体" w:eastAsia="楷体" w:cs="Calibri"/>
          <w:sz w:val="24"/>
          <w:szCs w:val="24"/>
        </w:rPr>
        <w:t>合同的约定，及时、足额获得投资管理费。</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w:t>
      </w:r>
      <w:r>
        <w:rPr>
          <w:rFonts w:ascii="楷体" w:hAnsi="楷体" w:eastAsia="楷体" w:cs="Calibri"/>
          <w:sz w:val="24"/>
          <w:szCs w:val="24"/>
        </w:rPr>
        <w:t>有权根据本理财产品合同的约定提前终止</w:t>
      </w:r>
      <w:r>
        <w:rPr>
          <w:rFonts w:hint="eastAsia" w:ascii="楷体" w:hAnsi="楷体" w:eastAsia="楷体" w:cs="Calibri"/>
          <w:sz w:val="24"/>
          <w:szCs w:val="24"/>
        </w:rPr>
        <w:t>或</w:t>
      </w:r>
      <w:r>
        <w:rPr>
          <w:rFonts w:ascii="楷体" w:hAnsi="楷体" w:eastAsia="楷体" w:cs="Calibri"/>
          <w:sz w:val="24"/>
          <w:szCs w:val="24"/>
        </w:rPr>
        <w:t>延长</w:t>
      </w:r>
      <w:r>
        <w:rPr>
          <w:rFonts w:hint="eastAsia" w:ascii="楷体" w:hAnsi="楷体" w:eastAsia="楷体" w:cs="Calibri"/>
          <w:sz w:val="24"/>
          <w:szCs w:val="24"/>
        </w:rPr>
        <w:t>本</w:t>
      </w:r>
      <w:r>
        <w:rPr>
          <w:rFonts w:ascii="楷体" w:hAnsi="楷体" w:eastAsia="楷体" w:cs="Calibri"/>
          <w:sz w:val="24"/>
          <w:szCs w:val="24"/>
        </w:rPr>
        <w:t>理财产品的期限。</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w:t>
      </w:r>
      <w:r>
        <w:rPr>
          <w:rFonts w:ascii="楷体" w:hAnsi="楷体" w:eastAsia="楷体" w:cs="Calibri"/>
          <w:sz w:val="24"/>
          <w:szCs w:val="24"/>
        </w:rPr>
        <w:t>有权</w:t>
      </w:r>
      <w:r>
        <w:rPr>
          <w:rFonts w:hint="eastAsia" w:ascii="楷体" w:hAnsi="楷体" w:eastAsia="楷体" w:cs="Calibri"/>
          <w:sz w:val="24"/>
          <w:szCs w:val="24"/>
        </w:rPr>
        <w:t>调整</w:t>
      </w:r>
      <w:r>
        <w:rPr>
          <w:rFonts w:ascii="楷体" w:hAnsi="楷体" w:eastAsia="楷体" w:cs="Calibri"/>
          <w:sz w:val="24"/>
          <w:szCs w:val="24"/>
        </w:rPr>
        <w:t>本</w:t>
      </w:r>
      <w:r>
        <w:rPr>
          <w:rFonts w:hint="eastAsia" w:ascii="楷体" w:hAnsi="楷体" w:eastAsia="楷体" w:cs="Calibri"/>
          <w:sz w:val="24"/>
          <w:szCs w:val="24"/>
        </w:rPr>
        <w:t>理财</w:t>
      </w:r>
      <w:r>
        <w:rPr>
          <w:rFonts w:ascii="楷体" w:hAnsi="楷体" w:eastAsia="楷体" w:cs="Calibri"/>
          <w:sz w:val="24"/>
          <w:szCs w:val="24"/>
        </w:rPr>
        <w:t>产品的认购规模</w:t>
      </w:r>
      <w:r>
        <w:rPr>
          <w:rFonts w:hint="eastAsia" w:ascii="楷体" w:hAnsi="楷体" w:eastAsia="楷体" w:cs="Calibri"/>
          <w:sz w:val="24"/>
          <w:szCs w:val="24"/>
        </w:rPr>
        <w:t>上限</w:t>
      </w:r>
      <w:r>
        <w:rPr>
          <w:rFonts w:ascii="楷体" w:hAnsi="楷体" w:eastAsia="楷体" w:cs="Calibri"/>
          <w:sz w:val="24"/>
          <w:szCs w:val="24"/>
        </w:rPr>
        <w:t>、认购起点、</w:t>
      </w:r>
      <w:r>
        <w:rPr>
          <w:rFonts w:hint="eastAsia" w:ascii="楷体" w:hAnsi="楷体" w:eastAsia="楷体" w:cs="Calibri"/>
          <w:sz w:val="24"/>
          <w:szCs w:val="24"/>
        </w:rPr>
        <w:t>认购</w:t>
      </w:r>
      <w:r>
        <w:rPr>
          <w:rFonts w:ascii="楷体" w:hAnsi="楷体" w:eastAsia="楷体" w:cs="Calibri"/>
          <w:sz w:val="24"/>
          <w:szCs w:val="24"/>
        </w:rPr>
        <w:t>金额上限、认购资金的最</w:t>
      </w:r>
      <w:r>
        <w:rPr>
          <w:rFonts w:hint="eastAsia" w:ascii="楷体" w:hAnsi="楷体" w:eastAsia="楷体" w:cs="Calibri"/>
          <w:sz w:val="24"/>
          <w:szCs w:val="24"/>
        </w:rPr>
        <w:t>低</w:t>
      </w:r>
      <w:r>
        <w:rPr>
          <w:rFonts w:ascii="楷体" w:hAnsi="楷体" w:eastAsia="楷体" w:cs="Calibri"/>
          <w:sz w:val="24"/>
          <w:szCs w:val="24"/>
        </w:rPr>
        <w:t>金额等</w:t>
      </w:r>
      <w:r>
        <w:rPr>
          <w:rFonts w:hint="eastAsia" w:ascii="楷体" w:hAnsi="楷体" w:eastAsia="楷体" w:cs="Calibri"/>
          <w:sz w:val="24"/>
          <w:szCs w:val="24"/>
        </w:rPr>
        <w:t>要素</w:t>
      </w:r>
      <w:r>
        <w:rPr>
          <w:rFonts w:ascii="楷体" w:hAnsi="楷体" w:eastAsia="楷体" w:cs="Calibri"/>
          <w:sz w:val="24"/>
          <w:szCs w:val="24"/>
        </w:rPr>
        <w:t>。</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w:t>
      </w:r>
      <w:r>
        <w:rPr>
          <w:rFonts w:ascii="楷体" w:hAnsi="楷体" w:eastAsia="楷体" w:cs="Calibri"/>
          <w:sz w:val="24"/>
          <w:szCs w:val="24"/>
        </w:rPr>
        <w:t>有权依照法律规定和监管机构的要求将投资者的信息向有权部门或相关机构披露。</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以</w:t>
      </w:r>
      <w:r>
        <w:rPr>
          <w:rFonts w:ascii="楷体" w:hAnsi="楷体" w:eastAsia="楷体" w:cs="Calibri"/>
          <w:sz w:val="24"/>
          <w:szCs w:val="24"/>
        </w:rPr>
        <w:t>理财产品投资管理人的名义，依照法律法规相关规定以及为理财产品的利益，对被投资的各类基金、公司/</w:t>
      </w:r>
      <w:r>
        <w:rPr>
          <w:rFonts w:hint="eastAsia" w:ascii="楷体" w:hAnsi="楷体" w:eastAsia="楷体" w:cs="Calibri"/>
          <w:sz w:val="24"/>
          <w:szCs w:val="24"/>
        </w:rPr>
        <w:t>企业</w:t>
      </w:r>
      <w:r>
        <w:rPr>
          <w:rFonts w:ascii="楷体" w:hAnsi="楷体" w:eastAsia="楷体" w:cs="Calibri"/>
          <w:sz w:val="24"/>
          <w:szCs w:val="24"/>
        </w:rPr>
        <w:t>等</w:t>
      </w:r>
      <w:r>
        <w:rPr>
          <w:rFonts w:hint="eastAsia" w:ascii="楷体" w:hAnsi="楷体" w:eastAsia="楷体" w:cs="Calibri"/>
          <w:sz w:val="24"/>
          <w:szCs w:val="24"/>
        </w:rPr>
        <w:t>行使</w:t>
      </w:r>
      <w:r>
        <w:rPr>
          <w:rFonts w:ascii="楷体" w:hAnsi="楷体" w:eastAsia="楷体" w:cs="Calibri"/>
          <w:sz w:val="24"/>
          <w:szCs w:val="24"/>
        </w:rPr>
        <w:t>出资人</w:t>
      </w:r>
      <w:r>
        <w:rPr>
          <w:rFonts w:hint="eastAsia" w:ascii="楷体" w:hAnsi="楷体" w:eastAsia="楷体" w:cs="Calibri"/>
          <w:sz w:val="24"/>
          <w:szCs w:val="24"/>
        </w:rPr>
        <w:t>/投资者</w:t>
      </w:r>
      <w:r>
        <w:rPr>
          <w:rFonts w:ascii="楷体" w:hAnsi="楷体" w:eastAsia="楷体" w:cs="Calibri"/>
          <w:sz w:val="24"/>
          <w:szCs w:val="24"/>
        </w:rPr>
        <w:t>权利（</w:t>
      </w:r>
      <w:r>
        <w:rPr>
          <w:rFonts w:hint="eastAsia" w:ascii="楷体" w:hAnsi="楷体" w:eastAsia="楷体" w:cs="Calibri"/>
          <w:sz w:val="24"/>
          <w:szCs w:val="24"/>
        </w:rPr>
        <w:t>包括</w:t>
      </w:r>
      <w:r>
        <w:rPr>
          <w:rFonts w:ascii="楷体" w:hAnsi="楷体" w:eastAsia="楷体" w:cs="Calibri"/>
          <w:sz w:val="24"/>
          <w:szCs w:val="24"/>
        </w:rPr>
        <w:t>但不限于表决投票的权利）</w:t>
      </w:r>
      <w:r>
        <w:rPr>
          <w:rFonts w:hint="eastAsia" w:ascii="楷体" w:hAnsi="楷体" w:eastAsia="楷体" w:cs="Calibri"/>
          <w:sz w:val="24"/>
          <w:szCs w:val="24"/>
        </w:rPr>
        <w:t>以及行使</w:t>
      </w:r>
      <w:r>
        <w:rPr>
          <w:rFonts w:ascii="楷体" w:hAnsi="楷体" w:eastAsia="楷体" w:cs="Calibri"/>
          <w:sz w:val="24"/>
          <w:szCs w:val="24"/>
        </w:rPr>
        <w:t>因理财产品投资于证券类基础资产（</w:t>
      </w:r>
      <w:r>
        <w:rPr>
          <w:rFonts w:hint="eastAsia" w:ascii="楷体" w:hAnsi="楷体" w:eastAsia="楷体" w:cs="Calibri"/>
          <w:sz w:val="24"/>
          <w:szCs w:val="24"/>
        </w:rPr>
        <w:t>含</w:t>
      </w:r>
      <w:r>
        <w:rPr>
          <w:rFonts w:ascii="楷体" w:hAnsi="楷体" w:eastAsia="楷体" w:cs="Calibri"/>
          <w:sz w:val="24"/>
          <w:szCs w:val="24"/>
        </w:rPr>
        <w:t>债券）</w:t>
      </w:r>
      <w:r>
        <w:rPr>
          <w:rFonts w:hint="eastAsia" w:ascii="楷体" w:hAnsi="楷体" w:eastAsia="楷体" w:cs="Calibri"/>
          <w:sz w:val="24"/>
          <w:szCs w:val="24"/>
        </w:rPr>
        <w:t>或</w:t>
      </w:r>
      <w:r>
        <w:rPr>
          <w:rFonts w:ascii="楷体" w:hAnsi="楷体" w:eastAsia="楷体" w:cs="Calibri"/>
          <w:sz w:val="24"/>
          <w:szCs w:val="24"/>
        </w:rPr>
        <w:t>其他基础资产（</w:t>
      </w:r>
      <w:r>
        <w:rPr>
          <w:rFonts w:hint="eastAsia" w:ascii="楷体" w:hAnsi="楷体" w:eastAsia="楷体" w:cs="Calibri"/>
          <w:sz w:val="24"/>
          <w:szCs w:val="24"/>
        </w:rPr>
        <w:t>包括</w:t>
      </w:r>
      <w:r>
        <w:rPr>
          <w:rFonts w:ascii="楷体" w:hAnsi="楷体" w:eastAsia="楷体" w:cs="Calibri"/>
          <w:sz w:val="24"/>
          <w:szCs w:val="24"/>
        </w:rPr>
        <w:t>但不限于债权类资产）</w:t>
      </w:r>
      <w:r>
        <w:rPr>
          <w:rFonts w:hint="eastAsia" w:ascii="楷体" w:hAnsi="楷体" w:eastAsia="楷体" w:cs="Calibri"/>
          <w:sz w:val="24"/>
          <w:szCs w:val="24"/>
        </w:rPr>
        <w:t>所产生</w:t>
      </w:r>
      <w:r>
        <w:rPr>
          <w:rFonts w:ascii="楷体" w:hAnsi="楷体" w:eastAsia="楷体" w:cs="Calibri"/>
          <w:sz w:val="24"/>
          <w:szCs w:val="24"/>
        </w:rPr>
        <w:t>的相关权利。</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以</w:t>
      </w:r>
      <w:r>
        <w:rPr>
          <w:rFonts w:ascii="楷体" w:hAnsi="楷体" w:eastAsia="楷体" w:cs="Calibri"/>
          <w:sz w:val="24"/>
          <w:szCs w:val="24"/>
        </w:rPr>
        <w:t>理财产品投资管理人的名义，依照</w:t>
      </w:r>
      <w:r>
        <w:rPr>
          <w:rFonts w:hint="eastAsia" w:ascii="楷体" w:hAnsi="楷体" w:eastAsia="楷体" w:cs="Calibri"/>
          <w:sz w:val="24"/>
          <w:szCs w:val="24"/>
        </w:rPr>
        <w:t>法律法规相关规定以及代表理财产品份额持有人的利益行使代为追索的权利（包括但不限于提起诉讼/仲裁、申请保全/执行的权利）或者实施其他法律行为。</w:t>
      </w:r>
    </w:p>
    <w:p>
      <w:pPr>
        <w:numPr>
          <w:ilvl w:val="0"/>
          <w:numId w:val="3"/>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法律法规、监管政策和本理财计划文件约定的其他权利。</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销售机构</w:t>
      </w:r>
    </w:p>
    <w:p>
      <w:pPr>
        <w:ind w:firstLine="480" w:firstLineChars="200"/>
        <w:rPr>
          <w:rFonts w:ascii="楷体" w:hAnsi="楷体" w:eastAsia="楷体"/>
          <w:sz w:val="24"/>
          <w:szCs w:val="24"/>
        </w:rPr>
      </w:pPr>
      <w:r>
        <w:rPr>
          <w:rFonts w:hint="eastAsia" w:ascii="楷体" w:hAnsi="楷体" w:eastAsia="楷体"/>
          <w:sz w:val="24"/>
          <w:szCs w:val="24"/>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bCs/>
          <w:sz w:val="24"/>
          <w:szCs w:val="24"/>
          <w:u w:val="single"/>
        </w:rPr>
        <w:t>销售机构负责理财产品宣传推广、投资者风险承受能力评估和投资者适当性管理、理财产品客户身份识别及反洗钱、反恐怖融资及非居民金融账户涉税信息调查、理财产品份额认购/申购/赎回、协助管理人与投资者订立理财产品合同、协助投资者与管理人沟通、接受投资者咨询和客户维护等销售服务工作。销售机构不承担产品投资、兑付和风险管理责任，产品的投资、兑付和风险管理责任由管理人苏银理财承担。</w:t>
      </w:r>
      <w:r>
        <w:rPr>
          <w:rFonts w:hint="eastAsia" w:ascii="楷体" w:hAnsi="楷体" w:eastAsia="楷体"/>
          <w:sz w:val="24"/>
          <w:szCs w:val="24"/>
        </w:rPr>
        <w:t>本产品各份额销售机构如下：</w:t>
      </w:r>
    </w:p>
    <w:tbl>
      <w:tblPr>
        <w:tblStyle w:val="15"/>
        <w:tblW w:w="0" w:type="auto"/>
        <w:tblInd w:w="1" w:type="dxa"/>
        <w:tblLayout w:type="autofit"/>
        <w:tblCellMar>
          <w:top w:w="0" w:type="dxa"/>
          <w:left w:w="108" w:type="dxa"/>
          <w:bottom w:w="0" w:type="dxa"/>
          <w:right w:w="108" w:type="dxa"/>
        </w:tblCellMar>
      </w:tblPr>
      <w:tblGrid>
        <w:gridCol w:w="958"/>
        <w:gridCol w:w="3538"/>
        <w:gridCol w:w="4025"/>
      </w:tblGrid>
      <w:tr>
        <w:tblPrEx>
          <w:tblCellMar>
            <w:top w:w="0" w:type="dxa"/>
            <w:left w:w="108" w:type="dxa"/>
            <w:bottom w:w="0" w:type="dxa"/>
            <w:right w:w="108" w:type="dxa"/>
          </w:tblCellMar>
        </w:tblPrEx>
        <w:trPr>
          <w:trHeight w:val="255" w:hRule="atLeast"/>
        </w:trPr>
        <w:tc>
          <w:tcPr>
            <w:tcW w:w="958"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楷体" w:hAnsi="楷体" w:eastAsia="楷体" w:cs="Arial"/>
                <w:b/>
                <w:bCs/>
                <w:kern w:val="0"/>
                <w:sz w:val="20"/>
                <w:szCs w:val="20"/>
              </w:rPr>
            </w:pPr>
            <w:bookmarkStart w:id="2" w:name="_Hlk167455320"/>
            <w:r>
              <w:rPr>
                <w:rFonts w:hint="eastAsia" w:ascii="楷体" w:hAnsi="楷体" w:eastAsia="楷体" w:cs="Arial"/>
                <w:b/>
                <w:bCs/>
                <w:kern w:val="0"/>
                <w:sz w:val="20"/>
                <w:szCs w:val="20"/>
              </w:rPr>
              <w:t>份额</w:t>
            </w:r>
          </w:p>
        </w:tc>
        <w:tc>
          <w:tcPr>
            <w:tcW w:w="7563" w:type="dxa"/>
            <w:gridSpan w:val="2"/>
            <w:tcBorders>
              <w:top w:val="single" w:color="auto" w:sz="4" w:space="0"/>
              <w:left w:val="nil"/>
              <w:bottom w:val="single" w:color="auto" w:sz="4" w:space="0"/>
              <w:right w:val="single" w:color="000000" w:sz="4" w:space="0"/>
            </w:tcBorders>
            <w:noWrap/>
            <w:vAlign w:val="center"/>
          </w:tcPr>
          <w:p>
            <w:pPr>
              <w:widowControl/>
              <w:spacing w:line="0" w:lineRule="atLeast"/>
              <w:jc w:val="center"/>
              <w:rPr>
                <w:rFonts w:ascii="楷体" w:hAnsi="楷体" w:eastAsia="楷体" w:cs="Arial"/>
                <w:b/>
                <w:bCs/>
                <w:kern w:val="0"/>
                <w:sz w:val="20"/>
                <w:szCs w:val="20"/>
              </w:rPr>
            </w:pPr>
            <w:r>
              <w:rPr>
                <w:rFonts w:hint="eastAsia" w:ascii="楷体" w:hAnsi="楷体" w:eastAsia="楷体" w:cs="Arial"/>
                <w:b/>
                <w:bCs/>
                <w:kern w:val="0"/>
                <w:sz w:val="20"/>
                <w:szCs w:val="20"/>
              </w:rPr>
              <w:t>销售机构</w:t>
            </w:r>
          </w:p>
        </w:tc>
      </w:tr>
      <w:tr>
        <w:tblPrEx>
          <w:tblCellMar>
            <w:top w:w="0" w:type="dxa"/>
            <w:left w:w="108" w:type="dxa"/>
            <w:bottom w:w="0" w:type="dxa"/>
            <w:right w:w="108" w:type="dxa"/>
          </w:tblCellMar>
        </w:tblPrEx>
        <w:trPr>
          <w:trHeight w:val="255" w:hRule="atLeast"/>
        </w:trPr>
        <w:tc>
          <w:tcPr>
            <w:tcW w:w="958" w:type="dxa"/>
            <w:tcBorders>
              <w:left w:val="single" w:color="auto" w:sz="4" w:space="0"/>
              <w:right w:val="single" w:color="auto" w:sz="4" w:space="0"/>
            </w:tcBorders>
            <w:noWrap w:val="0"/>
            <w:vAlign w:val="center"/>
          </w:tcPr>
          <w:p>
            <w:pPr>
              <w:widowControl/>
              <w:spacing w:line="0" w:lineRule="atLeast"/>
              <w:jc w:val="center"/>
              <w:rPr>
                <w:rFonts w:hint="default"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A份额</w:t>
            </w: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苏银理财有限责任公司</w:t>
            </w:r>
          </w:p>
        </w:tc>
      </w:tr>
      <w:tr>
        <w:tblPrEx>
          <w:tblCellMar>
            <w:top w:w="0" w:type="dxa"/>
            <w:left w:w="108" w:type="dxa"/>
            <w:bottom w:w="0" w:type="dxa"/>
            <w:right w:w="108" w:type="dxa"/>
          </w:tblCellMar>
        </w:tblPrEx>
        <w:trPr>
          <w:trHeight w:val="255" w:hRule="atLeast"/>
        </w:trPr>
        <w:tc>
          <w:tcPr>
            <w:tcW w:w="958" w:type="dxa"/>
            <w:vMerge w:val="restart"/>
            <w:tcBorders>
              <w:top w:val="single" w:color="auto" w:sz="4" w:space="0"/>
              <w:left w:val="single" w:color="auto" w:sz="4" w:space="0"/>
              <w:right w:val="single" w:color="auto" w:sz="4" w:space="0"/>
            </w:tcBorders>
            <w:noWrap/>
            <w:vAlign w:val="center"/>
          </w:tcPr>
          <w:p>
            <w:pPr>
              <w:widowControl/>
              <w:spacing w:line="0" w:lineRule="atLeast"/>
              <w:jc w:val="center"/>
              <w:rPr>
                <w:rFonts w:ascii="楷体" w:hAnsi="楷体" w:eastAsia="楷体" w:cs="Arial"/>
                <w:kern w:val="0"/>
                <w:sz w:val="20"/>
                <w:szCs w:val="20"/>
              </w:rPr>
            </w:pPr>
            <w:r>
              <w:rPr>
                <w:rFonts w:hint="eastAsia" w:ascii="楷体" w:hAnsi="楷体" w:eastAsia="楷体" w:cs="Arial"/>
                <w:kern w:val="0"/>
                <w:sz w:val="20"/>
                <w:szCs w:val="20"/>
              </w:rPr>
              <w:t>B份额</w:t>
            </w:r>
          </w:p>
        </w:tc>
        <w:tc>
          <w:tcPr>
            <w:tcW w:w="3538" w:type="dxa"/>
            <w:tcBorders>
              <w:top w:val="single" w:color="auto" w:sz="4" w:space="0"/>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浙江海宁农村商业银行股份有限公司</w:t>
            </w:r>
          </w:p>
        </w:tc>
        <w:tc>
          <w:tcPr>
            <w:tcW w:w="4025" w:type="dxa"/>
            <w:tcBorders>
              <w:top w:val="single" w:color="auto" w:sz="4" w:space="0"/>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浙江上虞农村商业银行股份有限公司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浙江嘉善农村商业银行股份有限公司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浙江温州瓯海农村商业银行股份有限公司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浙江永嘉农村商业银行股份有限公司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浙江兰溪农村商业银行股份有限公司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浙江岱山农村商业银行股份有限公司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浙江青田农村商业银行股份有限公司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浙江绍兴瑞丰农村商业银行股份有限公司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浙江文成农村商业银行股份有限公司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浙江龙湾农村商业银行股份有限公司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浙江余杭农村商业银行股份有限公司</w:t>
            </w:r>
          </w:p>
        </w:tc>
      </w:tr>
      <w:tr>
        <w:tblPrEx>
          <w:tblCellMar>
            <w:top w:w="0" w:type="dxa"/>
            <w:left w:w="108" w:type="dxa"/>
            <w:bottom w:w="0" w:type="dxa"/>
            <w:right w:w="108" w:type="dxa"/>
          </w:tblCellMar>
        </w:tblPrEx>
        <w:trPr>
          <w:trHeight w:val="246"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浙江乐清农村商业银行股份有限公司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浙江武义农村商业银行股份有限公司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浙江德清农村商业银行股份有限公司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浙江舟山定海海洋农村商业银行股份有限公司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浙江新昌农村商业银行股份有限公司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浙江淳安农村商业银行股份有限公司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浙江平湖农村商业银行股份有限公司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浙江湖州吴兴农村商业银行股份有限公司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0"/>
            <w:vAlign w:val="center"/>
          </w:tcPr>
          <w:p>
            <w:pPr>
              <w:widowControl/>
              <w:spacing w:line="0" w:lineRule="atLeast"/>
              <w:jc w:val="left"/>
              <w:rPr>
                <w:rFonts w:ascii="楷体" w:hAnsi="楷体" w:eastAsia="楷体" w:cs="Arial"/>
                <w:kern w:val="0"/>
                <w:sz w:val="20"/>
                <w:szCs w:val="20"/>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浙江桐乡农村商业银行股份有限公司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浙江萧山农村商业银行股份有限公司</w:t>
            </w:r>
          </w:p>
        </w:tc>
      </w:tr>
      <w:tr>
        <w:tblPrEx>
          <w:tblCellMar>
            <w:top w:w="0" w:type="dxa"/>
            <w:left w:w="108" w:type="dxa"/>
            <w:bottom w:w="0" w:type="dxa"/>
            <w:right w:w="108" w:type="dxa"/>
          </w:tblCellMar>
        </w:tblPrEx>
        <w:trPr>
          <w:trHeight w:val="238" w:hRule="atLeast"/>
        </w:trPr>
        <w:tc>
          <w:tcPr>
            <w:tcW w:w="958" w:type="dxa"/>
            <w:tcBorders>
              <w:top w:val="single" w:color="auto" w:sz="4" w:space="0"/>
              <w:left w:val="single" w:color="auto" w:sz="4" w:space="0"/>
              <w:right w:val="single" w:color="auto" w:sz="4" w:space="0"/>
            </w:tcBorders>
            <w:noWrap/>
            <w:vAlign w:val="center"/>
          </w:tcPr>
          <w:p>
            <w:pPr>
              <w:widowControl/>
              <w:spacing w:line="0" w:lineRule="atLeast"/>
              <w:jc w:val="center"/>
              <w:rPr>
                <w:rFonts w:ascii="楷体" w:hAnsi="楷体" w:eastAsia="楷体" w:cs="Arial"/>
                <w:kern w:val="0"/>
                <w:sz w:val="20"/>
                <w:szCs w:val="20"/>
              </w:rPr>
            </w:pPr>
            <w:r>
              <w:rPr>
                <w:rFonts w:hint="eastAsia" w:ascii="楷体" w:hAnsi="楷体" w:eastAsia="楷体" w:cs="Arial"/>
                <w:kern w:val="0"/>
                <w:sz w:val="20"/>
                <w:szCs w:val="20"/>
              </w:rPr>
              <w:t>C份额</w:t>
            </w:r>
          </w:p>
        </w:tc>
        <w:tc>
          <w:tcPr>
            <w:tcW w:w="3538" w:type="dxa"/>
            <w:tcBorders>
              <w:top w:val="single" w:color="auto" w:sz="4" w:space="0"/>
              <w:left w:val="nil"/>
              <w:bottom w:val="single" w:color="auto" w:sz="4" w:space="0"/>
              <w:right w:val="nil"/>
            </w:tcBorders>
            <w:noWrap/>
            <w:vAlign w:val="center"/>
          </w:tcPr>
          <w:p>
            <w:pPr>
              <w:widowControl/>
              <w:spacing w:line="0" w:lineRule="atLeast"/>
              <w:jc w:val="center"/>
              <w:rPr>
                <w:rFonts w:hint="default"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江苏银行股份有限公司</w:t>
            </w:r>
          </w:p>
        </w:tc>
        <w:tc>
          <w:tcPr>
            <w:tcW w:w="4025" w:type="dxa"/>
            <w:tcBorders>
              <w:top w:val="single" w:color="auto" w:sz="4" w:space="0"/>
              <w:left w:val="nil"/>
              <w:bottom w:val="single" w:color="auto" w:sz="4" w:space="0"/>
              <w:right w:val="single" w:color="auto" w:sz="4" w:space="0"/>
            </w:tcBorders>
            <w:noWrap/>
            <w:vAlign w:val="center"/>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255" w:hRule="atLeast"/>
        </w:trPr>
        <w:tc>
          <w:tcPr>
            <w:tcW w:w="958"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default"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D份额</w:t>
            </w:r>
          </w:p>
        </w:tc>
        <w:tc>
          <w:tcPr>
            <w:tcW w:w="3538" w:type="dxa"/>
            <w:tcBorders>
              <w:top w:val="single" w:color="auto" w:sz="4" w:space="0"/>
              <w:left w:val="single" w:color="auto" w:sz="4" w:space="0"/>
              <w:bottom w:val="single" w:color="auto" w:sz="4" w:space="0"/>
              <w:right w:val="nil"/>
            </w:tcBorders>
            <w:noWrap/>
            <w:vAlign w:val="center"/>
          </w:tcPr>
          <w:p>
            <w:pPr>
              <w:widowControl/>
              <w:spacing w:line="0" w:lineRule="atLeast"/>
              <w:jc w:val="center"/>
              <w:rPr>
                <w:rFonts w:hint="default"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武汉农村商业银行股份有限公司</w:t>
            </w:r>
          </w:p>
        </w:tc>
        <w:tc>
          <w:tcPr>
            <w:tcW w:w="4025" w:type="dxa"/>
            <w:tcBorders>
              <w:top w:val="single" w:color="auto" w:sz="4" w:space="0"/>
              <w:left w:val="nil"/>
              <w:bottom w:val="single" w:color="auto" w:sz="4" w:space="0"/>
              <w:right w:val="single" w:color="auto" w:sz="4" w:space="0"/>
            </w:tcBorders>
            <w:noWrap/>
            <w:vAlign w:val="center"/>
          </w:tcPr>
          <w:p>
            <w:pPr>
              <w:widowControl/>
              <w:spacing w:line="0" w:lineRule="atLeast"/>
              <w:jc w:val="center"/>
              <w:rPr>
                <w:rFonts w:hint="default"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宁波通商银行股份有限公司</w:t>
            </w:r>
          </w:p>
        </w:tc>
      </w:tr>
      <w:tr>
        <w:tblPrEx>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right w:val="single" w:color="auto" w:sz="4" w:space="0"/>
            </w:tcBorders>
            <w:noWrap/>
            <w:vAlign w:val="center"/>
          </w:tcPr>
          <w:p>
            <w:pPr>
              <w:widowControl/>
              <w:spacing w:line="0" w:lineRule="atLeast"/>
              <w:jc w:val="center"/>
              <w:rPr>
                <w:rFonts w:hint="default"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E份额</w:t>
            </w:r>
          </w:p>
        </w:tc>
        <w:tc>
          <w:tcPr>
            <w:tcW w:w="3538" w:type="dxa"/>
            <w:tcBorders>
              <w:top w:val="single" w:color="auto" w:sz="4" w:space="0"/>
              <w:left w:val="single" w:color="auto" w:sz="4" w:space="0"/>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江苏银行股份有限公司</w:t>
            </w:r>
          </w:p>
        </w:tc>
        <w:tc>
          <w:tcPr>
            <w:tcW w:w="4025" w:type="dxa"/>
            <w:tcBorders>
              <w:top w:val="single" w:color="auto" w:sz="4" w:space="0"/>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F份额</w:t>
            </w:r>
          </w:p>
        </w:tc>
        <w:tc>
          <w:tcPr>
            <w:tcW w:w="3538" w:type="dxa"/>
            <w:tcBorders>
              <w:top w:val="single" w:color="auto" w:sz="4" w:space="0"/>
              <w:left w:val="single" w:color="auto" w:sz="4" w:space="0"/>
              <w:bottom w:val="single" w:color="auto" w:sz="4" w:space="0"/>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上海银行股份有限公司</w:t>
            </w:r>
          </w:p>
        </w:tc>
        <w:tc>
          <w:tcPr>
            <w:tcW w:w="4025" w:type="dxa"/>
            <w:tcBorders>
              <w:top w:val="single" w:color="auto" w:sz="4" w:space="0"/>
              <w:left w:val="nil"/>
              <w:bottom w:val="single" w:color="auto" w:sz="4" w:space="0"/>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齐鲁银行股份有限公司</w:t>
            </w:r>
          </w:p>
        </w:tc>
      </w:tr>
      <w:tr>
        <w:tblPrEx>
          <w:tblCellMar>
            <w:top w:w="0" w:type="dxa"/>
            <w:left w:w="108" w:type="dxa"/>
            <w:bottom w:w="0" w:type="dxa"/>
            <w:right w:w="108" w:type="dxa"/>
          </w:tblCellMar>
        </w:tblPrEx>
        <w:trPr>
          <w:trHeight w:val="90" w:hRule="atLeast"/>
        </w:trPr>
        <w:tc>
          <w:tcPr>
            <w:tcW w:w="958" w:type="dxa"/>
            <w:vMerge w:val="restart"/>
            <w:tcBorders>
              <w:top w:val="single" w:color="auto" w:sz="4" w:space="0"/>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G份额</w:t>
            </w:r>
          </w:p>
        </w:tc>
        <w:tc>
          <w:tcPr>
            <w:tcW w:w="3538" w:type="dxa"/>
            <w:tcBorders>
              <w:top w:val="single" w:color="auto" w:sz="4" w:space="0"/>
              <w:left w:val="single" w:color="auto" w:sz="4" w:space="0"/>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莱商银行股份有限公司</w:t>
            </w:r>
          </w:p>
        </w:tc>
        <w:tc>
          <w:tcPr>
            <w:tcW w:w="4025" w:type="dxa"/>
            <w:tcBorders>
              <w:top w:val="single" w:color="auto" w:sz="4" w:space="0"/>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齐鲁银行股份有限公司</w:t>
            </w:r>
          </w:p>
        </w:tc>
      </w:tr>
      <w:tr>
        <w:tblPrEx>
          <w:tblCellMar>
            <w:top w:w="0" w:type="dxa"/>
            <w:left w:w="108" w:type="dxa"/>
            <w:bottom w:w="0" w:type="dxa"/>
            <w:right w:w="108" w:type="dxa"/>
          </w:tblCellMar>
        </w:tblPrEx>
        <w:trPr>
          <w:trHeight w:val="90"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威海市商业银行股份有限公司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东营银行股份有限公司</w:t>
            </w:r>
          </w:p>
        </w:tc>
      </w:tr>
      <w:tr>
        <w:tblPrEx>
          <w:tblCellMar>
            <w:top w:w="0" w:type="dxa"/>
            <w:left w:w="108" w:type="dxa"/>
            <w:bottom w:w="0" w:type="dxa"/>
            <w:right w:w="108" w:type="dxa"/>
          </w:tblCellMar>
        </w:tblPrEx>
        <w:trPr>
          <w:trHeight w:val="90"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日照银行股份有限公司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北京农村商业银行股份有限公司</w:t>
            </w:r>
          </w:p>
        </w:tc>
      </w:tr>
      <w:tr>
        <w:tblPrEx>
          <w:tblCellMar>
            <w:top w:w="0" w:type="dxa"/>
            <w:left w:w="108" w:type="dxa"/>
            <w:bottom w:w="0" w:type="dxa"/>
            <w:right w:w="108" w:type="dxa"/>
          </w:tblCellMar>
        </w:tblPrEx>
        <w:trPr>
          <w:trHeight w:val="90"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single" w:color="auto" w:sz="4" w:space="0"/>
              <w:bottom w:val="single" w:color="auto" w:sz="4" w:space="0"/>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潍坊银行股份有限公司</w:t>
            </w:r>
          </w:p>
        </w:tc>
        <w:tc>
          <w:tcPr>
            <w:tcW w:w="4025" w:type="dxa"/>
            <w:tcBorders>
              <w:top w:val="nil"/>
              <w:left w:val="nil"/>
              <w:bottom w:val="single" w:color="auto" w:sz="4" w:space="0"/>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H份额</w:t>
            </w:r>
          </w:p>
        </w:tc>
        <w:tc>
          <w:tcPr>
            <w:tcW w:w="3538" w:type="dxa"/>
            <w:tcBorders>
              <w:top w:val="single" w:color="auto" w:sz="4" w:space="0"/>
              <w:left w:val="single" w:color="auto" w:sz="4" w:space="0"/>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江苏苏州农村商业银行股份有限公司</w:t>
            </w:r>
          </w:p>
        </w:tc>
        <w:tc>
          <w:tcPr>
            <w:tcW w:w="4025" w:type="dxa"/>
            <w:tcBorders>
              <w:top w:val="single" w:color="auto" w:sz="4" w:space="0"/>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90" w:hRule="atLeast"/>
        </w:trPr>
        <w:tc>
          <w:tcPr>
            <w:tcW w:w="958" w:type="dxa"/>
            <w:tcBorders>
              <w:top w:val="single" w:color="auto" w:sz="4" w:space="0"/>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r>
              <w:rPr>
                <w:rFonts w:hint="eastAsia" w:ascii="楷体" w:hAnsi="楷体" w:eastAsia="楷体" w:cs="Arial"/>
                <w:kern w:val="0"/>
                <w:sz w:val="20"/>
                <w:szCs w:val="20"/>
                <w:lang w:val="en-US" w:eastAsia="zh-CN"/>
              </w:rPr>
              <w:t>I份额</w:t>
            </w:r>
          </w:p>
        </w:tc>
        <w:tc>
          <w:tcPr>
            <w:tcW w:w="3538" w:type="dxa"/>
            <w:tcBorders>
              <w:top w:val="single" w:color="auto" w:sz="4" w:space="0"/>
              <w:left w:val="single" w:color="auto" w:sz="4" w:space="0"/>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上海农村商业银行股份有限公司</w:t>
            </w:r>
          </w:p>
        </w:tc>
        <w:tc>
          <w:tcPr>
            <w:tcW w:w="4025" w:type="dxa"/>
            <w:tcBorders>
              <w:top w:val="single" w:color="auto" w:sz="4" w:space="0"/>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p>
        </w:tc>
      </w:tr>
      <w:tr>
        <w:tblPrEx>
          <w:tblCellMar>
            <w:top w:w="0" w:type="dxa"/>
            <w:left w:w="108" w:type="dxa"/>
            <w:bottom w:w="0" w:type="dxa"/>
            <w:right w:w="108" w:type="dxa"/>
          </w:tblCellMar>
        </w:tblPrEx>
        <w:trPr>
          <w:trHeight w:val="255" w:hRule="atLeast"/>
        </w:trPr>
        <w:tc>
          <w:tcPr>
            <w:tcW w:w="958" w:type="dxa"/>
            <w:vMerge w:val="restart"/>
            <w:tcBorders>
              <w:top w:val="single" w:color="auto" w:sz="4" w:space="0"/>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bidi="ar-SA"/>
              </w:rPr>
            </w:pPr>
            <w:r>
              <w:rPr>
                <w:rFonts w:hint="eastAsia" w:ascii="楷体" w:hAnsi="楷体" w:eastAsia="楷体" w:cs="Arial"/>
                <w:kern w:val="0"/>
                <w:sz w:val="20"/>
                <w:szCs w:val="20"/>
                <w:lang w:val="en-US" w:eastAsia="zh-CN"/>
              </w:rPr>
              <w:t>AJS份额</w:t>
            </w:r>
          </w:p>
        </w:tc>
        <w:tc>
          <w:tcPr>
            <w:tcW w:w="3538" w:type="dxa"/>
            <w:tcBorders>
              <w:top w:val="single" w:color="auto" w:sz="4" w:space="0"/>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江苏张家港农村商业银行股份有限公司</w:t>
            </w:r>
          </w:p>
        </w:tc>
        <w:tc>
          <w:tcPr>
            <w:tcW w:w="4025" w:type="dxa"/>
            <w:tcBorders>
              <w:top w:val="single" w:color="auto" w:sz="4" w:space="0"/>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江苏江都农村商业银行股份有限公司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江苏扬州农村商业银行股份有限公司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江苏常熟农村商业银行股份有限公司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江苏大丰农村商业银行股份有限公司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江苏新沂农村商业银行股份有限公司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江苏江南农村商业银行股份有限公司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江苏如皋农村商业银行股份有限公司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江苏泗阳农村商业银行股份有限公司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江苏启东农村商业银行股份有限公司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江苏沛县农村商业银行股份有限公司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徐州农村商业银行股份有限公司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江苏灌云农村商业银行股份有限公司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江苏高邮农村商业银行股份有限公司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江苏灌南农村商业银行股份有限公司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江苏沭阳农村商业银行股份有限公司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江苏泰兴农村商业银行股份有限公司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江苏民丰农村商业银行股份有限公司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江苏仪征农村商业银行股份有限公司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江苏洪泽农村商业银行股份有限公司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江苏靖江农村商业银行股份有限公司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default"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江苏镇江农村商业银行股份有限公司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nil"/>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江苏海门农村商业银行股份有限公司</w:t>
            </w:r>
          </w:p>
        </w:tc>
        <w:tc>
          <w:tcPr>
            <w:tcW w:w="4025" w:type="dxa"/>
            <w:tcBorders>
              <w:top w:val="nil"/>
              <w:left w:val="nil"/>
              <w:bottom w:val="nil"/>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eastAsia" w:ascii="楷体" w:hAnsi="楷体" w:eastAsia="楷体" w:cs="Arial"/>
                <w:kern w:val="0"/>
                <w:sz w:val="18"/>
                <w:szCs w:val="18"/>
                <w:lang w:val="en-US" w:eastAsia="zh-CN"/>
              </w:rPr>
              <w:t>江苏海安农村商业银行股份有限公司</w:t>
            </w:r>
          </w:p>
        </w:tc>
      </w:tr>
      <w:tr>
        <w:tblPrEx>
          <w:tblCellMar>
            <w:top w:w="0" w:type="dxa"/>
            <w:left w:w="108" w:type="dxa"/>
            <w:bottom w:w="0" w:type="dxa"/>
            <w:right w:w="108" w:type="dxa"/>
          </w:tblCellMar>
        </w:tblPrEx>
        <w:trPr>
          <w:trHeight w:val="255" w:hRule="atLeast"/>
        </w:trPr>
        <w:tc>
          <w:tcPr>
            <w:tcW w:w="958" w:type="dxa"/>
            <w:vMerge w:val="continue"/>
            <w:tcBorders>
              <w:left w:val="single" w:color="auto" w:sz="4" w:space="0"/>
              <w:bottom w:val="single" w:color="auto" w:sz="4" w:space="0"/>
              <w:right w:val="single" w:color="auto" w:sz="4" w:space="0"/>
            </w:tcBorders>
            <w:noWrap/>
            <w:vAlign w:val="center"/>
          </w:tcPr>
          <w:p>
            <w:pPr>
              <w:widowControl/>
              <w:spacing w:line="0" w:lineRule="atLeast"/>
              <w:jc w:val="center"/>
              <w:rPr>
                <w:rFonts w:hint="eastAsia" w:ascii="楷体" w:hAnsi="楷体" w:eastAsia="楷体" w:cs="Arial"/>
                <w:kern w:val="0"/>
                <w:sz w:val="20"/>
                <w:szCs w:val="20"/>
                <w:lang w:val="en-US" w:eastAsia="zh-CN"/>
              </w:rPr>
            </w:pPr>
          </w:p>
        </w:tc>
        <w:tc>
          <w:tcPr>
            <w:tcW w:w="3538" w:type="dxa"/>
            <w:tcBorders>
              <w:top w:val="nil"/>
              <w:left w:val="nil"/>
              <w:bottom w:val="single" w:color="auto" w:sz="4" w:space="0"/>
              <w:right w:val="nil"/>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连云港东方农村商业银行股份有限公司</w:t>
            </w:r>
          </w:p>
        </w:tc>
        <w:tc>
          <w:tcPr>
            <w:tcW w:w="4025" w:type="dxa"/>
            <w:tcBorders>
              <w:top w:val="nil"/>
              <w:left w:val="nil"/>
              <w:bottom w:val="single" w:color="auto" w:sz="4" w:space="0"/>
              <w:right w:val="single" w:color="auto" w:sz="4" w:space="0"/>
            </w:tcBorders>
            <w:noWrap/>
            <w:vAlign w:val="bottom"/>
          </w:tcPr>
          <w:p>
            <w:pPr>
              <w:widowControl/>
              <w:spacing w:line="0" w:lineRule="atLeast"/>
              <w:jc w:val="center"/>
              <w:rPr>
                <w:rFonts w:hint="eastAsia" w:ascii="楷体" w:hAnsi="楷体" w:eastAsia="楷体" w:cs="Arial"/>
                <w:kern w:val="0"/>
                <w:sz w:val="18"/>
                <w:szCs w:val="18"/>
                <w:lang w:val="en-US" w:eastAsia="zh-CN"/>
              </w:rPr>
            </w:pPr>
            <w:r>
              <w:rPr>
                <w:rFonts w:hint="default" w:ascii="楷体" w:hAnsi="楷体" w:eastAsia="楷体" w:cs="Arial"/>
                <w:kern w:val="0"/>
                <w:sz w:val="18"/>
                <w:szCs w:val="18"/>
                <w:lang w:val="en-US" w:eastAsia="zh-CN"/>
              </w:rPr>
              <w:t>江苏苏州农村商业银行股份有限公司</w:t>
            </w:r>
          </w:p>
        </w:tc>
      </w:tr>
      <w:bookmarkEnd w:id="2"/>
    </w:tbl>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投资合作机构</w:t>
      </w:r>
    </w:p>
    <w:p>
      <w:pPr>
        <w:ind w:firstLine="480" w:firstLineChars="200"/>
        <w:rPr>
          <w:rFonts w:ascii="楷体" w:hAnsi="楷体" w:eastAsia="楷体"/>
          <w:sz w:val="24"/>
          <w:szCs w:val="24"/>
        </w:rPr>
      </w:pPr>
      <w:r>
        <w:rPr>
          <w:rFonts w:hint="eastAsia" w:ascii="楷体" w:hAnsi="楷体" w:eastAsia="楷体"/>
          <w:sz w:val="24"/>
          <w:szCs w:val="24"/>
        </w:rPr>
        <w:t>投资合作机构主要职责是对理财产品受托资金进行投资管理，苏银理财已按投资决策流程对投资合作机构进行了准入，并持续开展投资合作机构的存续期管理。本产品投资合作机构包括：</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883"/>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b/>
                <w:bCs/>
                <w:sz w:val="20"/>
                <w:szCs w:val="20"/>
              </w:rPr>
            </w:pPr>
            <w:r>
              <w:rPr>
                <w:rFonts w:hint="eastAsia" w:ascii="楷体" w:hAnsi="楷体" w:eastAsia="楷体"/>
                <w:b/>
                <w:bCs/>
                <w:sz w:val="20"/>
                <w:szCs w:val="20"/>
              </w:rPr>
              <w:t>序号</w:t>
            </w:r>
          </w:p>
        </w:tc>
        <w:tc>
          <w:tcPr>
            <w:tcW w:w="2883" w:type="dxa"/>
            <w:noWrap w:val="0"/>
            <w:vAlign w:val="top"/>
          </w:tcPr>
          <w:p>
            <w:pPr>
              <w:spacing w:line="0" w:lineRule="atLeast"/>
              <w:jc w:val="center"/>
              <w:rPr>
                <w:rFonts w:ascii="楷体" w:hAnsi="楷体" w:eastAsia="楷体"/>
                <w:b/>
                <w:bCs/>
                <w:sz w:val="20"/>
                <w:szCs w:val="20"/>
              </w:rPr>
            </w:pPr>
            <w:r>
              <w:rPr>
                <w:rFonts w:hint="eastAsia" w:ascii="楷体" w:hAnsi="楷体" w:eastAsia="楷体"/>
                <w:b/>
                <w:bCs/>
                <w:sz w:val="20"/>
                <w:szCs w:val="20"/>
              </w:rPr>
              <w:t>投资合作机构</w:t>
            </w:r>
          </w:p>
        </w:tc>
        <w:tc>
          <w:tcPr>
            <w:tcW w:w="4974" w:type="dxa"/>
            <w:noWrap w:val="0"/>
            <w:vAlign w:val="top"/>
          </w:tcPr>
          <w:p>
            <w:pPr>
              <w:spacing w:line="0" w:lineRule="atLeast"/>
              <w:jc w:val="center"/>
              <w:rPr>
                <w:rFonts w:ascii="楷体" w:hAnsi="楷体" w:eastAsia="楷体"/>
                <w:b/>
                <w:bCs/>
                <w:sz w:val="20"/>
                <w:szCs w:val="20"/>
              </w:rPr>
            </w:pPr>
            <w:r>
              <w:rPr>
                <w:rFonts w:hint="eastAsia" w:ascii="楷体" w:hAnsi="楷体" w:eastAsia="楷体"/>
                <w:b/>
                <w:bCs/>
                <w:sz w:val="20"/>
                <w:szCs w:val="20"/>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1</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弘业期货股份有限公司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弘业期货股份有限公司是经中国证监会批准设立的大型期货公司，总部位于江苏南京，公司在北京、上海、深圳等国内主要金融中心和重点城市设立40多家营业部和分公司。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2</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江苏省国际信托有限责任公司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江苏省国际信托有限责任公司是经江苏省人民政府和中国银行业监督管理委员会批准设立的非银行金融机构，是江苏省国信集团的主要成员企业之一，专业从事金融信托业务。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3</w:t>
            </w:r>
          </w:p>
        </w:tc>
        <w:tc>
          <w:tcPr>
            <w:tcW w:w="2883" w:type="dxa"/>
            <w:noWrap w:val="0"/>
            <w:vAlign w:val="center"/>
          </w:tcPr>
          <w:p>
            <w:pPr>
              <w:spacing w:line="0" w:lineRule="atLeast"/>
              <w:jc w:val="center"/>
              <w:rPr>
                <w:rFonts w:ascii="楷体" w:hAnsi="楷体" w:eastAsia="楷体"/>
                <w:sz w:val="20"/>
                <w:szCs w:val="20"/>
              </w:rPr>
            </w:pPr>
            <w:r>
              <w:rPr>
                <w:rFonts w:ascii="楷体" w:hAnsi="楷体" w:eastAsia="楷体"/>
                <w:sz w:val="20"/>
                <w:szCs w:val="18"/>
              </w:rPr>
              <w:t>创金合信基金管理有限公司</w:t>
            </w:r>
          </w:p>
        </w:tc>
        <w:tc>
          <w:tcPr>
            <w:tcW w:w="4974" w:type="dxa"/>
            <w:noWrap w:val="0"/>
            <w:vAlign w:val="top"/>
          </w:tcPr>
          <w:p>
            <w:pPr>
              <w:spacing w:line="0" w:lineRule="atLeast"/>
              <w:rPr>
                <w:rFonts w:ascii="楷体" w:hAnsi="楷体" w:eastAsia="楷体"/>
                <w:sz w:val="20"/>
                <w:szCs w:val="20"/>
              </w:rPr>
            </w:pPr>
            <w:r>
              <w:rPr>
                <w:rFonts w:ascii="楷体" w:hAnsi="楷体" w:eastAsia="楷体"/>
                <w:sz w:val="20"/>
                <w:szCs w:val="18"/>
              </w:rPr>
              <w:t>创金合信基金管理有限公司成立于2014年7月9日，由第一创业证券股份有限公司、深圳市金合信投资合伙企业（有限合伙）共同发起设立，注册地为深圳。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4</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18"/>
              </w:rPr>
              <w:t>华鑫国际信托有限公司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18"/>
              </w:rPr>
              <w:t>华鑫国际信托有限公司于2010年2月获得中国银行业监督管理委员会批准重新登记，并于同年3月正式挂牌开业，实际控制人为中国华电集团有限公司，注册资本73.95亿元。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5</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中国国际金融股份有限公司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中国国际金融股份有限公司于1995年7月31日成立，实际控制人为中央汇金投资有限责任公司，注册资本4,827,256,868元。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6</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东方财富证券股份有限公司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东方财富证券股份有限公司是东方财富信息股份有限公司旗下的持牌证券公司，总部位于上海，注册资本121亿元。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7</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南华基金管理有限公司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南华基金管理有限公司于2016年10月17日成立，注册资本2.5亿人民币，经营范围为基金募集、基金销售、资产管理、特定客户资产管理和中国证监会许可的其他业务。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8</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广东粤财信托有限公司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广东粤财信托有限公司成立于1985年3月7日，是中国银行保险监督管理委员会核准的国有控股金融机构，注册资本38亿元，股东为广东粤财投资控股有限公司和广东省科技创业投资有限公司。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9</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中国对外经济贸易信托有限公司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中国对外经济贸易信托有限公司成立于1987年9月30日，是中国银行保险监督管理委员会核准的国有控股金融机构，注册资本80亿元，股东为中化资本有限公司和中化集团财务有限责任公司。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10</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中诚信托有限责任公司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中诚信托有限责任公司成立于1995年11月20日，是中国银行保险监督管理委员会核准的国有控股金融机构，注册资本48.5亿元，前三大股东分别为中国人民保险集团股份有限公司、国华能源投资有限公司和山东能源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11</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中信信托有限责任公司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中信信托有限责任公司成立于1988年3月5日，是中国银行保险监督管理委员会核准的国有控股金融机构，注册资本112.76亿元，股东为中国中信金融控股有限公司。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hint="eastAsia" w:ascii="楷体" w:hAnsi="楷体" w:eastAsia="楷体"/>
                <w:sz w:val="20"/>
                <w:szCs w:val="20"/>
                <w:lang w:val="en-US" w:eastAsia="zh-CN"/>
              </w:rPr>
            </w:pPr>
            <w:r>
              <w:rPr>
                <w:rFonts w:hint="eastAsia" w:ascii="楷体" w:hAnsi="楷体" w:eastAsia="楷体"/>
                <w:sz w:val="20"/>
                <w:szCs w:val="20"/>
              </w:rPr>
              <w:t>1</w:t>
            </w:r>
            <w:r>
              <w:rPr>
                <w:rFonts w:hint="eastAsia" w:ascii="楷体" w:hAnsi="楷体" w:eastAsia="楷体"/>
                <w:sz w:val="20"/>
                <w:szCs w:val="20"/>
                <w:lang w:val="en-US" w:eastAsia="zh-CN"/>
              </w:rPr>
              <w:t>2</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安徽国元信托有限责任公司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安徽国元信托有限责任公司成立于2001年12月20日，是中国银行保险监督管理委员会核准的国有控股金融机构，注册资本42亿元，前三大股东分别为安徽国元金融控股集团有限责任公司、中建资本控股有限公司、安徽皖投资产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0" w:lineRule="atLeast"/>
              <w:jc w:val="center"/>
              <w:rPr>
                <w:rFonts w:hint="eastAsia" w:ascii="楷体" w:hAnsi="楷体" w:eastAsia="楷体"/>
                <w:sz w:val="20"/>
                <w:szCs w:val="20"/>
                <w:lang w:val="en-US" w:eastAsia="zh-CN"/>
              </w:rPr>
            </w:pPr>
            <w:r>
              <w:rPr>
                <w:rFonts w:hint="eastAsia" w:ascii="楷体" w:hAnsi="楷体" w:eastAsia="楷体"/>
                <w:sz w:val="20"/>
                <w:szCs w:val="20"/>
              </w:rPr>
              <w:t>1</w:t>
            </w:r>
            <w:r>
              <w:rPr>
                <w:rFonts w:hint="eastAsia" w:ascii="楷体" w:hAnsi="楷体" w:eastAsia="楷体"/>
                <w:sz w:val="20"/>
                <w:szCs w:val="20"/>
                <w:lang w:val="en-US" w:eastAsia="zh-CN"/>
              </w:rPr>
              <w:t>3</w:t>
            </w:r>
          </w:p>
        </w:tc>
        <w:tc>
          <w:tcPr>
            <w:tcW w:w="2883" w:type="dxa"/>
            <w:noWrap w:val="0"/>
            <w:vAlign w:val="center"/>
          </w:tcPr>
          <w:p>
            <w:pPr>
              <w:spacing w:line="0" w:lineRule="atLeast"/>
              <w:jc w:val="center"/>
              <w:rPr>
                <w:rFonts w:ascii="楷体" w:hAnsi="楷体" w:eastAsia="楷体"/>
                <w:sz w:val="20"/>
                <w:szCs w:val="20"/>
              </w:rPr>
            </w:pPr>
            <w:r>
              <w:rPr>
                <w:rFonts w:hint="eastAsia" w:ascii="楷体" w:hAnsi="楷体" w:eastAsia="楷体"/>
                <w:sz w:val="20"/>
                <w:szCs w:val="20"/>
              </w:rPr>
              <w:t>中粮信托有限责任公司</w:t>
            </w:r>
          </w:p>
        </w:tc>
        <w:tc>
          <w:tcPr>
            <w:tcW w:w="4974" w:type="dxa"/>
            <w:noWrap w:val="0"/>
            <w:vAlign w:val="top"/>
          </w:tcPr>
          <w:p>
            <w:pPr>
              <w:spacing w:line="0" w:lineRule="atLeast"/>
              <w:rPr>
                <w:rFonts w:ascii="楷体" w:hAnsi="楷体" w:eastAsia="楷体"/>
                <w:sz w:val="20"/>
                <w:szCs w:val="20"/>
              </w:rPr>
            </w:pPr>
            <w:r>
              <w:rPr>
                <w:rFonts w:hint="eastAsia" w:ascii="楷体" w:hAnsi="楷体" w:eastAsia="楷体"/>
                <w:sz w:val="20"/>
                <w:szCs w:val="20"/>
              </w:rPr>
              <w:t>中粮信托有限责任公司成立于2009年7月27日，是中国银行保险监督管理委员会核准的国有控股金融机构，注册资本28.3095亿元，前三大股东分别为中粮资本投资有限公司、蒙特利尔银行、中粮财务有限责任公司。</w:t>
            </w:r>
          </w:p>
        </w:tc>
      </w:tr>
    </w:tbl>
    <w:p>
      <w:pPr>
        <w:ind w:firstLine="480" w:firstLineChars="200"/>
        <w:rPr>
          <w:rFonts w:ascii="楷体" w:hAnsi="楷体" w:eastAsia="楷体"/>
          <w:sz w:val="24"/>
          <w:szCs w:val="24"/>
        </w:rPr>
      </w:pPr>
      <w:r>
        <w:rPr>
          <w:rFonts w:hint="eastAsia" w:ascii="楷体" w:hAnsi="楷体" w:eastAsia="楷体"/>
          <w:sz w:val="24"/>
          <w:szCs w:val="24"/>
        </w:rPr>
        <w:t>产品存续期内合作机构如有变化，管理人将按照监管规定和内部管理制度要求对合作机构进行准入，签署相关协议后，</w:t>
      </w:r>
      <w:r>
        <w:rPr>
          <w:rFonts w:hint="eastAsia" w:ascii="楷体" w:hAnsi="楷体" w:eastAsia="楷体"/>
          <w:sz w:val="24"/>
          <w:szCs w:val="24"/>
          <w:lang w:val="en-US" w:eastAsia="zh-CN"/>
        </w:rPr>
        <w:t>披露</w:t>
      </w:r>
      <w:r>
        <w:rPr>
          <w:rFonts w:hint="eastAsia" w:ascii="楷体" w:hAnsi="楷体" w:eastAsia="楷体"/>
          <w:sz w:val="24"/>
          <w:szCs w:val="24"/>
        </w:rPr>
        <w:t>新增</w:t>
      </w:r>
      <w:r>
        <w:rPr>
          <w:rFonts w:hint="eastAsia" w:ascii="楷体" w:hAnsi="楷体" w:eastAsia="楷体"/>
          <w:sz w:val="24"/>
          <w:szCs w:val="24"/>
          <w:lang w:val="en-US" w:eastAsia="zh-CN"/>
        </w:rPr>
        <w:t>的</w:t>
      </w:r>
      <w:r>
        <w:rPr>
          <w:rFonts w:hint="eastAsia" w:ascii="楷体" w:hAnsi="楷体" w:eastAsia="楷体"/>
          <w:sz w:val="24"/>
          <w:szCs w:val="24"/>
        </w:rPr>
        <w:t>投资合作机构。</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名词释义</w:t>
      </w:r>
    </w:p>
    <w:p>
      <w:pPr>
        <w:ind w:firstLine="480" w:firstLineChars="200"/>
        <w:rPr>
          <w:rFonts w:ascii="楷体" w:hAnsi="楷体" w:eastAsia="楷体"/>
          <w:sz w:val="24"/>
          <w:szCs w:val="24"/>
        </w:rPr>
      </w:pPr>
      <w:r>
        <w:rPr>
          <w:rFonts w:hint="eastAsia" w:ascii="楷体" w:hAnsi="楷体" w:eastAsia="楷体"/>
          <w:sz w:val="24"/>
          <w:szCs w:val="24"/>
        </w:rPr>
        <w:t>在本理财产品说明书中，除非上下文另有明确约定，下列用词将具有如下含义：</w:t>
      </w:r>
    </w:p>
    <w:p>
      <w:pPr>
        <w:numPr>
          <w:ilvl w:val="0"/>
          <w:numId w:val="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参与主体用语</w:t>
      </w:r>
    </w:p>
    <w:p>
      <w:pPr>
        <w:numPr>
          <w:ilvl w:val="0"/>
          <w:numId w:val="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★管理人/产品管理人/理财产品管理人：指苏银理财有限责任公司（本文简称“苏银理财”）。</w:t>
      </w:r>
    </w:p>
    <w:p>
      <w:pPr>
        <w:numPr>
          <w:ilvl w:val="0"/>
          <w:numId w:val="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托管人/产品托管人：指江苏银行股份有限公司（本文简称“江苏银行”）。江苏银行具备理财产品托管资格。托管人负责履行安全保管理财产品资金及其所投资的资产，办理清算、交割事宜，与管理人对账，监督理财产品投资运作等职责。</w:t>
      </w:r>
    </w:p>
    <w:p>
      <w:pPr>
        <w:numPr>
          <w:ilvl w:val="0"/>
          <w:numId w:val="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代销机构/销售机构：指符合《关于规范金融机构资产管理业务的指导意见》、《商业银行理财业务监督管理办法》、《商业银行理财子公司管理办法》、《理财公司理财产品销售管理暂行办法》和金融监管总局规定的其他条件，取得理财产品销售资格并与管理人签订了销售服务代理协议，代为办理销售业务的机构。代销机构接受产品管理人的委托，在该机构渠道向投资者宣传推介、销售产品管理人依法发行的资产管理产品的活动。其中，“销售”是指向投资者宣传推介资产管理产品，办理产品申购、赎回的活动。</w:t>
      </w:r>
    </w:p>
    <w:p>
      <w:pPr>
        <w:numPr>
          <w:ilvl w:val="0"/>
          <w:numId w:val="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监管机构：指有权对本理财产品管理人及相关合作机构实施监督管理的机构，包括但不限于中国人民银行、金融监管总局、中国证券监督管理委员会、外汇管理局、银行业理财登记托管中心等。</w:t>
      </w:r>
    </w:p>
    <w:p>
      <w:pPr>
        <w:numPr>
          <w:ilvl w:val="0"/>
          <w:numId w:val="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投资合作机构：包括但不限于理财产品所投资资产管理产品的发行机构、根据合同约定从事理财产品受托投资的机构以及与理财产品投资管理相关的投资顾问等；主要职责为进行受托资金的投资管理，根据合同约定从事受托投资或提供投资顾问等服务，具体职责以管理人与投资合作机构签署的合同为准。</w:t>
      </w:r>
    </w:p>
    <w:p>
      <w:pPr>
        <w:numPr>
          <w:ilvl w:val="0"/>
          <w:numId w:val="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投资者：指符合相关法律法规、监管规定要求的，可以购买理财产品份额的自然人和法人。</w:t>
      </w:r>
    </w:p>
    <w:p>
      <w:pPr>
        <w:numPr>
          <w:ilvl w:val="0"/>
          <w:numId w:val="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理财产品用语</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w:t>
      </w:r>
      <w:r>
        <w:rPr>
          <w:rFonts w:ascii="楷体" w:hAnsi="楷体" w:eastAsia="楷体" w:cs="Calibri"/>
          <w:sz w:val="24"/>
          <w:szCs w:val="24"/>
        </w:rPr>
        <w:t>/</w:t>
      </w:r>
      <w:r>
        <w:rPr>
          <w:rFonts w:hint="eastAsia" w:ascii="楷体" w:hAnsi="楷体" w:eastAsia="楷体" w:cs="Calibri"/>
          <w:sz w:val="24"/>
          <w:szCs w:val="24"/>
        </w:rPr>
        <w:t>产品：指苏银理财按照约定条件和实际投资收益情况向投资者支付收益、不保证本金支付和收益水平的非保本理财产品。</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本理财产品</w:t>
      </w:r>
      <w:r>
        <w:rPr>
          <w:rFonts w:ascii="楷体" w:hAnsi="楷体" w:eastAsia="楷体" w:cs="Calibri"/>
          <w:sz w:val="24"/>
          <w:szCs w:val="24"/>
        </w:rPr>
        <w:t>/</w:t>
      </w:r>
      <w:r>
        <w:rPr>
          <w:rFonts w:hint="eastAsia" w:ascii="楷体" w:hAnsi="楷体" w:eastAsia="楷体" w:cs="Calibri"/>
          <w:sz w:val="24"/>
          <w:szCs w:val="24"/>
        </w:rPr>
        <w:t>本产品：指“苏银理财</w:t>
      </w:r>
      <w:r>
        <w:rPr>
          <w:rFonts w:hint="eastAsia" w:ascii="楷体" w:hAnsi="楷体" w:eastAsia="楷体" w:cs="Calibri"/>
          <w:sz w:val="24"/>
          <w:szCs w:val="24"/>
          <w:lang w:eastAsia="zh-CN"/>
        </w:rPr>
        <w:t>恒源封闭债权170期优选款</w:t>
      </w:r>
      <w:r>
        <w:rPr>
          <w:rFonts w:hint="eastAsia" w:ascii="楷体" w:hAnsi="楷体" w:eastAsia="楷体" w:cs="Calibri"/>
          <w:sz w:val="24"/>
          <w:szCs w:val="24"/>
        </w:rPr>
        <w:t>”理财产品。</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理财产品登记编码：指本款理财产品在全国银行业理财信息登记系统中的编码，投资者可在中国理财网进行查询该编码。</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理财产品代码/产品代码：指本款理财产品在全国银行业理财信息登记系统中登记的内部识别码。</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理财产品销售代码/销售代码：指本款理财产品可能存在不同产品份额类别，管理人在理财产品销售管理过程中为区分不同产品份额类别，在同一理财产品代码项下设置的内部识别码。</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理财产品份额：指投资者持有本理财产品的单位数额。投资者基于其所持有的理财产品单位数额享有理财产品利益、承担理财产品风险。</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理财产品资产净值/理财资产净值/产品资产净值：产品资产净值=产品资产总值-产品负债总值。</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产品资产总值：指产品拥有的各类有价证券、银行存款、应收款项及其他资产的价值总和。</w:t>
      </w:r>
    </w:p>
    <w:p>
      <w:pPr>
        <w:numPr>
          <w:ilvl w:val="0"/>
          <w:numId w:val="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产品负债总值：指产品运作及融资时形成的负债价值总和，包括融资资金本息、应付各项费用（包括托管费、销售</w:t>
      </w:r>
      <w:r>
        <w:rPr>
          <w:rFonts w:ascii="楷体" w:hAnsi="楷体" w:eastAsia="楷体" w:cs="Calibri"/>
          <w:sz w:val="24"/>
          <w:szCs w:val="24"/>
        </w:rPr>
        <w:t>服务费、</w:t>
      </w:r>
      <w:r>
        <w:rPr>
          <w:rFonts w:hint="eastAsia" w:ascii="楷体" w:hAnsi="楷体" w:eastAsia="楷体" w:cs="Calibri"/>
          <w:sz w:val="24"/>
          <w:szCs w:val="24"/>
        </w:rPr>
        <w:t>投资管理费、超额业绩报酬、其他费用等）、应付税金及其他应付款项等。</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份额单位净值/理财产品单位净值/单位净值：指理财产品份额的单位净值，即每1份理财产品份额以人民币计价的价格。理财产品单位净值=理财资产净值/产品总份额。投资者按该份额单位净值进行理财产品申购、赎回和终止时分配。</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理财产品估值：指计算评估理财产品资产和负债以确定理财产品单位净值的过程。</w:t>
      </w:r>
    </w:p>
    <w:p>
      <w:pPr>
        <w:numPr>
          <w:ilvl w:val="0"/>
          <w:numId w:val="6"/>
        </w:numPr>
        <w:tabs>
          <w:tab w:val="left" w:pos="851"/>
        </w:tabs>
        <w:ind w:left="0" w:firstLine="482" w:firstLineChars="200"/>
        <w:rPr>
          <w:rFonts w:ascii="楷体" w:hAnsi="楷体" w:eastAsia="楷体" w:cs="Calibri"/>
          <w:b/>
          <w:sz w:val="24"/>
          <w:szCs w:val="24"/>
        </w:rPr>
      </w:pPr>
      <w:r>
        <w:rPr>
          <w:rFonts w:hint="eastAsia" w:ascii="楷体" w:hAnsi="楷体" w:eastAsia="楷体" w:cs="Calibri"/>
          <w:b/>
          <w:sz w:val="24"/>
          <w:szCs w:val="24"/>
        </w:rPr>
        <w:t>★业绩比较基准：指管理人基于过往投资经验及对产品存续期投资市场波动的预判而对本产品所设定的投资目标。业绩比较基准不代表理财产品未来表现，不等于理财产品实际收益，不作为产品收益的业绩保证，投资须谨慎。</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利益/理财利益：指投资者因持有理财产品份额，按照销售文件约定取得或有权取得的理财产品管理人分配的理财产品资产。在理财产品对外投资资产正常回收的情况下，理财产品利益包括理财产品本金及理财产品收益。</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本金/理财本金：指就每一投资者而言，指投资者为认购/申购理财产品份额而向理财产品管理人交付的货币资金，即投资者的初始投资本金。就每一理财产品份额而言，在本理财产品成立时每一理财产品份额的初始投资本金为1元。为避免疑义，理财产品本金的称谓仅为方便计算理财产品利益而创设的，并非对投资者理财产品本金不受损失的承诺。</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★理财产品收益/理财收益：指投资者投资理财产品获得的投资收益，该收益为其获得分配的全部理财产品利益中扣除理财产品本金的部分。</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认购：指投资者根据产品说明书约定在募集期内申请购买本产品理财产品份额的行为。</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投资者资金账户：指投资者开立的银行账户，理财产品投资交易的资金遵循同卡进出原则，通过银行卡A认购/申购理财产品的资金，赎回或到期资金只能划转至银行卡A。</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法律法规或监管机构另有规定的，从其规定。</w:t>
      </w:r>
    </w:p>
    <w:p>
      <w:pPr>
        <w:numPr>
          <w:ilvl w:val="0"/>
          <w:numId w:val="6"/>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期间与日期</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工作日：指国家法定工作日。</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交易日：</w:t>
      </w:r>
      <w:r>
        <w:rPr>
          <w:rFonts w:ascii="楷体" w:hAnsi="楷体" w:eastAsia="楷体" w:cs="Calibri"/>
          <w:sz w:val="24"/>
          <w:szCs w:val="24"/>
        </w:rPr>
        <w:t>指上海证券交易所和深圳证券交易所的正常开盘交易日</w:t>
      </w:r>
      <w:r>
        <w:rPr>
          <w:rFonts w:hint="eastAsia" w:ascii="楷体" w:hAnsi="楷体" w:eastAsia="楷体" w:cs="Calibri"/>
          <w:sz w:val="24"/>
          <w:szCs w:val="24"/>
        </w:rPr>
        <w:t>。</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成立日：指本产品开始运作的日期。</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份额登记日/份额确认日：指管理人对投资者提交的认购申请进行份额登记的日期。</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终止日/到期日：指本产品终止的日期。</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估值日：指产品管理人对理财产品项下资产进行估值的日期。</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兑付日：指投资者理财资金到达投资者资金账户的日期。</w:t>
      </w:r>
    </w:p>
    <w:p>
      <w:pPr>
        <w:numPr>
          <w:ilvl w:val="0"/>
          <w:numId w:val="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募集期：指理财产品成立前，理财产品管理人接受理财产品认购的时间。</w:t>
      </w:r>
    </w:p>
    <w:p>
      <w:pPr>
        <w:numPr>
          <w:ilvl w:val="0"/>
          <w:numId w:val="7"/>
        </w:numPr>
        <w:tabs>
          <w:tab w:val="left" w:pos="851"/>
        </w:tabs>
        <w:ind w:left="0" w:firstLine="480" w:firstLineChars="200"/>
        <w:rPr>
          <w:rFonts w:ascii="楷体" w:hAnsi="楷体" w:eastAsia="楷体" w:cs="Calibri"/>
          <w:sz w:val="24"/>
          <w:szCs w:val="24"/>
        </w:rPr>
      </w:pPr>
      <w:r>
        <w:rPr>
          <w:rFonts w:hint="eastAsia" w:ascii="楷体" w:hAnsi="楷体" w:eastAsia="楷体" w:cs="Calibri"/>
          <w:sz w:val="24"/>
          <w:szCs w:val="24"/>
        </w:rPr>
        <w:t>产品存续期：指自理财产品成立日起，至理财产品终止日的期间。</w:t>
      </w:r>
    </w:p>
    <w:p>
      <w:pPr>
        <w:numPr>
          <w:ilvl w:val="0"/>
          <w:numId w:val="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其他</w:t>
      </w:r>
    </w:p>
    <w:p>
      <w:pPr>
        <w:numPr>
          <w:ilvl w:val="0"/>
          <w:numId w:val="8"/>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元：指人民币元。</w:t>
      </w:r>
    </w:p>
    <w:p>
      <w:pPr>
        <w:numPr>
          <w:ilvl w:val="0"/>
          <w:numId w:val="8"/>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适用法律：指在理财销售文件签署日和履行过程中，中国（不包括香港特别行政区、澳门特别行政区和台湾地区）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numPr>
          <w:ilvl w:val="0"/>
          <w:numId w:val="8"/>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不可抗力：指理财产品合同各方当事人所不能预见、不能避免且不能克服的客观情况，使得任何一方当事人无法及时履行理财合同的全部或部分义务，该类事件包括但不限于：</w:t>
      </w:r>
    </w:p>
    <w:p>
      <w:pPr>
        <w:numPr>
          <w:ilvl w:val="0"/>
          <w:numId w:val="9"/>
        </w:numPr>
        <w:tabs>
          <w:tab w:val="left" w:pos="728"/>
        </w:tabs>
        <w:ind w:left="420" w:leftChars="200"/>
        <w:rPr>
          <w:rFonts w:ascii="楷体" w:hAnsi="楷体" w:eastAsia="楷体" w:cs="Calibri"/>
          <w:sz w:val="24"/>
          <w:szCs w:val="24"/>
        </w:rPr>
      </w:pPr>
      <w:r>
        <w:rPr>
          <w:rFonts w:hint="eastAsia" w:ascii="楷体" w:hAnsi="楷体" w:eastAsia="楷体" w:cs="Calibri"/>
          <w:sz w:val="24"/>
          <w:szCs w:val="24"/>
        </w:rPr>
        <w:t>地震、海啸、台风、洪水、火灾、停电、严重传染病等；</w:t>
      </w:r>
    </w:p>
    <w:p>
      <w:pPr>
        <w:numPr>
          <w:ilvl w:val="0"/>
          <w:numId w:val="9"/>
        </w:numPr>
        <w:tabs>
          <w:tab w:val="left" w:pos="728"/>
        </w:tabs>
        <w:ind w:left="420" w:leftChars="200"/>
        <w:rPr>
          <w:rFonts w:ascii="楷体" w:hAnsi="楷体" w:eastAsia="楷体" w:cs="Calibri"/>
          <w:sz w:val="24"/>
          <w:szCs w:val="24"/>
        </w:rPr>
      </w:pPr>
      <w:r>
        <w:rPr>
          <w:rFonts w:hint="eastAsia" w:ascii="楷体" w:hAnsi="楷体" w:eastAsia="楷体" w:cs="Calibri"/>
          <w:sz w:val="24"/>
          <w:szCs w:val="24"/>
        </w:rPr>
        <w:t>战争、政变、恐怖主义、骚乱、罢工等；</w:t>
      </w:r>
    </w:p>
    <w:p>
      <w:pPr>
        <w:tabs>
          <w:tab w:val="left" w:pos="728"/>
        </w:tabs>
        <w:ind w:firstLine="408" w:firstLineChars="170"/>
        <w:rPr>
          <w:rFonts w:ascii="楷体" w:hAnsi="楷体" w:eastAsia="楷体" w:cs="Calibri"/>
          <w:sz w:val="24"/>
          <w:szCs w:val="24"/>
        </w:rPr>
      </w:pPr>
      <w:r>
        <w:rPr>
          <w:rFonts w:hint="eastAsia" w:ascii="楷体" w:hAnsi="楷体" w:eastAsia="楷体" w:cs="Calibri"/>
          <w:sz w:val="24"/>
          <w:szCs w:val="24"/>
        </w:rPr>
        <w:t>（3）新的法律法规、国家政策颁布实施导致原适用的法律法规、国家政策失效；</w:t>
      </w:r>
    </w:p>
    <w:p>
      <w:pPr>
        <w:tabs>
          <w:tab w:val="left" w:pos="728"/>
        </w:tabs>
        <w:ind w:firstLine="408" w:firstLineChars="170"/>
        <w:rPr>
          <w:rFonts w:ascii="楷体" w:hAnsi="楷体" w:eastAsia="楷体" w:cs="Calibri"/>
          <w:sz w:val="24"/>
          <w:szCs w:val="24"/>
        </w:rPr>
      </w:pPr>
      <w:r>
        <w:rPr>
          <w:rFonts w:hint="eastAsia" w:ascii="楷体" w:hAnsi="楷体" w:eastAsia="楷体" w:cs="Calibri"/>
          <w:sz w:val="24"/>
          <w:szCs w:val="24"/>
        </w:rPr>
        <w:t>（4）因不可归咎于理财产品合同当事人的事由，金融监管机构强制要求终止该理财产品；</w:t>
      </w:r>
    </w:p>
    <w:p>
      <w:pPr>
        <w:tabs>
          <w:tab w:val="left" w:pos="728"/>
        </w:tabs>
        <w:ind w:firstLine="408" w:firstLineChars="170"/>
        <w:rPr>
          <w:rFonts w:ascii="楷体" w:hAnsi="楷体" w:eastAsia="楷体" w:cs="Calibri"/>
          <w:sz w:val="24"/>
          <w:szCs w:val="24"/>
        </w:rPr>
      </w:pPr>
      <w:r>
        <w:rPr>
          <w:rFonts w:hint="eastAsia" w:ascii="楷体" w:hAnsi="楷体" w:eastAsia="楷体" w:cs="Calibri"/>
          <w:sz w:val="24"/>
          <w:szCs w:val="24"/>
        </w:rPr>
        <w:t>（5）网络系统遭受攻击、电信部门技术调整或故障等原因导致的服务中断和延迟等。</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风险评级</w:t>
      </w:r>
    </w:p>
    <w:p>
      <w:pPr>
        <w:ind w:firstLine="480" w:firstLineChars="200"/>
        <w:rPr>
          <w:rFonts w:ascii="楷体" w:hAnsi="楷体" w:eastAsia="楷体"/>
          <w:sz w:val="24"/>
          <w:szCs w:val="24"/>
        </w:rPr>
      </w:pPr>
      <w:r>
        <w:rPr>
          <w:rFonts w:hint="eastAsia" w:ascii="楷体" w:hAnsi="楷体" w:eastAsia="楷体"/>
          <w:sz w:val="24"/>
          <w:szCs w:val="24"/>
        </w:rPr>
        <w:t>本理财产品经苏银理财内部风险评级为</w:t>
      </w:r>
      <w:r>
        <w:rPr>
          <w:rFonts w:hint="eastAsia" w:ascii="楷体" w:hAnsi="楷体" w:eastAsia="楷体"/>
          <w:b/>
          <w:sz w:val="24"/>
          <w:szCs w:val="24"/>
          <w:u w:val="single"/>
        </w:rPr>
        <w:t>★★二级，适合中低风险型投资者，适合投资策略为稳健发展的投资者</w:t>
      </w:r>
      <w:r>
        <w:rPr>
          <w:rFonts w:hint="eastAsia" w:ascii="楷体" w:hAnsi="楷体" w:eastAsia="楷体"/>
          <w:sz w:val="24"/>
          <w:szCs w:val="24"/>
        </w:rPr>
        <w:t>。本评级为苏银理财有限责任公司内部评级，由苏银理财根据理财产品的投资组合、同类产品过往业绩和风险状况等因素，对理财产品进行评级，仅供客户参考。</w:t>
      </w:r>
    </w:p>
    <w:p>
      <w:pPr>
        <w:ind w:firstLine="480" w:firstLineChars="200"/>
        <w:rPr>
          <w:rFonts w:ascii="楷体" w:hAnsi="楷体" w:eastAsia="楷体"/>
          <w:sz w:val="24"/>
          <w:szCs w:val="24"/>
        </w:rPr>
      </w:pPr>
      <w:r>
        <w:rPr>
          <w:rFonts w:hint="eastAsia" w:ascii="楷体" w:hAnsi="楷体" w:eastAsia="楷体"/>
          <w:sz w:val="24"/>
          <w:szCs w:val="24"/>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p>
    <w:p>
      <w:pPr>
        <w:ind w:firstLine="482" w:firstLineChars="200"/>
        <w:rPr>
          <w:rFonts w:ascii="楷体" w:hAnsi="楷体" w:eastAsia="楷体"/>
          <w:b/>
          <w:sz w:val="24"/>
          <w:szCs w:val="24"/>
          <w:u w:val="single"/>
        </w:rPr>
      </w:pPr>
      <w:r>
        <w:rPr>
          <w:rFonts w:hint="eastAsia" w:ascii="楷体" w:hAnsi="楷体" w:eastAsia="楷体"/>
          <w:b/>
          <w:bCs/>
          <w:sz w:val="24"/>
          <w:szCs w:val="24"/>
          <w:u w:val="single"/>
        </w:rPr>
        <w:t>如本产品通过代理销售机构渠道销售，</w:t>
      </w:r>
      <w:r>
        <w:rPr>
          <w:rFonts w:hint="eastAsia" w:ascii="楷体" w:hAnsi="楷体" w:eastAsia="楷体"/>
          <w:b/>
          <w:sz w:val="24"/>
          <w:szCs w:val="24"/>
          <w:u w:val="single"/>
        </w:rPr>
        <w:t>理财产品评级以代理销售机构最终披露的评级结果为准。</w:t>
      </w:r>
    </w:p>
    <w:p>
      <w:pPr>
        <w:ind w:firstLine="480" w:firstLineChars="200"/>
        <w:rPr>
          <w:rFonts w:ascii="楷体" w:hAnsi="楷体" w:eastAsia="楷体"/>
          <w:b/>
          <w:sz w:val="24"/>
          <w:szCs w:val="24"/>
          <w:u w:val="single"/>
        </w:rPr>
      </w:pPr>
      <w:r>
        <w:rPr>
          <w:rFonts w:hint="eastAsia" w:ascii="楷体" w:hAnsi="楷体" w:eastAsia="楷体"/>
          <w:sz w:val="24"/>
          <w:szCs w:val="24"/>
        </w:rPr>
        <w:t>销售机构负责完成投资者风险承受能力评估，并在遵循投资者适当性原则的前提下进行本理财产品的销售活动。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842"/>
        <w:gridCol w:w="226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143"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风险星级</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风险级别</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适合的投资者类别</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43" w:type="dxa"/>
            <w:tcBorders>
              <w:bottom w:val="single" w:color="auto" w:sz="4" w:space="0"/>
            </w:tcBorders>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tcBorders>
              <w:bottom w:val="single" w:color="auto" w:sz="4" w:space="0"/>
            </w:tcBorders>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一级（PR1）</w:t>
            </w:r>
          </w:p>
        </w:tc>
        <w:tc>
          <w:tcPr>
            <w:tcW w:w="2268" w:type="dxa"/>
            <w:tcBorders>
              <w:bottom w:val="single" w:color="auto" w:sz="4" w:space="0"/>
            </w:tcBorders>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低风险型</w:t>
            </w:r>
          </w:p>
        </w:tc>
        <w:tc>
          <w:tcPr>
            <w:tcW w:w="2084" w:type="dxa"/>
            <w:tcBorders>
              <w:bottom w:val="single" w:color="auto" w:sz="4" w:space="0"/>
            </w:tcBorders>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noWrap w:val="0"/>
            <w:vAlign w:val="bottom"/>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w:t>
            </w:r>
          </w:p>
        </w:tc>
        <w:tc>
          <w:tcPr>
            <w:tcW w:w="1842" w:type="dxa"/>
            <w:noWrap w:val="0"/>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二级（PR2）</w:t>
            </w:r>
          </w:p>
        </w:tc>
        <w:tc>
          <w:tcPr>
            <w:tcW w:w="2268" w:type="dxa"/>
            <w:noWrap w:val="0"/>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中低风险型</w:t>
            </w:r>
          </w:p>
        </w:tc>
        <w:tc>
          <w:tcPr>
            <w:tcW w:w="2084" w:type="dxa"/>
            <w:noWrap w:val="0"/>
            <w:vAlign w:val="center"/>
          </w:tcPr>
          <w:p>
            <w:pPr>
              <w:autoSpaceDE w:val="0"/>
              <w:autoSpaceDN w:val="0"/>
              <w:adjustRightInd w:val="0"/>
              <w:jc w:val="center"/>
              <w:rPr>
                <w:rFonts w:ascii="楷体" w:hAnsi="楷体" w:eastAsia="楷体" w:cs="浠垮畫"/>
                <w:b/>
                <w:kern w:val="0"/>
                <w:sz w:val="24"/>
                <w:szCs w:val="24"/>
              </w:rPr>
            </w:pPr>
            <w:r>
              <w:rPr>
                <w:rFonts w:hint="eastAsia" w:ascii="楷体" w:hAnsi="楷体" w:eastAsia="楷体" w:cs="浠垮畫"/>
                <w:b/>
                <w:kern w:val="0"/>
                <w:sz w:val="24"/>
                <w:szCs w:val="24"/>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三级（PR3）</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中风险型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四级（PR4）</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中高风险型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43" w:type="dxa"/>
            <w:noWrap w:val="0"/>
            <w:vAlign w:val="bottom"/>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w:t>
            </w:r>
          </w:p>
        </w:tc>
        <w:tc>
          <w:tcPr>
            <w:tcW w:w="1842"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五级（PR5）</w:t>
            </w:r>
          </w:p>
        </w:tc>
        <w:tc>
          <w:tcPr>
            <w:tcW w:w="2268"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高风险型</w:t>
            </w:r>
          </w:p>
        </w:tc>
        <w:tc>
          <w:tcPr>
            <w:tcW w:w="2084" w:type="dxa"/>
            <w:noWrap w:val="0"/>
            <w:vAlign w:val="center"/>
          </w:tcPr>
          <w:p>
            <w:pPr>
              <w:autoSpaceDE w:val="0"/>
              <w:autoSpaceDN w:val="0"/>
              <w:adjustRightInd w:val="0"/>
              <w:jc w:val="center"/>
              <w:rPr>
                <w:rFonts w:ascii="楷体" w:hAnsi="楷体" w:eastAsia="楷体" w:cs="浠垮畫"/>
                <w:kern w:val="0"/>
                <w:sz w:val="24"/>
                <w:szCs w:val="24"/>
              </w:rPr>
            </w:pPr>
            <w:r>
              <w:rPr>
                <w:rFonts w:hint="eastAsia" w:ascii="楷体" w:hAnsi="楷体" w:eastAsia="楷体" w:cs="浠垮畫"/>
                <w:kern w:val="0"/>
                <w:sz w:val="24"/>
                <w:szCs w:val="24"/>
              </w:rPr>
              <w:t>风险承受</w:t>
            </w:r>
          </w:p>
        </w:tc>
      </w:tr>
    </w:tbl>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投资管理</w:t>
      </w:r>
    </w:p>
    <w:p>
      <w:pPr>
        <w:numPr>
          <w:ilvl w:val="0"/>
          <w:numId w:val="10"/>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投资范围和比例</w:t>
      </w:r>
    </w:p>
    <w:p>
      <w:pPr>
        <w:ind w:firstLine="480" w:firstLineChars="200"/>
        <w:rPr>
          <w:rFonts w:ascii="楷体" w:hAnsi="楷体" w:eastAsia="楷体"/>
          <w:sz w:val="24"/>
          <w:szCs w:val="24"/>
        </w:rPr>
      </w:pPr>
      <w:r>
        <w:rPr>
          <w:rFonts w:hint="eastAsia" w:ascii="楷体" w:hAnsi="楷体" w:eastAsia="楷体"/>
          <w:sz w:val="24"/>
          <w:szCs w:val="24"/>
        </w:rPr>
        <w:t>本理财产品直接或间接投资于货币市场工具、债券、非标准化债权类资产和监管机构允许投资的其他资产（如纳入权益类资产核算的永续债等，不含金融衍生品）。具体资产投资比例为：货币市场工具、债券、非标准化债权类资产等固定收益类资产占产品资产总值比例80%-100%，其中非标准化债权类资产合计投资比例不高于产品净资产50%，非标准化债权类资产底层资产仅为消费类贷款债权资产；符合监管要求的其他资产占产品资产总值比例0%-20%。</w:t>
      </w:r>
    </w:p>
    <w:p>
      <w:pPr>
        <w:ind w:firstLine="480" w:firstLineChars="200"/>
        <w:rPr>
          <w:rFonts w:ascii="楷体" w:hAnsi="楷体" w:eastAsia="楷体"/>
          <w:bCs/>
          <w:sz w:val="24"/>
          <w:szCs w:val="24"/>
        </w:rPr>
      </w:pPr>
      <w:r>
        <w:rPr>
          <w:rFonts w:hint="eastAsia" w:ascii="楷体" w:hAnsi="楷体" w:eastAsia="楷体"/>
          <w:bCs/>
          <w:sz w:val="24"/>
          <w:szCs w:val="24"/>
        </w:rPr>
        <w:t>本产品计划配置以下</w:t>
      </w:r>
      <w:r>
        <w:rPr>
          <w:rFonts w:ascii="楷体" w:hAnsi="楷体" w:eastAsia="楷体"/>
          <w:bCs/>
          <w:sz w:val="24"/>
          <w:szCs w:val="24"/>
        </w:rPr>
        <w:t>备选</w:t>
      </w:r>
      <w:r>
        <w:rPr>
          <w:rFonts w:hint="eastAsia" w:ascii="楷体" w:hAnsi="楷体" w:eastAsia="楷体"/>
          <w:bCs/>
          <w:sz w:val="24"/>
          <w:szCs w:val="24"/>
        </w:rPr>
        <w:t>非标准化债权类资产：</w:t>
      </w:r>
    </w:p>
    <w:p>
      <w:pPr>
        <w:numPr>
          <w:ilvl w:val="0"/>
          <w:numId w:val="11"/>
        </w:numPr>
        <w:ind w:firstLine="480" w:firstLineChars="200"/>
        <w:rPr>
          <w:rFonts w:hint="eastAsia" w:ascii="楷体" w:hAnsi="楷体" w:eastAsia="楷体" w:cs="楷体"/>
          <w:sz w:val="24"/>
          <w:szCs w:val="24"/>
        </w:rPr>
      </w:pPr>
      <w:r>
        <w:rPr>
          <w:rFonts w:hint="eastAsia" w:ascii="楷体" w:hAnsi="楷体" w:eastAsia="楷体" w:cs="楷体"/>
          <w:sz w:val="24"/>
          <w:szCs w:val="24"/>
        </w:rPr>
        <w:t>信托贷款：资产类型为信托公司设立的资金信托计划，底层资产为蚂蚁及信托公司双重审核、信托公司自主风控后发放的个人贷款债权，资产到期日不超过理财产品</w:t>
      </w:r>
      <w:r>
        <w:rPr>
          <w:rFonts w:hint="eastAsia" w:ascii="楷体" w:hAnsi="楷体" w:eastAsia="楷体" w:cs="楷体"/>
          <w:sz w:val="24"/>
          <w:szCs w:val="24"/>
          <w:lang w:val="en-US" w:eastAsia="zh-CN"/>
        </w:rPr>
        <w:t>到期日</w:t>
      </w:r>
      <w:r>
        <w:rPr>
          <w:rFonts w:hint="eastAsia" w:ascii="楷体" w:hAnsi="楷体" w:eastAsia="楷体" w:cs="楷体"/>
          <w:sz w:val="24"/>
          <w:szCs w:val="24"/>
        </w:rPr>
        <w:t>。</w:t>
      </w:r>
    </w:p>
    <w:p>
      <w:pPr>
        <w:numPr>
          <w:ilvl w:val="0"/>
          <w:numId w:val="11"/>
        </w:numPr>
        <w:ind w:firstLine="480" w:firstLineChars="200"/>
        <w:rPr>
          <w:rFonts w:hint="eastAsia" w:ascii="楷体" w:hAnsi="楷体" w:eastAsia="楷体" w:cs="楷体"/>
          <w:sz w:val="24"/>
          <w:szCs w:val="24"/>
        </w:rPr>
      </w:pPr>
      <w:r>
        <w:rPr>
          <w:rFonts w:hint="eastAsia" w:ascii="楷体" w:hAnsi="楷体" w:eastAsia="楷体" w:cs="楷体"/>
          <w:sz w:val="24"/>
          <w:szCs w:val="24"/>
        </w:rPr>
        <w:t>信托贷款：资产类型为信托公司设立的资金信托计划，底层资产为微信及信托公司双重审核、信托公司自主风控后发放的个人贷款债权，资产到期日不超过</w:t>
      </w:r>
      <w:r>
        <w:rPr>
          <w:rFonts w:hint="eastAsia" w:ascii="楷体" w:hAnsi="楷体" w:eastAsia="楷体" w:cs="楷体"/>
          <w:kern w:val="2"/>
          <w:sz w:val="24"/>
          <w:szCs w:val="24"/>
          <w:lang w:val="en-US" w:eastAsia="zh-CN" w:bidi="ar-SA"/>
        </w:rPr>
        <w:t>理财产品到期日</w:t>
      </w:r>
      <w:r>
        <w:rPr>
          <w:rFonts w:hint="eastAsia" w:ascii="楷体" w:hAnsi="楷体" w:eastAsia="楷体" w:cs="楷体"/>
          <w:sz w:val="24"/>
          <w:szCs w:val="24"/>
        </w:rPr>
        <w:t>。</w:t>
      </w:r>
    </w:p>
    <w:p>
      <w:pPr>
        <w:numPr>
          <w:ilvl w:val="0"/>
          <w:numId w:val="11"/>
        </w:numPr>
        <w:ind w:firstLine="480" w:firstLineChars="200"/>
        <w:rPr>
          <w:rFonts w:hint="eastAsia" w:ascii="楷体" w:hAnsi="楷体" w:eastAsia="楷体" w:cs="楷体"/>
          <w:sz w:val="24"/>
          <w:szCs w:val="24"/>
        </w:rPr>
      </w:pPr>
      <w:r>
        <w:rPr>
          <w:rFonts w:hint="eastAsia" w:ascii="楷体" w:hAnsi="楷体" w:eastAsia="楷体" w:cs="楷体"/>
          <w:sz w:val="24"/>
          <w:szCs w:val="24"/>
        </w:rPr>
        <w:t>信托贷款：资产类型为信托公司设立的资金信托计划，底层资产为网商银行及信托公司双重审核、信托公司自主风控后发放的个人贷款债权，资产到期日不超过</w:t>
      </w:r>
      <w:r>
        <w:rPr>
          <w:rFonts w:hint="eastAsia" w:ascii="楷体" w:hAnsi="楷体" w:eastAsia="楷体" w:cs="楷体"/>
          <w:kern w:val="2"/>
          <w:sz w:val="24"/>
          <w:szCs w:val="24"/>
          <w:lang w:val="en-US" w:eastAsia="zh-CN" w:bidi="ar-SA"/>
        </w:rPr>
        <w:t>理财产品到期日</w:t>
      </w:r>
      <w:r>
        <w:rPr>
          <w:rFonts w:hint="eastAsia" w:ascii="楷体" w:hAnsi="楷体" w:eastAsia="楷体" w:cs="楷体"/>
          <w:sz w:val="24"/>
          <w:szCs w:val="24"/>
        </w:rPr>
        <w:t>。</w:t>
      </w:r>
    </w:p>
    <w:p>
      <w:pPr>
        <w:numPr>
          <w:ilvl w:val="0"/>
          <w:numId w:val="11"/>
        </w:numPr>
        <w:ind w:firstLine="480" w:firstLineChars="200"/>
        <w:rPr>
          <w:rFonts w:hint="eastAsia" w:ascii="楷体" w:hAnsi="楷体" w:eastAsia="楷体" w:cs="楷体"/>
          <w:sz w:val="24"/>
          <w:szCs w:val="24"/>
        </w:rPr>
      </w:pPr>
      <w:r>
        <w:rPr>
          <w:rFonts w:hint="eastAsia" w:ascii="楷体" w:hAnsi="楷体" w:eastAsia="楷体" w:cs="楷体"/>
          <w:sz w:val="24"/>
          <w:szCs w:val="24"/>
        </w:rPr>
        <w:t>信托贷款：资产类型为信托公司设立的资金信托计划，底层资产为抖音及信托公司双重审核、信托公司自主风控后发放的个人贷款债权，资产到期日不超过</w:t>
      </w:r>
      <w:r>
        <w:rPr>
          <w:rFonts w:hint="eastAsia" w:ascii="楷体" w:hAnsi="楷体" w:eastAsia="楷体" w:cs="楷体"/>
          <w:kern w:val="2"/>
          <w:sz w:val="24"/>
          <w:szCs w:val="24"/>
          <w:lang w:val="en-US" w:eastAsia="zh-CN" w:bidi="ar-SA"/>
        </w:rPr>
        <w:t>理财产品到期日</w:t>
      </w:r>
      <w:r>
        <w:rPr>
          <w:rFonts w:hint="eastAsia" w:ascii="楷体" w:hAnsi="楷体" w:eastAsia="楷体" w:cs="楷体"/>
          <w:sz w:val="24"/>
          <w:szCs w:val="24"/>
        </w:rPr>
        <w:t>。</w:t>
      </w:r>
    </w:p>
    <w:p>
      <w:pPr>
        <w:numPr>
          <w:ilvl w:val="0"/>
          <w:numId w:val="11"/>
        </w:numPr>
        <w:ind w:firstLine="480" w:firstLineChars="200"/>
        <w:rPr>
          <w:rFonts w:hint="eastAsia" w:ascii="楷体" w:hAnsi="楷体" w:eastAsia="楷体" w:cs="楷体"/>
          <w:sz w:val="24"/>
          <w:szCs w:val="24"/>
        </w:rPr>
      </w:pPr>
      <w:r>
        <w:rPr>
          <w:rFonts w:hint="eastAsia" w:ascii="楷体" w:hAnsi="楷体" w:eastAsia="楷体" w:cs="楷体"/>
          <w:sz w:val="24"/>
          <w:szCs w:val="24"/>
        </w:rPr>
        <w:t>信托贷款：资产类型为信托公司设立的资金信托计划，底层资产为度小满及信托公司双重审核、信托公司自主风控后发放的个人贷款债权，资产到期日不超过</w:t>
      </w:r>
      <w:r>
        <w:rPr>
          <w:rFonts w:hint="eastAsia" w:ascii="楷体" w:hAnsi="楷体" w:eastAsia="楷体" w:cs="楷体"/>
          <w:kern w:val="2"/>
          <w:sz w:val="24"/>
          <w:szCs w:val="24"/>
          <w:lang w:val="en-US" w:eastAsia="zh-CN" w:bidi="ar-SA"/>
        </w:rPr>
        <w:t>理财产品到期日</w:t>
      </w:r>
      <w:r>
        <w:rPr>
          <w:rFonts w:hint="eastAsia" w:ascii="楷体" w:hAnsi="楷体" w:eastAsia="楷体" w:cs="楷体"/>
          <w:sz w:val="24"/>
          <w:szCs w:val="24"/>
        </w:rPr>
        <w:t>。</w:t>
      </w:r>
    </w:p>
    <w:p>
      <w:pPr>
        <w:numPr>
          <w:ilvl w:val="0"/>
          <w:numId w:val="11"/>
        </w:numPr>
        <w:ind w:firstLine="480" w:firstLineChars="200"/>
        <w:rPr>
          <w:rFonts w:ascii="楷体" w:hAnsi="楷体" w:eastAsia="楷体" w:cs="楷体"/>
          <w:sz w:val="24"/>
          <w:szCs w:val="24"/>
        </w:rPr>
      </w:pPr>
      <w:r>
        <w:rPr>
          <w:rFonts w:hint="eastAsia" w:ascii="楷体" w:hAnsi="楷体" w:eastAsia="楷体" w:cs="楷体"/>
          <w:sz w:val="24"/>
          <w:szCs w:val="24"/>
        </w:rPr>
        <w:t>信托贷款：资产类型为信托公司设立的资金信托计划，底层资产为京东及信托公司双重审核、信托公司自主风控后发放的个人贷款债权，资产到期日不超过</w:t>
      </w:r>
      <w:r>
        <w:rPr>
          <w:rFonts w:hint="eastAsia" w:ascii="楷体" w:hAnsi="楷体" w:eastAsia="楷体" w:cs="楷体"/>
          <w:kern w:val="2"/>
          <w:sz w:val="24"/>
          <w:szCs w:val="24"/>
          <w:lang w:val="en-US" w:eastAsia="zh-CN" w:bidi="ar-SA"/>
        </w:rPr>
        <w:t>理财产品到期日</w:t>
      </w:r>
      <w:r>
        <w:rPr>
          <w:rFonts w:hint="eastAsia" w:ascii="楷体" w:hAnsi="楷体" w:eastAsia="楷体" w:cs="楷体"/>
          <w:sz w:val="24"/>
          <w:szCs w:val="24"/>
        </w:rPr>
        <w:t>。</w:t>
      </w:r>
    </w:p>
    <w:p>
      <w:pPr>
        <w:ind w:firstLine="480" w:firstLineChars="200"/>
        <w:rPr>
          <w:rFonts w:ascii="楷体" w:hAnsi="楷体" w:eastAsia="楷体"/>
          <w:sz w:val="24"/>
          <w:szCs w:val="24"/>
        </w:rPr>
      </w:pPr>
      <w:r>
        <w:rPr>
          <w:rFonts w:hint="eastAsia" w:ascii="楷体" w:hAnsi="楷体" w:eastAsia="楷体"/>
          <w:sz w:val="24"/>
          <w:szCs w:val="24"/>
        </w:rPr>
        <w:t>因产品实际募集规模和融资人资金需求存在不确定性，产品管理人将选择上述一笔或者多笔作为本理财产品投资的非标准化债权类资产（具体以实际投资为准），并在本理财产品的定期报告中进行信息披露。</w:t>
      </w:r>
    </w:p>
    <w:p>
      <w:pPr>
        <w:ind w:firstLine="480" w:firstLineChars="200"/>
        <w:rPr>
          <w:rFonts w:ascii="楷体" w:hAnsi="楷体" w:eastAsia="楷体"/>
          <w:sz w:val="24"/>
          <w:szCs w:val="24"/>
        </w:rPr>
      </w:pPr>
      <w:r>
        <w:rPr>
          <w:rFonts w:hint="eastAsia" w:ascii="楷体" w:hAnsi="楷体" w:eastAsia="楷体"/>
          <w:sz w:val="24"/>
          <w:szCs w:val="24"/>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10"/>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投资集中度限制</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本产品持有单只证券或者单只公募证券投资基金的市值不得超过产品净资产的</w:t>
      </w:r>
      <w:r>
        <w:rPr>
          <w:rFonts w:ascii="楷体" w:hAnsi="楷体" w:eastAsia="楷体" w:cs="Calibri"/>
          <w:sz w:val="24"/>
          <w:szCs w:val="24"/>
        </w:rPr>
        <w:t>10%</w:t>
      </w:r>
      <w:r>
        <w:rPr>
          <w:rFonts w:hint="eastAsia" w:ascii="楷体" w:hAnsi="楷体" w:eastAsia="楷体" w:cs="Calibri"/>
          <w:sz w:val="24"/>
          <w:szCs w:val="24"/>
        </w:rPr>
        <w:t>。</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管理人全部公募产品持有单只证券或单只公募证券投资基金的市值，不得超过该证券市值或该公募证券投资基金市值的</w:t>
      </w:r>
      <w:r>
        <w:rPr>
          <w:rFonts w:ascii="楷体" w:hAnsi="楷体" w:eastAsia="楷体" w:cs="Calibri"/>
          <w:sz w:val="24"/>
          <w:szCs w:val="24"/>
        </w:rPr>
        <w:t>30%</w:t>
      </w:r>
      <w:r>
        <w:rPr>
          <w:rFonts w:hint="eastAsia" w:ascii="楷体" w:hAnsi="楷体" w:eastAsia="楷体" w:cs="Calibri"/>
          <w:sz w:val="24"/>
          <w:szCs w:val="24"/>
        </w:rPr>
        <w:t>。</w:t>
      </w:r>
    </w:p>
    <w:p>
      <w:pPr>
        <w:numPr>
          <w:ilvl w:val="0"/>
          <w:numId w:val="1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管理人全部产品持有单一上市公司发行的股票，不得超过该上市公司可流通股票的30%。</w:t>
      </w:r>
    </w:p>
    <w:p>
      <w:pPr>
        <w:ind w:firstLine="480" w:firstLineChars="200"/>
        <w:rPr>
          <w:rFonts w:ascii="楷体" w:hAnsi="楷体" w:eastAsia="楷体"/>
          <w:sz w:val="24"/>
          <w:szCs w:val="24"/>
        </w:rPr>
      </w:pPr>
      <w:r>
        <w:rPr>
          <w:rFonts w:hint="eastAsia" w:ascii="楷体" w:hAnsi="楷体" w:eastAsia="楷体"/>
          <w:sz w:val="24"/>
          <w:szCs w:val="24"/>
        </w:rPr>
        <w:t>金融监督管理部门另有规定的除外。</w:t>
      </w:r>
    </w:p>
    <w:p>
      <w:pPr>
        <w:ind w:firstLine="480" w:firstLineChars="200"/>
        <w:rPr>
          <w:rFonts w:ascii="楷体" w:hAnsi="楷体" w:eastAsia="楷体"/>
          <w:sz w:val="24"/>
          <w:szCs w:val="24"/>
        </w:rPr>
      </w:pPr>
      <w:r>
        <w:rPr>
          <w:rFonts w:hint="eastAsia" w:ascii="楷体" w:hAnsi="楷体" w:eastAsia="楷体"/>
          <w:sz w:val="24"/>
          <w:szCs w:val="24"/>
        </w:rPr>
        <w:t>非因管理人主观因素导致突破上述比例限制的，产品管理人在流动性受限资产可出售、可转让或者恢复交易的</w:t>
      </w:r>
      <w:r>
        <w:rPr>
          <w:rFonts w:ascii="楷体" w:hAnsi="楷体" w:eastAsia="楷体"/>
          <w:sz w:val="24"/>
          <w:szCs w:val="24"/>
        </w:rPr>
        <w:t>1</w:t>
      </w:r>
      <w:r>
        <w:rPr>
          <w:rFonts w:hint="eastAsia" w:ascii="楷体" w:hAnsi="楷体" w:eastAsia="楷体"/>
          <w:sz w:val="24"/>
          <w:szCs w:val="24"/>
        </w:rPr>
        <w:t>0个交易日内调整至符合要求。</w:t>
      </w:r>
    </w:p>
    <w:p>
      <w:pPr>
        <w:numPr>
          <w:ilvl w:val="0"/>
          <w:numId w:val="10"/>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杠杆水平限制</w:t>
      </w:r>
    </w:p>
    <w:p>
      <w:pPr>
        <w:ind w:firstLine="480" w:firstLineChars="200"/>
        <w:rPr>
          <w:rFonts w:ascii="楷体" w:hAnsi="楷体" w:eastAsia="楷体"/>
          <w:sz w:val="24"/>
          <w:szCs w:val="24"/>
        </w:rPr>
      </w:pPr>
      <w:r>
        <w:rPr>
          <w:rFonts w:hint="eastAsia" w:ascii="楷体" w:hAnsi="楷体" w:eastAsia="楷体"/>
          <w:sz w:val="24"/>
          <w:szCs w:val="24"/>
        </w:rPr>
        <w:t>本理财产品资产总值/理财产品资产净值不超过</w:t>
      </w:r>
      <w:r>
        <w:rPr>
          <w:rFonts w:ascii="楷体" w:hAnsi="楷体" w:eastAsia="楷体"/>
          <w:sz w:val="24"/>
          <w:szCs w:val="24"/>
        </w:rPr>
        <w:t>15</w:t>
      </w:r>
      <w:r>
        <w:rPr>
          <w:rFonts w:hint="eastAsia" w:ascii="楷体" w:hAnsi="楷体" w:eastAsia="楷体"/>
          <w:sz w:val="24"/>
          <w:szCs w:val="24"/>
        </w:rPr>
        <w:t>0%（如监管有最新规定的参照监管规定调整）。</w:t>
      </w:r>
    </w:p>
    <w:p>
      <w:pPr>
        <w:numPr>
          <w:ilvl w:val="0"/>
          <w:numId w:val="10"/>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投资范围调整</w:t>
      </w:r>
    </w:p>
    <w:p>
      <w:pPr>
        <w:ind w:firstLine="480" w:firstLineChars="200"/>
        <w:rPr>
          <w:rFonts w:ascii="楷体" w:hAnsi="楷体" w:eastAsia="楷体"/>
          <w:sz w:val="24"/>
          <w:szCs w:val="24"/>
        </w:rPr>
      </w:pPr>
      <w:r>
        <w:rPr>
          <w:rFonts w:hint="eastAsia" w:ascii="楷体" w:hAnsi="楷体" w:eastAsia="楷体"/>
          <w:sz w:val="24"/>
          <w:szCs w:val="24"/>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产品认购</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认购期间：202</w:t>
      </w:r>
      <w:r>
        <w:rPr>
          <w:rFonts w:hint="eastAsia" w:ascii="楷体" w:hAnsi="楷体" w:eastAsia="楷体" w:cs="Calibri"/>
          <w:sz w:val="24"/>
          <w:szCs w:val="24"/>
          <w:lang w:val="en-US" w:eastAsia="zh-CN"/>
        </w:rPr>
        <w:t>5</w:t>
      </w:r>
      <w:r>
        <w:rPr>
          <w:rFonts w:hint="eastAsia" w:ascii="楷体" w:hAnsi="楷体" w:eastAsia="楷体" w:cs="Calibri"/>
          <w:sz w:val="24"/>
          <w:szCs w:val="24"/>
        </w:rPr>
        <w:t>年</w:t>
      </w:r>
      <w:r>
        <w:rPr>
          <w:rFonts w:hint="eastAsia" w:ascii="楷体" w:hAnsi="楷体" w:eastAsia="楷体" w:cs="Calibri"/>
          <w:sz w:val="24"/>
          <w:szCs w:val="24"/>
          <w:lang w:val="en-US" w:eastAsia="zh-CN"/>
        </w:rPr>
        <w:t>4</w:t>
      </w:r>
      <w:r>
        <w:rPr>
          <w:rFonts w:hint="eastAsia" w:ascii="楷体" w:hAnsi="楷体" w:eastAsia="楷体" w:cs="Calibri"/>
          <w:sz w:val="24"/>
          <w:szCs w:val="24"/>
        </w:rPr>
        <w:t>月</w:t>
      </w:r>
      <w:r>
        <w:rPr>
          <w:rFonts w:hint="eastAsia" w:ascii="楷体" w:hAnsi="楷体" w:eastAsia="楷体" w:cs="Calibri"/>
          <w:sz w:val="24"/>
          <w:szCs w:val="24"/>
          <w:lang w:val="en-US" w:eastAsia="zh-CN"/>
        </w:rPr>
        <w:t>16</w:t>
      </w:r>
      <w:r>
        <w:rPr>
          <w:rFonts w:hint="eastAsia" w:ascii="楷体" w:hAnsi="楷体" w:eastAsia="楷体" w:cs="Calibri"/>
          <w:sz w:val="24"/>
          <w:szCs w:val="24"/>
        </w:rPr>
        <w:t>日9:00至202</w:t>
      </w:r>
      <w:r>
        <w:rPr>
          <w:rFonts w:hint="eastAsia" w:ascii="楷体" w:hAnsi="楷体" w:eastAsia="楷体" w:cs="Calibri"/>
          <w:sz w:val="24"/>
          <w:szCs w:val="24"/>
          <w:lang w:val="en-US" w:eastAsia="zh-CN"/>
        </w:rPr>
        <w:t>5</w:t>
      </w:r>
      <w:r>
        <w:rPr>
          <w:rFonts w:hint="eastAsia" w:ascii="楷体" w:hAnsi="楷体" w:eastAsia="楷体" w:cs="Calibri"/>
          <w:sz w:val="24"/>
          <w:szCs w:val="24"/>
        </w:rPr>
        <w:t>年</w:t>
      </w:r>
      <w:r>
        <w:rPr>
          <w:rFonts w:hint="eastAsia" w:ascii="楷体" w:hAnsi="楷体" w:eastAsia="楷体" w:cs="Calibri"/>
          <w:sz w:val="24"/>
          <w:szCs w:val="24"/>
          <w:lang w:val="en-US" w:eastAsia="zh-CN"/>
        </w:rPr>
        <w:t>4</w:t>
      </w:r>
      <w:r>
        <w:rPr>
          <w:rFonts w:hint="eastAsia" w:ascii="楷体" w:hAnsi="楷体" w:eastAsia="楷体" w:cs="Calibri"/>
          <w:sz w:val="24"/>
          <w:szCs w:val="24"/>
        </w:rPr>
        <w:t>月</w:t>
      </w:r>
      <w:r>
        <w:rPr>
          <w:rFonts w:hint="eastAsia" w:ascii="楷体" w:hAnsi="楷体" w:eastAsia="楷体" w:cs="Calibri"/>
          <w:sz w:val="24"/>
          <w:szCs w:val="24"/>
          <w:lang w:val="en-US" w:eastAsia="zh-CN"/>
        </w:rPr>
        <w:t>22</w:t>
      </w:r>
      <w:r>
        <w:rPr>
          <w:rFonts w:hint="eastAsia" w:ascii="楷体" w:hAnsi="楷体" w:eastAsia="楷体" w:cs="Calibri"/>
          <w:sz w:val="24"/>
          <w:szCs w:val="24"/>
        </w:rPr>
        <w:t>日17:00。</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认购方式：本理财产品可在各销售机构指定渠道进行认购。</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销售机构受理认购申请并不代表该申请成功确认，仅代表其收到了认购申请，申请是否成功以管理人最终确认为准。具体而言，投资者按规定提交认购申请、全额交付款项并经销售机构成功冻结或预扣的，认购申请成立，管理人在认购份额登记日对投资者的认购申请成功登记后，视为投资者的认购申请生效。投资者应在理财产品成立后及时查询最终的成交情况以及认购的份额。</w:t>
      </w:r>
    </w:p>
    <w:p>
      <w:pPr>
        <w:numPr>
          <w:ilvl w:val="0"/>
          <w:numId w:val="13"/>
        </w:numPr>
        <w:tabs>
          <w:tab w:val="left" w:pos="993"/>
        </w:tabs>
        <w:ind w:left="0" w:firstLine="480" w:firstLineChars="200"/>
        <w:rPr>
          <w:rFonts w:hint="eastAsia" w:ascii="楷体" w:hAnsi="楷体" w:eastAsia="楷体" w:cs="Calibri"/>
          <w:sz w:val="24"/>
          <w:szCs w:val="24"/>
        </w:rPr>
      </w:pPr>
      <w:r>
        <w:rPr>
          <w:rFonts w:hint="eastAsia" w:ascii="楷体" w:hAnsi="楷体" w:eastAsia="楷体" w:cs="Calibri"/>
          <w:sz w:val="24"/>
          <w:szCs w:val="24"/>
        </w:rPr>
        <w:t>单笔认购起点金额</w:t>
      </w:r>
      <w:r>
        <w:rPr>
          <w:rFonts w:hint="eastAsia" w:ascii="楷体" w:hAnsi="楷体" w:eastAsia="楷体" w:cs="Calibri"/>
          <w:sz w:val="24"/>
          <w:szCs w:val="24"/>
          <w:lang w:eastAsia="zh-CN"/>
        </w:rPr>
        <w:t>、</w:t>
      </w:r>
      <w:r>
        <w:rPr>
          <w:rFonts w:hint="eastAsia" w:ascii="楷体" w:hAnsi="楷体" w:eastAsia="楷体" w:cs="Calibri"/>
          <w:sz w:val="24"/>
          <w:szCs w:val="24"/>
        </w:rPr>
        <w:t>追加金额</w:t>
      </w:r>
      <w:r>
        <w:rPr>
          <w:rFonts w:ascii="楷体" w:hAnsi="楷体" w:eastAsia="楷体" w:cs="Calibri"/>
          <w:sz w:val="24"/>
          <w:szCs w:val="24"/>
        </w:rPr>
        <w:t>（以各销售机构设置为准）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3672"/>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top"/>
          </w:tcPr>
          <w:p>
            <w:pPr>
              <w:numPr>
                <w:ilvl w:val="0"/>
                <w:numId w:val="0"/>
              </w:numPr>
              <w:tabs>
                <w:tab w:val="left" w:pos="993"/>
              </w:tabs>
              <w:jc w:val="center"/>
              <w:rPr>
                <w:rFonts w:hint="default" w:ascii="楷体" w:hAnsi="楷体" w:eastAsia="楷体" w:cs="Calibri"/>
                <w:b/>
                <w:bCs/>
                <w:sz w:val="24"/>
                <w:szCs w:val="24"/>
                <w:vertAlign w:val="baseline"/>
                <w:lang w:val="en-US" w:eastAsia="zh-CN"/>
              </w:rPr>
            </w:pPr>
            <w:r>
              <w:rPr>
                <w:rFonts w:hint="eastAsia" w:ascii="楷体" w:hAnsi="楷体" w:eastAsia="楷体" w:cs="Calibri"/>
                <w:b/>
                <w:bCs/>
                <w:sz w:val="24"/>
                <w:szCs w:val="24"/>
                <w:vertAlign w:val="baseline"/>
                <w:lang w:val="en-US" w:eastAsia="zh-CN"/>
              </w:rPr>
              <w:t>份额</w:t>
            </w:r>
          </w:p>
        </w:tc>
        <w:tc>
          <w:tcPr>
            <w:tcW w:w="3672" w:type="dxa"/>
            <w:noWrap w:val="0"/>
            <w:vAlign w:val="top"/>
          </w:tcPr>
          <w:p>
            <w:pPr>
              <w:numPr>
                <w:ilvl w:val="0"/>
                <w:numId w:val="0"/>
              </w:numPr>
              <w:tabs>
                <w:tab w:val="left" w:pos="993"/>
              </w:tabs>
              <w:jc w:val="center"/>
              <w:rPr>
                <w:rFonts w:hint="eastAsia" w:ascii="楷体" w:hAnsi="楷体" w:eastAsia="楷体" w:cs="Calibri"/>
                <w:b/>
                <w:bCs/>
                <w:sz w:val="24"/>
                <w:szCs w:val="24"/>
                <w:vertAlign w:val="baseline"/>
              </w:rPr>
            </w:pPr>
            <w:r>
              <w:rPr>
                <w:rFonts w:hint="eastAsia" w:ascii="楷体" w:hAnsi="楷体" w:eastAsia="楷体" w:cs="Calibri"/>
                <w:b/>
                <w:bCs/>
                <w:sz w:val="24"/>
                <w:szCs w:val="24"/>
              </w:rPr>
              <w:t>单笔认购起点金额</w:t>
            </w:r>
          </w:p>
        </w:tc>
        <w:tc>
          <w:tcPr>
            <w:tcW w:w="3246" w:type="dxa"/>
            <w:noWrap w:val="0"/>
            <w:vAlign w:val="top"/>
          </w:tcPr>
          <w:p>
            <w:pPr>
              <w:numPr>
                <w:ilvl w:val="0"/>
                <w:numId w:val="0"/>
              </w:numPr>
              <w:tabs>
                <w:tab w:val="left" w:pos="993"/>
              </w:tabs>
              <w:jc w:val="center"/>
              <w:rPr>
                <w:rFonts w:hint="eastAsia" w:ascii="楷体" w:hAnsi="楷体" w:eastAsia="楷体" w:cs="Calibri"/>
                <w:b/>
                <w:bCs/>
                <w:sz w:val="24"/>
                <w:szCs w:val="24"/>
                <w:vertAlign w:val="baseline"/>
              </w:rPr>
            </w:pPr>
            <w:r>
              <w:rPr>
                <w:rFonts w:hint="eastAsia" w:ascii="楷体" w:hAnsi="楷体" w:eastAsia="楷体" w:cs="Calibri"/>
                <w:b/>
                <w:bCs/>
                <w:sz w:val="24"/>
                <w:szCs w:val="24"/>
              </w:rPr>
              <w:t>追加金额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Calibri"/>
                <w:sz w:val="24"/>
                <w:szCs w:val="24"/>
                <w:vertAlign w:val="baseline"/>
              </w:rPr>
            </w:pPr>
            <w:r>
              <w:rPr>
                <w:rFonts w:hint="eastAsia" w:ascii="楷体" w:hAnsi="楷体" w:eastAsia="楷体" w:cs="楷体"/>
                <w:i w:val="0"/>
                <w:iCs w:val="0"/>
                <w:color w:val="000000"/>
                <w:kern w:val="0"/>
                <w:sz w:val="24"/>
                <w:szCs w:val="24"/>
                <w:u w:val="none"/>
                <w:lang w:val="en-US" w:eastAsia="zh-CN" w:bidi="ar"/>
              </w:rPr>
              <w:t>A份额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sz w:val="24"/>
                <w:szCs w:val="24"/>
                <w:vertAlign w:val="baseline"/>
                <w:lang w:val="en-US" w:eastAsia="zh-CN"/>
              </w:rPr>
            </w:pPr>
            <w:r>
              <w:rPr>
                <w:rFonts w:hint="eastAsia" w:ascii="楷体" w:hAnsi="楷体" w:eastAsia="楷体" w:cs="宋体"/>
                <w:spacing w:val="-2"/>
                <w:sz w:val="24"/>
                <w:szCs w:val="24"/>
                <w:lang w:eastAsia="zh-CN"/>
              </w:rPr>
              <w:t>1元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sz w:val="24"/>
                <w:szCs w:val="24"/>
                <w:vertAlign w:val="baseline"/>
              </w:rPr>
            </w:pPr>
            <w:r>
              <w:rPr>
                <w:rFonts w:hint="eastAsia" w:ascii="楷体" w:hAnsi="楷体" w:eastAsia="楷体"/>
                <w:sz w:val="24"/>
                <w:szCs w:val="24"/>
                <w:lang w:eastAsia="zh-CN"/>
              </w:rPr>
              <w:t>1元</w:t>
            </w:r>
            <w:r>
              <w:rPr>
                <w:rFonts w:hint="eastAsia" w:ascii="楷体" w:hAnsi="楷体" w:eastAsia="楷体"/>
                <w:sz w:val="24"/>
                <w:szCs w:val="24"/>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Calibri"/>
                <w:sz w:val="24"/>
                <w:szCs w:val="24"/>
                <w:vertAlign w:val="baseline"/>
              </w:rPr>
            </w:pPr>
            <w:r>
              <w:rPr>
                <w:rFonts w:hint="eastAsia" w:ascii="楷体" w:hAnsi="楷体" w:eastAsia="楷体" w:cs="楷体"/>
                <w:i w:val="0"/>
                <w:iCs w:val="0"/>
                <w:color w:val="000000"/>
                <w:kern w:val="0"/>
                <w:sz w:val="24"/>
                <w:szCs w:val="24"/>
                <w:u w:val="none"/>
                <w:lang w:val="en-US" w:eastAsia="zh-CN" w:bidi="ar"/>
              </w:rPr>
              <w:t>B份额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sz w:val="24"/>
                <w:szCs w:val="24"/>
                <w:vertAlign w:val="baseline"/>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sz w:val="24"/>
                <w:szCs w:val="24"/>
                <w:vertAlign w:val="baseline"/>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Calibri"/>
                <w:sz w:val="24"/>
                <w:szCs w:val="24"/>
                <w:vertAlign w:val="baseline"/>
                <w:lang w:val="en-US"/>
              </w:rPr>
            </w:pPr>
            <w:r>
              <w:rPr>
                <w:rFonts w:hint="eastAsia" w:ascii="楷体" w:hAnsi="楷体" w:eastAsia="楷体" w:cs="楷体"/>
                <w:i w:val="0"/>
                <w:iCs w:val="0"/>
                <w:color w:val="000000"/>
                <w:kern w:val="0"/>
                <w:sz w:val="24"/>
                <w:szCs w:val="24"/>
                <w:u w:val="none"/>
                <w:lang w:val="en-US" w:eastAsia="zh-CN" w:bidi="ar"/>
              </w:rPr>
              <w:t>C份额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Calibri"/>
                <w:kern w:val="2"/>
                <w:sz w:val="24"/>
                <w:szCs w:val="24"/>
                <w:vertAlign w:val="baseline"/>
                <w:lang w:val="en-US" w:eastAsia="zh-CN" w:bidi="ar-SA"/>
              </w:rPr>
            </w:pPr>
            <w:r>
              <w:rPr>
                <w:rFonts w:hint="eastAsia" w:ascii="楷体" w:hAnsi="楷体" w:eastAsia="楷体"/>
                <w:sz w:val="24"/>
                <w:szCs w:val="24"/>
              </w:rPr>
              <w:t>10</w:t>
            </w:r>
            <w:r>
              <w:rPr>
                <w:rFonts w:ascii="楷体" w:hAnsi="楷体" w:eastAsia="楷体"/>
                <w:sz w:val="24"/>
                <w:szCs w:val="24"/>
              </w:rPr>
              <w:t>,</w:t>
            </w:r>
            <w:r>
              <w:rPr>
                <w:rFonts w:hint="eastAsia" w:ascii="楷体" w:hAnsi="楷体" w:eastAsia="楷体"/>
                <w:sz w:val="24"/>
                <w:szCs w:val="24"/>
              </w:rPr>
              <w:t>000</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kern w:val="2"/>
                <w:sz w:val="24"/>
                <w:szCs w:val="24"/>
                <w:vertAlign w:val="baseline"/>
                <w:lang w:val="en-US" w:eastAsia="zh-CN" w:bidi="ar-SA"/>
              </w:rPr>
            </w:pPr>
            <w:r>
              <w:rPr>
                <w:rFonts w:hint="eastAsia" w:ascii="楷体" w:hAnsi="楷体" w:eastAsia="楷体"/>
                <w:sz w:val="24"/>
                <w:szCs w:val="24"/>
              </w:rPr>
              <w:t>10</w:t>
            </w:r>
            <w:r>
              <w:rPr>
                <w:rFonts w:ascii="楷体" w:hAnsi="楷体" w:eastAsia="楷体"/>
                <w:sz w:val="24"/>
                <w:szCs w:val="24"/>
              </w:rPr>
              <w:t>,</w:t>
            </w:r>
            <w:r>
              <w:rPr>
                <w:rFonts w:hint="eastAsia" w:ascii="楷体" w:hAnsi="楷体" w:eastAsia="楷体"/>
                <w:sz w:val="24"/>
                <w:szCs w:val="24"/>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D份额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highlight w:val="none"/>
                <w:vertAlign w:val="baseline"/>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Calibri"/>
                <w:sz w:val="24"/>
                <w:szCs w:val="24"/>
                <w:vertAlign w:val="baseline"/>
              </w:rPr>
            </w:pPr>
            <w:r>
              <w:rPr>
                <w:rFonts w:hint="eastAsia" w:ascii="楷体" w:hAnsi="楷体" w:eastAsia="楷体" w:cs="楷体"/>
                <w:i w:val="0"/>
                <w:iCs w:val="0"/>
                <w:color w:val="000000"/>
                <w:kern w:val="0"/>
                <w:sz w:val="24"/>
                <w:szCs w:val="24"/>
                <w:u w:val="none"/>
                <w:lang w:val="en-US" w:eastAsia="zh-CN" w:bidi="ar"/>
              </w:rPr>
              <w:t>E份额</w:t>
            </w:r>
          </w:p>
        </w:tc>
        <w:tc>
          <w:tcPr>
            <w:tcW w:w="3672" w:type="dxa"/>
            <w:noWrap w:val="0"/>
            <w:vAlign w:val="center"/>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kern w:val="2"/>
                <w:sz w:val="24"/>
                <w:szCs w:val="24"/>
                <w:vertAlign w:val="baseline"/>
                <w:lang w:val="en-US" w:eastAsia="zh-CN" w:bidi="ar-SA"/>
              </w:rPr>
            </w:pPr>
            <w:r>
              <w:rPr>
                <w:rFonts w:hint="eastAsia" w:ascii="楷体" w:hAnsi="楷体" w:eastAsia="楷体" w:cs="宋体"/>
                <w:spacing w:val="-2"/>
                <w:sz w:val="24"/>
                <w:szCs w:val="24"/>
                <w:highlight w:val="none"/>
                <w:vertAlign w:val="baseline"/>
                <w:lang w:val="en-US" w:eastAsia="zh-CN"/>
              </w:rPr>
              <w:t>300,000元</w:t>
            </w:r>
          </w:p>
        </w:tc>
        <w:tc>
          <w:tcPr>
            <w:tcW w:w="3246" w:type="dxa"/>
            <w:noWrap w:val="0"/>
            <w:vAlign w:val="center"/>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Calibri"/>
                <w:kern w:val="2"/>
                <w:sz w:val="24"/>
                <w:szCs w:val="24"/>
                <w:vertAlign w:val="baseline"/>
                <w:lang w:val="en-US" w:eastAsia="zh-CN" w:bidi="ar-SA"/>
              </w:rPr>
            </w:pPr>
            <w:r>
              <w:rPr>
                <w:rFonts w:hint="eastAsia" w:ascii="楷体" w:hAnsi="楷体" w:eastAsia="楷体"/>
                <w:sz w:val="24"/>
                <w:szCs w:val="24"/>
              </w:rPr>
              <w:t>10</w:t>
            </w:r>
            <w:r>
              <w:rPr>
                <w:rFonts w:ascii="楷体" w:hAnsi="楷体" w:eastAsia="楷体"/>
                <w:sz w:val="24"/>
                <w:szCs w:val="24"/>
              </w:rPr>
              <w:t>,</w:t>
            </w:r>
            <w:r>
              <w:rPr>
                <w:rFonts w:hint="eastAsia" w:ascii="楷体" w:hAnsi="楷体" w:eastAsia="楷体"/>
                <w:sz w:val="24"/>
                <w:szCs w:val="24"/>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F份额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highlight w:val="none"/>
                <w:vertAlign w:val="baseline"/>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G份额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highlight w:val="none"/>
                <w:vertAlign w:val="baseline"/>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H份额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highlight w:val="none"/>
                <w:vertAlign w:val="baseline"/>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I份额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highlight w:val="none"/>
                <w:vertAlign w:val="baseline"/>
                <w:lang w:val="en-US" w:eastAsia="zh-CN"/>
              </w:rPr>
            </w:pPr>
            <w:r>
              <w:rPr>
                <w:rFonts w:hint="eastAsia" w:ascii="楷体" w:hAnsi="楷体" w:eastAsia="楷体" w:cs="宋体"/>
                <w:spacing w:val="-2"/>
                <w:sz w:val="24"/>
                <w:szCs w:val="24"/>
                <w:lang w:val="en-US" w:eastAsia="zh-CN"/>
              </w:rPr>
              <w:t>1</w:t>
            </w:r>
            <w:r>
              <w:rPr>
                <w:rFonts w:hint="eastAsia" w:ascii="楷体" w:hAnsi="楷体" w:eastAsia="楷体" w:cs="宋体"/>
                <w:spacing w:val="-2"/>
                <w:sz w:val="24"/>
                <w:szCs w:val="24"/>
              </w:rPr>
              <w:t>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rPr>
            </w:pPr>
            <w:r>
              <w:rPr>
                <w:rFonts w:hint="eastAsia" w:ascii="楷体" w:hAnsi="楷体" w:eastAsia="楷体"/>
                <w:sz w:val="24"/>
                <w:szCs w:val="24"/>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AJS份额</w:t>
            </w:r>
          </w:p>
        </w:tc>
        <w:tc>
          <w:tcPr>
            <w:tcW w:w="3672"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24"/>
                <w:szCs w:val="24"/>
                <w:lang w:eastAsia="zh-CN"/>
              </w:rPr>
            </w:pPr>
            <w:r>
              <w:rPr>
                <w:rFonts w:hint="eastAsia" w:ascii="楷体" w:hAnsi="楷体" w:eastAsia="楷体" w:cs="宋体"/>
                <w:spacing w:val="-2"/>
                <w:sz w:val="24"/>
                <w:szCs w:val="24"/>
                <w:lang w:eastAsia="zh-CN"/>
              </w:rPr>
              <w:t>1元</w:t>
            </w:r>
          </w:p>
        </w:tc>
        <w:tc>
          <w:tcPr>
            <w:tcW w:w="3246" w:type="dxa"/>
            <w:noWrap w:val="0"/>
            <w:vAlign w:val="top"/>
          </w:tcPr>
          <w:p>
            <w:pPr>
              <w:pStyle w:val="37"/>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24"/>
                <w:szCs w:val="24"/>
                <w:lang w:eastAsia="zh-CN"/>
              </w:rPr>
            </w:pPr>
            <w:r>
              <w:rPr>
                <w:rFonts w:hint="eastAsia" w:ascii="楷体" w:hAnsi="楷体" w:eastAsia="楷体"/>
                <w:sz w:val="24"/>
                <w:szCs w:val="24"/>
                <w:lang w:eastAsia="zh-CN"/>
              </w:rPr>
              <w:t>1元</w:t>
            </w:r>
            <w:r>
              <w:rPr>
                <w:rFonts w:hint="eastAsia" w:ascii="楷体" w:hAnsi="楷体" w:eastAsia="楷体"/>
                <w:sz w:val="24"/>
                <w:szCs w:val="24"/>
              </w:rPr>
              <w:t>的整数倍</w:t>
            </w:r>
          </w:p>
        </w:tc>
      </w:tr>
    </w:tbl>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认购申请撤销时间：认购期间，投资者可于202</w:t>
      </w:r>
      <w:r>
        <w:rPr>
          <w:rFonts w:hint="eastAsia" w:ascii="楷体" w:hAnsi="楷体" w:eastAsia="楷体" w:cs="Calibri"/>
          <w:sz w:val="24"/>
          <w:szCs w:val="24"/>
          <w:lang w:val="en-US" w:eastAsia="zh-CN"/>
        </w:rPr>
        <w:t>5</w:t>
      </w:r>
      <w:r>
        <w:rPr>
          <w:rFonts w:hint="eastAsia" w:ascii="楷体" w:hAnsi="楷体" w:eastAsia="楷体" w:cs="Calibri"/>
          <w:sz w:val="24"/>
          <w:szCs w:val="24"/>
        </w:rPr>
        <w:t>年</w:t>
      </w:r>
      <w:r>
        <w:rPr>
          <w:rFonts w:hint="eastAsia" w:ascii="楷体" w:hAnsi="楷体" w:eastAsia="楷体" w:cs="Calibri"/>
          <w:sz w:val="24"/>
          <w:szCs w:val="24"/>
          <w:lang w:val="en-US" w:eastAsia="zh-CN"/>
        </w:rPr>
        <w:t>4</w:t>
      </w:r>
      <w:r>
        <w:rPr>
          <w:rFonts w:hint="eastAsia" w:ascii="楷体" w:hAnsi="楷体" w:eastAsia="楷体" w:cs="Calibri"/>
          <w:sz w:val="24"/>
          <w:szCs w:val="24"/>
        </w:rPr>
        <w:t>月</w:t>
      </w:r>
      <w:r>
        <w:rPr>
          <w:rFonts w:hint="eastAsia" w:ascii="楷体" w:hAnsi="楷体" w:eastAsia="楷体" w:cs="Calibri"/>
          <w:sz w:val="24"/>
          <w:szCs w:val="24"/>
          <w:lang w:val="en-US" w:eastAsia="zh-CN"/>
        </w:rPr>
        <w:t>22</w:t>
      </w:r>
      <w:r>
        <w:rPr>
          <w:rFonts w:hint="eastAsia" w:ascii="楷体" w:hAnsi="楷体" w:eastAsia="楷体" w:cs="Calibri"/>
          <w:sz w:val="24"/>
          <w:szCs w:val="24"/>
        </w:rPr>
        <w:t>日17:00前撤销认购申请，该时点后不得撤销。</w:t>
      </w:r>
      <w:r>
        <w:rPr>
          <w:rFonts w:hint="eastAsia" w:ascii="楷体" w:hAnsi="楷体" w:eastAsia="楷体" w:cs="Calibri"/>
          <w:b/>
          <w:sz w:val="24"/>
          <w:szCs w:val="24"/>
          <w:u w:val="single"/>
        </w:rPr>
        <w:t>本产品运行期间，不开放申购、赎回。</w:t>
      </w:r>
    </w:p>
    <w:p>
      <w:pPr>
        <w:numPr>
          <w:ilvl w:val="0"/>
          <w:numId w:val="13"/>
        </w:numPr>
        <w:tabs>
          <w:tab w:val="left" w:pos="993"/>
          <w:tab w:val="left" w:pos="6259"/>
        </w:tabs>
        <w:ind w:left="0" w:firstLine="480" w:firstLineChars="200"/>
        <w:rPr>
          <w:rFonts w:ascii="楷体" w:hAnsi="楷体" w:eastAsia="楷体" w:cs="Calibri"/>
          <w:sz w:val="24"/>
          <w:szCs w:val="24"/>
        </w:rPr>
      </w:pPr>
      <w:r>
        <w:rPr>
          <w:rFonts w:hint="eastAsia" w:ascii="楷体" w:hAnsi="楷体" w:eastAsia="楷体" w:cs="Calibri"/>
          <w:sz w:val="24"/>
          <w:szCs w:val="24"/>
        </w:rPr>
        <w:t>认购资金的清算</w:t>
      </w:r>
      <w:r>
        <w:rPr>
          <w:rFonts w:hint="eastAsia" w:ascii="楷体" w:hAnsi="楷体" w:eastAsia="楷体" w:cs="Calibri"/>
          <w:sz w:val="24"/>
          <w:szCs w:val="24"/>
          <w:lang w:eastAsia="zh-CN"/>
        </w:rPr>
        <w:tab/>
      </w:r>
    </w:p>
    <w:p>
      <w:pPr>
        <w:ind w:firstLine="480" w:firstLineChars="200"/>
        <w:rPr>
          <w:rFonts w:ascii="楷体" w:hAnsi="楷体" w:eastAsia="楷体"/>
          <w:sz w:val="24"/>
          <w:szCs w:val="24"/>
        </w:rPr>
      </w:pPr>
      <w:r>
        <w:rPr>
          <w:rFonts w:hint="eastAsia" w:ascii="楷体" w:hAnsi="楷体" w:eastAsia="楷体"/>
          <w:sz w:val="24"/>
          <w:szCs w:val="24"/>
        </w:rPr>
        <w:t>投资者提出认购申请时，须备足购买资金。如投资者通过代销渠道购买，管理人在份额确认日通知销售机构扣划投资者认购资金，投资者应在扣款前保证资金账户中拥有足够可用余额；如投资者通过苏银理财直营渠道购买，资金清算以《理财产品销售协议书》约定为准。因投资者资金账户余额不足、司法冻结、不可抗力因素或其他不可归责于苏银理财和销售机构的事由出现，造成扣款失败，认购申请未被确认的，苏银理财和销售机构不承担任何责任。</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认购份额登记日：本理财产品于202</w:t>
      </w:r>
      <w:r>
        <w:rPr>
          <w:rFonts w:hint="eastAsia" w:ascii="楷体" w:hAnsi="楷体" w:eastAsia="楷体" w:cs="Calibri"/>
          <w:sz w:val="24"/>
          <w:szCs w:val="24"/>
          <w:lang w:val="en-US" w:eastAsia="zh-CN"/>
        </w:rPr>
        <w:t>5</w:t>
      </w:r>
      <w:r>
        <w:rPr>
          <w:rFonts w:hint="eastAsia" w:ascii="楷体" w:hAnsi="楷体" w:eastAsia="楷体" w:cs="Calibri"/>
          <w:sz w:val="24"/>
          <w:szCs w:val="24"/>
        </w:rPr>
        <w:t>年</w:t>
      </w:r>
      <w:r>
        <w:rPr>
          <w:rFonts w:hint="eastAsia" w:ascii="楷体" w:hAnsi="楷体" w:eastAsia="楷体" w:cs="Calibri"/>
          <w:sz w:val="24"/>
          <w:szCs w:val="24"/>
          <w:lang w:val="en-US" w:eastAsia="zh-CN"/>
        </w:rPr>
        <w:t>4</w:t>
      </w:r>
      <w:r>
        <w:rPr>
          <w:rFonts w:hint="eastAsia" w:ascii="楷体" w:hAnsi="楷体" w:eastAsia="楷体" w:cs="Calibri"/>
          <w:sz w:val="24"/>
          <w:szCs w:val="24"/>
        </w:rPr>
        <w:t>月</w:t>
      </w:r>
      <w:r>
        <w:rPr>
          <w:rFonts w:hint="eastAsia" w:ascii="楷体" w:hAnsi="楷体" w:eastAsia="楷体" w:cs="Calibri"/>
          <w:sz w:val="24"/>
          <w:szCs w:val="24"/>
          <w:lang w:val="en-US" w:eastAsia="zh-CN"/>
        </w:rPr>
        <w:t>23</w:t>
      </w:r>
      <w:r>
        <w:rPr>
          <w:rFonts w:hint="eastAsia" w:ascii="楷体" w:hAnsi="楷体" w:eastAsia="楷体" w:cs="Calibri"/>
          <w:sz w:val="24"/>
          <w:szCs w:val="24"/>
        </w:rPr>
        <w:t>日进行份额登记。</w:t>
      </w:r>
    </w:p>
    <w:p>
      <w:pPr>
        <w:numPr>
          <w:ilvl w:val="0"/>
          <w:numId w:val="1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认购份额的计算</w:t>
      </w:r>
    </w:p>
    <w:p>
      <w:pPr>
        <w:ind w:firstLine="480" w:firstLineChars="200"/>
        <w:rPr>
          <w:rFonts w:ascii="楷体" w:hAnsi="楷体" w:eastAsia="楷体"/>
          <w:sz w:val="24"/>
          <w:szCs w:val="24"/>
        </w:rPr>
      </w:pPr>
      <w:r>
        <w:rPr>
          <w:rFonts w:ascii="楷体" w:hAnsi="楷体" w:eastAsia="楷体"/>
          <w:sz w:val="24"/>
          <w:szCs w:val="24"/>
        </w:rPr>
        <w:t>认购份额=</w:t>
      </w:r>
      <w:r>
        <w:rPr>
          <w:rFonts w:hint="eastAsia" w:ascii="楷体" w:hAnsi="楷体" w:eastAsia="楷体"/>
          <w:sz w:val="24"/>
          <w:szCs w:val="24"/>
        </w:rPr>
        <w:t>认购金额</w:t>
      </w:r>
      <w:r>
        <w:rPr>
          <w:rFonts w:ascii="楷体" w:hAnsi="楷体" w:eastAsia="楷体"/>
          <w:sz w:val="24"/>
          <w:szCs w:val="24"/>
        </w:rPr>
        <w:t>/</w:t>
      </w:r>
      <w:r>
        <w:rPr>
          <w:rFonts w:hint="eastAsia" w:ascii="楷体" w:hAnsi="楷体" w:eastAsia="楷体"/>
          <w:sz w:val="24"/>
          <w:szCs w:val="24"/>
        </w:rPr>
        <w:t>产品成立时单位净值</w:t>
      </w:r>
    </w:p>
    <w:p>
      <w:pPr>
        <w:ind w:firstLine="480" w:firstLineChars="200"/>
        <w:rPr>
          <w:rFonts w:ascii="楷体" w:hAnsi="楷体" w:eastAsia="楷体"/>
          <w:sz w:val="24"/>
          <w:szCs w:val="24"/>
        </w:rPr>
      </w:pPr>
      <w:r>
        <w:rPr>
          <w:rFonts w:hint="eastAsia" w:ascii="楷体" w:hAnsi="楷体" w:eastAsia="楷体"/>
          <w:sz w:val="24"/>
          <w:szCs w:val="24"/>
        </w:rPr>
        <w:t>产品成立时单位净值为1元/份，</w:t>
      </w:r>
      <w:r>
        <w:rPr>
          <w:rFonts w:ascii="楷体" w:hAnsi="楷体" w:eastAsia="楷体"/>
          <w:sz w:val="24"/>
          <w:szCs w:val="24"/>
        </w:rPr>
        <w:t>认购份额</w:t>
      </w:r>
      <w:r>
        <w:rPr>
          <w:rFonts w:hint="eastAsia" w:ascii="楷体" w:hAnsi="楷体" w:eastAsia="楷体"/>
          <w:sz w:val="24"/>
          <w:szCs w:val="24"/>
        </w:rPr>
        <w:t>以四舍五入的方法保留到小数点后两位。</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产品估值</w:t>
      </w:r>
    </w:p>
    <w:p>
      <w:pPr>
        <w:numPr>
          <w:ilvl w:val="0"/>
          <w:numId w:val="1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估值对象</w:t>
      </w:r>
    </w:p>
    <w:p>
      <w:pPr>
        <w:ind w:firstLine="480" w:firstLineChars="200"/>
        <w:rPr>
          <w:rFonts w:ascii="楷体" w:hAnsi="楷体" w:eastAsia="楷体"/>
          <w:sz w:val="24"/>
          <w:szCs w:val="24"/>
        </w:rPr>
      </w:pPr>
      <w:r>
        <w:rPr>
          <w:rFonts w:hint="eastAsia" w:ascii="楷体" w:hAnsi="楷体" w:eastAsia="楷体"/>
          <w:sz w:val="24"/>
          <w:szCs w:val="24"/>
        </w:rPr>
        <w:t>本产品所拥有的各类证券、银行存款、应收款项及其它资产及负债。</w:t>
      </w:r>
    </w:p>
    <w:p>
      <w:pPr>
        <w:numPr>
          <w:ilvl w:val="0"/>
          <w:numId w:val="1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估值要求</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本产品资产估值的目的是客观、准确的反映资产净值，确定理财产品资产净值，并为理财产品的兑付提供计价依据。</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本产品单位净值精确到小数点后6位，小数点6位后截位。</w:t>
      </w:r>
    </w:p>
    <w:p>
      <w:pPr>
        <w:numPr>
          <w:ilvl w:val="0"/>
          <w:numId w:val="15"/>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本产品每周估值</w:t>
      </w:r>
      <w:r>
        <w:rPr>
          <w:rFonts w:ascii="楷体" w:hAnsi="楷体" w:eastAsia="楷体" w:cs="Calibri"/>
          <w:sz w:val="24"/>
          <w:szCs w:val="24"/>
        </w:rPr>
        <w:t>，</w:t>
      </w:r>
      <w:r>
        <w:rPr>
          <w:rFonts w:hint="eastAsia" w:ascii="楷体" w:hAnsi="楷体" w:eastAsia="楷体" w:cs="Calibri"/>
          <w:sz w:val="24"/>
          <w:szCs w:val="24"/>
        </w:rPr>
        <w:t>并于估值日后第2个工作日内，通过本产品说明书约定方式披露产品单位净值。</w:t>
      </w:r>
    </w:p>
    <w:p>
      <w:pPr>
        <w:numPr>
          <w:ilvl w:val="0"/>
          <w:numId w:val="1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估值方法</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1.存款类资产、货币市场工具：以本金列示，逐日计提利息。</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2.货币市场基金：按公允价值进行估值，以估值截止时间点能够取得的最新每万份收益进行估值。</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3.债券类资产：</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按公允价值进行估值，采用市价、监管认可的第三方估值机构提供的估值价格进行估值。对于以收取合同现金流量为目的并持有到期的债券，符合企业会计准则及监管规定，分类为“以摊余成本计量的金融资产”的，按摊余成本法进行估值，并按照会计准则采用合理减值计量模型或第三方减值计量结果进行预期信用损失的减值计提。计提减值不等同于金融资产已发生损失，仅为对未来风险的审慎预期。</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4.债权类资产：</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按公允价值进行估值。对于以收取合同现金流量为目的并持有到期的债权类资产，金融资产暂不具备活跃交易市场，或者在活跃市场中没有报价，且符合会计准则及监管规定，按摊余成本法进行估值，并按照会计准则采用合理减值计量模型或第三方减值计量结果进行预期信用损失的减值计提。计提减值不等同于金融资产已发生损失，仅为对未来风险的审慎预期。</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5.权益类资产：按公允价值进行估值，采用市价、监管认可的第三方估值机构提供的估值价格进行估值。</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6.证券、基金、保险等资产管理计划和信托计划等资产（不含货币市场基金）：按公允价值进行估值，上述各类资管产品关于同一投资品种的估值原则、政策、技术和方法等应与理财产品管理人保持一致，理财产品管理人将按照会计准则要求定期进行评估。</w:t>
      </w:r>
    </w:p>
    <w:p>
      <w:pPr>
        <w:ind w:firstLine="480" w:firstLineChars="200"/>
        <w:rPr>
          <w:rFonts w:hint="eastAsia" w:ascii="楷体" w:hAnsi="楷体" w:eastAsia="楷体" w:cs="Calibri"/>
          <w:sz w:val="24"/>
          <w:szCs w:val="24"/>
        </w:rPr>
      </w:pPr>
      <w:r>
        <w:rPr>
          <w:rFonts w:hint="eastAsia" w:ascii="楷体" w:hAnsi="楷体" w:eastAsia="楷体" w:cs="Calibri"/>
          <w:sz w:val="24"/>
          <w:szCs w:val="24"/>
        </w:rPr>
        <w:t>7.其他资产：按公允价值进行估值。</w:t>
      </w:r>
    </w:p>
    <w:p>
      <w:pPr>
        <w:ind w:firstLine="480" w:firstLineChars="200"/>
        <w:rPr>
          <w:rFonts w:ascii="楷体" w:hAnsi="楷体" w:eastAsia="楷体"/>
          <w:sz w:val="24"/>
          <w:szCs w:val="24"/>
        </w:rPr>
      </w:pPr>
      <w:r>
        <w:rPr>
          <w:rFonts w:hint="eastAsia" w:ascii="楷体" w:hAnsi="楷体" w:eastAsia="楷体" w:cs="Calibri"/>
          <w:sz w:val="24"/>
          <w:szCs w:val="24"/>
        </w:rPr>
        <w:t>如有新增事项或变更事项，按国家法律法规及监管最新规定执行。</w:t>
      </w:r>
    </w:p>
    <w:p>
      <w:pPr>
        <w:numPr>
          <w:ilvl w:val="0"/>
          <w:numId w:val="1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估值错误的处理</w:t>
      </w:r>
    </w:p>
    <w:p>
      <w:pPr>
        <w:ind w:firstLine="480" w:firstLineChars="200"/>
        <w:rPr>
          <w:rFonts w:ascii="楷体" w:hAnsi="楷体" w:eastAsia="楷体"/>
          <w:sz w:val="24"/>
          <w:szCs w:val="24"/>
        </w:rPr>
      </w:pPr>
      <w:r>
        <w:rPr>
          <w:rFonts w:hint="eastAsia" w:ascii="楷体" w:hAnsi="楷体" w:eastAsia="楷体"/>
          <w:sz w:val="24"/>
          <w:szCs w:val="24"/>
        </w:rPr>
        <w:t>产品管理人和产品托管人将采取必要、适当合理的措施确保产品资产估值的准确性、及时性。当产品单位净值出现错误时，产品管理人应当立即予以纠正，并采取合理的措施防止损失进一步扩大。</w:t>
      </w:r>
      <w:r>
        <w:rPr>
          <w:rFonts w:hint="eastAsia" w:ascii="楷体" w:hAnsi="楷体" w:eastAsia="楷体"/>
          <w:sz w:val="24"/>
          <w:szCs w:val="24"/>
          <w:highlight w:val="none"/>
        </w:rPr>
        <w:t>由于证券交易所、期货交易所、第三方估值机构、登记机构等发送数据错误等非理财产品管理人和托管人原因，或由于其它不可抗力原因</w:t>
      </w:r>
      <w:r>
        <w:rPr>
          <w:rFonts w:hint="eastAsia" w:ascii="楷体" w:hAnsi="楷体" w:eastAsia="楷体"/>
          <w:sz w:val="24"/>
          <w:szCs w:val="24"/>
        </w:rPr>
        <w:t>，产品管理人和产品托管人虽然已采取必要、适当、合理的措施进行检查，但是未能发现该错误的，由此造成的产品估值错误，产品管理人和产品托管人免除赔偿责任。但产品管理人和产品托管人应当积极采取必要的措施</w:t>
      </w:r>
      <w:r>
        <w:rPr>
          <w:rFonts w:hint="eastAsia" w:ascii="楷体" w:hAnsi="楷体" w:eastAsia="楷体"/>
          <w:sz w:val="24"/>
          <w:szCs w:val="24"/>
          <w:lang w:val="en-US" w:eastAsia="zh-CN"/>
        </w:rPr>
        <w:t>减轻或</w:t>
      </w:r>
      <w:r>
        <w:rPr>
          <w:rFonts w:hint="eastAsia" w:ascii="楷体" w:hAnsi="楷体" w:eastAsia="楷体"/>
          <w:sz w:val="24"/>
          <w:szCs w:val="24"/>
        </w:rPr>
        <w:t>消除由此造成的影响。</w:t>
      </w:r>
    </w:p>
    <w:p>
      <w:pPr>
        <w:numPr>
          <w:ilvl w:val="0"/>
          <w:numId w:val="14"/>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暂停估值</w:t>
      </w:r>
    </w:p>
    <w:p>
      <w:pPr>
        <w:ind w:firstLine="480" w:firstLineChars="200"/>
        <w:rPr>
          <w:rFonts w:ascii="楷体" w:hAnsi="楷体" w:eastAsia="楷体"/>
          <w:sz w:val="24"/>
          <w:szCs w:val="24"/>
        </w:rPr>
      </w:pPr>
      <w:r>
        <w:rPr>
          <w:rFonts w:hint="eastAsia" w:ascii="楷体" w:hAnsi="楷体" w:eastAsia="楷体"/>
          <w:sz w:val="24"/>
          <w:szCs w:val="24"/>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2"/>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产品的终止与清算</w:t>
      </w:r>
    </w:p>
    <w:p>
      <w:pPr>
        <w:numPr>
          <w:ilvl w:val="0"/>
          <w:numId w:val="16"/>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理财产品的终止</w:t>
      </w:r>
    </w:p>
    <w:p>
      <w:pPr>
        <w:numPr>
          <w:ilvl w:val="0"/>
          <w:numId w:val="1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提前终止</w:t>
      </w:r>
    </w:p>
    <w:p>
      <w:pPr>
        <w:ind w:firstLine="480" w:firstLineChars="200"/>
        <w:rPr>
          <w:rFonts w:ascii="楷体" w:hAnsi="楷体" w:eastAsia="楷体"/>
          <w:sz w:val="24"/>
          <w:szCs w:val="24"/>
        </w:rPr>
      </w:pPr>
      <w:r>
        <w:rPr>
          <w:rFonts w:hint="eastAsia" w:ascii="楷体" w:hAnsi="楷体" w:eastAsia="楷体"/>
          <w:sz w:val="24"/>
          <w:szCs w:val="24"/>
        </w:rPr>
        <w:t>在理财产品投资运作期间内，投资者无权要求提前终止该理财产品。在理财产品投资运作期间内，当出现下列情形之一时，产品管理人有权</w:t>
      </w:r>
      <w:r>
        <w:rPr>
          <w:rFonts w:hint="eastAsia" w:ascii="楷体" w:hAnsi="楷体" w:eastAsia="楷体"/>
          <w:sz w:val="24"/>
          <w:szCs w:val="24"/>
          <w:lang w:val="en-US" w:eastAsia="zh-CN"/>
        </w:rPr>
        <w:t>提前</w:t>
      </w:r>
      <w:r>
        <w:rPr>
          <w:rFonts w:hint="eastAsia" w:ascii="楷体" w:hAnsi="楷体" w:eastAsia="楷体"/>
          <w:sz w:val="24"/>
          <w:szCs w:val="24"/>
        </w:rPr>
        <w:t>终止本产品：</w:t>
      </w:r>
    </w:p>
    <w:p>
      <w:pPr>
        <w:numPr>
          <w:ilvl w:val="0"/>
          <w:numId w:val="18"/>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因不可抗力原因导致理财产品无法继续运作；</w:t>
      </w:r>
    </w:p>
    <w:p>
      <w:pPr>
        <w:numPr>
          <w:ilvl w:val="0"/>
          <w:numId w:val="18"/>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因法律法规变化或国家金融政策调整、紧急措施出台影响产品继续正常运作；</w:t>
      </w:r>
    </w:p>
    <w:p>
      <w:pPr>
        <w:numPr>
          <w:ilvl w:val="0"/>
          <w:numId w:val="18"/>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法律法规规定或监管部门认定的其他情形。</w:t>
      </w:r>
    </w:p>
    <w:p>
      <w:pPr>
        <w:tabs>
          <w:tab w:val="left" w:pos="1092"/>
        </w:tabs>
        <w:ind w:firstLine="480" w:firstLineChars="200"/>
        <w:rPr>
          <w:rFonts w:ascii="楷体" w:hAnsi="楷体" w:eastAsia="楷体" w:cs="Calibri"/>
          <w:sz w:val="24"/>
          <w:szCs w:val="24"/>
        </w:rPr>
      </w:pPr>
      <w:r>
        <w:rPr>
          <w:rFonts w:hint="eastAsia" w:ascii="楷体" w:hAnsi="楷体" w:eastAsia="楷体"/>
          <w:sz w:val="24"/>
          <w:szCs w:val="24"/>
        </w:rPr>
        <w:t>理财产品不因投资者死亡、丧失民事行为能力、破产等原因而终止。投资者因各种原因无法继续履行合同的，投资者的法定继承人、承继人、指定受益人或继任管理人等合法主体承担原投资者在本理财产品合同中相应的全部权利与义务。</w:t>
      </w:r>
    </w:p>
    <w:p>
      <w:pPr>
        <w:ind w:firstLine="480" w:firstLineChars="200"/>
        <w:rPr>
          <w:rFonts w:ascii="楷体" w:hAnsi="楷体" w:eastAsia="楷体"/>
          <w:sz w:val="24"/>
          <w:szCs w:val="24"/>
        </w:rPr>
      </w:pPr>
      <w:r>
        <w:rPr>
          <w:rFonts w:hint="eastAsia" w:ascii="楷体" w:hAnsi="楷体" w:eastAsia="楷体"/>
          <w:sz w:val="24"/>
          <w:szCs w:val="24"/>
        </w:rPr>
        <w:t>如理财产品管理人提前终止本理财产品，将至少提前</w:t>
      </w:r>
      <w:r>
        <w:rPr>
          <w:rFonts w:ascii="楷体" w:hAnsi="楷体" w:eastAsia="楷体"/>
          <w:sz w:val="24"/>
          <w:szCs w:val="24"/>
        </w:rPr>
        <w:t>2</w:t>
      </w:r>
      <w:r>
        <w:rPr>
          <w:rFonts w:hint="eastAsia" w:ascii="楷体" w:hAnsi="楷体" w:eastAsia="楷体"/>
          <w:sz w:val="24"/>
          <w:szCs w:val="24"/>
        </w:rPr>
        <w:t>个工作日（含）按说明书约定的信息披露方式予以披露。</w:t>
      </w:r>
    </w:p>
    <w:p>
      <w:pPr>
        <w:numPr>
          <w:ilvl w:val="0"/>
          <w:numId w:val="1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正常兑付</w:t>
      </w:r>
    </w:p>
    <w:p>
      <w:pPr>
        <w:ind w:firstLine="480" w:firstLineChars="200"/>
        <w:rPr>
          <w:rFonts w:ascii="楷体" w:hAnsi="楷体" w:eastAsia="楷体" w:cs="Calibri"/>
          <w:sz w:val="24"/>
          <w:szCs w:val="24"/>
        </w:rPr>
      </w:pPr>
      <w:r>
        <w:rPr>
          <w:rFonts w:hint="eastAsia" w:ascii="楷体" w:hAnsi="楷体" w:eastAsia="楷体"/>
          <w:sz w:val="24"/>
          <w:szCs w:val="24"/>
        </w:rPr>
        <w:t>投资者持有本理财产品至产品到期日，投资者的投资本金和收益（如有）将在产品到期后一次性支付。理财产品正常终止并兑付的，投资者的投资本金和收益（如有）将于产品到期日后5个工作日以内划至投资者指定账户，如遇法定节假日或公休日则相应顺延。产品到期日至资金实际到账日之间，投资者资金不计息。</w:t>
      </w:r>
    </w:p>
    <w:p>
      <w:pPr>
        <w:numPr>
          <w:ilvl w:val="0"/>
          <w:numId w:val="1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★延期兑付</w:t>
      </w:r>
    </w:p>
    <w:p>
      <w:pPr>
        <w:ind w:firstLine="480" w:firstLineChars="200"/>
        <w:rPr>
          <w:rFonts w:ascii="楷体" w:hAnsi="楷体" w:eastAsia="楷体"/>
          <w:sz w:val="24"/>
          <w:szCs w:val="24"/>
        </w:rPr>
      </w:pPr>
      <w:r>
        <w:rPr>
          <w:rFonts w:hint="eastAsia" w:ascii="楷体" w:hAnsi="楷体" w:eastAsia="楷体"/>
          <w:sz w:val="24"/>
          <w:szCs w:val="24"/>
        </w:rPr>
        <w:t>出现以下情况，产品管理人有权延长本理财产品的终止日：</w:t>
      </w:r>
    </w:p>
    <w:p>
      <w:pPr>
        <w:numPr>
          <w:ilvl w:val="0"/>
          <w:numId w:val="19"/>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lang w:val="en-US" w:eastAsia="zh-CN"/>
        </w:rPr>
        <w:t>产</w:t>
      </w:r>
      <w:r>
        <w:rPr>
          <w:rFonts w:hint="eastAsia" w:ascii="楷体" w:hAnsi="楷体" w:eastAsia="楷体" w:cs="Calibri"/>
          <w:sz w:val="24"/>
          <w:szCs w:val="24"/>
        </w:rPr>
        <w:t>品终止日遇非工作日则顺延至下一工作日，投资者清算资金到账日将相应调整；</w:t>
      </w:r>
    </w:p>
    <w:p>
      <w:pPr>
        <w:numPr>
          <w:ilvl w:val="0"/>
          <w:numId w:val="19"/>
        </w:numPr>
        <w:tabs>
          <w:tab w:val="left" w:pos="1092"/>
        </w:tabs>
        <w:ind w:left="0" w:firstLine="480" w:firstLineChars="200"/>
        <w:rPr>
          <w:rFonts w:ascii="楷体" w:hAnsi="楷体" w:eastAsia="楷体" w:cs="Calibri"/>
          <w:sz w:val="24"/>
          <w:szCs w:val="24"/>
        </w:rPr>
      </w:pPr>
      <w:r>
        <w:rPr>
          <w:rFonts w:hint="eastAsia" w:ascii="楷体" w:hAnsi="楷体" w:eastAsia="楷体" w:cs="Calibri"/>
          <w:sz w:val="24"/>
          <w:szCs w:val="24"/>
        </w:rPr>
        <w:t>因不可抗力</w:t>
      </w: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市场发生重大变化等</w:t>
      </w:r>
      <w:r>
        <w:rPr>
          <w:rFonts w:hint="eastAsia" w:ascii="楷体" w:hAnsi="楷体" w:eastAsia="楷体" w:cs="Calibri"/>
          <w:sz w:val="24"/>
          <w:szCs w:val="24"/>
        </w:rPr>
        <w:t>原因导致产品项下对应的投资标的无法及时变现</w:t>
      </w: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无法</w:t>
      </w:r>
      <w:r>
        <w:rPr>
          <w:rFonts w:hint="eastAsia" w:ascii="楷体" w:hAnsi="楷体" w:eastAsia="楷体" w:cs="Calibri"/>
          <w:sz w:val="24"/>
          <w:szCs w:val="24"/>
        </w:rPr>
        <w:t>及时收回资金；</w:t>
      </w:r>
    </w:p>
    <w:p>
      <w:pPr>
        <w:numPr>
          <w:ilvl w:val="0"/>
          <w:numId w:val="19"/>
        </w:numPr>
        <w:tabs>
          <w:tab w:val="left" w:pos="1092"/>
        </w:tabs>
        <w:ind w:left="0" w:firstLine="480" w:firstLineChars="200"/>
        <w:rPr>
          <w:rFonts w:ascii="楷体" w:hAnsi="楷体" w:eastAsia="楷体" w:cs="Calibri"/>
          <w:sz w:val="24"/>
          <w:szCs w:val="24"/>
        </w:rPr>
      </w:pPr>
      <w:r>
        <w:rPr>
          <w:rFonts w:hint="eastAsia" w:ascii="楷体" w:hAnsi="楷体" w:eastAsia="楷体" w:cs="Calibri"/>
          <w:color w:val="auto"/>
          <w:sz w:val="24"/>
          <w:szCs w:val="24"/>
        </w:rPr>
        <w:t>法律法规规定或监管部门认定的其他情形</w:t>
      </w:r>
      <w:r>
        <w:rPr>
          <w:rFonts w:hint="eastAsia" w:ascii="楷体" w:hAnsi="楷体" w:eastAsia="楷体" w:cs="Calibri"/>
          <w:sz w:val="24"/>
          <w:szCs w:val="24"/>
        </w:rPr>
        <w:t>。</w:t>
      </w:r>
    </w:p>
    <w:p>
      <w:pPr>
        <w:ind w:firstLine="480" w:firstLineChars="200"/>
        <w:rPr>
          <w:rFonts w:ascii="楷体" w:hAnsi="楷体" w:eastAsia="楷体"/>
          <w:sz w:val="24"/>
          <w:szCs w:val="24"/>
        </w:rPr>
      </w:pPr>
      <w:r>
        <w:rPr>
          <w:rFonts w:hint="eastAsia" w:ascii="楷体" w:hAnsi="楷体" w:eastAsia="楷体"/>
          <w:sz w:val="24"/>
          <w:szCs w:val="24"/>
        </w:rPr>
        <w:t>产品管理人决定延期兑付的，将至少提前</w:t>
      </w:r>
      <w:r>
        <w:rPr>
          <w:rFonts w:ascii="楷体" w:hAnsi="楷体" w:eastAsia="楷体"/>
          <w:sz w:val="24"/>
          <w:szCs w:val="24"/>
        </w:rPr>
        <w:t>2</w:t>
      </w:r>
      <w:r>
        <w:rPr>
          <w:rFonts w:hint="eastAsia" w:ascii="楷体" w:hAnsi="楷体" w:eastAsia="楷体"/>
          <w:sz w:val="24"/>
          <w:szCs w:val="24"/>
        </w:rPr>
        <w:t>个工作日（含）按说明书约定的信息披露方式予以披露。</w:t>
      </w:r>
    </w:p>
    <w:p>
      <w:pPr>
        <w:numPr>
          <w:ilvl w:val="0"/>
          <w:numId w:val="16"/>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投资者可得资金计算</w:t>
      </w:r>
    </w:p>
    <w:p>
      <w:pPr>
        <w:ind w:firstLine="480" w:firstLineChars="200"/>
        <w:rPr>
          <w:rFonts w:ascii="楷体" w:hAnsi="楷体" w:eastAsia="楷体"/>
          <w:sz w:val="24"/>
          <w:szCs w:val="24"/>
        </w:rPr>
      </w:pPr>
      <w:r>
        <w:rPr>
          <w:rFonts w:hint="eastAsia" w:ascii="楷体" w:hAnsi="楷体" w:eastAsia="楷体"/>
          <w:sz w:val="24"/>
          <w:szCs w:val="24"/>
        </w:rPr>
        <w:t>投资者可得资金=投资者持有份额×产品到期时单位净值</w:t>
      </w:r>
    </w:p>
    <w:p>
      <w:pPr>
        <w:ind w:firstLine="480" w:firstLineChars="200"/>
        <w:rPr>
          <w:rFonts w:ascii="楷体" w:hAnsi="楷体" w:eastAsia="楷体"/>
          <w:sz w:val="24"/>
          <w:szCs w:val="24"/>
        </w:rPr>
      </w:pPr>
      <w:r>
        <w:rPr>
          <w:rFonts w:hint="eastAsia" w:ascii="楷体" w:hAnsi="楷体" w:eastAsia="楷体"/>
          <w:sz w:val="24"/>
          <w:szCs w:val="24"/>
        </w:rPr>
        <w:t>计算示例</w:t>
      </w:r>
    </w:p>
    <w:p>
      <w:pPr>
        <w:ind w:firstLine="482" w:firstLineChars="200"/>
        <w:rPr>
          <w:rFonts w:ascii="楷体" w:hAnsi="楷体" w:eastAsia="楷体"/>
          <w:b/>
          <w:sz w:val="24"/>
          <w:szCs w:val="24"/>
          <w:u w:val="single"/>
        </w:rPr>
      </w:pPr>
      <w:r>
        <w:rPr>
          <w:rFonts w:hint="eastAsia" w:ascii="楷体" w:hAnsi="楷体" w:eastAsia="楷体"/>
          <w:b/>
          <w:sz w:val="24"/>
          <w:szCs w:val="24"/>
          <w:u w:val="single"/>
        </w:rPr>
        <w:t>以下示例均为假设情况，不代表本产品实际投资业绩。</w:t>
      </w:r>
    </w:p>
    <w:p>
      <w:pPr>
        <w:ind w:firstLine="480" w:firstLineChars="200"/>
        <w:rPr>
          <w:rFonts w:ascii="楷体" w:hAnsi="楷体" w:eastAsia="楷体"/>
          <w:sz w:val="24"/>
          <w:szCs w:val="24"/>
        </w:rPr>
      </w:pPr>
      <w:r>
        <w:rPr>
          <w:rFonts w:hint="eastAsia" w:ascii="楷体" w:hAnsi="楷体" w:eastAsia="楷体"/>
          <w:sz w:val="24"/>
          <w:szCs w:val="24"/>
        </w:rPr>
        <w:t>1.情景一</w:t>
      </w:r>
    </w:p>
    <w:p>
      <w:pPr>
        <w:ind w:firstLine="480" w:firstLineChars="200"/>
        <w:rPr>
          <w:rFonts w:ascii="楷体" w:hAnsi="楷体" w:eastAsia="楷体"/>
          <w:sz w:val="24"/>
          <w:szCs w:val="24"/>
        </w:rPr>
      </w:pPr>
      <w:r>
        <w:rPr>
          <w:rFonts w:hint="eastAsia" w:ascii="楷体" w:hAnsi="楷体" w:eastAsia="楷体"/>
          <w:sz w:val="24"/>
          <w:szCs w:val="24"/>
        </w:rPr>
        <w:t>假定投资者于募集期认购本产品，投资金额为10,000.00元，购买产品时单位净值为1.0000</w:t>
      </w:r>
      <w:r>
        <w:rPr>
          <w:rFonts w:ascii="楷体" w:hAnsi="楷体" w:eastAsia="楷体"/>
          <w:sz w:val="24"/>
          <w:szCs w:val="24"/>
        </w:rPr>
        <w:t>00</w:t>
      </w:r>
      <w:r>
        <w:rPr>
          <w:rFonts w:hint="eastAsia" w:ascii="楷体" w:hAnsi="楷体" w:eastAsia="楷体"/>
          <w:sz w:val="24"/>
          <w:szCs w:val="24"/>
        </w:rPr>
        <w:t>元，折算份额为10,000.00份。产品到期时，产品单位净值为</w:t>
      </w:r>
      <w:r>
        <w:rPr>
          <w:rFonts w:ascii="楷体" w:hAnsi="楷体" w:eastAsia="楷体"/>
          <w:sz w:val="24"/>
          <w:szCs w:val="24"/>
        </w:rPr>
        <w:t>1.027000</w:t>
      </w:r>
      <w:r>
        <w:rPr>
          <w:rFonts w:hint="eastAsia" w:ascii="楷体" w:hAnsi="楷体" w:eastAsia="楷体"/>
          <w:sz w:val="24"/>
          <w:szCs w:val="24"/>
        </w:rPr>
        <w:t>元。</w:t>
      </w:r>
    </w:p>
    <w:p>
      <w:pPr>
        <w:ind w:firstLine="480" w:firstLineChars="200"/>
        <w:rPr>
          <w:rFonts w:ascii="楷体" w:hAnsi="楷体" w:eastAsia="楷体"/>
          <w:sz w:val="24"/>
          <w:szCs w:val="24"/>
        </w:rPr>
      </w:pPr>
      <w:r>
        <w:rPr>
          <w:rFonts w:hint="eastAsia" w:ascii="楷体" w:hAnsi="楷体" w:eastAsia="楷体"/>
          <w:sz w:val="24"/>
          <w:szCs w:val="24"/>
        </w:rPr>
        <w:t>投资者可得资金=10,000.00×</w:t>
      </w:r>
      <w:r>
        <w:rPr>
          <w:rFonts w:ascii="楷体" w:hAnsi="楷体" w:eastAsia="楷体"/>
          <w:sz w:val="24"/>
          <w:szCs w:val="24"/>
        </w:rPr>
        <w:t>1.027000</w:t>
      </w:r>
      <w:r>
        <w:rPr>
          <w:rFonts w:hint="eastAsia" w:ascii="楷体" w:hAnsi="楷体" w:eastAsia="楷体"/>
          <w:sz w:val="24"/>
          <w:szCs w:val="24"/>
        </w:rPr>
        <w:t>=10,</w:t>
      </w:r>
      <w:r>
        <w:rPr>
          <w:rFonts w:ascii="楷体" w:hAnsi="楷体" w:eastAsia="楷体"/>
          <w:sz w:val="24"/>
          <w:szCs w:val="24"/>
        </w:rPr>
        <w:t>27</w:t>
      </w:r>
      <w:r>
        <w:rPr>
          <w:rFonts w:hint="eastAsia" w:ascii="楷体" w:hAnsi="楷体" w:eastAsia="楷体"/>
          <w:sz w:val="24"/>
          <w:szCs w:val="24"/>
        </w:rPr>
        <w:t>0.00（元）</w:t>
      </w:r>
    </w:p>
    <w:p>
      <w:pPr>
        <w:ind w:firstLine="480" w:firstLineChars="200"/>
        <w:rPr>
          <w:rFonts w:ascii="楷体" w:hAnsi="楷体" w:eastAsia="楷体"/>
          <w:sz w:val="24"/>
          <w:szCs w:val="24"/>
        </w:rPr>
      </w:pPr>
      <w:r>
        <w:rPr>
          <w:rFonts w:hint="eastAsia" w:ascii="楷体" w:hAnsi="楷体" w:eastAsia="楷体"/>
          <w:sz w:val="24"/>
          <w:szCs w:val="24"/>
        </w:rPr>
        <w:t>投资者投资收益=10,</w:t>
      </w:r>
      <w:r>
        <w:rPr>
          <w:rFonts w:ascii="楷体" w:hAnsi="楷体" w:eastAsia="楷体"/>
          <w:sz w:val="24"/>
          <w:szCs w:val="24"/>
        </w:rPr>
        <w:t>27</w:t>
      </w:r>
      <w:r>
        <w:rPr>
          <w:rFonts w:hint="eastAsia" w:ascii="楷体" w:hAnsi="楷体" w:eastAsia="楷体"/>
          <w:sz w:val="24"/>
          <w:szCs w:val="24"/>
        </w:rPr>
        <w:t>0.00-10,000.00=</w:t>
      </w:r>
      <w:r>
        <w:rPr>
          <w:rFonts w:ascii="楷体" w:hAnsi="楷体" w:eastAsia="楷体"/>
          <w:sz w:val="24"/>
          <w:szCs w:val="24"/>
        </w:rPr>
        <w:t>27</w:t>
      </w:r>
      <w:r>
        <w:rPr>
          <w:rFonts w:hint="eastAsia" w:ascii="楷体" w:hAnsi="楷体" w:eastAsia="楷体"/>
          <w:sz w:val="24"/>
          <w:szCs w:val="24"/>
        </w:rPr>
        <w:t>0.00（元）</w:t>
      </w:r>
    </w:p>
    <w:p>
      <w:pPr>
        <w:ind w:firstLine="480" w:firstLineChars="200"/>
        <w:rPr>
          <w:rFonts w:ascii="楷体" w:hAnsi="楷体" w:eastAsia="楷体"/>
          <w:sz w:val="24"/>
          <w:szCs w:val="24"/>
        </w:rPr>
      </w:pPr>
      <w:r>
        <w:rPr>
          <w:rFonts w:hint="eastAsia" w:ascii="楷体" w:hAnsi="楷体" w:eastAsia="楷体"/>
          <w:sz w:val="24"/>
          <w:szCs w:val="24"/>
        </w:rPr>
        <w:t>2.情景二</w:t>
      </w:r>
    </w:p>
    <w:p>
      <w:pPr>
        <w:ind w:firstLine="480" w:firstLineChars="200"/>
        <w:rPr>
          <w:rFonts w:ascii="楷体" w:hAnsi="楷体" w:eastAsia="楷体"/>
          <w:sz w:val="24"/>
          <w:szCs w:val="24"/>
        </w:rPr>
      </w:pPr>
      <w:r>
        <w:rPr>
          <w:rFonts w:hint="eastAsia" w:ascii="楷体" w:hAnsi="楷体" w:eastAsia="楷体"/>
          <w:sz w:val="24"/>
          <w:szCs w:val="24"/>
        </w:rPr>
        <w:t>假定投资者于募集期认购本产品，投资金额为10,000.00元，购买产品时单位净值为1.0000</w:t>
      </w:r>
      <w:r>
        <w:rPr>
          <w:rFonts w:ascii="楷体" w:hAnsi="楷体" w:eastAsia="楷体"/>
          <w:sz w:val="24"/>
          <w:szCs w:val="24"/>
        </w:rPr>
        <w:t>00</w:t>
      </w:r>
      <w:r>
        <w:rPr>
          <w:rFonts w:hint="eastAsia" w:ascii="楷体" w:hAnsi="楷体" w:eastAsia="楷体"/>
          <w:sz w:val="24"/>
          <w:szCs w:val="24"/>
        </w:rPr>
        <w:t>元，折算份额为10,000.00份。产品到期时，产品单位净值为</w:t>
      </w:r>
      <w:r>
        <w:rPr>
          <w:rFonts w:ascii="楷体" w:hAnsi="楷体" w:eastAsia="楷体"/>
          <w:sz w:val="24"/>
          <w:szCs w:val="24"/>
        </w:rPr>
        <w:t>0.997500</w:t>
      </w:r>
      <w:r>
        <w:rPr>
          <w:rFonts w:hint="eastAsia" w:ascii="楷体" w:hAnsi="楷体" w:eastAsia="楷体"/>
          <w:sz w:val="24"/>
          <w:szCs w:val="24"/>
        </w:rPr>
        <w:t>元。</w:t>
      </w:r>
    </w:p>
    <w:p>
      <w:pPr>
        <w:ind w:firstLine="480" w:firstLineChars="200"/>
        <w:rPr>
          <w:rFonts w:ascii="楷体" w:hAnsi="楷体" w:eastAsia="楷体"/>
          <w:sz w:val="24"/>
          <w:szCs w:val="24"/>
        </w:rPr>
      </w:pPr>
      <w:r>
        <w:rPr>
          <w:rFonts w:hint="eastAsia" w:ascii="楷体" w:hAnsi="楷体" w:eastAsia="楷体"/>
          <w:sz w:val="24"/>
          <w:szCs w:val="24"/>
        </w:rPr>
        <w:t>投资者可得资金=10,000.00×0.9975</w:t>
      </w:r>
      <w:r>
        <w:rPr>
          <w:rFonts w:ascii="楷体" w:hAnsi="楷体" w:eastAsia="楷体"/>
          <w:sz w:val="24"/>
          <w:szCs w:val="24"/>
        </w:rPr>
        <w:t>00</w:t>
      </w:r>
      <w:r>
        <w:rPr>
          <w:rFonts w:hint="eastAsia" w:ascii="楷体" w:hAnsi="楷体" w:eastAsia="楷体"/>
          <w:sz w:val="24"/>
          <w:szCs w:val="24"/>
        </w:rPr>
        <w:t>=9,975.00（元）</w:t>
      </w:r>
    </w:p>
    <w:p>
      <w:pPr>
        <w:ind w:firstLine="480" w:firstLineChars="200"/>
        <w:rPr>
          <w:rFonts w:ascii="楷体" w:hAnsi="楷体" w:eastAsia="楷体"/>
          <w:sz w:val="24"/>
          <w:szCs w:val="24"/>
        </w:rPr>
      </w:pPr>
      <w:r>
        <w:rPr>
          <w:rFonts w:hint="eastAsia" w:ascii="楷体" w:hAnsi="楷体" w:eastAsia="楷体"/>
          <w:sz w:val="24"/>
          <w:szCs w:val="24"/>
        </w:rPr>
        <w:t>投资者投资收益=9,975.00-10,000.00=-</w:t>
      </w:r>
      <w:r>
        <w:rPr>
          <w:rFonts w:ascii="楷体" w:hAnsi="楷体" w:eastAsia="楷体"/>
          <w:sz w:val="24"/>
          <w:szCs w:val="24"/>
        </w:rPr>
        <w:t>25</w:t>
      </w:r>
      <w:r>
        <w:rPr>
          <w:rFonts w:hint="eastAsia" w:ascii="楷体" w:hAnsi="楷体" w:eastAsia="楷体"/>
          <w:sz w:val="24"/>
          <w:szCs w:val="24"/>
        </w:rPr>
        <w:t>.</w:t>
      </w:r>
      <w:r>
        <w:rPr>
          <w:rFonts w:ascii="楷体" w:hAnsi="楷体" w:eastAsia="楷体"/>
          <w:sz w:val="24"/>
          <w:szCs w:val="24"/>
        </w:rPr>
        <w:t>00</w:t>
      </w:r>
      <w:r>
        <w:rPr>
          <w:rFonts w:hint="eastAsia" w:ascii="楷体" w:hAnsi="楷体" w:eastAsia="楷体"/>
          <w:sz w:val="24"/>
          <w:szCs w:val="24"/>
        </w:rPr>
        <w:t>（元）</w:t>
      </w:r>
    </w:p>
    <w:p>
      <w:pPr>
        <w:ind w:firstLine="482" w:firstLineChars="200"/>
        <w:rPr>
          <w:rFonts w:ascii="楷体" w:hAnsi="楷体" w:eastAsia="楷体"/>
          <w:b/>
          <w:sz w:val="24"/>
          <w:szCs w:val="24"/>
          <w:u w:val="single"/>
        </w:rPr>
      </w:pPr>
      <w:r>
        <w:rPr>
          <w:rFonts w:hint="eastAsia" w:ascii="楷体" w:hAnsi="楷体" w:eastAsia="楷体"/>
          <w:b/>
          <w:sz w:val="24"/>
          <w:szCs w:val="24"/>
          <w:u w:val="single"/>
        </w:rPr>
        <w:t>最不利的情形下，投资者可能损失100%本金。</w:t>
      </w:r>
    </w:p>
    <w:p>
      <w:pPr>
        <w:ind w:firstLine="482" w:firstLineChars="200"/>
        <w:rPr>
          <w:rFonts w:ascii="楷体" w:hAnsi="楷体" w:eastAsia="楷体"/>
          <w:sz w:val="24"/>
          <w:szCs w:val="24"/>
        </w:rPr>
      </w:pPr>
      <w:r>
        <w:rPr>
          <w:rFonts w:hint="eastAsia" w:ascii="楷体" w:hAnsi="楷体" w:eastAsia="楷体"/>
          <w:b/>
          <w:sz w:val="24"/>
          <w:szCs w:val="24"/>
          <w:u w:val="single"/>
        </w:rPr>
        <w:t>上述情况假设仅用于向投资者示例收益计算方法之用，并不代表管理人对实际投资情况的预期判断，也不代表以上所有情形或某一情形一定会发生，或管理人认为发生的可能性很大。投资者获得的最终收益以产品实际运作表现及管理人实际支付为准。</w:t>
      </w:r>
    </w:p>
    <w:p>
      <w:pPr>
        <w:numPr>
          <w:ilvl w:val="0"/>
          <w:numId w:val="16"/>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理财产品的清算</w:t>
      </w:r>
    </w:p>
    <w:p>
      <w:pPr>
        <w:numPr>
          <w:ilvl w:val="0"/>
          <w:numId w:val="20"/>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自本理财产品终止日至投资者理财本金及收益到账日之间为本理财产品的清算期。清算期不计算利息或投资收益。清算期原则上不得超过5个工作日，清算期超过5个工作日的，将依约定进行公告。</w:t>
      </w:r>
    </w:p>
    <w:p>
      <w:pPr>
        <w:numPr>
          <w:ilvl w:val="0"/>
          <w:numId w:val="20"/>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管理人将依照合同约定公布提前终止日并明确兑付日（一般为提前终止日之后的三个工作日以内）。产品管理人应将投资者理财资金于兑付日（遇节假日顺延）内划转至投资者资金账户。理财产品提前终止日（含当日）至兑付日之间，投资者资金不计息。</w:t>
      </w:r>
    </w:p>
    <w:p>
      <w:pPr>
        <w:numPr>
          <w:ilvl w:val="0"/>
          <w:numId w:val="2"/>
        </w:numPr>
        <w:tabs>
          <w:tab w:val="left" w:pos="1428"/>
        </w:tabs>
        <w:ind w:firstLine="562" w:firstLineChars="200"/>
        <w:rPr>
          <w:rFonts w:ascii="楷体" w:hAnsi="楷体" w:eastAsia="楷体"/>
          <w:b/>
          <w:sz w:val="28"/>
          <w:szCs w:val="28"/>
        </w:rPr>
      </w:pPr>
      <w:r>
        <w:rPr>
          <w:rFonts w:hint="eastAsia" w:ascii="楷体" w:hAnsi="楷体" w:eastAsia="楷体"/>
          <w:b/>
          <w:sz w:val="28"/>
          <w:szCs w:val="28"/>
        </w:rPr>
        <w:t>产品费用</w:t>
      </w:r>
    </w:p>
    <w:p>
      <w:pPr>
        <w:numPr>
          <w:ilvl w:val="0"/>
          <w:numId w:val="21"/>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费用种类</w:t>
      </w:r>
    </w:p>
    <w:p>
      <w:pPr>
        <w:ind w:firstLine="480" w:firstLineChars="200"/>
        <w:rPr>
          <w:rFonts w:ascii="楷体" w:hAnsi="楷体" w:eastAsia="楷体"/>
          <w:sz w:val="24"/>
          <w:szCs w:val="24"/>
        </w:rPr>
      </w:pPr>
      <w:r>
        <w:rPr>
          <w:rFonts w:hint="eastAsia" w:ascii="楷体" w:hAnsi="楷体" w:eastAsia="楷体"/>
          <w:sz w:val="24"/>
          <w:szCs w:val="24"/>
        </w:rPr>
        <w:t>本产品费用包括托管费、销售服务费、投资管理费、超额业绩报酬（如有）以及产品运作和清算中产生的其他费用等。</w:t>
      </w:r>
    </w:p>
    <w:p>
      <w:pPr>
        <w:numPr>
          <w:ilvl w:val="0"/>
          <w:numId w:val="21"/>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计提方法、计提标准和支付方式</w:t>
      </w:r>
    </w:p>
    <w:p>
      <w:pPr>
        <w:numPr>
          <w:ilvl w:val="0"/>
          <w:numId w:val="2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托管费：本产品的托管费每日计提，按季支付，由托管行收取。计算方法如下：</w:t>
      </w:r>
    </w:p>
    <w:p>
      <w:pPr>
        <w:ind w:firstLine="480" w:firstLineChars="200"/>
        <w:rPr>
          <w:rFonts w:ascii="楷体" w:hAnsi="楷体" w:eastAsia="楷体"/>
          <w:sz w:val="24"/>
          <w:szCs w:val="24"/>
        </w:rPr>
      </w:pPr>
      <w:r>
        <w:rPr>
          <w:rFonts w:hint="eastAsia" w:ascii="楷体" w:hAnsi="楷体" w:eastAsia="楷体"/>
          <w:sz w:val="24"/>
          <w:szCs w:val="24"/>
        </w:rPr>
        <w:t>每日应计提的托管费＝前一日的产品资产净值×托管费率÷</w:t>
      </w:r>
      <w:r>
        <w:rPr>
          <w:rFonts w:ascii="楷体" w:hAnsi="楷体" w:eastAsia="楷体"/>
          <w:sz w:val="24"/>
          <w:szCs w:val="24"/>
        </w:rPr>
        <w:t>365</w:t>
      </w:r>
    </w:p>
    <w:p>
      <w:pPr>
        <w:ind w:firstLine="480" w:firstLineChars="200"/>
        <w:rPr>
          <w:rFonts w:ascii="楷体" w:hAnsi="楷体" w:eastAsia="楷体"/>
          <w:sz w:val="24"/>
          <w:szCs w:val="24"/>
        </w:rPr>
      </w:pPr>
      <w:r>
        <w:rPr>
          <w:rFonts w:hint="eastAsia" w:ascii="楷体" w:hAnsi="楷体" w:eastAsia="楷体"/>
          <w:sz w:val="24"/>
          <w:szCs w:val="24"/>
        </w:rPr>
        <w:t>四舍五入保留至小数点后两位</w:t>
      </w:r>
    </w:p>
    <w:p>
      <w:pPr>
        <w:numPr>
          <w:ilvl w:val="0"/>
          <w:numId w:val="2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销售服务费：</w:t>
      </w:r>
    </w:p>
    <w:p>
      <w:pPr>
        <w:numPr>
          <w:ilvl w:val="0"/>
          <w:numId w:val="0"/>
        </w:numPr>
        <w:tabs>
          <w:tab w:val="left" w:pos="728"/>
        </w:tabs>
        <w:ind w:firstLine="480" w:firstLineChars="200"/>
        <w:rPr>
          <w:rFonts w:ascii="楷体" w:hAnsi="楷体" w:eastAsia="楷体" w:cs="Calibri"/>
          <w:sz w:val="24"/>
          <w:szCs w:val="24"/>
        </w:rPr>
      </w:pPr>
      <w:r>
        <w:rPr>
          <w:rFonts w:hint="eastAsia" w:ascii="楷体" w:hAnsi="楷体" w:eastAsia="楷体" w:cs="Calibri"/>
          <w:sz w:val="24"/>
          <w:szCs w:val="24"/>
          <w:lang w:val="en-US" w:eastAsia="zh-CN"/>
        </w:rPr>
        <w:t>（1）</w:t>
      </w:r>
      <w:r>
        <w:rPr>
          <w:rFonts w:hint="eastAsia" w:ascii="楷体" w:hAnsi="楷体" w:eastAsia="楷体" w:cs="Calibri"/>
          <w:sz w:val="24"/>
          <w:szCs w:val="24"/>
        </w:rPr>
        <w:t>本产品</w:t>
      </w:r>
      <w:r>
        <w:rPr>
          <w:rFonts w:hint="eastAsia" w:ascii="楷体" w:hAnsi="楷体" w:eastAsia="楷体" w:cs="Calibri"/>
          <w:sz w:val="24"/>
          <w:szCs w:val="24"/>
          <w:lang w:val="en-US" w:eastAsia="zh-CN"/>
        </w:rPr>
        <w:t>A、B、C、E、F、G、H、I、AJS份额</w:t>
      </w:r>
      <w:r>
        <w:rPr>
          <w:rFonts w:hint="eastAsia" w:ascii="楷体" w:hAnsi="楷体" w:eastAsia="楷体" w:cs="Calibri"/>
          <w:sz w:val="24"/>
          <w:szCs w:val="24"/>
        </w:rPr>
        <w:t>的销售服务费每日计提，按季支付，由销售机构收取。计算方法如下：</w:t>
      </w:r>
    </w:p>
    <w:p>
      <w:pPr>
        <w:ind w:firstLine="480" w:firstLineChars="200"/>
        <w:rPr>
          <w:rFonts w:ascii="楷体" w:hAnsi="楷体" w:eastAsia="楷体"/>
          <w:sz w:val="24"/>
          <w:szCs w:val="24"/>
        </w:rPr>
      </w:pPr>
      <w:r>
        <w:rPr>
          <w:rFonts w:hint="eastAsia" w:ascii="楷体" w:hAnsi="楷体" w:eastAsia="楷体"/>
          <w:sz w:val="24"/>
          <w:szCs w:val="24"/>
        </w:rPr>
        <w:t>每日应计提的销售服务费＝前一日的产品资产净值×销售服务费率÷</w:t>
      </w:r>
      <w:r>
        <w:rPr>
          <w:rFonts w:ascii="楷体" w:hAnsi="楷体" w:eastAsia="楷体"/>
          <w:sz w:val="24"/>
          <w:szCs w:val="24"/>
        </w:rPr>
        <w:t>365</w:t>
      </w:r>
    </w:p>
    <w:p>
      <w:pPr>
        <w:ind w:firstLine="480" w:firstLineChars="200"/>
        <w:rPr>
          <w:rFonts w:hint="eastAsia" w:ascii="楷体" w:hAnsi="楷体" w:eastAsia="楷体"/>
          <w:sz w:val="24"/>
          <w:szCs w:val="24"/>
        </w:rPr>
      </w:pPr>
      <w:r>
        <w:rPr>
          <w:rFonts w:hint="eastAsia" w:ascii="楷体" w:hAnsi="楷体" w:eastAsia="楷体"/>
          <w:sz w:val="24"/>
          <w:szCs w:val="24"/>
        </w:rPr>
        <w:t>四舍五入保留至小数点后两位</w:t>
      </w:r>
    </w:p>
    <w:p>
      <w:pPr>
        <w:numPr>
          <w:ilvl w:val="0"/>
          <w:numId w:val="0"/>
        </w:numPr>
        <w:tabs>
          <w:tab w:val="left" w:pos="728"/>
        </w:tabs>
        <w:ind w:firstLine="480" w:firstLineChars="200"/>
        <w:rPr>
          <w:rFonts w:hint="eastAsia" w:ascii="楷体" w:hAnsi="楷体" w:eastAsia="楷体" w:cs="Calibri"/>
          <w:sz w:val="24"/>
          <w:szCs w:val="24"/>
        </w:rPr>
      </w:pP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2</w:t>
      </w:r>
      <w:r>
        <w:rPr>
          <w:rFonts w:hint="eastAsia" w:ascii="楷体" w:hAnsi="楷体" w:eastAsia="楷体" w:cs="Calibri"/>
          <w:sz w:val="24"/>
          <w:szCs w:val="24"/>
          <w:lang w:eastAsia="zh-CN"/>
        </w:rPr>
        <w:t>）</w:t>
      </w:r>
      <w:r>
        <w:rPr>
          <w:rFonts w:hint="eastAsia" w:ascii="楷体" w:hAnsi="楷体" w:eastAsia="楷体" w:cs="Calibri"/>
          <w:sz w:val="24"/>
          <w:szCs w:val="24"/>
        </w:rPr>
        <w:t>本产品</w:t>
      </w:r>
      <w:r>
        <w:rPr>
          <w:rFonts w:hint="eastAsia" w:ascii="楷体" w:hAnsi="楷体" w:eastAsia="楷体" w:cs="Calibri"/>
          <w:sz w:val="24"/>
          <w:szCs w:val="24"/>
          <w:lang w:val="en-US" w:eastAsia="zh-CN"/>
        </w:rPr>
        <w:t>D份额</w:t>
      </w:r>
      <w:r>
        <w:rPr>
          <w:rFonts w:hint="eastAsia" w:ascii="楷体" w:hAnsi="楷体" w:eastAsia="楷体" w:cs="Calibri"/>
          <w:sz w:val="24"/>
          <w:szCs w:val="24"/>
        </w:rPr>
        <w:t>的销售服务费</w:t>
      </w:r>
      <w:r>
        <w:rPr>
          <w:rFonts w:hint="eastAsia" w:ascii="楷体" w:hAnsi="楷体" w:eastAsia="楷体" w:cs="Calibri"/>
          <w:sz w:val="24"/>
          <w:szCs w:val="24"/>
          <w:lang w:val="en-US" w:eastAsia="zh-CN"/>
        </w:rPr>
        <w:t>于产品成立日一次性提取</w:t>
      </w:r>
      <w:r>
        <w:rPr>
          <w:rFonts w:hint="eastAsia" w:ascii="楷体" w:hAnsi="楷体" w:eastAsia="楷体" w:cs="Calibri"/>
          <w:sz w:val="24"/>
          <w:szCs w:val="24"/>
          <w:lang w:eastAsia="zh-CN"/>
        </w:rPr>
        <w:t>，</w:t>
      </w:r>
      <w:r>
        <w:rPr>
          <w:rFonts w:hint="eastAsia" w:ascii="楷体" w:hAnsi="楷体" w:eastAsia="楷体" w:cs="Calibri"/>
          <w:sz w:val="24"/>
          <w:szCs w:val="24"/>
          <w:lang w:val="en-US" w:eastAsia="zh-CN"/>
        </w:rPr>
        <w:t>每日摊销，</w:t>
      </w:r>
      <w:r>
        <w:rPr>
          <w:rFonts w:hint="eastAsia" w:ascii="楷体" w:hAnsi="楷体" w:eastAsia="楷体" w:cs="Calibri"/>
          <w:sz w:val="24"/>
          <w:szCs w:val="24"/>
        </w:rPr>
        <w:t>由销售机构收取。计算方法如下：</w:t>
      </w:r>
    </w:p>
    <w:p>
      <w:pPr>
        <w:ind w:firstLine="480" w:firstLineChars="200"/>
        <w:rPr>
          <w:rFonts w:hint="eastAsia" w:ascii="楷体" w:hAnsi="楷体" w:eastAsia="楷体"/>
          <w:sz w:val="24"/>
          <w:szCs w:val="24"/>
        </w:rPr>
      </w:pPr>
      <w:r>
        <w:rPr>
          <w:rFonts w:hint="eastAsia" w:ascii="楷体" w:hAnsi="楷体" w:eastAsia="楷体"/>
          <w:sz w:val="24"/>
          <w:szCs w:val="24"/>
        </w:rPr>
        <w:t>销售服务费＝</w:t>
      </w:r>
      <w:r>
        <w:rPr>
          <w:rFonts w:hint="eastAsia" w:ascii="楷体" w:hAnsi="楷体" w:eastAsia="楷体"/>
          <w:sz w:val="24"/>
          <w:szCs w:val="24"/>
          <w:lang w:val="en-US" w:eastAsia="zh-CN"/>
        </w:rPr>
        <w:t>产品成立日的产品份额</w:t>
      </w:r>
      <w:r>
        <w:rPr>
          <w:rFonts w:hint="eastAsia" w:ascii="楷体" w:hAnsi="楷体" w:eastAsia="楷体"/>
          <w:sz w:val="24"/>
          <w:szCs w:val="24"/>
        </w:rPr>
        <w:t>×</w:t>
      </w:r>
      <w:r>
        <w:rPr>
          <w:rFonts w:hint="eastAsia" w:ascii="楷体" w:hAnsi="楷体" w:eastAsia="楷体"/>
          <w:sz w:val="24"/>
          <w:szCs w:val="24"/>
          <w:lang w:val="en-US" w:eastAsia="zh-CN"/>
        </w:rPr>
        <w:t>销售服务费率</w:t>
      </w:r>
      <w:r>
        <w:rPr>
          <w:rFonts w:hint="eastAsia" w:ascii="楷体" w:hAnsi="楷体" w:eastAsia="楷体"/>
          <w:sz w:val="24"/>
          <w:szCs w:val="24"/>
        </w:rPr>
        <w:t>×</w:t>
      </w:r>
      <w:r>
        <w:rPr>
          <w:rFonts w:hint="eastAsia" w:ascii="楷体" w:hAnsi="楷体" w:eastAsia="楷体"/>
          <w:sz w:val="24"/>
          <w:szCs w:val="24"/>
          <w:lang w:val="en-US" w:eastAsia="zh-CN"/>
        </w:rPr>
        <w:t>产品投资期限天数</w:t>
      </w:r>
      <w:r>
        <w:rPr>
          <w:rFonts w:hint="eastAsia" w:ascii="楷体" w:hAnsi="楷体" w:eastAsia="楷体"/>
          <w:sz w:val="24"/>
          <w:szCs w:val="24"/>
        </w:rPr>
        <w:t>÷365</w:t>
      </w:r>
    </w:p>
    <w:p>
      <w:pPr>
        <w:ind w:firstLine="480" w:firstLineChars="200"/>
        <w:rPr>
          <w:rFonts w:hint="eastAsia" w:ascii="楷体" w:hAnsi="楷体" w:eastAsia="楷体"/>
          <w:sz w:val="24"/>
          <w:szCs w:val="24"/>
        </w:rPr>
      </w:pPr>
      <w:r>
        <w:rPr>
          <w:rFonts w:hint="eastAsia" w:ascii="楷体" w:hAnsi="楷体" w:eastAsia="楷体"/>
          <w:sz w:val="24"/>
          <w:szCs w:val="24"/>
        </w:rPr>
        <w:t>四舍五入保留至小数点后两位</w:t>
      </w:r>
    </w:p>
    <w:p>
      <w:pPr>
        <w:numPr>
          <w:ilvl w:val="0"/>
          <w:numId w:val="2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投资管理费：本产品的投资管理费每日计提，按月支付，由管理人收取。计算方法如下：</w:t>
      </w:r>
    </w:p>
    <w:p>
      <w:pPr>
        <w:ind w:firstLine="480" w:firstLineChars="200"/>
        <w:rPr>
          <w:rFonts w:ascii="楷体" w:hAnsi="楷体" w:eastAsia="楷体"/>
          <w:sz w:val="24"/>
          <w:szCs w:val="24"/>
        </w:rPr>
      </w:pPr>
      <w:r>
        <w:rPr>
          <w:rFonts w:hint="eastAsia" w:ascii="楷体" w:hAnsi="楷体" w:eastAsia="楷体"/>
          <w:sz w:val="24"/>
          <w:szCs w:val="24"/>
        </w:rPr>
        <w:t>每日应计提的投资管理费＝前一日的产品资产净值×投资管理费率÷</w:t>
      </w:r>
      <w:r>
        <w:rPr>
          <w:rFonts w:ascii="楷体" w:hAnsi="楷体" w:eastAsia="楷体"/>
          <w:sz w:val="24"/>
          <w:szCs w:val="24"/>
        </w:rPr>
        <w:t>365</w:t>
      </w:r>
    </w:p>
    <w:p>
      <w:pPr>
        <w:ind w:firstLine="480" w:firstLineChars="200"/>
        <w:rPr>
          <w:rFonts w:ascii="楷体" w:hAnsi="楷体" w:eastAsia="楷体"/>
          <w:sz w:val="24"/>
          <w:szCs w:val="24"/>
        </w:rPr>
      </w:pPr>
      <w:r>
        <w:rPr>
          <w:rFonts w:hint="eastAsia" w:ascii="楷体" w:hAnsi="楷体" w:eastAsia="楷体"/>
          <w:sz w:val="24"/>
          <w:szCs w:val="24"/>
        </w:rPr>
        <w:t>四舍五入保留至小数点后两位</w:t>
      </w:r>
    </w:p>
    <w:p>
      <w:pPr>
        <w:numPr>
          <w:ilvl w:val="0"/>
          <w:numId w:val="22"/>
        </w:numPr>
        <w:tabs>
          <w:tab w:val="left" w:pos="728"/>
        </w:tabs>
        <w:ind w:left="0" w:firstLine="480" w:firstLineChars="200"/>
        <w:rPr>
          <w:rFonts w:ascii="楷体" w:hAnsi="楷体" w:eastAsia="楷体"/>
          <w:sz w:val="24"/>
          <w:szCs w:val="24"/>
        </w:rPr>
      </w:pPr>
      <w:r>
        <w:rPr>
          <w:rFonts w:hint="eastAsia" w:ascii="楷体" w:hAnsi="楷体" w:eastAsia="楷体" w:cs="Calibri"/>
          <w:sz w:val="24"/>
          <w:szCs w:val="24"/>
        </w:rPr>
        <w:t>超额业绩报酬</w:t>
      </w:r>
      <w:r>
        <w:rPr>
          <w:rFonts w:hint="eastAsia" w:ascii="楷体" w:hAnsi="楷体" w:eastAsia="楷体"/>
          <w:sz w:val="24"/>
          <w:szCs w:val="24"/>
        </w:rPr>
        <w:t>：若产品各份额实际投资收益在扣除托管费、销售服务费、投资管理费</w:t>
      </w:r>
      <w:r>
        <w:rPr>
          <w:rFonts w:hint="eastAsia" w:ascii="楷体" w:hAnsi="楷体" w:eastAsia="楷体"/>
          <w:sz w:val="24"/>
          <w:szCs w:val="24"/>
          <w:lang w:val="en-US" w:eastAsia="zh-CN"/>
        </w:rPr>
        <w:t>等费用</w:t>
      </w:r>
      <w:r>
        <w:rPr>
          <w:rFonts w:hint="eastAsia" w:ascii="楷体" w:hAnsi="楷体" w:eastAsia="楷体"/>
          <w:sz w:val="24"/>
          <w:szCs w:val="24"/>
        </w:rPr>
        <w:t>后超过各份额业绩比较基准</w:t>
      </w:r>
      <w:r>
        <w:rPr>
          <w:rFonts w:hint="eastAsia" w:ascii="楷体" w:hAnsi="楷体" w:eastAsia="楷体"/>
          <w:sz w:val="24"/>
          <w:szCs w:val="24"/>
          <w:lang w:val="en-US" w:eastAsia="zh-CN"/>
        </w:rPr>
        <w:t>上限</w:t>
      </w:r>
      <w:r>
        <w:rPr>
          <w:rFonts w:hint="eastAsia" w:ascii="楷体" w:hAnsi="楷体" w:eastAsia="楷体"/>
          <w:sz w:val="24"/>
          <w:szCs w:val="24"/>
        </w:rPr>
        <w:t>，产品管理人将按照超出部分的</w:t>
      </w:r>
      <w:r>
        <w:rPr>
          <w:rFonts w:hint="eastAsia" w:ascii="楷体" w:hAnsi="楷体" w:eastAsia="楷体"/>
          <w:sz w:val="24"/>
          <w:szCs w:val="24"/>
          <w:lang w:val="en-US" w:eastAsia="zh-CN"/>
        </w:rPr>
        <w:t>5</w:t>
      </w:r>
      <w:r>
        <w:rPr>
          <w:rFonts w:hint="eastAsia" w:ascii="楷体" w:hAnsi="楷体" w:eastAsia="楷体"/>
          <w:sz w:val="24"/>
          <w:szCs w:val="24"/>
        </w:rPr>
        <w:t>0%收取超额业绩报酬。</w:t>
      </w:r>
    </w:p>
    <w:p>
      <w:pPr>
        <w:tabs>
          <w:tab w:val="left" w:pos="728"/>
        </w:tabs>
        <w:ind w:firstLine="480" w:firstLineChars="200"/>
        <w:rPr>
          <w:rFonts w:ascii="楷体" w:hAnsi="楷体" w:eastAsia="楷体"/>
          <w:sz w:val="24"/>
          <w:szCs w:val="24"/>
        </w:rPr>
      </w:pPr>
      <w:r>
        <w:rPr>
          <w:rFonts w:hint="eastAsia" w:ascii="楷体" w:hAnsi="楷体" w:eastAsia="楷体"/>
          <w:sz w:val="24"/>
          <w:szCs w:val="24"/>
        </w:rPr>
        <w:t>产品存续期内理财产品将每日暂估超额业绩报酬，仅用于理财产品会计核算，并将扣除“暂估超额业绩报酬”后的理财产品份额净值按照说明书约定向投资者进行披露。理财产品实际的超额业绩报酬以到期日计提核算的数值为准。计算累计年化收益率和业绩比较基准时，1年按365日计算。</w:t>
      </w:r>
    </w:p>
    <w:p>
      <w:pPr>
        <w:numPr>
          <w:ilvl w:val="0"/>
          <w:numId w:val="22"/>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产品运作和清算中产生的交易手续费、注册登记费、账户服务费、审计费、及其他应由本产品承担的费用，按照实际发生时从产品中列支。</w:t>
      </w:r>
    </w:p>
    <w:p>
      <w:pPr>
        <w:ind w:firstLine="480" w:firstLineChars="200"/>
        <w:rPr>
          <w:rFonts w:ascii="楷体" w:hAnsi="楷体" w:eastAsia="楷体"/>
          <w:sz w:val="24"/>
          <w:szCs w:val="24"/>
        </w:rPr>
      </w:pPr>
      <w:r>
        <w:rPr>
          <w:rFonts w:hint="eastAsia" w:ascii="楷体" w:hAnsi="楷体" w:eastAsia="楷体"/>
          <w:sz w:val="24"/>
          <w:szCs w:val="24"/>
          <w:highlight w:val="none"/>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将可能开放赎回，具体以届时产品管理人公告为准；如投资者未赎回本产品，则视为本理财产品投资者接受相关调整且同意在调整后继续持有本理财产品。本产品不收取认购费用、申购费用、赎回费用。</w:t>
      </w:r>
    </w:p>
    <w:p>
      <w:pPr>
        <w:numPr>
          <w:ilvl w:val="0"/>
          <w:numId w:val="2"/>
        </w:numPr>
        <w:tabs>
          <w:tab w:val="left" w:pos="1428"/>
        </w:tabs>
        <w:ind w:firstLine="562" w:firstLineChars="200"/>
        <w:rPr>
          <w:rFonts w:ascii="楷体" w:hAnsi="楷体" w:eastAsia="楷体"/>
          <w:b/>
          <w:sz w:val="28"/>
          <w:szCs w:val="28"/>
        </w:rPr>
      </w:pPr>
      <w:r>
        <w:rPr>
          <w:rFonts w:hint="eastAsia" w:ascii="楷体" w:hAnsi="楷体" w:eastAsia="楷体"/>
          <w:b/>
          <w:sz w:val="28"/>
          <w:szCs w:val="28"/>
        </w:rPr>
        <w:t>税收规定</w:t>
      </w:r>
    </w:p>
    <w:p>
      <w:pPr>
        <w:ind w:firstLine="480" w:firstLineChars="200"/>
        <w:rPr>
          <w:rFonts w:ascii="楷体" w:hAnsi="楷体" w:eastAsia="楷体"/>
          <w:sz w:val="24"/>
          <w:szCs w:val="24"/>
        </w:rPr>
      </w:pPr>
      <w:r>
        <w:rPr>
          <w:rFonts w:hint="eastAsia" w:ascii="楷体" w:hAnsi="楷体" w:eastAsia="楷体"/>
          <w:sz w:val="24"/>
          <w:szCs w:val="24"/>
        </w:rPr>
        <w:t>根据中国增值税等税收相关法律法规、税收政策等要求，本理财产品运营过程中发生的增值税应税行为，以理财产品管理人为纳税人。签约各方同意本理财产品在运营过程应缴纳的增值税及附加税费（包括但不限于城市维护建设税、教育费附加及地方教育附加等）由管理人从理财产品财产中支付，应缴纳增值税的原因包括但不限于投资者从理财产品中获取的收益被政府机关认定为应缴纳部分、投资者转让未到期理财产品等，并由管理人根据中国税务机关要求，履行相关纳税申报义务，由此可能会使理财产品净值或实际收益降低，请投资者知悉。</w:t>
      </w:r>
      <w:r>
        <w:rPr>
          <w:rFonts w:hint="eastAsia" w:ascii="楷体" w:hAnsi="楷体" w:eastAsia="楷体"/>
          <w:b/>
          <w:sz w:val="24"/>
          <w:szCs w:val="24"/>
          <w:u w:val="single"/>
        </w:rPr>
        <w:t>投资者从理财产品取得的收益应缴纳的税款，由投资者自行申报及缴纳。</w:t>
      </w:r>
    </w:p>
    <w:p>
      <w:pPr>
        <w:numPr>
          <w:ilvl w:val="0"/>
          <w:numId w:val="2"/>
        </w:numPr>
        <w:tabs>
          <w:tab w:val="left" w:pos="1414"/>
        </w:tabs>
        <w:ind w:firstLine="562" w:firstLineChars="200"/>
        <w:rPr>
          <w:rFonts w:ascii="楷体" w:hAnsi="楷体" w:eastAsia="楷体"/>
          <w:b/>
          <w:sz w:val="28"/>
          <w:szCs w:val="28"/>
        </w:rPr>
      </w:pPr>
      <w:r>
        <w:rPr>
          <w:rFonts w:hint="eastAsia" w:ascii="楷体" w:hAnsi="楷体" w:eastAsia="楷体"/>
          <w:b/>
          <w:sz w:val="28"/>
          <w:szCs w:val="28"/>
        </w:rPr>
        <w:t>产品托管人</w:t>
      </w:r>
    </w:p>
    <w:p>
      <w:pPr>
        <w:numPr>
          <w:ilvl w:val="0"/>
          <w:numId w:val="2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托管人</w:t>
      </w:r>
    </w:p>
    <w:p>
      <w:pPr>
        <w:ind w:firstLine="480" w:firstLineChars="200"/>
        <w:rPr>
          <w:rFonts w:ascii="楷体" w:hAnsi="楷体" w:eastAsia="楷体"/>
          <w:sz w:val="24"/>
          <w:szCs w:val="24"/>
        </w:rPr>
      </w:pPr>
      <w:r>
        <w:rPr>
          <w:rFonts w:hint="eastAsia" w:ascii="楷体" w:hAnsi="楷体" w:eastAsia="楷体"/>
          <w:sz w:val="24"/>
          <w:szCs w:val="24"/>
        </w:rPr>
        <w:t>本产品托管人为江苏银行股份有限公司。产品管理人在此特别披露</w:t>
      </w:r>
      <w:r>
        <w:rPr>
          <w:rFonts w:ascii="楷体" w:hAnsi="楷体" w:eastAsia="楷体"/>
          <w:sz w:val="24"/>
          <w:szCs w:val="24"/>
        </w:rPr>
        <w:t>：</w:t>
      </w:r>
      <w:r>
        <w:rPr>
          <w:rFonts w:hint="eastAsia" w:ascii="楷体" w:hAnsi="楷体" w:eastAsia="楷体"/>
          <w:sz w:val="24"/>
          <w:szCs w:val="24"/>
        </w:rPr>
        <w:t>托管人为产品管理人的关联方</w:t>
      </w:r>
      <w:r>
        <w:rPr>
          <w:rFonts w:ascii="楷体" w:hAnsi="楷体" w:eastAsia="楷体"/>
          <w:sz w:val="24"/>
          <w:szCs w:val="24"/>
        </w:rPr>
        <w:t>，</w:t>
      </w:r>
      <w:r>
        <w:rPr>
          <w:rFonts w:hint="eastAsia" w:ascii="楷体" w:hAnsi="楷体" w:eastAsia="楷体"/>
          <w:sz w:val="24"/>
          <w:szCs w:val="24"/>
        </w:rPr>
        <w:t>产品管理人聘请其担任托管人已履行现行法律法规和监管规定所规定必须履行的程序</w:t>
      </w:r>
      <w:r>
        <w:rPr>
          <w:rFonts w:ascii="楷体" w:hAnsi="楷体" w:eastAsia="楷体"/>
          <w:sz w:val="24"/>
          <w:szCs w:val="24"/>
        </w:rPr>
        <w:t>，</w:t>
      </w:r>
      <w:r>
        <w:rPr>
          <w:rFonts w:hint="eastAsia" w:ascii="楷体" w:hAnsi="楷体" w:eastAsia="楷体"/>
          <w:sz w:val="24"/>
          <w:szCs w:val="24"/>
        </w:rPr>
        <w:t>产品管理人、投资者同意并接受理财产品由托管人托管。</w:t>
      </w:r>
    </w:p>
    <w:p>
      <w:pPr>
        <w:numPr>
          <w:ilvl w:val="0"/>
          <w:numId w:val="23"/>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托管人职责</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安全保管理财产品财产；</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为理财产品开立银行托管账户、证券账户等；</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确认与执行理财产品资金划拨指令，办理理财产品资金的收付，核对理财产品资金划拨记录；</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建立与理财产品管理人的对账机制，复核理财产品资产净值、理财产品份额申购、赎回价格，及时核查投资资金的支付和到账情况；</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监督理财产品投资运作；</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办理与理财产品托管业务活动相关的信息披露事项；</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保存理财产品托管业务活动的记录、账册、报表和其他相关材料；</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对理财产品投资信息和相关资料承担保密责任；</w:t>
      </w:r>
    </w:p>
    <w:p>
      <w:pPr>
        <w:numPr>
          <w:ilvl w:val="0"/>
          <w:numId w:val="24"/>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国务院银行业监督管理机构规定的其他职责。</w:t>
      </w:r>
    </w:p>
    <w:p>
      <w:pPr>
        <w:numPr>
          <w:ilvl w:val="0"/>
          <w:numId w:val="2"/>
        </w:numPr>
        <w:tabs>
          <w:tab w:val="left" w:pos="1428"/>
        </w:tabs>
        <w:ind w:firstLine="562" w:firstLineChars="200"/>
        <w:rPr>
          <w:rFonts w:ascii="楷体" w:hAnsi="楷体" w:eastAsia="楷体"/>
          <w:b/>
          <w:sz w:val="28"/>
          <w:szCs w:val="28"/>
        </w:rPr>
      </w:pPr>
      <w:r>
        <w:rPr>
          <w:rFonts w:hint="eastAsia" w:ascii="楷体" w:hAnsi="楷体" w:eastAsia="楷体"/>
          <w:b/>
          <w:sz w:val="28"/>
          <w:szCs w:val="28"/>
        </w:rPr>
        <w:t>信息披露</w:t>
      </w:r>
    </w:p>
    <w:p>
      <w:pPr>
        <w:numPr>
          <w:ilvl w:val="0"/>
          <w:numId w:val="25"/>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信息披露内容</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产品类型、募集信息、产品净值、产品规模、托管安排、投资账户信息；</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产品投向、投资比例、持仓情况、杠杆水平以及主要投资风险；</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产品收益分配、各项费用情况；</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产品涉及关联交易；</w:t>
      </w:r>
    </w:p>
    <w:p>
      <w:pPr>
        <w:numPr>
          <w:ilvl w:val="0"/>
          <w:numId w:val="26"/>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其他影响本产品投资运作的重大事项、临时性信息披露等。</w:t>
      </w:r>
    </w:p>
    <w:p>
      <w:pPr>
        <w:numPr>
          <w:ilvl w:val="0"/>
          <w:numId w:val="25"/>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信息披露频率</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发行公告：管理人在产品成立后5个工作日内，披露产品成立公告，内容包括理财产品成立日期和募集规模等信息。</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到期公告：管理人在产品终止后5个工作日内，披露产品到期公告，内容包括理财产品的存续期限、终止日期、收费情况和收益分配情况等信息。</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重大事项公告：管理人在发生可能对理财产品投资者或者理财产品收益产生重大事项的事件后2个工作日内发布重大事项公告。</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产品净值披露：每周向投资者披露一次产品的资产净值和份额净值。</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临时性信息披露：管理人将及时披露国务院银行业监督管理机构规定的其他信息或除重大事项事件以外的其他信息。</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半年度整体报告：每半年披露从事理财业务活动的有关信息。</w:t>
      </w:r>
    </w:p>
    <w:p>
      <w:pPr>
        <w:numPr>
          <w:ilvl w:val="0"/>
          <w:numId w:val="27"/>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理财账单：管理人每月向投资者提供其所持有的理财产品账单，账单内容包括但不限于投资者持有的理财产品份额、认购金额、份额单位净值、份额累计净值、资产净值、收益情况、投资者理财交易账户发生的交易明细记录等信息。</w:t>
      </w:r>
    </w:p>
    <w:p>
      <w:pPr>
        <w:numPr>
          <w:ilvl w:val="0"/>
          <w:numId w:val="25"/>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信息披露方式</w:t>
      </w:r>
    </w:p>
    <w:p>
      <w:pPr>
        <w:ind w:firstLine="480" w:firstLineChars="200"/>
        <w:rPr>
          <w:rFonts w:ascii="楷体" w:hAnsi="楷体" w:eastAsia="楷体"/>
          <w:sz w:val="24"/>
          <w:szCs w:val="24"/>
        </w:rPr>
      </w:pPr>
      <w:r>
        <w:rPr>
          <w:rFonts w:hint="eastAsia" w:ascii="楷体" w:hAnsi="楷体" w:eastAsia="楷体"/>
          <w:sz w:val="24"/>
          <w:szCs w:val="24"/>
        </w:rPr>
        <w:t>由苏银理财按监管要求和说明书的约定，同时通过以下方式向投资者进行信息披露，披露方式包括：</w:t>
      </w:r>
    </w:p>
    <w:p>
      <w:pPr>
        <w:numPr>
          <w:ilvl w:val="0"/>
          <w:numId w:val="28"/>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苏银理财通过苏银理财有限责任公司官方网站（</w:t>
      </w:r>
      <w:r>
        <w:rPr>
          <w:rFonts w:ascii="楷体" w:hAnsi="楷体" w:eastAsia="楷体" w:cs="Calibri"/>
          <w:sz w:val="24"/>
          <w:szCs w:val="24"/>
        </w:rPr>
        <w:t>www</w:t>
      </w:r>
      <w:r>
        <w:rPr>
          <w:rFonts w:hint="eastAsia" w:ascii="楷体" w:hAnsi="楷体" w:eastAsia="楷体" w:cs="Calibri"/>
          <w:sz w:val="24"/>
          <w:szCs w:val="24"/>
        </w:rPr>
        <w:t>.</w:t>
      </w:r>
      <w:r>
        <w:rPr>
          <w:rFonts w:ascii="楷体" w:hAnsi="楷体" w:eastAsia="楷体" w:cs="Calibri"/>
          <w:sz w:val="24"/>
          <w:szCs w:val="24"/>
        </w:rPr>
        <w:t>suyinwealth</w:t>
      </w:r>
      <w:r>
        <w:rPr>
          <w:rFonts w:hint="eastAsia" w:ascii="楷体" w:hAnsi="楷体" w:eastAsia="楷体" w:cs="Calibri"/>
          <w:sz w:val="24"/>
          <w:szCs w:val="24"/>
        </w:rPr>
        <w:t>.</w:t>
      </w:r>
      <w:r>
        <w:rPr>
          <w:rFonts w:ascii="楷体" w:hAnsi="楷体" w:eastAsia="楷体" w:cs="Calibri"/>
          <w:sz w:val="24"/>
          <w:szCs w:val="24"/>
        </w:rPr>
        <w:t>com</w:t>
      </w:r>
      <w:r>
        <w:rPr>
          <w:rFonts w:hint="eastAsia" w:ascii="楷体" w:hAnsi="楷体" w:eastAsia="楷体" w:cs="Calibri"/>
          <w:sz w:val="24"/>
          <w:szCs w:val="24"/>
        </w:rPr>
        <w:t>）进行信息披露。</w:t>
      </w:r>
    </w:p>
    <w:p>
      <w:pPr>
        <w:numPr>
          <w:ilvl w:val="0"/>
          <w:numId w:val="28"/>
        </w:numPr>
        <w:tabs>
          <w:tab w:val="left" w:pos="728"/>
        </w:tabs>
        <w:ind w:left="0" w:firstLine="480" w:firstLineChars="200"/>
        <w:rPr>
          <w:rFonts w:ascii="楷体" w:hAnsi="楷体" w:eastAsia="楷体" w:cs="Calibri"/>
          <w:sz w:val="24"/>
          <w:szCs w:val="24"/>
        </w:rPr>
      </w:pPr>
      <w:r>
        <w:rPr>
          <w:rFonts w:hint="eastAsia" w:ascii="楷体" w:hAnsi="楷体" w:eastAsia="楷体" w:cs="Calibri"/>
          <w:sz w:val="24"/>
          <w:szCs w:val="24"/>
        </w:rPr>
        <w:t>苏银理财将信息披露内容发送销售机构，由销售机构通过短信及销售机构电子渠道和营业网点等方式进行信息披露。</w:t>
      </w:r>
    </w:p>
    <w:p>
      <w:pPr>
        <w:ind w:firstLine="480" w:firstLineChars="200"/>
        <w:rPr>
          <w:rFonts w:ascii="楷体" w:hAnsi="楷体" w:eastAsia="楷体"/>
          <w:sz w:val="24"/>
          <w:szCs w:val="24"/>
        </w:rPr>
      </w:pPr>
      <w:r>
        <w:rPr>
          <w:rFonts w:hint="eastAsia" w:ascii="楷体" w:hAnsi="楷体" w:eastAsia="楷体"/>
          <w:sz w:val="24"/>
          <w:szCs w:val="24"/>
        </w:rPr>
        <w:t>相关信息在发布或发出之日视为通知已送达投资者并生效，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请投资者及时登陆苏银理财有限责任公司官方网站或者向销售机构查询获取披露信息。</w:t>
      </w:r>
    </w:p>
    <w:p>
      <w:pPr>
        <w:numPr>
          <w:ilvl w:val="0"/>
          <w:numId w:val="2"/>
        </w:numPr>
        <w:tabs>
          <w:tab w:val="left" w:pos="1428"/>
        </w:tabs>
        <w:ind w:firstLine="562" w:firstLineChars="200"/>
        <w:rPr>
          <w:rFonts w:ascii="楷体" w:hAnsi="楷体" w:eastAsia="楷体"/>
          <w:b/>
          <w:sz w:val="28"/>
          <w:szCs w:val="28"/>
        </w:rPr>
      </w:pPr>
      <w:r>
        <w:rPr>
          <w:rFonts w:hint="eastAsia" w:ascii="楷体" w:hAnsi="楷体" w:eastAsia="楷体"/>
          <w:b/>
          <w:sz w:val="28"/>
          <w:szCs w:val="28"/>
        </w:rPr>
        <w:t>其他</w:t>
      </w:r>
    </w:p>
    <w:p>
      <w:pPr>
        <w:numPr>
          <w:ilvl w:val="0"/>
          <w:numId w:val="29"/>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追索条款</w:t>
      </w:r>
    </w:p>
    <w:p>
      <w:pPr>
        <w:ind w:firstLine="480" w:firstLineChars="200"/>
        <w:rPr>
          <w:rFonts w:ascii="楷体" w:hAnsi="楷体" w:eastAsia="楷体"/>
          <w:sz w:val="24"/>
          <w:szCs w:val="24"/>
        </w:rPr>
      </w:pPr>
      <w:r>
        <w:rPr>
          <w:rFonts w:hint="eastAsia" w:ascii="楷体" w:hAnsi="楷体" w:eastAsia="楷体"/>
          <w:sz w:val="24"/>
          <w:szCs w:val="24"/>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29"/>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信息安全</w:t>
      </w:r>
    </w:p>
    <w:p>
      <w:pPr>
        <w:ind w:firstLine="480" w:firstLineChars="200"/>
        <w:rPr>
          <w:rFonts w:ascii="楷体" w:hAnsi="楷体" w:eastAsia="楷体"/>
          <w:sz w:val="24"/>
          <w:szCs w:val="24"/>
        </w:rPr>
      </w:pPr>
      <w:r>
        <w:rPr>
          <w:rFonts w:hint="eastAsia" w:ascii="楷体" w:hAnsi="楷体" w:eastAsia="楷体"/>
          <w:sz w:val="24"/>
          <w:szCs w:val="24"/>
        </w:rPr>
        <w:t>苏银理财及销售机构将据相关法律、法规严格履行投资者信息保密责任，除监管机构或司法机关等有权机构外，不得对其他第三方提供任何投资者信息。投资者在此同意并授权，苏银理财可根据监管要求，为理财产品登记等需要，向登记部门或监管机构提供投资者相关信息。</w:t>
      </w:r>
    </w:p>
    <w:p>
      <w:pPr>
        <w:ind w:firstLine="480" w:firstLineChars="200"/>
        <w:rPr>
          <w:rFonts w:ascii="楷体" w:hAnsi="楷体" w:eastAsia="楷体"/>
          <w:sz w:val="24"/>
          <w:szCs w:val="24"/>
        </w:rPr>
      </w:pPr>
      <w:r>
        <w:rPr>
          <w:rFonts w:hint="eastAsia" w:ascii="楷体" w:hAnsi="楷体" w:eastAsia="楷体"/>
          <w:sz w:val="24"/>
          <w:szCs w:val="24"/>
        </w:rPr>
        <w:t>投资者在此同意并授权苏银理财可根据业务需要向苏银理财集团成员、服务机构及其他苏银理财认为必要的业务合作机构提供苏银理财获取的投资者个人信息，范围包括但不限于投资人的身份信息、账户信息等。上述第三方将为处理本协议项下事务之目的接触并按照苏银理财的业务要求以及“最少必须”原则使用投资人个人信息。苏银理财承诺将向有关第三方明确其保护投资人信息的职责并要求第三方承担相应的保密义务。</w:t>
      </w:r>
    </w:p>
    <w:p>
      <w:pPr>
        <w:numPr>
          <w:ilvl w:val="0"/>
          <w:numId w:val="29"/>
        </w:numPr>
        <w:tabs>
          <w:tab w:val="left" w:pos="993"/>
        </w:tabs>
        <w:ind w:left="0" w:firstLine="480" w:firstLineChars="200"/>
        <w:rPr>
          <w:rFonts w:ascii="楷体" w:hAnsi="楷体" w:eastAsia="楷体" w:cs="Calibri"/>
          <w:sz w:val="24"/>
          <w:szCs w:val="24"/>
        </w:rPr>
      </w:pPr>
      <w:r>
        <w:rPr>
          <w:rFonts w:hint="eastAsia" w:ascii="楷体" w:hAnsi="楷体" w:eastAsia="楷体" w:cs="Calibri"/>
          <w:sz w:val="24"/>
          <w:szCs w:val="24"/>
        </w:rPr>
        <w:t>争议解决</w:t>
      </w:r>
    </w:p>
    <w:p>
      <w:pPr>
        <w:ind w:firstLine="480" w:firstLineChars="200"/>
        <w:jc w:val="left"/>
        <w:rPr>
          <w:rFonts w:ascii="楷体" w:hAnsi="楷体" w:eastAsia="楷体"/>
          <w:sz w:val="24"/>
          <w:szCs w:val="24"/>
        </w:rPr>
      </w:pPr>
      <w:r>
        <w:rPr>
          <w:rFonts w:hint="eastAsia" w:ascii="楷体" w:hAnsi="楷体" w:eastAsia="楷体"/>
          <w:sz w:val="24"/>
          <w:szCs w:val="24"/>
        </w:rPr>
        <w:t>本合同的订立、生效、履行、解释、修改和终止等事项均适用中华人民共和国（不包括香港特别行政区、澳门特别行政区和台湾地区）法律。因本合同引起的或与本合同有关的任何争议，应当首先通过双方之间的友好协商解决；协商不成的，双方均有权提交产品管理人所在地有管辖权的人民法院诉讼解决。</w:t>
      </w:r>
    </w:p>
    <w:p>
      <w:pPr>
        <w:ind w:firstLine="480" w:firstLineChars="200"/>
        <w:jc w:val="left"/>
        <w:rPr>
          <w:rFonts w:ascii="楷体" w:hAnsi="楷体" w:eastAsia="楷体"/>
        </w:rPr>
      </w:pPr>
      <w:r>
        <w:rPr>
          <w:rFonts w:hint="eastAsia" w:ascii="楷体" w:hAnsi="楷体" w:eastAsia="楷体"/>
          <w:sz w:val="24"/>
          <w:szCs w:val="24"/>
        </w:rPr>
        <w:t>苏银理财有限责任公司将恪守勤勉尽责的原则，合理配置资产组合，为投资者提供专业化的理财服务。投资者应密切关注苏银理财有限责任公司与本产品有关的信息公告，以免造成不必要的损失。</w:t>
      </w:r>
      <w:bookmarkEnd w:id="0"/>
    </w:p>
    <w:bookmarkEnd w:id="1"/>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5D0C4"/>
    <w:multiLevelType w:val="singleLevel"/>
    <w:tmpl w:val="EE75D0C4"/>
    <w:lvl w:ilvl="0" w:tentative="0">
      <w:start w:val="1"/>
      <w:numFmt w:val="decimal"/>
      <w:suff w:val="nothing"/>
      <w:lvlText w:val="（%1）"/>
      <w:lvlJc w:val="left"/>
    </w:lvl>
  </w:abstractNum>
  <w:abstractNum w:abstractNumId="1">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A62A71"/>
    <w:multiLevelType w:val="multilevel"/>
    <w:tmpl w:val="0AA62A7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A52050"/>
    <w:multiLevelType w:val="multilevel"/>
    <w:tmpl w:val="1CA52050"/>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A9850F8"/>
    <w:multiLevelType w:val="multilevel"/>
    <w:tmpl w:val="2A9850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3DE002A"/>
    <w:multiLevelType w:val="multilevel"/>
    <w:tmpl w:val="33DE00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304046"/>
    <w:multiLevelType w:val="multilevel"/>
    <w:tmpl w:val="343040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1C02CA7"/>
    <w:multiLevelType w:val="multilevel"/>
    <w:tmpl w:val="41C02C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5714B71"/>
    <w:multiLevelType w:val="multilevel"/>
    <w:tmpl w:val="45714B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9655AE0"/>
    <w:multiLevelType w:val="multilevel"/>
    <w:tmpl w:val="49655A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5CB1E63"/>
    <w:multiLevelType w:val="multilevel"/>
    <w:tmpl w:val="55CB1E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6FF3467"/>
    <w:multiLevelType w:val="multilevel"/>
    <w:tmpl w:val="56FF346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A1C30FB"/>
    <w:multiLevelType w:val="multilevel"/>
    <w:tmpl w:val="5A1C30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737049F"/>
    <w:multiLevelType w:val="multilevel"/>
    <w:tmpl w:val="6737049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B501D7C"/>
    <w:multiLevelType w:val="multilevel"/>
    <w:tmpl w:val="6B501D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CCD3B1D"/>
    <w:multiLevelType w:val="multilevel"/>
    <w:tmpl w:val="6CCD3B1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D244212"/>
    <w:multiLevelType w:val="multilevel"/>
    <w:tmpl w:val="6D24421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8541B78"/>
    <w:multiLevelType w:val="singleLevel"/>
    <w:tmpl w:val="78541B78"/>
    <w:lvl w:ilvl="0" w:tentative="0">
      <w:start w:val="1"/>
      <w:numFmt w:val="decimal"/>
      <w:suff w:val="nothing"/>
      <w:lvlText w:val="（%1）"/>
      <w:lvlJc w:val="left"/>
    </w:lvl>
  </w:abstractNum>
  <w:abstractNum w:abstractNumId="28">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4"/>
  </w:num>
  <w:num w:numId="3">
    <w:abstractNumId w:val="9"/>
  </w:num>
  <w:num w:numId="4">
    <w:abstractNumId w:val="6"/>
  </w:num>
  <w:num w:numId="5">
    <w:abstractNumId w:val="18"/>
  </w:num>
  <w:num w:numId="6">
    <w:abstractNumId w:val="22"/>
  </w:num>
  <w:num w:numId="7">
    <w:abstractNumId w:val="5"/>
  </w:num>
  <w:num w:numId="8">
    <w:abstractNumId w:val="11"/>
  </w:num>
  <w:num w:numId="9">
    <w:abstractNumId w:val="0"/>
  </w:num>
  <w:num w:numId="10">
    <w:abstractNumId w:val="26"/>
  </w:num>
  <w:num w:numId="11">
    <w:abstractNumId w:val="27"/>
  </w:num>
  <w:num w:numId="12">
    <w:abstractNumId w:val="19"/>
  </w:num>
  <w:num w:numId="13">
    <w:abstractNumId w:val="14"/>
  </w:num>
  <w:num w:numId="14">
    <w:abstractNumId w:val="7"/>
  </w:num>
  <w:num w:numId="15">
    <w:abstractNumId w:val="3"/>
  </w:num>
  <w:num w:numId="16">
    <w:abstractNumId w:val="17"/>
  </w:num>
  <w:num w:numId="17">
    <w:abstractNumId w:val="21"/>
  </w:num>
  <w:num w:numId="18">
    <w:abstractNumId w:val="2"/>
  </w:num>
  <w:num w:numId="19">
    <w:abstractNumId w:val="23"/>
  </w:num>
  <w:num w:numId="20">
    <w:abstractNumId w:val="16"/>
  </w:num>
  <w:num w:numId="21">
    <w:abstractNumId w:val="24"/>
  </w:num>
  <w:num w:numId="22">
    <w:abstractNumId w:val="28"/>
  </w:num>
  <w:num w:numId="23">
    <w:abstractNumId w:val="20"/>
  </w:num>
  <w:num w:numId="24">
    <w:abstractNumId w:val="8"/>
  </w:num>
  <w:num w:numId="25">
    <w:abstractNumId w:val="15"/>
  </w:num>
  <w:num w:numId="26">
    <w:abstractNumId w:val="13"/>
  </w:num>
  <w:num w:numId="27">
    <w:abstractNumId w:val="25"/>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31"/>
    <w:rsid w:val="0000191C"/>
    <w:rsid w:val="00001E2F"/>
    <w:rsid w:val="00002389"/>
    <w:rsid w:val="00002DBD"/>
    <w:rsid w:val="00003606"/>
    <w:rsid w:val="000048B0"/>
    <w:rsid w:val="00005B01"/>
    <w:rsid w:val="000068E6"/>
    <w:rsid w:val="00006971"/>
    <w:rsid w:val="00006979"/>
    <w:rsid w:val="000101E4"/>
    <w:rsid w:val="0001103A"/>
    <w:rsid w:val="00011F27"/>
    <w:rsid w:val="0001244C"/>
    <w:rsid w:val="000128E4"/>
    <w:rsid w:val="000131EF"/>
    <w:rsid w:val="0001327D"/>
    <w:rsid w:val="00013628"/>
    <w:rsid w:val="00014334"/>
    <w:rsid w:val="00014C7A"/>
    <w:rsid w:val="000158A7"/>
    <w:rsid w:val="00015A92"/>
    <w:rsid w:val="00015D58"/>
    <w:rsid w:val="00016232"/>
    <w:rsid w:val="0002052D"/>
    <w:rsid w:val="000205F3"/>
    <w:rsid w:val="00020A6F"/>
    <w:rsid w:val="00021007"/>
    <w:rsid w:val="00021E37"/>
    <w:rsid w:val="00023BA8"/>
    <w:rsid w:val="000247F9"/>
    <w:rsid w:val="00024C7F"/>
    <w:rsid w:val="00024F3F"/>
    <w:rsid w:val="00025A69"/>
    <w:rsid w:val="00025BC2"/>
    <w:rsid w:val="000263ED"/>
    <w:rsid w:val="00027156"/>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714B"/>
    <w:rsid w:val="0004768E"/>
    <w:rsid w:val="00050834"/>
    <w:rsid w:val="00050975"/>
    <w:rsid w:val="000514C8"/>
    <w:rsid w:val="00051DB3"/>
    <w:rsid w:val="000521A3"/>
    <w:rsid w:val="00054536"/>
    <w:rsid w:val="00054854"/>
    <w:rsid w:val="00055ACD"/>
    <w:rsid w:val="00056312"/>
    <w:rsid w:val="000565BA"/>
    <w:rsid w:val="000575CD"/>
    <w:rsid w:val="00057B16"/>
    <w:rsid w:val="00060433"/>
    <w:rsid w:val="00060571"/>
    <w:rsid w:val="00061D74"/>
    <w:rsid w:val="00062791"/>
    <w:rsid w:val="00064F2B"/>
    <w:rsid w:val="00066039"/>
    <w:rsid w:val="00066F56"/>
    <w:rsid w:val="000677EE"/>
    <w:rsid w:val="00067EB8"/>
    <w:rsid w:val="00070172"/>
    <w:rsid w:val="00070302"/>
    <w:rsid w:val="00071418"/>
    <w:rsid w:val="00071581"/>
    <w:rsid w:val="00071A4C"/>
    <w:rsid w:val="0007293A"/>
    <w:rsid w:val="00072D1F"/>
    <w:rsid w:val="0007366C"/>
    <w:rsid w:val="00073A65"/>
    <w:rsid w:val="00074189"/>
    <w:rsid w:val="00074306"/>
    <w:rsid w:val="000757BB"/>
    <w:rsid w:val="00080423"/>
    <w:rsid w:val="00080C2C"/>
    <w:rsid w:val="00081AD6"/>
    <w:rsid w:val="00082074"/>
    <w:rsid w:val="00082902"/>
    <w:rsid w:val="000853F6"/>
    <w:rsid w:val="0008676A"/>
    <w:rsid w:val="000867A8"/>
    <w:rsid w:val="00087036"/>
    <w:rsid w:val="00087EDB"/>
    <w:rsid w:val="000903FE"/>
    <w:rsid w:val="00091208"/>
    <w:rsid w:val="00093106"/>
    <w:rsid w:val="00093C11"/>
    <w:rsid w:val="00094631"/>
    <w:rsid w:val="00094F41"/>
    <w:rsid w:val="00096382"/>
    <w:rsid w:val="000974E5"/>
    <w:rsid w:val="0009779A"/>
    <w:rsid w:val="0009795C"/>
    <w:rsid w:val="00097F80"/>
    <w:rsid w:val="000A0961"/>
    <w:rsid w:val="000A2D2D"/>
    <w:rsid w:val="000A2E68"/>
    <w:rsid w:val="000A45AB"/>
    <w:rsid w:val="000A560E"/>
    <w:rsid w:val="000A7772"/>
    <w:rsid w:val="000A7CA6"/>
    <w:rsid w:val="000B0078"/>
    <w:rsid w:val="000B0690"/>
    <w:rsid w:val="000B18A1"/>
    <w:rsid w:val="000B1B87"/>
    <w:rsid w:val="000B382A"/>
    <w:rsid w:val="000B3B58"/>
    <w:rsid w:val="000B3EFD"/>
    <w:rsid w:val="000B425A"/>
    <w:rsid w:val="000B659B"/>
    <w:rsid w:val="000B6841"/>
    <w:rsid w:val="000B6E9F"/>
    <w:rsid w:val="000B7D78"/>
    <w:rsid w:val="000C0DEA"/>
    <w:rsid w:val="000C30EA"/>
    <w:rsid w:val="000C3BB9"/>
    <w:rsid w:val="000C3DB1"/>
    <w:rsid w:val="000C54ED"/>
    <w:rsid w:val="000C5C02"/>
    <w:rsid w:val="000C6143"/>
    <w:rsid w:val="000C655E"/>
    <w:rsid w:val="000C66A4"/>
    <w:rsid w:val="000C7382"/>
    <w:rsid w:val="000D0226"/>
    <w:rsid w:val="000D1C6A"/>
    <w:rsid w:val="000D2EE5"/>
    <w:rsid w:val="000D35BD"/>
    <w:rsid w:val="000D392D"/>
    <w:rsid w:val="000D49C0"/>
    <w:rsid w:val="000D71CF"/>
    <w:rsid w:val="000D7225"/>
    <w:rsid w:val="000D722C"/>
    <w:rsid w:val="000E0485"/>
    <w:rsid w:val="000E11F3"/>
    <w:rsid w:val="000E1951"/>
    <w:rsid w:val="000E2E7D"/>
    <w:rsid w:val="000E34F3"/>
    <w:rsid w:val="000E38B6"/>
    <w:rsid w:val="000E4205"/>
    <w:rsid w:val="000E6CC2"/>
    <w:rsid w:val="000E6D4F"/>
    <w:rsid w:val="000E7CF6"/>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FF6"/>
    <w:rsid w:val="000F65C5"/>
    <w:rsid w:val="000F7056"/>
    <w:rsid w:val="000F7103"/>
    <w:rsid w:val="000F7D2C"/>
    <w:rsid w:val="000F7F3B"/>
    <w:rsid w:val="00100E89"/>
    <w:rsid w:val="00100F0C"/>
    <w:rsid w:val="001025A3"/>
    <w:rsid w:val="001034D7"/>
    <w:rsid w:val="001036A0"/>
    <w:rsid w:val="0010457E"/>
    <w:rsid w:val="001065F5"/>
    <w:rsid w:val="00110417"/>
    <w:rsid w:val="00110B00"/>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8C"/>
    <w:rsid w:val="00125CCE"/>
    <w:rsid w:val="0012647A"/>
    <w:rsid w:val="00126DFD"/>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50DF"/>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60569"/>
    <w:rsid w:val="0016091E"/>
    <w:rsid w:val="00160DD2"/>
    <w:rsid w:val="00161080"/>
    <w:rsid w:val="00161E2F"/>
    <w:rsid w:val="001622A1"/>
    <w:rsid w:val="001624A3"/>
    <w:rsid w:val="001624DA"/>
    <w:rsid w:val="00162BF5"/>
    <w:rsid w:val="00163488"/>
    <w:rsid w:val="00164627"/>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6DA3"/>
    <w:rsid w:val="00191E3F"/>
    <w:rsid w:val="00191F2C"/>
    <w:rsid w:val="00193A85"/>
    <w:rsid w:val="00194395"/>
    <w:rsid w:val="00194963"/>
    <w:rsid w:val="00194E69"/>
    <w:rsid w:val="001950DD"/>
    <w:rsid w:val="00195FF0"/>
    <w:rsid w:val="00197344"/>
    <w:rsid w:val="00197DD9"/>
    <w:rsid w:val="001A05F5"/>
    <w:rsid w:val="001A1C12"/>
    <w:rsid w:val="001A1D51"/>
    <w:rsid w:val="001A3923"/>
    <w:rsid w:val="001A5487"/>
    <w:rsid w:val="001A57DB"/>
    <w:rsid w:val="001A586B"/>
    <w:rsid w:val="001A5CF0"/>
    <w:rsid w:val="001A73F1"/>
    <w:rsid w:val="001B1D26"/>
    <w:rsid w:val="001B1E1E"/>
    <w:rsid w:val="001B2F76"/>
    <w:rsid w:val="001B2F82"/>
    <w:rsid w:val="001B3673"/>
    <w:rsid w:val="001B396B"/>
    <w:rsid w:val="001B3DB5"/>
    <w:rsid w:val="001B4B9C"/>
    <w:rsid w:val="001B72EB"/>
    <w:rsid w:val="001B7D0D"/>
    <w:rsid w:val="001B7E3D"/>
    <w:rsid w:val="001C13E9"/>
    <w:rsid w:val="001C33C1"/>
    <w:rsid w:val="001C4148"/>
    <w:rsid w:val="001C687B"/>
    <w:rsid w:val="001C786D"/>
    <w:rsid w:val="001C78FF"/>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EB"/>
    <w:rsid w:val="001E4E95"/>
    <w:rsid w:val="001E59F4"/>
    <w:rsid w:val="001E631F"/>
    <w:rsid w:val="001F0A69"/>
    <w:rsid w:val="001F1333"/>
    <w:rsid w:val="001F1728"/>
    <w:rsid w:val="001F1EE8"/>
    <w:rsid w:val="001F2658"/>
    <w:rsid w:val="001F2DD0"/>
    <w:rsid w:val="001F3AD6"/>
    <w:rsid w:val="001F3CCB"/>
    <w:rsid w:val="001F63BD"/>
    <w:rsid w:val="001F6775"/>
    <w:rsid w:val="001F69BF"/>
    <w:rsid w:val="00200449"/>
    <w:rsid w:val="00200DF8"/>
    <w:rsid w:val="00200E4D"/>
    <w:rsid w:val="0020123C"/>
    <w:rsid w:val="0020196F"/>
    <w:rsid w:val="0020199B"/>
    <w:rsid w:val="002024E9"/>
    <w:rsid w:val="002034B8"/>
    <w:rsid w:val="0020515C"/>
    <w:rsid w:val="002051DA"/>
    <w:rsid w:val="0020639A"/>
    <w:rsid w:val="00206E9C"/>
    <w:rsid w:val="00210857"/>
    <w:rsid w:val="00211669"/>
    <w:rsid w:val="002119A2"/>
    <w:rsid w:val="00212895"/>
    <w:rsid w:val="00213632"/>
    <w:rsid w:val="00215F66"/>
    <w:rsid w:val="0021611E"/>
    <w:rsid w:val="002169DC"/>
    <w:rsid w:val="00220B6A"/>
    <w:rsid w:val="0022162D"/>
    <w:rsid w:val="002222A4"/>
    <w:rsid w:val="0022633B"/>
    <w:rsid w:val="00226F9D"/>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C46"/>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5866"/>
    <w:rsid w:val="00256152"/>
    <w:rsid w:val="00256E57"/>
    <w:rsid w:val="0025744E"/>
    <w:rsid w:val="002579CC"/>
    <w:rsid w:val="00257CDC"/>
    <w:rsid w:val="00260FFB"/>
    <w:rsid w:val="00263CB4"/>
    <w:rsid w:val="0026641B"/>
    <w:rsid w:val="002672C8"/>
    <w:rsid w:val="0027027C"/>
    <w:rsid w:val="00270665"/>
    <w:rsid w:val="002709BC"/>
    <w:rsid w:val="00272C53"/>
    <w:rsid w:val="00272E20"/>
    <w:rsid w:val="00273681"/>
    <w:rsid w:val="0027409E"/>
    <w:rsid w:val="00274FAF"/>
    <w:rsid w:val="0027510A"/>
    <w:rsid w:val="0027608A"/>
    <w:rsid w:val="002765F4"/>
    <w:rsid w:val="002766D8"/>
    <w:rsid w:val="00276883"/>
    <w:rsid w:val="00277C1F"/>
    <w:rsid w:val="002821D7"/>
    <w:rsid w:val="00282F20"/>
    <w:rsid w:val="00283152"/>
    <w:rsid w:val="002841A6"/>
    <w:rsid w:val="00284713"/>
    <w:rsid w:val="00284BCD"/>
    <w:rsid w:val="0028632E"/>
    <w:rsid w:val="0029004F"/>
    <w:rsid w:val="002916BD"/>
    <w:rsid w:val="00291B84"/>
    <w:rsid w:val="00292B19"/>
    <w:rsid w:val="00292B5E"/>
    <w:rsid w:val="002932FC"/>
    <w:rsid w:val="00294431"/>
    <w:rsid w:val="0029480F"/>
    <w:rsid w:val="00294B49"/>
    <w:rsid w:val="00295538"/>
    <w:rsid w:val="00295598"/>
    <w:rsid w:val="00297034"/>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795"/>
    <w:rsid w:val="002B1E52"/>
    <w:rsid w:val="002B2620"/>
    <w:rsid w:val="002B3225"/>
    <w:rsid w:val="002B5080"/>
    <w:rsid w:val="002B5694"/>
    <w:rsid w:val="002C021F"/>
    <w:rsid w:val="002C2056"/>
    <w:rsid w:val="002C222A"/>
    <w:rsid w:val="002C23F7"/>
    <w:rsid w:val="002C266A"/>
    <w:rsid w:val="002C2D1B"/>
    <w:rsid w:val="002C3367"/>
    <w:rsid w:val="002C450E"/>
    <w:rsid w:val="002C4EAE"/>
    <w:rsid w:val="002C5C34"/>
    <w:rsid w:val="002C7117"/>
    <w:rsid w:val="002C744B"/>
    <w:rsid w:val="002C7AC0"/>
    <w:rsid w:val="002C7CB4"/>
    <w:rsid w:val="002D064D"/>
    <w:rsid w:val="002D0706"/>
    <w:rsid w:val="002D29FD"/>
    <w:rsid w:val="002D2AEC"/>
    <w:rsid w:val="002D2C1F"/>
    <w:rsid w:val="002D35CA"/>
    <w:rsid w:val="002D3DB4"/>
    <w:rsid w:val="002D600D"/>
    <w:rsid w:val="002D77BF"/>
    <w:rsid w:val="002D78A3"/>
    <w:rsid w:val="002D7EE9"/>
    <w:rsid w:val="002E1382"/>
    <w:rsid w:val="002E2AA6"/>
    <w:rsid w:val="002E6F55"/>
    <w:rsid w:val="002F0E4E"/>
    <w:rsid w:val="002F24A1"/>
    <w:rsid w:val="002F3362"/>
    <w:rsid w:val="002F344B"/>
    <w:rsid w:val="002F3CD4"/>
    <w:rsid w:val="002F41A5"/>
    <w:rsid w:val="002F4C66"/>
    <w:rsid w:val="002F5903"/>
    <w:rsid w:val="002F709A"/>
    <w:rsid w:val="002F7558"/>
    <w:rsid w:val="002F77A8"/>
    <w:rsid w:val="00300000"/>
    <w:rsid w:val="00300388"/>
    <w:rsid w:val="00300637"/>
    <w:rsid w:val="003010B6"/>
    <w:rsid w:val="00301619"/>
    <w:rsid w:val="00301AD3"/>
    <w:rsid w:val="00301E80"/>
    <w:rsid w:val="00302755"/>
    <w:rsid w:val="00302771"/>
    <w:rsid w:val="00303147"/>
    <w:rsid w:val="003039E4"/>
    <w:rsid w:val="00304D18"/>
    <w:rsid w:val="00304E55"/>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5760"/>
    <w:rsid w:val="003169E1"/>
    <w:rsid w:val="00320DA0"/>
    <w:rsid w:val="003211A5"/>
    <w:rsid w:val="003222FC"/>
    <w:rsid w:val="00322A55"/>
    <w:rsid w:val="00324004"/>
    <w:rsid w:val="00325D85"/>
    <w:rsid w:val="0032607C"/>
    <w:rsid w:val="00326CF5"/>
    <w:rsid w:val="00326E7B"/>
    <w:rsid w:val="0033166C"/>
    <w:rsid w:val="0033358A"/>
    <w:rsid w:val="00333937"/>
    <w:rsid w:val="003342B8"/>
    <w:rsid w:val="0033504B"/>
    <w:rsid w:val="003362C7"/>
    <w:rsid w:val="00336A5A"/>
    <w:rsid w:val="00337AA0"/>
    <w:rsid w:val="00337E85"/>
    <w:rsid w:val="00341358"/>
    <w:rsid w:val="00341A2F"/>
    <w:rsid w:val="00341A7B"/>
    <w:rsid w:val="00342ADB"/>
    <w:rsid w:val="00343B0F"/>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7FB"/>
    <w:rsid w:val="00362826"/>
    <w:rsid w:val="00362CFD"/>
    <w:rsid w:val="00363EEF"/>
    <w:rsid w:val="0036403D"/>
    <w:rsid w:val="003642C8"/>
    <w:rsid w:val="0036455C"/>
    <w:rsid w:val="003656BF"/>
    <w:rsid w:val="00366074"/>
    <w:rsid w:val="00366B55"/>
    <w:rsid w:val="00366FB4"/>
    <w:rsid w:val="00367122"/>
    <w:rsid w:val="0037083D"/>
    <w:rsid w:val="00370FEC"/>
    <w:rsid w:val="00372402"/>
    <w:rsid w:val="003724FE"/>
    <w:rsid w:val="003726C4"/>
    <w:rsid w:val="003732C5"/>
    <w:rsid w:val="00374086"/>
    <w:rsid w:val="00375BEB"/>
    <w:rsid w:val="003762B7"/>
    <w:rsid w:val="00376C8B"/>
    <w:rsid w:val="003800B4"/>
    <w:rsid w:val="003809E0"/>
    <w:rsid w:val="003814E2"/>
    <w:rsid w:val="00381E88"/>
    <w:rsid w:val="003821F9"/>
    <w:rsid w:val="00382503"/>
    <w:rsid w:val="003827CD"/>
    <w:rsid w:val="00382C88"/>
    <w:rsid w:val="00383A99"/>
    <w:rsid w:val="00383D6D"/>
    <w:rsid w:val="003852EF"/>
    <w:rsid w:val="003859B5"/>
    <w:rsid w:val="003870EE"/>
    <w:rsid w:val="00387204"/>
    <w:rsid w:val="0038789A"/>
    <w:rsid w:val="00387ED7"/>
    <w:rsid w:val="00393452"/>
    <w:rsid w:val="00393CF7"/>
    <w:rsid w:val="00394C2C"/>
    <w:rsid w:val="00395441"/>
    <w:rsid w:val="003961B1"/>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DFB"/>
    <w:rsid w:val="003B6220"/>
    <w:rsid w:val="003B6826"/>
    <w:rsid w:val="003B7628"/>
    <w:rsid w:val="003B76DC"/>
    <w:rsid w:val="003C1E93"/>
    <w:rsid w:val="003C2161"/>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6D92"/>
    <w:rsid w:val="003E70B9"/>
    <w:rsid w:val="003E7812"/>
    <w:rsid w:val="003F07CE"/>
    <w:rsid w:val="003F0B04"/>
    <w:rsid w:val="003F2136"/>
    <w:rsid w:val="003F277A"/>
    <w:rsid w:val="003F31E6"/>
    <w:rsid w:val="003F40F9"/>
    <w:rsid w:val="003F43FA"/>
    <w:rsid w:val="003F4C40"/>
    <w:rsid w:val="003F52FE"/>
    <w:rsid w:val="003F580D"/>
    <w:rsid w:val="003F61D7"/>
    <w:rsid w:val="003F72A9"/>
    <w:rsid w:val="00401F3A"/>
    <w:rsid w:val="0040272E"/>
    <w:rsid w:val="00402EA0"/>
    <w:rsid w:val="00403497"/>
    <w:rsid w:val="004041C9"/>
    <w:rsid w:val="00404205"/>
    <w:rsid w:val="00406AE4"/>
    <w:rsid w:val="00406DE7"/>
    <w:rsid w:val="004079CC"/>
    <w:rsid w:val="00407AA6"/>
    <w:rsid w:val="004106A7"/>
    <w:rsid w:val="00410F85"/>
    <w:rsid w:val="00412823"/>
    <w:rsid w:val="00412DD1"/>
    <w:rsid w:val="0041382E"/>
    <w:rsid w:val="00413D00"/>
    <w:rsid w:val="00414410"/>
    <w:rsid w:val="00414833"/>
    <w:rsid w:val="00414992"/>
    <w:rsid w:val="00415BED"/>
    <w:rsid w:val="00415CE2"/>
    <w:rsid w:val="00416ED0"/>
    <w:rsid w:val="004175B0"/>
    <w:rsid w:val="00420473"/>
    <w:rsid w:val="00420837"/>
    <w:rsid w:val="00421C9B"/>
    <w:rsid w:val="004244B1"/>
    <w:rsid w:val="00426041"/>
    <w:rsid w:val="00426CBC"/>
    <w:rsid w:val="00427CC0"/>
    <w:rsid w:val="0043002F"/>
    <w:rsid w:val="004301CA"/>
    <w:rsid w:val="004303B3"/>
    <w:rsid w:val="00430927"/>
    <w:rsid w:val="00431EDA"/>
    <w:rsid w:val="00432433"/>
    <w:rsid w:val="0043308A"/>
    <w:rsid w:val="00433113"/>
    <w:rsid w:val="00433284"/>
    <w:rsid w:val="00434262"/>
    <w:rsid w:val="004343D1"/>
    <w:rsid w:val="0043485C"/>
    <w:rsid w:val="00435CF7"/>
    <w:rsid w:val="0043673C"/>
    <w:rsid w:val="00436801"/>
    <w:rsid w:val="00436A2E"/>
    <w:rsid w:val="00437DA0"/>
    <w:rsid w:val="00440E35"/>
    <w:rsid w:val="004412CE"/>
    <w:rsid w:val="00442603"/>
    <w:rsid w:val="00443A49"/>
    <w:rsid w:val="00444898"/>
    <w:rsid w:val="00445E88"/>
    <w:rsid w:val="00446292"/>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586E"/>
    <w:rsid w:val="004761F8"/>
    <w:rsid w:val="0047624F"/>
    <w:rsid w:val="00476551"/>
    <w:rsid w:val="00476764"/>
    <w:rsid w:val="00477506"/>
    <w:rsid w:val="00477994"/>
    <w:rsid w:val="00480ED0"/>
    <w:rsid w:val="00481CB0"/>
    <w:rsid w:val="00482251"/>
    <w:rsid w:val="00482CC2"/>
    <w:rsid w:val="004835E4"/>
    <w:rsid w:val="00483FD9"/>
    <w:rsid w:val="00484CF0"/>
    <w:rsid w:val="004856F7"/>
    <w:rsid w:val="00485E98"/>
    <w:rsid w:val="0048615C"/>
    <w:rsid w:val="00486A15"/>
    <w:rsid w:val="00487169"/>
    <w:rsid w:val="0049046F"/>
    <w:rsid w:val="00490539"/>
    <w:rsid w:val="004907EE"/>
    <w:rsid w:val="004910C2"/>
    <w:rsid w:val="00491342"/>
    <w:rsid w:val="00491B25"/>
    <w:rsid w:val="00491CD6"/>
    <w:rsid w:val="004925DF"/>
    <w:rsid w:val="004929D1"/>
    <w:rsid w:val="004939CA"/>
    <w:rsid w:val="00494407"/>
    <w:rsid w:val="0049785B"/>
    <w:rsid w:val="00497D5C"/>
    <w:rsid w:val="004A083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4001"/>
    <w:rsid w:val="004B4B39"/>
    <w:rsid w:val="004B5736"/>
    <w:rsid w:val="004B6EA9"/>
    <w:rsid w:val="004B7203"/>
    <w:rsid w:val="004B735F"/>
    <w:rsid w:val="004B77FF"/>
    <w:rsid w:val="004C02E5"/>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B26"/>
    <w:rsid w:val="004D34DD"/>
    <w:rsid w:val="004D35FE"/>
    <w:rsid w:val="004D382B"/>
    <w:rsid w:val="004D3B10"/>
    <w:rsid w:val="004D49D8"/>
    <w:rsid w:val="004D5099"/>
    <w:rsid w:val="004D5D4E"/>
    <w:rsid w:val="004D63E7"/>
    <w:rsid w:val="004D6E8F"/>
    <w:rsid w:val="004D73A7"/>
    <w:rsid w:val="004D7BA3"/>
    <w:rsid w:val="004E30EB"/>
    <w:rsid w:val="004E35B4"/>
    <w:rsid w:val="004E3C6A"/>
    <w:rsid w:val="004E46B0"/>
    <w:rsid w:val="004E4C39"/>
    <w:rsid w:val="004E645B"/>
    <w:rsid w:val="004E706F"/>
    <w:rsid w:val="004F139C"/>
    <w:rsid w:val="004F13A9"/>
    <w:rsid w:val="004F3AC9"/>
    <w:rsid w:val="004F3E60"/>
    <w:rsid w:val="004F4072"/>
    <w:rsid w:val="004F46F0"/>
    <w:rsid w:val="004F4F78"/>
    <w:rsid w:val="004F52CF"/>
    <w:rsid w:val="004F55EC"/>
    <w:rsid w:val="004F5B96"/>
    <w:rsid w:val="004F60D0"/>
    <w:rsid w:val="004F715D"/>
    <w:rsid w:val="0050130D"/>
    <w:rsid w:val="005013A2"/>
    <w:rsid w:val="0050386F"/>
    <w:rsid w:val="00503CF3"/>
    <w:rsid w:val="005041D5"/>
    <w:rsid w:val="005071D2"/>
    <w:rsid w:val="00510090"/>
    <w:rsid w:val="00510526"/>
    <w:rsid w:val="00510823"/>
    <w:rsid w:val="0051208D"/>
    <w:rsid w:val="00515789"/>
    <w:rsid w:val="00516DA1"/>
    <w:rsid w:val="005201F1"/>
    <w:rsid w:val="00520ACC"/>
    <w:rsid w:val="00520B0B"/>
    <w:rsid w:val="005212D4"/>
    <w:rsid w:val="00522752"/>
    <w:rsid w:val="00522AA1"/>
    <w:rsid w:val="00523379"/>
    <w:rsid w:val="00523F14"/>
    <w:rsid w:val="0052415B"/>
    <w:rsid w:val="005266CB"/>
    <w:rsid w:val="00527FBD"/>
    <w:rsid w:val="0053069A"/>
    <w:rsid w:val="005308B0"/>
    <w:rsid w:val="00531959"/>
    <w:rsid w:val="00532800"/>
    <w:rsid w:val="0053444E"/>
    <w:rsid w:val="0053510C"/>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51149"/>
    <w:rsid w:val="0055122E"/>
    <w:rsid w:val="00551427"/>
    <w:rsid w:val="00551590"/>
    <w:rsid w:val="00551C0A"/>
    <w:rsid w:val="00553C6E"/>
    <w:rsid w:val="00554430"/>
    <w:rsid w:val="005555B2"/>
    <w:rsid w:val="005560A0"/>
    <w:rsid w:val="00560551"/>
    <w:rsid w:val="00561A27"/>
    <w:rsid w:val="00561FE9"/>
    <w:rsid w:val="00562804"/>
    <w:rsid w:val="00564093"/>
    <w:rsid w:val="00564529"/>
    <w:rsid w:val="00564783"/>
    <w:rsid w:val="00564DEB"/>
    <w:rsid w:val="00564F46"/>
    <w:rsid w:val="005659B2"/>
    <w:rsid w:val="00566586"/>
    <w:rsid w:val="00566CB6"/>
    <w:rsid w:val="00567AAC"/>
    <w:rsid w:val="00572A2F"/>
    <w:rsid w:val="00572C28"/>
    <w:rsid w:val="00572D91"/>
    <w:rsid w:val="00574893"/>
    <w:rsid w:val="005757A8"/>
    <w:rsid w:val="00575E03"/>
    <w:rsid w:val="00576001"/>
    <w:rsid w:val="00576A3A"/>
    <w:rsid w:val="00576B9E"/>
    <w:rsid w:val="00577555"/>
    <w:rsid w:val="005803FA"/>
    <w:rsid w:val="005806B4"/>
    <w:rsid w:val="005809B5"/>
    <w:rsid w:val="00581D0F"/>
    <w:rsid w:val="005822DA"/>
    <w:rsid w:val="00583A5E"/>
    <w:rsid w:val="0058412B"/>
    <w:rsid w:val="00587D7C"/>
    <w:rsid w:val="00590CD8"/>
    <w:rsid w:val="00591D64"/>
    <w:rsid w:val="00591E65"/>
    <w:rsid w:val="00592105"/>
    <w:rsid w:val="00593310"/>
    <w:rsid w:val="00593968"/>
    <w:rsid w:val="0059593D"/>
    <w:rsid w:val="00595C4D"/>
    <w:rsid w:val="00597498"/>
    <w:rsid w:val="0059767A"/>
    <w:rsid w:val="005A0462"/>
    <w:rsid w:val="005A0D71"/>
    <w:rsid w:val="005A1903"/>
    <w:rsid w:val="005A43FC"/>
    <w:rsid w:val="005A5C60"/>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724"/>
    <w:rsid w:val="005C37A8"/>
    <w:rsid w:val="005C3B0D"/>
    <w:rsid w:val="005C4B2D"/>
    <w:rsid w:val="005C5AC5"/>
    <w:rsid w:val="005C5BC2"/>
    <w:rsid w:val="005C61CB"/>
    <w:rsid w:val="005C72E9"/>
    <w:rsid w:val="005C79F4"/>
    <w:rsid w:val="005D03A4"/>
    <w:rsid w:val="005D163E"/>
    <w:rsid w:val="005D19DF"/>
    <w:rsid w:val="005D2664"/>
    <w:rsid w:val="005D33A6"/>
    <w:rsid w:val="005D4D03"/>
    <w:rsid w:val="005D5066"/>
    <w:rsid w:val="005D5292"/>
    <w:rsid w:val="005D5470"/>
    <w:rsid w:val="005D637B"/>
    <w:rsid w:val="005E0829"/>
    <w:rsid w:val="005E14F6"/>
    <w:rsid w:val="005E162C"/>
    <w:rsid w:val="005E26A1"/>
    <w:rsid w:val="005E2C12"/>
    <w:rsid w:val="005E2D33"/>
    <w:rsid w:val="005E494F"/>
    <w:rsid w:val="005E5312"/>
    <w:rsid w:val="005E588E"/>
    <w:rsid w:val="005E5F0F"/>
    <w:rsid w:val="005E65CA"/>
    <w:rsid w:val="005E695B"/>
    <w:rsid w:val="005E7086"/>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B69"/>
    <w:rsid w:val="00633754"/>
    <w:rsid w:val="00633AD9"/>
    <w:rsid w:val="00635E85"/>
    <w:rsid w:val="0063693B"/>
    <w:rsid w:val="006371FF"/>
    <w:rsid w:val="00640F88"/>
    <w:rsid w:val="00641CAA"/>
    <w:rsid w:val="00642BAA"/>
    <w:rsid w:val="006436A7"/>
    <w:rsid w:val="00643869"/>
    <w:rsid w:val="00643DD9"/>
    <w:rsid w:val="00644A75"/>
    <w:rsid w:val="00645DCE"/>
    <w:rsid w:val="006472A0"/>
    <w:rsid w:val="00651512"/>
    <w:rsid w:val="00653500"/>
    <w:rsid w:val="00653D24"/>
    <w:rsid w:val="00654956"/>
    <w:rsid w:val="00654DE7"/>
    <w:rsid w:val="00655049"/>
    <w:rsid w:val="0065533C"/>
    <w:rsid w:val="00656A9D"/>
    <w:rsid w:val="00656F5E"/>
    <w:rsid w:val="006608B7"/>
    <w:rsid w:val="00662CBC"/>
    <w:rsid w:val="0066476E"/>
    <w:rsid w:val="00664788"/>
    <w:rsid w:val="0066619E"/>
    <w:rsid w:val="006673A8"/>
    <w:rsid w:val="0066777A"/>
    <w:rsid w:val="006700A9"/>
    <w:rsid w:val="0067038D"/>
    <w:rsid w:val="00671042"/>
    <w:rsid w:val="00671A6A"/>
    <w:rsid w:val="00673E46"/>
    <w:rsid w:val="00673F0C"/>
    <w:rsid w:val="00675082"/>
    <w:rsid w:val="00675EC1"/>
    <w:rsid w:val="00676A38"/>
    <w:rsid w:val="00680098"/>
    <w:rsid w:val="00680833"/>
    <w:rsid w:val="00680957"/>
    <w:rsid w:val="00681E46"/>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E17"/>
    <w:rsid w:val="0069655B"/>
    <w:rsid w:val="00696763"/>
    <w:rsid w:val="00696D1D"/>
    <w:rsid w:val="00696DEC"/>
    <w:rsid w:val="0069734A"/>
    <w:rsid w:val="006A044A"/>
    <w:rsid w:val="006A079B"/>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7A09"/>
    <w:rsid w:val="006B7CB0"/>
    <w:rsid w:val="006C044C"/>
    <w:rsid w:val="006C0A29"/>
    <w:rsid w:val="006C17FA"/>
    <w:rsid w:val="006C2C37"/>
    <w:rsid w:val="006C35B6"/>
    <w:rsid w:val="006C42CE"/>
    <w:rsid w:val="006C5486"/>
    <w:rsid w:val="006C592D"/>
    <w:rsid w:val="006C5D93"/>
    <w:rsid w:val="006C74B3"/>
    <w:rsid w:val="006D1D4A"/>
    <w:rsid w:val="006D209C"/>
    <w:rsid w:val="006D3791"/>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700A73"/>
    <w:rsid w:val="007015E9"/>
    <w:rsid w:val="00701F9E"/>
    <w:rsid w:val="00702A10"/>
    <w:rsid w:val="0070484E"/>
    <w:rsid w:val="0070491E"/>
    <w:rsid w:val="00704ED8"/>
    <w:rsid w:val="0070601C"/>
    <w:rsid w:val="007066E6"/>
    <w:rsid w:val="00706C45"/>
    <w:rsid w:val="00707008"/>
    <w:rsid w:val="00710993"/>
    <w:rsid w:val="00712492"/>
    <w:rsid w:val="00712884"/>
    <w:rsid w:val="00713B2F"/>
    <w:rsid w:val="00713C6D"/>
    <w:rsid w:val="00715090"/>
    <w:rsid w:val="00715379"/>
    <w:rsid w:val="0071587A"/>
    <w:rsid w:val="007159EB"/>
    <w:rsid w:val="007160E0"/>
    <w:rsid w:val="00716E3F"/>
    <w:rsid w:val="007173D2"/>
    <w:rsid w:val="00717DE7"/>
    <w:rsid w:val="00720629"/>
    <w:rsid w:val="00720B16"/>
    <w:rsid w:val="00720FB9"/>
    <w:rsid w:val="007219C5"/>
    <w:rsid w:val="007223FC"/>
    <w:rsid w:val="00722DBB"/>
    <w:rsid w:val="00723E51"/>
    <w:rsid w:val="0072579B"/>
    <w:rsid w:val="00725F23"/>
    <w:rsid w:val="007267EB"/>
    <w:rsid w:val="0072737A"/>
    <w:rsid w:val="00730159"/>
    <w:rsid w:val="00730AC8"/>
    <w:rsid w:val="00730C0D"/>
    <w:rsid w:val="0073129C"/>
    <w:rsid w:val="00731BC5"/>
    <w:rsid w:val="00732AFD"/>
    <w:rsid w:val="00732E0C"/>
    <w:rsid w:val="007330C4"/>
    <w:rsid w:val="007339DB"/>
    <w:rsid w:val="007356FC"/>
    <w:rsid w:val="00735CE3"/>
    <w:rsid w:val="007363C4"/>
    <w:rsid w:val="00736DD5"/>
    <w:rsid w:val="0074101E"/>
    <w:rsid w:val="0074150A"/>
    <w:rsid w:val="00741FEC"/>
    <w:rsid w:val="007433D3"/>
    <w:rsid w:val="00743A86"/>
    <w:rsid w:val="00743F1B"/>
    <w:rsid w:val="0074430F"/>
    <w:rsid w:val="007448B9"/>
    <w:rsid w:val="0074509B"/>
    <w:rsid w:val="007468E9"/>
    <w:rsid w:val="00746BED"/>
    <w:rsid w:val="00747D71"/>
    <w:rsid w:val="00750288"/>
    <w:rsid w:val="0075066C"/>
    <w:rsid w:val="00751BF1"/>
    <w:rsid w:val="00752BBB"/>
    <w:rsid w:val="00752EEF"/>
    <w:rsid w:val="007537F1"/>
    <w:rsid w:val="00753A4F"/>
    <w:rsid w:val="00756643"/>
    <w:rsid w:val="007567FF"/>
    <w:rsid w:val="00756DA9"/>
    <w:rsid w:val="0075794D"/>
    <w:rsid w:val="007607C7"/>
    <w:rsid w:val="007608C8"/>
    <w:rsid w:val="00760C26"/>
    <w:rsid w:val="00761696"/>
    <w:rsid w:val="00761834"/>
    <w:rsid w:val="00761D2E"/>
    <w:rsid w:val="00761D56"/>
    <w:rsid w:val="007620D8"/>
    <w:rsid w:val="007631A8"/>
    <w:rsid w:val="0076420A"/>
    <w:rsid w:val="007645ED"/>
    <w:rsid w:val="007646E3"/>
    <w:rsid w:val="0076492F"/>
    <w:rsid w:val="00764D0F"/>
    <w:rsid w:val="00764ED5"/>
    <w:rsid w:val="00765FA2"/>
    <w:rsid w:val="007665AE"/>
    <w:rsid w:val="007665E7"/>
    <w:rsid w:val="007669D1"/>
    <w:rsid w:val="00767809"/>
    <w:rsid w:val="00767F65"/>
    <w:rsid w:val="00773845"/>
    <w:rsid w:val="0077605D"/>
    <w:rsid w:val="00780896"/>
    <w:rsid w:val="00780E48"/>
    <w:rsid w:val="00780FF2"/>
    <w:rsid w:val="007815A1"/>
    <w:rsid w:val="00781F37"/>
    <w:rsid w:val="0078251C"/>
    <w:rsid w:val="00783BF6"/>
    <w:rsid w:val="00783D1B"/>
    <w:rsid w:val="0078501F"/>
    <w:rsid w:val="00785229"/>
    <w:rsid w:val="0078620B"/>
    <w:rsid w:val="0079186B"/>
    <w:rsid w:val="007919EE"/>
    <w:rsid w:val="00793312"/>
    <w:rsid w:val="00794B5C"/>
    <w:rsid w:val="00796669"/>
    <w:rsid w:val="00796A9E"/>
    <w:rsid w:val="00796D05"/>
    <w:rsid w:val="00797687"/>
    <w:rsid w:val="007979C3"/>
    <w:rsid w:val="00797F44"/>
    <w:rsid w:val="007A0BE3"/>
    <w:rsid w:val="007A20FE"/>
    <w:rsid w:val="007A25AF"/>
    <w:rsid w:val="007A30A5"/>
    <w:rsid w:val="007A4EEC"/>
    <w:rsid w:val="007A5FB9"/>
    <w:rsid w:val="007A62D0"/>
    <w:rsid w:val="007A664A"/>
    <w:rsid w:val="007A6FC4"/>
    <w:rsid w:val="007A70C6"/>
    <w:rsid w:val="007B11D0"/>
    <w:rsid w:val="007B17CD"/>
    <w:rsid w:val="007B1CB5"/>
    <w:rsid w:val="007B1DF3"/>
    <w:rsid w:val="007B27E9"/>
    <w:rsid w:val="007B2987"/>
    <w:rsid w:val="007B2E0B"/>
    <w:rsid w:val="007B6A8F"/>
    <w:rsid w:val="007B70D3"/>
    <w:rsid w:val="007C0B77"/>
    <w:rsid w:val="007C1031"/>
    <w:rsid w:val="007C1116"/>
    <w:rsid w:val="007C3AA6"/>
    <w:rsid w:val="007C4940"/>
    <w:rsid w:val="007C4EF2"/>
    <w:rsid w:val="007C55D4"/>
    <w:rsid w:val="007C590E"/>
    <w:rsid w:val="007C6368"/>
    <w:rsid w:val="007D093F"/>
    <w:rsid w:val="007D0BE8"/>
    <w:rsid w:val="007D0D6D"/>
    <w:rsid w:val="007D115B"/>
    <w:rsid w:val="007D190D"/>
    <w:rsid w:val="007D26ED"/>
    <w:rsid w:val="007D333B"/>
    <w:rsid w:val="007D36CA"/>
    <w:rsid w:val="007D4C02"/>
    <w:rsid w:val="007D5396"/>
    <w:rsid w:val="007D579E"/>
    <w:rsid w:val="007D5920"/>
    <w:rsid w:val="007D61ED"/>
    <w:rsid w:val="007D6496"/>
    <w:rsid w:val="007D6731"/>
    <w:rsid w:val="007D6837"/>
    <w:rsid w:val="007D7001"/>
    <w:rsid w:val="007D782F"/>
    <w:rsid w:val="007D784E"/>
    <w:rsid w:val="007D7963"/>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64E9"/>
    <w:rsid w:val="007F7EFE"/>
    <w:rsid w:val="007F7F51"/>
    <w:rsid w:val="0080100B"/>
    <w:rsid w:val="00801232"/>
    <w:rsid w:val="008014DB"/>
    <w:rsid w:val="00801BBC"/>
    <w:rsid w:val="00802684"/>
    <w:rsid w:val="00802729"/>
    <w:rsid w:val="0080341A"/>
    <w:rsid w:val="00804380"/>
    <w:rsid w:val="00804490"/>
    <w:rsid w:val="00805FBA"/>
    <w:rsid w:val="00806655"/>
    <w:rsid w:val="00806B2A"/>
    <w:rsid w:val="008071EA"/>
    <w:rsid w:val="00810DA4"/>
    <w:rsid w:val="008111F8"/>
    <w:rsid w:val="00811689"/>
    <w:rsid w:val="00813597"/>
    <w:rsid w:val="00813B3D"/>
    <w:rsid w:val="00814A29"/>
    <w:rsid w:val="00814EE8"/>
    <w:rsid w:val="00814FD6"/>
    <w:rsid w:val="00816711"/>
    <w:rsid w:val="00817E4D"/>
    <w:rsid w:val="00822457"/>
    <w:rsid w:val="008251FD"/>
    <w:rsid w:val="00825793"/>
    <w:rsid w:val="008259B8"/>
    <w:rsid w:val="00825AD3"/>
    <w:rsid w:val="00825ADA"/>
    <w:rsid w:val="00825DEA"/>
    <w:rsid w:val="00825FA4"/>
    <w:rsid w:val="0082667C"/>
    <w:rsid w:val="008269BB"/>
    <w:rsid w:val="00827362"/>
    <w:rsid w:val="008279A8"/>
    <w:rsid w:val="00827E59"/>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6BFA"/>
    <w:rsid w:val="00846E1E"/>
    <w:rsid w:val="008471F9"/>
    <w:rsid w:val="00847A9C"/>
    <w:rsid w:val="00847C99"/>
    <w:rsid w:val="00847E19"/>
    <w:rsid w:val="008512ED"/>
    <w:rsid w:val="00851D9C"/>
    <w:rsid w:val="00855674"/>
    <w:rsid w:val="00856812"/>
    <w:rsid w:val="00856E27"/>
    <w:rsid w:val="0086027C"/>
    <w:rsid w:val="008610DC"/>
    <w:rsid w:val="0086291A"/>
    <w:rsid w:val="00862D4F"/>
    <w:rsid w:val="00863AB4"/>
    <w:rsid w:val="0087111A"/>
    <w:rsid w:val="00871456"/>
    <w:rsid w:val="00871856"/>
    <w:rsid w:val="00872ABA"/>
    <w:rsid w:val="00872FCE"/>
    <w:rsid w:val="00874EBD"/>
    <w:rsid w:val="008761FC"/>
    <w:rsid w:val="00877D2F"/>
    <w:rsid w:val="008800C1"/>
    <w:rsid w:val="00881137"/>
    <w:rsid w:val="00881373"/>
    <w:rsid w:val="00882933"/>
    <w:rsid w:val="00882AF3"/>
    <w:rsid w:val="00882F35"/>
    <w:rsid w:val="00883A75"/>
    <w:rsid w:val="00883F98"/>
    <w:rsid w:val="00884396"/>
    <w:rsid w:val="008843FC"/>
    <w:rsid w:val="008862BD"/>
    <w:rsid w:val="00887670"/>
    <w:rsid w:val="00887DD7"/>
    <w:rsid w:val="008917E7"/>
    <w:rsid w:val="00891F93"/>
    <w:rsid w:val="00892A20"/>
    <w:rsid w:val="00893A8B"/>
    <w:rsid w:val="008946C7"/>
    <w:rsid w:val="00895EAA"/>
    <w:rsid w:val="008962E9"/>
    <w:rsid w:val="0089653C"/>
    <w:rsid w:val="00896CA9"/>
    <w:rsid w:val="00897158"/>
    <w:rsid w:val="00897AEF"/>
    <w:rsid w:val="008A0CFE"/>
    <w:rsid w:val="008A0DE6"/>
    <w:rsid w:val="008A13F9"/>
    <w:rsid w:val="008A1FF5"/>
    <w:rsid w:val="008A233D"/>
    <w:rsid w:val="008A237E"/>
    <w:rsid w:val="008A2B47"/>
    <w:rsid w:val="008A447D"/>
    <w:rsid w:val="008A4AF5"/>
    <w:rsid w:val="008A4EFA"/>
    <w:rsid w:val="008A62A5"/>
    <w:rsid w:val="008A6722"/>
    <w:rsid w:val="008A7E2E"/>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421B"/>
    <w:rsid w:val="008C4680"/>
    <w:rsid w:val="008C4AD0"/>
    <w:rsid w:val="008C65CD"/>
    <w:rsid w:val="008C6B30"/>
    <w:rsid w:val="008C7A77"/>
    <w:rsid w:val="008D0F41"/>
    <w:rsid w:val="008D185F"/>
    <w:rsid w:val="008D2E6F"/>
    <w:rsid w:val="008D3033"/>
    <w:rsid w:val="008D371A"/>
    <w:rsid w:val="008D493B"/>
    <w:rsid w:val="008D4A7C"/>
    <w:rsid w:val="008D5163"/>
    <w:rsid w:val="008D51DA"/>
    <w:rsid w:val="008D53A9"/>
    <w:rsid w:val="008D5615"/>
    <w:rsid w:val="008D5F0D"/>
    <w:rsid w:val="008D5FCB"/>
    <w:rsid w:val="008D683A"/>
    <w:rsid w:val="008E02D6"/>
    <w:rsid w:val="008E0308"/>
    <w:rsid w:val="008E0359"/>
    <w:rsid w:val="008E0805"/>
    <w:rsid w:val="008E0FFB"/>
    <w:rsid w:val="008E12B9"/>
    <w:rsid w:val="008E2B4D"/>
    <w:rsid w:val="008E3094"/>
    <w:rsid w:val="008E3295"/>
    <w:rsid w:val="008E3DD1"/>
    <w:rsid w:val="008E55EA"/>
    <w:rsid w:val="008E5926"/>
    <w:rsid w:val="008E75C5"/>
    <w:rsid w:val="008E7887"/>
    <w:rsid w:val="008E7E6E"/>
    <w:rsid w:val="008F1194"/>
    <w:rsid w:val="008F1884"/>
    <w:rsid w:val="008F237A"/>
    <w:rsid w:val="008F2796"/>
    <w:rsid w:val="008F34D3"/>
    <w:rsid w:val="008F39CC"/>
    <w:rsid w:val="008F4306"/>
    <w:rsid w:val="008F6A2F"/>
    <w:rsid w:val="008F6B5E"/>
    <w:rsid w:val="008F755E"/>
    <w:rsid w:val="008F79D0"/>
    <w:rsid w:val="009008B1"/>
    <w:rsid w:val="00900FFE"/>
    <w:rsid w:val="00902015"/>
    <w:rsid w:val="00903107"/>
    <w:rsid w:val="00903531"/>
    <w:rsid w:val="00904A65"/>
    <w:rsid w:val="00905793"/>
    <w:rsid w:val="00906A6F"/>
    <w:rsid w:val="00907263"/>
    <w:rsid w:val="009074CA"/>
    <w:rsid w:val="00912168"/>
    <w:rsid w:val="009123F6"/>
    <w:rsid w:val="00913E2A"/>
    <w:rsid w:val="0091468D"/>
    <w:rsid w:val="0091475E"/>
    <w:rsid w:val="009163B6"/>
    <w:rsid w:val="00916B61"/>
    <w:rsid w:val="00917ED2"/>
    <w:rsid w:val="00917F42"/>
    <w:rsid w:val="009205E3"/>
    <w:rsid w:val="00920B30"/>
    <w:rsid w:val="009217A9"/>
    <w:rsid w:val="00922F29"/>
    <w:rsid w:val="009231E6"/>
    <w:rsid w:val="00924926"/>
    <w:rsid w:val="00924ED9"/>
    <w:rsid w:val="00926705"/>
    <w:rsid w:val="009277E9"/>
    <w:rsid w:val="0093042C"/>
    <w:rsid w:val="0093114D"/>
    <w:rsid w:val="00931316"/>
    <w:rsid w:val="00931A47"/>
    <w:rsid w:val="00931EDF"/>
    <w:rsid w:val="00933086"/>
    <w:rsid w:val="00934A0F"/>
    <w:rsid w:val="00935CA2"/>
    <w:rsid w:val="00935EE2"/>
    <w:rsid w:val="0093700C"/>
    <w:rsid w:val="009375B0"/>
    <w:rsid w:val="00937ED6"/>
    <w:rsid w:val="009406E7"/>
    <w:rsid w:val="00940B04"/>
    <w:rsid w:val="00940BDB"/>
    <w:rsid w:val="00944126"/>
    <w:rsid w:val="00944AB3"/>
    <w:rsid w:val="00945F61"/>
    <w:rsid w:val="009465F6"/>
    <w:rsid w:val="009469A2"/>
    <w:rsid w:val="00947493"/>
    <w:rsid w:val="00947931"/>
    <w:rsid w:val="00950141"/>
    <w:rsid w:val="00950FC7"/>
    <w:rsid w:val="00951D07"/>
    <w:rsid w:val="00952835"/>
    <w:rsid w:val="00953FB3"/>
    <w:rsid w:val="0095455D"/>
    <w:rsid w:val="0095482D"/>
    <w:rsid w:val="00954B48"/>
    <w:rsid w:val="009563AA"/>
    <w:rsid w:val="00957ACF"/>
    <w:rsid w:val="00960570"/>
    <w:rsid w:val="00960F88"/>
    <w:rsid w:val="00962113"/>
    <w:rsid w:val="009623A4"/>
    <w:rsid w:val="009631D1"/>
    <w:rsid w:val="00963229"/>
    <w:rsid w:val="009632EA"/>
    <w:rsid w:val="0096515A"/>
    <w:rsid w:val="00965C79"/>
    <w:rsid w:val="00966601"/>
    <w:rsid w:val="00967094"/>
    <w:rsid w:val="00970079"/>
    <w:rsid w:val="009700A9"/>
    <w:rsid w:val="00970A79"/>
    <w:rsid w:val="00971A1C"/>
    <w:rsid w:val="00972B5A"/>
    <w:rsid w:val="00972CEF"/>
    <w:rsid w:val="00973C9C"/>
    <w:rsid w:val="009752BD"/>
    <w:rsid w:val="009758CF"/>
    <w:rsid w:val="00975BBA"/>
    <w:rsid w:val="00975FEE"/>
    <w:rsid w:val="009762AE"/>
    <w:rsid w:val="00976687"/>
    <w:rsid w:val="009831C5"/>
    <w:rsid w:val="0098672A"/>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7E7"/>
    <w:rsid w:val="009A5942"/>
    <w:rsid w:val="009A5C14"/>
    <w:rsid w:val="009A70B5"/>
    <w:rsid w:val="009A7763"/>
    <w:rsid w:val="009A7A9E"/>
    <w:rsid w:val="009A7B95"/>
    <w:rsid w:val="009B05E8"/>
    <w:rsid w:val="009B05F1"/>
    <w:rsid w:val="009B126C"/>
    <w:rsid w:val="009B2CF2"/>
    <w:rsid w:val="009B45E7"/>
    <w:rsid w:val="009B493A"/>
    <w:rsid w:val="009B4DE3"/>
    <w:rsid w:val="009B535D"/>
    <w:rsid w:val="009B62CB"/>
    <w:rsid w:val="009B6612"/>
    <w:rsid w:val="009B6991"/>
    <w:rsid w:val="009B6A55"/>
    <w:rsid w:val="009C0980"/>
    <w:rsid w:val="009C133B"/>
    <w:rsid w:val="009C158C"/>
    <w:rsid w:val="009C196E"/>
    <w:rsid w:val="009C2BD7"/>
    <w:rsid w:val="009C3B52"/>
    <w:rsid w:val="009C4A6F"/>
    <w:rsid w:val="009C54BE"/>
    <w:rsid w:val="009C55F9"/>
    <w:rsid w:val="009C6025"/>
    <w:rsid w:val="009C64D5"/>
    <w:rsid w:val="009C6EF1"/>
    <w:rsid w:val="009D09C5"/>
    <w:rsid w:val="009D161B"/>
    <w:rsid w:val="009D162C"/>
    <w:rsid w:val="009D18A0"/>
    <w:rsid w:val="009D1EF0"/>
    <w:rsid w:val="009D2E92"/>
    <w:rsid w:val="009D478F"/>
    <w:rsid w:val="009D479C"/>
    <w:rsid w:val="009D4D22"/>
    <w:rsid w:val="009D4D77"/>
    <w:rsid w:val="009D5125"/>
    <w:rsid w:val="009D613E"/>
    <w:rsid w:val="009D705F"/>
    <w:rsid w:val="009D7772"/>
    <w:rsid w:val="009D7E79"/>
    <w:rsid w:val="009E0B76"/>
    <w:rsid w:val="009E1143"/>
    <w:rsid w:val="009E2925"/>
    <w:rsid w:val="009E409E"/>
    <w:rsid w:val="009E63C4"/>
    <w:rsid w:val="009E64E6"/>
    <w:rsid w:val="009E6FA5"/>
    <w:rsid w:val="009E7131"/>
    <w:rsid w:val="009F0065"/>
    <w:rsid w:val="009F0651"/>
    <w:rsid w:val="009F0908"/>
    <w:rsid w:val="009F1984"/>
    <w:rsid w:val="009F1BCB"/>
    <w:rsid w:val="009F20C9"/>
    <w:rsid w:val="009F2488"/>
    <w:rsid w:val="009F3436"/>
    <w:rsid w:val="009F3650"/>
    <w:rsid w:val="009F57B8"/>
    <w:rsid w:val="009F6E81"/>
    <w:rsid w:val="009F7321"/>
    <w:rsid w:val="009F7990"/>
    <w:rsid w:val="00A00194"/>
    <w:rsid w:val="00A001C6"/>
    <w:rsid w:val="00A00244"/>
    <w:rsid w:val="00A01B60"/>
    <w:rsid w:val="00A02BF2"/>
    <w:rsid w:val="00A031F9"/>
    <w:rsid w:val="00A04BE3"/>
    <w:rsid w:val="00A05A0B"/>
    <w:rsid w:val="00A05E0C"/>
    <w:rsid w:val="00A11A72"/>
    <w:rsid w:val="00A11C5A"/>
    <w:rsid w:val="00A12FE6"/>
    <w:rsid w:val="00A1330B"/>
    <w:rsid w:val="00A14944"/>
    <w:rsid w:val="00A15004"/>
    <w:rsid w:val="00A2017E"/>
    <w:rsid w:val="00A20DE5"/>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3C4A"/>
    <w:rsid w:val="00A33F32"/>
    <w:rsid w:val="00A37578"/>
    <w:rsid w:val="00A403A6"/>
    <w:rsid w:val="00A403A8"/>
    <w:rsid w:val="00A404B2"/>
    <w:rsid w:val="00A406D2"/>
    <w:rsid w:val="00A40F81"/>
    <w:rsid w:val="00A41901"/>
    <w:rsid w:val="00A41E20"/>
    <w:rsid w:val="00A428F3"/>
    <w:rsid w:val="00A43874"/>
    <w:rsid w:val="00A44630"/>
    <w:rsid w:val="00A446D4"/>
    <w:rsid w:val="00A44D89"/>
    <w:rsid w:val="00A4582E"/>
    <w:rsid w:val="00A466C5"/>
    <w:rsid w:val="00A471F9"/>
    <w:rsid w:val="00A472C5"/>
    <w:rsid w:val="00A502DA"/>
    <w:rsid w:val="00A50CD1"/>
    <w:rsid w:val="00A513F1"/>
    <w:rsid w:val="00A518CE"/>
    <w:rsid w:val="00A52128"/>
    <w:rsid w:val="00A528CC"/>
    <w:rsid w:val="00A5297E"/>
    <w:rsid w:val="00A52EF0"/>
    <w:rsid w:val="00A541BB"/>
    <w:rsid w:val="00A5472F"/>
    <w:rsid w:val="00A54C4F"/>
    <w:rsid w:val="00A560DE"/>
    <w:rsid w:val="00A563BD"/>
    <w:rsid w:val="00A565E9"/>
    <w:rsid w:val="00A567FD"/>
    <w:rsid w:val="00A56F02"/>
    <w:rsid w:val="00A57FD5"/>
    <w:rsid w:val="00A60AEC"/>
    <w:rsid w:val="00A61B87"/>
    <w:rsid w:val="00A62028"/>
    <w:rsid w:val="00A6320B"/>
    <w:rsid w:val="00A63615"/>
    <w:rsid w:val="00A63B52"/>
    <w:rsid w:val="00A6444C"/>
    <w:rsid w:val="00A64491"/>
    <w:rsid w:val="00A655DD"/>
    <w:rsid w:val="00A66DA4"/>
    <w:rsid w:val="00A71E32"/>
    <w:rsid w:val="00A73844"/>
    <w:rsid w:val="00A73FA4"/>
    <w:rsid w:val="00A7441C"/>
    <w:rsid w:val="00A75036"/>
    <w:rsid w:val="00A7606A"/>
    <w:rsid w:val="00A7702A"/>
    <w:rsid w:val="00A777D7"/>
    <w:rsid w:val="00A77A28"/>
    <w:rsid w:val="00A80332"/>
    <w:rsid w:val="00A80D18"/>
    <w:rsid w:val="00A840C8"/>
    <w:rsid w:val="00A84413"/>
    <w:rsid w:val="00A85069"/>
    <w:rsid w:val="00A851D3"/>
    <w:rsid w:val="00A85C99"/>
    <w:rsid w:val="00A85CBE"/>
    <w:rsid w:val="00A86059"/>
    <w:rsid w:val="00A867D3"/>
    <w:rsid w:val="00A8682A"/>
    <w:rsid w:val="00A86AC2"/>
    <w:rsid w:val="00A877EA"/>
    <w:rsid w:val="00A90434"/>
    <w:rsid w:val="00A90848"/>
    <w:rsid w:val="00A90A79"/>
    <w:rsid w:val="00A90D5D"/>
    <w:rsid w:val="00A919A8"/>
    <w:rsid w:val="00A937B0"/>
    <w:rsid w:val="00A94817"/>
    <w:rsid w:val="00A95618"/>
    <w:rsid w:val="00A95E04"/>
    <w:rsid w:val="00A9702D"/>
    <w:rsid w:val="00AA00D8"/>
    <w:rsid w:val="00AA084D"/>
    <w:rsid w:val="00AA09CE"/>
    <w:rsid w:val="00AA109A"/>
    <w:rsid w:val="00AA1646"/>
    <w:rsid w:val="00AA184D"/>
    <w:rsid w:val="00AA21D4"/>
    <w:rsid w:val="00AA3ADF"/>
    <w:rsid w:val="00AA3C01"/>
    <w:rsid w:val="00AA4945"/>
    <w:rsid w:val="00AA4F18"/>
    <w:rsid w:val="00AA5FE9"/>
    <w:rsid w:val="00AA7490"/>
    <w:rsid w:val="00AA79FE"/>
    <w:rsid w:val="00AA7EB9"/>
    <w:rsid w:val="00AB0321"/>
    <w:rsid w:val="00AB12D8"/>
    <w:rsid w:val="00AB21EA"/>
    <w:rsid w:val="00AB29DA"/>
    <w:rsid w:val="00AB2D5C"/>
    <w:rsid w:val="00AB3A12"/>
    <w:rsid w:val="00AB3BF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71B2"/>
    <w:rsid w:val="00AD0DBB"/>
    <w:rsid w:val="00AD2B68"/>
    <w:rsid w:val="00AD2F15"/>
    <w:rsid w:val="00AD34FD"/>
    <w:rsid w:val="00AD4224"/>
    <w:rsid w:val="00AD4E75"/>
    <w:rsid w:val="00AD51FA"/>
    <w:rsid w:val="00AD65E0"/>
    <w:rsid w:val="00AD6DC7"/>
    <w:rsid w:val="00AD74C8"/>
    <w:rsid w:val="00AD7ED0"/>
    <w:rsid w:val="00AE09FB"/>
    <w:rsid w:val="00AE1A9A"/>
    <w:rsid w:val="00AE3181"/>
    <w:rsid w:val="00AE357C"/>
    <w:rsid w:val="00AE6795"/>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B66"/>
    <w:rsid w:val="00B06EDD"/>
    <w:rsid w:val="00B078AF"/>
    <w:rsid w:val="00B10470"/>
    <w:rsid w:val="00B10AEC"/>
    <w:rsid w:val="00B12212"/>
    <w:rsid w:val="00B12515"/>
    <w:rsid w:val="00B125A8"/>
    <w:rsid w:val="00B1324C"/>
    <w:rsid w:val="00B1367C"/>
    <w:rsid w:val="00B1478F"/>
    <w:rsid w:val="00B168BC"/>
    <w:rsid w:val="00B16963"/>
    <w:rsid w:val="00B17A09"/>
    <w:rsid w:val="00B2044E"/>
    <w:rsid w:val="00B21864"/>
    <w:rsid w:val="00B232F1"/>
    <w:rsid w:val="00B234B3"/>
    <w:rsid w:val="00B235F8"/>
    <w:rsid w:val="00B24FA2"/>
    <w:rsid w:val="00B274B4"/>
    <w:rsid w:val="00B27D31"/>
    <w:rsid w:val="00B30BB7"/>
    <w:rsid w:val="00B3130A"/>
    <w:rsid w:val="00B320FF"/>
    <w:rsid w:val="00B32B9E"/>
    <w:rsid w:val="00B32FB1"/>
    <w:rsid w:val="00B336BA"/>
    <w:rsid w:val="00B3417B"/>
    <w:rsid w:val="00B35AFE"/>
    <w:rsid w:val="00B36C6A"/>
    <w:rsid w:val="00B40329"/>
    <w:rsid w:val="00B40396"/>
    <w:rsid w:val="00B40A35"/>
    <w:rsid w:val="00B40B8D"/>
    <w:rsid w:val="00B4103B"/>
    <w:rsid w:val="00B417E1"/>
    <w:rsid w:val="00B41EE8"/>
    <w:rsid w:val="00B4284B"/>
    <w:rsid w:val="00B42A03"/>
    <w:rsid w:val="00B432A2"/>
    <w:rsid w:val="00B43C11"/>
    <w:rsid w:val="00B44A7C"/>
    <w:rsid w:val="00B4527C"/>
    <w:rsid w:val="00B45440"/>
    <w:rsid w:val="00B4657E"/>
    <w:rsid w:val="00B47C5D"/>
    <w:rsid w:val="00B5024E"/>
    <w:rsid w:val="00B505E4"/>
    <w:rsid w:val="00B5087C"/>
    <w:rsid w:val="00B51834"/>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2F9E"/>
    <w:rsid w:val="00B6326B"/>
    <w:rsid w:val="00B644CA"/>
    <w:rsid w:val="00B65387"/>
    <w:rsid w:val="00B65E8B"/>
    <w:rsid w:val="00B6662D"/>
    <w:rsid w:val="00B66F7A"/>
    <w:rsid w:val="00B673E9"/>
    <w:rsid w:val="00B67872"/>
    <w:rsid w:val="00B67ED0"/>
    <w:rsid w:val="00B70145"/>
    <w:rsid w:val="00B7089F"/>
    <w:rsid w:val="00B70E53"/>
    <w:rsid w:val="00B71451"/>
    <w:rsid w:val="00B74278"/>
    <w:rsid w:val="00B74705"/>
    <w:rsid w:val="00B74730"/>
    <w:rsid w:val="00B74B9D"/>
    <w:rsid w:val="00B75149"/>
    <w:rsid w:val="00B77A6A"/>
    <w:rsid w:val="00B803D6"/>
    <w:rsid w:val="00B82774"/>
    <w:rsid w:val="00B83257"/>
    <w:rsid w:val="00B851E6"/>
    <w:rsid w:val="00B859BC"/>
    <w:rsid w:val="00B903E3"/>
    <w:rsid w:val="00B911C2"/>
    <w:rsid w:val="00B9192B"/>
    <w:rsid w:val="00B91DF8"/>
    <w:rsid w:val="00B93396"/>
    <w:rsid w:val="00B95300"/>
    <w:rsid w:val="00B9543E"/>
    <w:rsid w:val="00B9594C"/>
    <w:rsid w:val="00B96F03"/>
    <w:rsid w:val="00B9734C"/>
    <w:rsid w:val="00B97CB6"/>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F11"/>
    <w:rsid w:val="00BC6FDF"/>
    <w:rsid w:val="00BC76AF"/>
    <w:rsid w:val="00BC7AE4"/>
    <w:rsid w:val="00BC7D79"/>
    <w:rsid w:val="00BD02DD"/>
    <w:rsid w:val="00BD09E2"/>
    <w:rsid w:val="00BD1076"/>
    <w:rsid w:val="00BD1CB5"/>
    <w:rsid w:val="00BD2B6F"/>
    <w:rsid w:val="00BD40FE"/>
    <w:rsid w:val="00BD4A4B"/>
    <w:rsid w:val="00BD4C27"/>
    <w:rsid w:val="00BD50C5"/>
    <w:rsid w:val="00BD5E03"/>
    <w:rsid w:val="00BD606A"/>
    <w:rsid w:val="00BD626E"/>
    <w:rsid w:val="00BD6E92"/>
    <w:rsid w:val="00BE05BB"/>
    <w:rsid w:val="00BE0F25"/>
    <w:rsid w:val="00BE13D4"/>
    <w:rsid w:val="00BE207E"/>
    <w:rsid w:val="00BE274E"/>
    <w:rsid w:val="00BE336C"/>
    <w:rsid w:val="00BE4D2C"/>
    <w:rsid w:val="00BE7988"/>
    <w:rsid w:val="00BE7F6B"/>
    <w:rsid w:val="00BF0382"/>
    <w:rsid w:val="00BF082E"/>
    <w:rsid w:val="00BF0FC4"/>
    <w:rsid w:val="00BF191A"/>
    <w:rsid w:val="00BF1E0A"/>
    <w:rsid w:val="00BF27E9"/>
    <w:rsid w:val="00BF36F3"/>
    <w:rsid w:val="00BF6F76"/>
    <w:rsid w:val="00C00006"/>
    <w:rsid w:val="00C00489"/>
    <w:rsid w:val="00C02978"/>
    <w:rsid w:val="00C034A9"/>
    <w:rsid w:val="00C03859"/>
    <w:rsid w:val="00C03CFF"/>
    <w:rsid w:val="00C03DBF"/>
    <w:rsid w:val="00C048E6"/>
    <w:rsid w:val="00C04FA0"/>
    <w:rsid w:val="00C05E01"/>
    <w:rsid w:val="00C05E42"/>
    <w:rsid w:val="00C05F8E"/>
    <w:rsid w:val="00C06075"/>
    <w:rsid w:val="00C063F1"/>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66D3"/>
    <w:rsid w:val="00C266DA"/>
    <w:rsid w:val="00C26FE9"/>
    <w:rsid w:val="00C270C6"/>
    <w:rsid w:val="00C27687"/>
    <w:rsid w:val="00C27BD3"/>
    <w:rsid w:val="00C27D03"/>
    <w:rsid w:val="00C27DE4"/>
    <w:rsid w:val="00C303DE"/>
    <w:rsid w:val="00C3081E"/>
    <w:rsid w:val="00C31095"/>
    <w:rsid w:val="00C31607"/>
    <w:rsid w:val="00C31645"/>
    <w:rsid w:val="00C31DED"/>
    <w:rsid w:val="00C32321"/>
    <w:rsid w:val="00C32332"/>
    <w:rsid w:val="00C3241E"/>
    <w:rsid w:val="00C349F0"/>
    <w:rsid w:val="00C34A1E"/>
    <w:rsid w:val="00C34BEB"/>
    <w:rsid w:val="00C35828"/>
    <w:rsid w:val="00C35C9E"/>
    <w:rsid w:val="00C36509"/>
    <w:rsid w:val="00C3720B"/>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E87"/>
    <w:rsid w:val="00C7118E"/>
    <w:rsid w:val="00C72782"/>
    <w:rsid w:val="00C7422F"/>
    <w:rsid w:val="00C751BF"/>
    <w:rsid w:val="00C75D0F"/>
    <w:rsid w:val="00C7651A"/>
    <w:rsid w:val="00C77280"/>
    <w:rsid w:val="00C7769A"/>
    <w:rsid w:val="00C7779F"/>
    <w:rsid w:val="00C812AA"/>
    <w:rsid w:val="00C8174A"/>
    <w:rsid w:val="00C81AD1"/>
    <w:rsid w:val="00C83111"/>
    <w:rsid w:val="00C84265"/>
    <w:rsid w:val="00C84ED5"/>
    <w:rsid w:val="00C851B3"/>
    <w:rsid w:val="00C85D87"/>
    <w:rsid w:val="00C9070B"/>
    <w:rsid w:val="00C90E0F"/>
    <w:rsid w:val="00C91979"/>
    <w:rsid w:val="00C92377"/>
    <w:rsid w:val="00C94791"/>
    <w:rsid w:val="00C96465"/>
    <w:rsid w:val="00C96B12"/>
    <w:rsid w:val="00C96D0A"/>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D4F"/>
    <w:rsid w:val="00CB7F06"/>
    <w:rsid w:val="00CC0334"/>
    <w:rsid w:val="00CC1692"/>
    <w:rsid w:val="00CC16DA"/>
    <w:rsid w:val="00CC1B8B"/>
    <w:rsid w:val="00CC1DF5"/>
    <w:rsid w:val="00CC3A59"/>
    <w:rsid w:val="00CC4253"/>
    <w:rsid w:val="00CC4804"/>
    <w:rsid w:val="00CC5133"/>
    <w:rsid w:val="00CC5C9B"/>
    <w:rsid w:val="00CC5F27"/>
    <w:rsid w:val="00CC63FE"/>
    <w:rsid w:val="00CC7437"/>
    <w:rsid w:val="00CC7EC6"/>
    <w:rsid w:val="00CD1841"/>
    <w:rsid w:val="00CD20E1"/>
    <w:rsid w:val="00CD3BBB"/>
    <w:rsid w:val="00CD3C54"/>
    <w:rsid w:val="00CD7989"/>
    <w:rsid w:val="00CE0493"/>
    <w:rsid w:val="00CE3521"/>
    <w:rsid w:val="00CE357E"/>
    <w:rsid w:val="00CE3BC2"/>
    <w:rsid w:val="00CE5723"/>
    <w:rsid w:val="00CE6251"/>
    <w:rsid w:val="00CE6392"/>
    <w:rsid w:val="00CE6AD1"/>
    <w:rsid w:val="00CE6ED8"/>
    <w:rsid w:val="00CE74C3"/>
    <w:rsid w:val="00CF1168"/>
    <w:rsid w:val="00CF1B5F"/>
    <w:rsid w:val="00CF1C88"/>
    <w:rsid w:val="00CF25F6"/>
    <w:rsid w:val="00CF2927"/>
    <w:rsid w:val="00CF3FC7"/>
    <w:rsid w:val="00CF4841"/>
    <w:rsid w:val="00CF5493"/>
    <w:rsid w:val="00CF56F5"/>
    <w:rsid w:val="00CF5B07"/>
    <w:rsid w:val="00CF64CD"/>
    <w:rsid w:val="00CF67D8"/>
    <w:rsid w:val="00CF694E"/>
    <w:rsid w:val="00CF6BF4"/>
    <w:rsid w:val="00CF7532"/>
    <w:rsid w:val="00CF7DE9"/>
    <w:rsid w:val="00D0056A"/>
    <w:rsid w:val="00D00A07"/>
    <w:rsid w:val="00D01398"/>
    <w:rsid w:val="00D013D3"/>
    <w:rsid w:val="00D0189D"/>
    <w:rsid w:val="00D02AC6"/>
    <w:rsid w:val="00D03607"/>
    <w:rsid w:val="00D03D68"/>
    <w:rsid w:val="00D04528"/>
    <w:rsid w:val="00D050BA"/>
    <w:rsid w:val="00D05E32"/>
    <w:rsid w:val="00D06FC6"/>
    <w:rsid w:val="00D071BC"/>
    <w:rsid w:val="00D106A3"/>
    <w:rsid w:val="00D11CE7"/>
    <w:rsid w:val="00D12281"/>
    <w:rsid w:val="00D12584"/>
    <w:rsid w:val="00D12C41"/>
    <w:rsid w:val="00D14D03"/>
    <w:rsid w:val="00D16A6E"/>
    <w:rsid w:val="00D174F0"/>
    <w:rsid w:val="00D17707"/>
    <w:rsid w:val="00D222FD"/>
    <w:rsid w:val="00D22E79"/>
    <w:rsid w:val="00D236DE"/>
    <w:rsid w:val="00D243A9"/>
    <w:rsid w:val="00D26410"/>
    <w:rsid w:val="00D2713F"/>
    <w:rsid w:val="00D2772F"/>
    <w:rsid w:val="00D3079F"/>
    <w:rsid w:val="00D30C5E"/>
    <w:rsid w:val="00D3100A"/>
    <w:rsid w:val="00D312EB"/>
    <w:rsid w:val="00D3348F"/>
    <w:rsid w:val="00D3413F"/>
    <w:rsid w:val="00D3483B"/>
    <w:rsid w:val="00D3497A"/>
    <w:rsid w:val="00D37235"/>
    <w:rsid w:val="00D373B0"/>
    <w:rsid w:val="00D37508"/>
    <w:rsid w:val="00D40C07"/>
    <w:rsid w:val="00D40C75"/>
    <w:rsid w:val="00D40F22"/>
    <w:rsid w:val="00D4142C"/>
    <w:rsid w:val="00D4229B"/>
    <w:rsid w:val="00D42325"/>
    <w:rsid w:val="00D42F0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70EEA"/>
    <w:rsid w:val="00D71595"/>
    <w:rsid w:val="00D71B33"/>
    <w:rsid w:val="00D72158"/>
    <w:rsid w:val="00D72663"/>
    <w:rsid w:val="00D740F4"/>
    <w:rsid w:val="00D75DFD"/>
    <w:rsid w:val="00D76353"/>
    <w:rsid w:val="00D7794A"/>
    <w:rsid w:val="00D802FD"/>
    <w:rsid w:val="00D8162D"/>
    <w:rsid w:val="00D81DE2"/>
    <w:rsid w:val="00D82881"/>
    <w:rsid w:val="00D843A8"/>
    <w:rsid w:val="00D843F9"/>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266F"/>
    <w:rsid w:val="00DA26A7"/>
    <w:rsid w:val="00DA2928"/>
    <w:rsid w:val="00DA30E8"/>
    <w:rsid w:val="00DA3AE2"/>
    <w:rsid w:val="00DA3B33"/>
    <w:rsid w:val="00DA42A3"/>
    <w:rsid w:val="00DA50F2"/>
    <w:rsid w:val="00DA5B4D"/>
    <w:rsid w:val="00DA7075"/>
    <w:rsid w:val="00DA74A2"/>
    <w:rsid w:val="00DA76BE"/>
    <w:rsid w:val="00DB1EF7"/>
    <w:rsid w:val="00DB23B3"/>
    <w:rsid w:val="00DB5DF8"/>
    <w:rsid w:val="00DB5E98"/>
    <w:rsid w:val="00DB6664"/>
    <w:rsid w:val="00DB6B6B"/>
    <w:rsid w:val="00DB73FB"/>
    <w:rsid w:val="00DB7CD4"/>
    <w:rsid w:val="00DC0DBE"/>
    <w:rsid w:val="00DC2A0D"/>
    <w:rsid w:val="00DC2B7E"/>
    <w:rsid w:val="00DC3413"/>
    <w:rsid w:val="00DC3910"/>
    <w:rsid w:val="00DC429D"/>
    <w:rsid w:val="00DC6E17"/>
    <w:rsid w:val="00DC6F8F"/>
    <w:rsid w:val="00DD2246"/>
    <w:rsid w:val="00DD26B7"/>
    <w:rsid w:val="00DD35D4"/>
    <w:rsid w:val="00DD36B7"/>
    <w:rsid w:val="00DD3969"/>
    <w:rsid w:val="00DD4DCA"/>
    <w:rsid w:val="00DD5181"/>
    <w:rsid w:val="00DD5AEC"/>
    <w:rsid w:val="00DD5CCB"/>
    <w:rsid w:val="00DD6003"/>
    <w:rsid w:val="00DD651B"/>
    <w:rsid w:val="00DD725A"/>
    <w:rsid w:val="00DD7B1D"/>
    <w:rsid w:val="00DE1A4C"/>
    <w:rsid w:val="00DE1B04"/>
    <w:rsid w:val="00DE285A"/>
    <w:rsid w:val="00DE2F3F"/>
    <w:rsid w:val="00DE3123"/>
    <w:rsid w:val="00DE3774"/>
    <w:rsid w:val="00DE4AFA"/>
    <w:rsid w:val="00DE5417"/>
    <w:rsid w:val="00DE5630"/>
    <w:rsid w:val="00DE7227"/>
    <w:rsid w:val="00DE7312"/>
    <w:rsid w:val="00DE76FC"/>
    <w:rsid w:val="00DF0898"/>
    <w:rsid w:val="00DF0E35"/>
    <w:rsid w:val="00DF2C48"/>
    <w:rsid w:val="00DF308F"/>
    <w:rsid w:val="00DF33BD"/>
    <w:rsid w:val="00DF3789"/>
    <w:rsid w:val="00DF3F22"/>
    <w:rsid w:val="00DF4241"/>
    <w:rsid w:val="00DF4303"/>
    <w:rsid w:val="00DF45B4"/>
    <w:rsid w:val="00DF4BAB"/>
    <w:rsid w:val="00DF4D77"/>
    <w:rsid w:val="00DF5B12"/>
    <w:rsid w:val="00DF5D14"/>
    <w:rsid w:val="00DF608E"/>
    <w:rsid w:val="00DF676A"/>
    <w:rsid w:val="00DF6CC5"/>
    <w:rsid w:val="00DF6DEE"/>
    <w:rsid w:val="00DF6F9C"/>
    <w:rsid w:val="00DF6FF1"/>
    <w:rsid w:val="00DF76E0"/>
    <w:rsid w:val="00E0139A"/>
    <w:rsid w:val="00E015A9"/>
    <w:rsid w:val="00E02883"/>
    <w:rsid w:val="00E04029"/>
    <w:rsid w:val="00E04242"/>
    <w:rsid w:val="00E05D7D"/>
    <w:rsid w:val="00E07284"/>
    <w:rsid w:val="00E079B2"/>
    <w:rsid w:val="00E10861"/>
    <w:rsid w:val="00E120BC"/>
    <w:rsid w:val="00E1376C"/>
    <w:rsid w:val="00E13B02"/>
    <w:rsid w:val="00E14425"/>
    <w:rsid w:val="00E151A5"/>
    <w:rsid w:val="00E15635"/>
    <w:rsid w:val="00E15908"/>
    <w:rsid w:val="00E16BEE"/>
    <w:rsid w:val="00E16D43"/>
    <w:rsid w:val="00E21B02"/>
    <w:rsid w:val="00E21E4E"/>
    <w:rsid w:val="00E23869"/>
    <w:rsid w:val="00E23885"/>
    <w:rsid w:val="00E26156"/>
    <w:rsid w:val="00E26B75"/>
    <w:rsid w:val="00E26F08"/>
    <w:rsid w:val="00E27323"/>
    <w:rsid w:val="00E2768F"/>
    <w:rsid w:val="00E3099D"/>
    <w:rsid w:val="00E30DA9"/>
    <w:rsid w:val="00E31803"/>
    <w:rsid w:val="00E31C8B"/>
    <w:rsid w:val="00E32002"/>
    <w:rsid w:val="00E333FB"/>
    <w:rsid w:val="00E3340F"/>
    <w:rsid w:val="00E3345C"/>
    <w:rsid w:val="00E36150"/>
    <w:rsid w:val="00E36F7B"/>
    <w:rsid w:val="00E40778"/>
    <w:rsid w:val="00E4178B"/>
    <w:rsid w:val="00E41FE9"/>
    <w:rsid w:val="00E4501A"/>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5D25"/>
    <w:rsid w:val="00E569B2"/>
    <w:rsid w:val="00E60C14"/>
    <w:rsid w:val="00E61815"/>
    <w:rsid w:val="00E63C50"/>
    <w:rsid w:val="00E640AE"/>
    <w:rsid w:val="00E64C68"/>
    <w:rsid w:val="00E653EB"/>
    <w:rsid w:val="00E65D86"/>
    <w:rsid w:val="00E66834"/>
    <w:rsid w:val="00E66967"/>
    <w:rsid w:val="00E67E1C"/>
    <w:rsid w:val="00E7036A"/>
    <w:rsid w:val="00E708B4"/>
    <w:rsid w:val="00E70E2A"/>
    <w:rsid w:val="00E713EE"/>
    <w:rsid w:val="00E71643"/>
    <w:rsid w:val="00E72791"/>
    <w:rsid w:val="00E72C1A"/>
    <w:rsid w:val="00E73A84"/>
    <w:rsid w:val="00E74BBE"/>
    <w:rsid w:val="00E75DF7"/>
    <w:rsid w:val="00E763CD"/>
    <w:rsid w:val="00E76A0F"/>
    <w:rsid w:val="00E76F44"/>
    <w:rsid w:val="00E7711B"/>
    <w:rsid w:val="00E807D4"/>
    <w:rsid w:val="00E8114F"/>
    <w:rsid w:val="00E820A3"/>
    <w:rsid w:val="00E828F9"/>
    <w:rsid w:val="00E8297A"/>
    <w:rsid w:val="00E82B64"/>
    <w:rsid w:val="00E83E08"/>
    <w:rsid w:val="00E850A3"/>
    <w:rsid w:val="00E8528B"/>
    <w:rsid w:val="00E85A66"/>
    <w:rsid w:val="00E85D6A"/>
    <w:rsid w:val="00E868FF"/>
    <w:rsid w:val="00E869DC"/>
    <w:rsid w:val="00E86A15"/>
    <w:rsid w:val="00E87034"/>
    <w:rsid w:val="00E90733"/>
    <w:rsid w:val="00E90F26"/>
    <w:rsid w:val="00E91850"/>
    <w:rsid w:val="00E922C2"/>
    <w:rsid w:val="00E931A2"/>
    <w:rsid w:val="00E93D9A"/>
    <w:rsid w:val="00E94C38"/>
    <w:rsid w:val="00E95B5E"/>
    <w:rsid w:val="00E95D88"/>
    <w:rsid w:val="00E96340"/>
    <w:rsid w:val="00E96551"/>
    <w:rsid w:val="00E96BBF"/>
    <w:rsid w:val="00E96F2B"/>
    <w:rsid w:val="00EA138E"/>
    <w:rsid w:val="00EA38D5"/>
    <w:rsid w:val="00EA4363"/>
    <w:rsid w:val="00EA43B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B3E"/>
    <w:rsid w:val="00EC0FC7"/>
    <w:rsid w:val="00EC1CEF"/>
    <w:rsid w:val="00EC23FA"/>
    <w:rsid w:val="00EC3466"/>
    <w:rsid w:val="00EC37C6"/>
    <w:rsid w:val="00EC3CEA"/>
    <w:rsid w:val="00EC4F27"/>
    <w:rsid w:val="00EC548A"/>
    <w:rsid w:val="00EC5A47"/>
    <w:rsid w:val="00EC6DAC"/>
    <w:rsid w:val="00EC744B"/>
    <w:rsid w:val="00EC778D"/>
    <w:rsid w:val="00EC7B5A"/>
    <w:rsid w:val="00ED1573"/>
    <w:rsid w:val="00ED1966"/>
    <w:rsid w:val="00ED1987"/>
    <w:rsid w:val="00ED419B"/>
    <w:rsid w:val="00ED4C06"/>
    <w:rsid w:val="00ED4DA5"/>
    <w:rsid w:val="00ED5AAA"/>
    <w:rsid w:val="00ED5AF3"/>
    <w:rsid w:val="00ED6747"/>
    <w:rsid w:val="00ED6E55"/>
    <w:rsid w:val="00ED71E9"/>
    <w:rsid w:val="00ED72F9"/>
    <w:rsid w:val="00ED7419"/>
    <w:rsid w:val="00ED78BD"/>
    <w:rsid w:val="00EE050F"/>
    <w:rsid w:val="00EE067F"/>
    <w:rsid w:val="00EE081A"/>
    <w:rsid w:val="00EE13C7"/>
    <w:rsid w:val="00EE1EB5"/>
    <w:rsid w:val="00EE243B"/>
    <w:rsid w:val="00EE28DF"/>
    <w:rsid w:val="00EE2CF1"/>
    <w:rsid w:val="00EE2F5B"/>
    <w:rsid w:val="00EE2FB7"/>
    <w:rsid w:val="00EE47A0"/>
    <w:rsid w:val="00EE60DB"/>
    <w:rsid w:val="00EE665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F09"/>
    <w:rsid w:val="00F00DBF"/>
    <w:rsid w:val="00F01157"/>
    <w:rsid w:val="00F016CA"/>
    <w:rsid w:val="00F01E4F"/>
    <w:rsid w:val="00F02A3A"/>
    <w:rsid w:val="00F04143"/>
    <w:rsid w:val="00F0482C"/>
    <w:rsid w:val="00F04F8E"/>
    <w:rsid w:val="00F05F9F"/>
    <w:rsid w:val="00F0740D"/>
    <w:rsid w:val="00F07750"/>
    <w:rsid w:val="00F07780"/>
    <w:rsid w:val="00F106C0"/>
    <w:rsid w:val="00F10988"/>
    <w:rsid w:val="00F10A86"/>
    <w:rsid w:val="00F11168"/>
    <w:rsid w:val="00F12149"/>
    <w:rsid w:val="00F13587"/>
    <w:rsid w:val="00F14DE1"/>
    <w:rsid w:val="00F15F0F"/>
    <w:rsid w:val="00F16387"/>
    <w:rsid w:val="00F1649C"/>
    <w:rsid w:val="00F16B82"/>
    <w:rsid w:val="00F16BF2"/>
    <w:rsid w:val="00F203C7"/>
    <w:rsid w:val="00F20769"/>
    <w:rsid w:val="00F210E0"/>
    <w:rsid w:val="00F21157"/>
    <w:rsid w:val="00F21209"/>
    <w:rsid w:val="00F214CB"/>
    <w:rsid w:val="00F21646"/>
    <w:rsid w:val="00F21917"/>
    <w:rsid w:val="00F24293"/>
    <w:rsid w:val="00F24526"/>
    <w:rsid w:val="00F24E14"/>
    <w:rsid w:val="00F25662"/>
    <w:rsid w:val="00F27A4B"/>
    <w:rsid w:val="00F27BB1"/>
    <w:rsid w:val="00F27E42"/>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21EA"/>
    <w:rsid w:val="00F430AC"/>
    <w:rsid w:val="00F462D5"/>
    <w:rsid w:val="00F464E9"/>
    <w:rsid w:val="00F46975"/>
    <w:rsid w:val="00F477B9"/>
    <w:rsid w:val="00F50562"/>
    <w:rsid w:val="00F53604"/>
    <w:rsid w:val="00F54A39"/>
    <w:rsid w:val="00F54B2D"/>
    <w:rsid w:val="00F54BBB"/>
    <w:rsid w:val="00F55625"/>
    <w:rsid w:val="00F559EB"/>
    <w:rsid w:val="00F55FAE"/>
    <w:rsid w:val="00F5762A"/>
    <w:rsid w:val="00F57BDB"/>
    <w:rsid w:val="00F60171"/>
    <w:rsid w:val="00F6086F"/>
    <w:rsid w:val="00F613FA"/>
    <w:rsid w:val="00F62392"/>
    <w:rsid w:val="00F624FB"/>
    <w:rsid w:val="00F6338E"/>
    <w:rsid w:val="00F63599"/>
    <w:rsid w:val="00F645A1"/>
    <w:rsid w:val="00F64BF4"/>
    <w:rsid w:val="00F6582D"/>
    <w:rsid w:val="00F65B0C"/>
    <w:rsid w:val="00F6631F"/>
    <w:rsid w:val="00F7133C"/>
    <w:rsid w:val="00F718A6"/>
    <w:rsid w:val="00F72112"/>
    <w:rsid w:val="00F723D6"/>
    <w:rsid w:val="00F724AB"/>
    <w:rsid w:val="00F74188"/>
    <w:rsid w:val="00F77E87"/>
    <w:rsid w:val="00F806A9"/>
    <w:rsid w:val="00F8071D"/>
    <w:rsid w:val="00F81320"/>
    <w:rsid w:val="00F81620"/>
    <w:rsid w:val="00F8217F"/>
    <w:rsid w:val="00F83113"/>
    <w:rsid w:val="00F83C22"/>
    <w:rsid w:val="00F84521"/>
    <w:rsid w:val="00F86093"/>
    <w:rsid w:val="00F86C89"/>
    <w:rsid w:val="00F86FFD"/>
    <w:rsid w:val="00F87451"/>
    <w:rsid w:val="00F906AB"/>
    <w:rsid w:val="00F91766"/>
    <w:rsid w:val="00F91A6E"/>
    <w:rsid w:val="00F91B1D"/>
    <w:rsid w:val="00F92EC2"/>
    <w:rsid w:val="00F9313C"/>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B0FE4"/>
    <w:rsid w:val="00FB1348"/>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63CC"/>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6176"/>
    <w:rsid w:val="00FD6C77"/>
    <w:rsid w:val="00FD6D51"/>
    <w:rsid w:val="00FD74C2"/>
    <w:rsid w:val="00FD7C6C"/>
    <w:rsid w:val="00FE1CB9"/>
    <w:rsid w:val="00FE54A8"/>
    <w:rsid w:val="00FE6741"/>
    <w:rsid w:val="00FE6B1A"/>
    <w:rsid w:val="00FE7B1F"/>
    <w:rsid w:val="00FF06F9"/>
    <w:rsid w:val="00FF0FB4"/>
    <w:rsid w:val="00FF1A88"/>
    <w:rsid w:val="00FF2B2A"/>
    <w:rsid w:val="00FF2B97"/>
    <w:rsid w:val="00FF3DC4"/>
    <w:rsid w:val="00FF4EE6"/>
    <w:rsid w:val="00FF683E"/>
    <w:rsid w:val="00FF7670"/>
    <w:rsid w:val="01096F64"/>
    <w:rsid w:val="010D3E32"/>
    <w:rsid w:val="011E27CD"/>
    <w:rsid w:val="01345ED7"/>
    <w:rsid w:val="013A744D"/>
    <w:rsid w:val="014354FF"/>
    <w:rsid w:val="0153462C"/>
    <w:rsid w:val="01572ED7"/>
    <w:rsid w:val="015A3032"/>
    <w:rsid w:val="0168358B"/>
    <w:rsid w:val="01695881"/>
    <w:rsid w:val="016D09F4"/>
    <w:rsid w:val="018876DC"/>
    <w:rsid w:val="018E7785"/>
    <w:rsid w:val="01A02591"/>
    <w:rsid w:val="01AA6FD1"/>
    <w:rsid w:val="01AB1B3B"/>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B11073"/>
    <w:rsid w:val="02B51591"/>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D4257"/>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5560D9"/>
    <w:rsid w:val="04674182"/>
    <w:rsid w:val="046874D3"/>
    <w:rsid w:val="04763DF0"/>
    <w:rsid w:val="0482632C"/>
    <w:rsid w:val="049632DF"/>
    <w:rsid w:val="04A741FF"/>
    <w:rsid w:val="04A76ED6"/>
    <w:rsid w:val="04AC0EFB"/>
    <w:rsid w:val="04AD6FEA"/>
    <w:rsid w:val="04B63702"/>
    <w:rsid w:val="04C81C8C"/>
    <w:rsid w:val="04CF101F"/>
    <w:rsid w:val="04D70BAD"/>
    <w:rsid w:val="04E8215F"/>
    <w:rsid w:val="04F01786"/>
    <w:rsid w:val="04FE16ED"/>
    <w:rsid w:val="04FE2E9B"/>
    <w:rsid w:val="05017DD7"/>
    <w:rsid w:val="050B0A06"/>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93A36"/>
    <w:rsid w:val="05EC58FE"/>
    <w:rsid w:val="05F06113"/>
    <w:rsid w:val="060530A2"/>
    <w:rsid w:val="060968CE"/>
    <w:rsid w:val="060C0BF5"/>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E7ED0"/>
    <w:rsid w:val="06BB1810"/>
    <w:rsid w:val="06BE55EB"/>
    <w:rsid w:val="06BF1CFA"/>
    <w:rsid w:val="06CB2176"/>
    <w:rsid w:val="06E423A9"/>
    <w:rsid w:val="06EB5A74"/>
    <w:rsid w:val="06FC6F82"/>
    <w:rsid w:val="070005FE"/>
    <w:rsid w:val="070C7AAE"/>
    <w:rsid w:val="071115A8"/>
    <w:rsid w:val="071F05EE"/>
    <w:rsid w:val="07201CA4"/>
    <w:rsid w:val="07223296"/>
    <w:rsid w:val="07232A97"/>
    <w:rsid w:val="07247135"/>
    <w:rsid w:val="07251666"/>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3B5806"/>
    <w:rsid w:val="0A556860"/>
    <w:rsid w:val="0A564792"/>
    <w:rsid w:val="0A6B6222"/>
    <w:rsid w:val="0A6E5095"/>
    <w:rsid w:val="0A7A1B33"/>
    <w:rsid w:val="0A7C10EC"/>
    <w:rsid w:val="0A8000C8"/>
    <w:rsid w:val="0A9567C3"/>
    <w:rsid w:val="0A9636B5"/>
    <w:rsid w:val="0A967038"/>
    <w:rsid w:val="0A9A67CC"/>
    <w:rsid w:val="0AA837BF"/>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762D6"/>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56327B"/>
    <w:rsid w:val="0C575E84"/>
    <w:rsid w:val="0C682814"/>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E041A7"/>
    <w:rsid w:val="0CE17A4D"/>
    <w:rsid w:val="0CE96B24"/>
    <w:rsid w:val="0CEA175E"/>
    <w:rsid w:val="0CF176E8"/>
    <w:rsid w:val="0CF41713"/>
    <w:rsid w:val="0D171BAB"/>
    <w:rsid w:val="0D2A6377"/>
    <w:rsid w:val="0D2E781D"/>
    <w:rsid w:val="0D3716A6"/>
    <w:rsid w:val="0D3856CB"/>
    <w:rsid w:val="0D4010AD"/>
    <w:rsid w:val="0D475FD0"/>
    <w:rsid w:val="0D7725E8"/>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305B3"/>
    <w:rsid w:val="0EF86CB8"/>
    <w:rsid w:val="0EFA7667"/>
    <w:rsid w:val="0EFD4B48"/>
    <w:rsid w:val="0F203C55"/>
    <w:rsid w:val="0F2E1147"/>
    <w:rsid w:val="0F2E692D"/>
    <w:rsid w:val="0F3023AE"/>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F67576"/>
    <w:rsid w:val="10081E6D"/>
    <w:rsid w:val="100B3B4A"/>
    <w:rsid w:val="100E3A77"/>
    <w:rsid w:val="10184299"/>
    <w:rsid w:val="101E7929"/>
    <w:rsid w:val="102719F8"/>
    <w:rsid w:val="103706D8"/>
    <w:rsid w:val="10451378"/>
    <w:rsid w:val="1048247B"/>
    <w:rsid w:val="10594368"/>
    <w:rsid w:val="10722BCA"/>
    <w:rsid w:val="107D4F44"/>
    <w:rsid w:val="108166F7"/>
    <w:rsid w:val="10871CDD"/>
    <w:rsid w:val="10894825"/>
    <w:rsid w:val="108B4D1D"/>
    <w:rsid w:val="108F4B64"/>
    <w:rsid w:val="109022F8"/>
    <w:rsid w:val="10960E26"/>
    <w:rsid w:val="109C7BF4"/>
    <w:rsid w:val="109D79E8"/>
    <w:rsid w:val="10A654B6"/>
    <w:rsid w:val="10A83A33"/>
    <w:rsid w:val="10A945F4"/>
    <w:rsid w:val="10BD5C09"/>
    <w:rsid w:val="10BE78BE"/>
    <w:rsid w:val="10C664A7"/>
    <w:rsid w:val="10D80961"/>
    <w:rsid w:val="10D84BB2"/>
    <w:rsid w:val="10E55ACF"/>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DA2D2F"/>
    <w:rsid w:val="11DC70FC"/>
    <w:rsid w:val="11DF7049"/>
    <w:rsid w:val="11E12487"/>
    <w:rsid w:val="11EF178C"/>
    <w:rsid w:val="11F3184C"/>
    <w:rsid w:val="11F62C74"/>
    <w:rsid w:val="11F6483A"/>
    <w:rsid w:val="12033E9F"/>
    <w:rsid w:val="12033F91"/>
    <w:rsid w:val="120A7556"/>
    <w:rsid w:val="120F07B3"/>
    <w:rsid w:val="121700F0"/>
    <w:rsid w:val="12174DED"/>
    <w:rsid w:val="122347FC"/>
    <w:rsid w:val="122359F4"/>
    <w:rsid w:val="12261F55"/>
    <w:rsid w:val="123212B1"/>
    <w:rsid w:val="125D33A6"/>
    <w:rsid w:val="12682F27"/>
    <w:rsid w:val="12712DBC"/>
    <w:rsid w:val="127B15E0"/>
    <w:rsid w:val="128B5E58"/>
    <w:rsid w:val="129C2721"/>
    <w:rsid w:val="12A173C6"/>
    <w:rsid w:val="12A574E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1806E8"/>
    <w:rsid w:val="13180E81"/>
    <w:rsid w:val="131B76BF"/>
    <w:rsid w:val="131E5A54"/>
    <w:rsid w:val="132666FE"/>
    <w:rsid w:val="132B2FAA"/>
    <w:rsid w:val="13300B4F"/>
    <w:rsid w:val="13302AD6"/>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04B5A"/>
    <w:rsid w:val="149C0447"/>
    <w:rsid w:val="149F349B"/>
    <w:rsid w:val="14A43C64"/>
    <w:rsid w:val="14A75D6E"/>
    <w:rsid w:val="14A93DFD"/>
    <w:rsid w:val="14AE709E"/>
    <w:rsid w:val="14AF3399"/>
    <w:rsid w:val="14B54A06"/>
    <w:rsid w:val="14C1517A"/>
    <w:rsid w:val="14CA7A3B"/>
    <w:rsid w:val="14D83477"/>
    <w:rsid w:val="14E51EF4"/>
    <w:rsid w:val="14F07FF2"/>
    <w:rsid w:val="14F1597F"/>
    <w:rsid w:val="14F56A4A"/>
    <w:rsid w:val="14F6254D"/>
    <w:rsid w:val="14F67A40"/>
    <w:rsid w:val="150074C4"/>
    <w:rsid w:val="1502609F"/>
    <w:rsid w:val="1509116B"/>
    <w:rsid w:val="150C2883"/>
    <w:rsid w:val="150E365F"/>
    <w:rsid w:val="151625EC"/>
    <w:rsid w:val="151B2925"/>
    <w:rsid w:val="151C0B37"/>
    <w:rsid w:val="152A50C1"/>
    <w:rsid w:val="15324A69"/>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82C35"/>
    <w:rsid w:val="15DB5F39"/>
    <w:rsid w:val="15E24378"/>
    <w:rsid w:val="15E65D5D"/>
    <w:rsid w:val="15F96CAC"/>
    <w:rsid w:val="16003EB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5A5F04"/>
    <w:rsid w:val="166E5447"/>
    <w:rsid w:val="167B1FA5"/>
    <w:rsid w:val="167D5A4F"/>
    <w:rsid w:val="167D5C8B"/>
    <w:rsid w:val="167D5D73"/>
    <w:rsid w:val="16827E0D"/>
    <w:rsid w:val="16942708"/>
    <w:rsid w:val="169A44F1"/>
    <w:rsid w:val="16B9680F"/>
    <w:rsid w:val="16C021F8"/>
    <w:rsid w:val="16C51A1F"/>
    <w:rsid w:val="16C52BE5"/>
    <w:rsid w:val="16D769AB"/>
    <w:rsid w:val="16E04894"/>
    <w:rsid w:val="16EB2887"/>
    <w:rsid w:val="16FF5248"/>
    <w:rsid w:val="17011880"/>
    <w:rsid w:val="1707488A"/>
    <w:rsid w:val="17093D7D"/>
    <w:rsid w:val="170D1C6C"/>
    <w:rsid w:val="17185E43"/>
    <w:rsid w:val="171A746E"/>
    <w:rsid w:val="171C7BD2"/>
    <w:rsid w:val="17205824"/>
    <w:rsid w:val="17224EDE"/>
    <w:rsid w:val="1724329B"/>
    <w:rsid w:val="172474C1"/>
    <w:rsid w:val="17360383"/>
    <w:rsid w:val="17580BCA"/>
    <w:rsid w:val="175D213E"/>
    <w:rsid w:val="176161EF"/>
    <w:rsid w:val="1764447F"/>
    <w:rsid w:val="17665D05"/>
    <w:rsid w:val="177032FA"/>
    <w:rsid w:val="17767F07"/>
    <w:rsid w:val="178E023F"/>
    <w:rsid w:val="178F6A13"/>
    <w:rsid w:val="17A46455"/>
    <w:rsid w:val="17A967CF"/>
    <w:rsid w:val="17AA4E4E"/>
    <w:rsid w:val="17B513B1"/>
    <w:rsid w:val="17BA6F24"/>
    <w:rsid w:val="17D5127C"/>
    <w:rsid w:val="17DB41FD"/>
    <w:rsid w:val="17EE1F12"/>
    <w:rsid w:val="18087F07"/>
    <w:rsid w:val="180C16BE"/>
    <w:rsid w:val="181B60D9"/>
    <w:rsid w:val="181F5100"/>
    <w:rsid w:val="182320B0"/>
    <w:rsid w:val="183423A1"/>
    <w:rsid w:val="18453FC9"/>
    <w:rsid w:val="184975A7"/>
    <w:rsid w:val="184E23F7"/>
    <w:rsid w:val="18501CDC"/>
    <w:rsid w:val="185B0C66"/>
    <w:rsid w:val="185B3AA3"/>
    <w:rsid w:val="185D2622"/>
    <w:rsid w:val="186A474B"/>
    <w:rsid w:val="186E4C91"/>
    <w:rsid w:val="186E7D6B"/>
    <w:rsid w:val="18747453"/>
    <w:rsid w:val="18840ED6"/>
    <w:rsid w:val="18862EF4"/>
    <w:rsid w:val="1895169E"/>
    <w:rsid w:val="189665E0"/>
    <w:rsid w:val="18A93AA9"/>
    <w:rsid w:val="18BA2D76"/>
    <w:rsid w:val="18D87F02"/>
    <w:rsid w:val="18DC25C3"/>
    <w:rsid w:val="18E070E4"/>
    <w:rsid w:val="18E44789"/>
    <w:rsid w:val="18FD0A35"/>
    <w:rsid w:val="1915052B"/>
    <w:rsid w:val="191E5048"/>
    <w:rsid w:val="1934698E"/>
    <w:rsid w:val="1942617C"/>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92726"/>
    <w:rsid w:val="19DF2A9B"/>
    <w:rsid w:val="19DF3D8E"/>
    <w:rsid w:val="19E14B66"/>
    <w:rsid w:val="19EA47AB"/>
    <w:rsid w:val="19F026DD"/>
    <w:rsid w:val="19F05152"/>
    <w:rsid w:val="19F1444F"/>
    <w:rsid w:val="1A003650"/>
    <w:rsid w:val="1A043415"/>
    <w:rsid w:val="1A070118"/>
    <w:rsid w:val="1A075651"/>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AB4CA1"/>
    <w:rsid w:val="1AB00ACD"/>
    <w:rsid w:val="1AB77CCA"/>
    <w:rsid w:val="1ABC53BD"/>
    <w:rsid w:val="1AE47673"/>
    <w:rsid w:val="1B003112"/>
    <w:rsid w:val="1B0623C3"/>
    <w:rsid w:val="1B0F3F68"/>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3432E"/>
    <w:rsid w:val="1B851B28"/>
    <w:rsid w:val="1B8C7593"/>
    <w:rsid w:val="1B9C1EC6"/>
    <w:rsid w:val="1BA17139"/>
    <w:rsid w:val="1BA23DC4"/>
    <w:rsid w:val="1BB11F4C"/>
    <w:rsid w:val="1BBC1CA7"/>
    <w:rsid w:val="1BC2223F"/>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3E0"/>
    <w:rsid w:val="1CB21A4B"/>
    <w:rsid w:val="1CB74949"/>
    <w:rsid w:val="1CB81D96"/>
    <w:rsid w:val="1CCC27F4"/>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97D04"/>
    <w:rsid w:val="1DCE1814"/>
    <w:rsid w:val="1DED2DDA"/>
    <w:rsid w:val="1DF72EE2"/>
    <w:rsid w:val="1E117340"/>
    <w:rsid w:val="1E120BA4"/>
    <w:rsid w:val="1E194B86"/>
    <w:rsid w:val="1E1A5164"/>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B4A12"/>
    <w:rsid w:val="1F355966"/>
    <w:rsid w:val="1F3C3877"/>
    <w:rsid w:val="1F3D3C30"/>
    <w:rsid w:val="1F483C21"/>
    <w:rsid w:val="1F4B0BE5"/>
    <w:rsid w:val="1F4F388C"/>
    <w:rsid w:val="1F51767D"/>
    <w:rsid w:val="1F532DA6"/>
    <w:rsid w:val="1F551B6E"/>
    <w:rsid w:val="1F594420"/>
    <w:rsid w:val="1F5B0B02"/>
    <w:rsid w:val="1F705077"/>
    <w:rsid w:val="1F862CF3"/>
    <w:rsid w:val="1F886FA7"/>
    <w:rsid w:val="1FA96E4C"/>
    <w:rsid w:val="1FAC017C"/>
    <w:rsid w:val="1FD11518"/>
    <w:rsid w:val="1FD2380D"/>
    <w:rsid w:val="1FD61F23"/>
    <w:rsid w:val="1FE16E27"/>
    <w:rsid w:val="1FF26B3D"/>
    <w:rsid w:val="2003339F"/>
    <w:rsid w:val="2009302C"/>
    <w:rsid w:val="200A7B67"/>
    <w:rsid w:val="201B23DD"/>
    <w:rsid w:val="20277313"/>
    <w:rsid w:val="20283FFD"/>
    <w:rsid w:val="202F4199"/>
    <w:rsid w:val="203D30AE"/>
    <w:rsid w:val="20454486"/>
    <w:rsid w:val="204E212C"/>
    <w:rsid w:val="20504CBF"/>
    <w:rsid w:val="206A0005"/>
    <w:rsid w:val="20762E71"/>
    <w:rsid w:val="207748CC"/>
    <w:rsid w:val="208438ED"/>
    <w:rsid w:val="20903E4E"/>
    <w:rsid w:val="20906B7D"/>
    <w:rsid w:val="20933A06"/>
    <w:rsid w:val="209D22B4"/>
    <w:rsid w:val="20A769E0"/>
    <w:rsid w:val="20AC309F"/>
    <w:rsid w:val="20AE53E1"/>
    <w:rsid w:val="20B91AD5"/>
    <w:rsid w:val="20C6209A"/>
    <w:rsid w:val="20E03174"/>
    <w:rsid w:val="20F32260"/>
    <w:rsid w:val="20FB43F0"/>
    <w:rsid w:val="20FB676C"/>
    <w:rsid w:val="21041ECB"/>
    <w:rsid w:val="210469CC"/>
    <w:rsid w:val="21094289"/>
    <w:rsid w:val="211D2484"/>
    <w:rsid w:val="211E0459"/>
    <w:rsid w:val="21286EB3"/>
    <w:rsid w:val="212B5888"/>
    <w:rsid w:val="212C68D7"/>
    <w:rsid w:val="21345203"/>
    <w:rsid w:val="213D7C4C"/>
    <w:rsid w:val="214510F2"/>
    <w:rsid w:val="21497810"/>
    <w:rsid w:val="214B381F"/>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E5292"/>
    <w:rsid w:val="23523288"/>
    <w:rsid w:val="235424EC"/>
    <w:rsid w:val="236C4C45"/>
    <w:rsid w:val="236F00CF"/>
    <w:rsid w:val="23787EBC"/>
    <w:rsid w:val="237E2346"/>
    <w:rsid w:val="237F1892"/>
    <w:rsid w:val="23830BF6"/>
    <w:rsid w:val="23885562"/>
    <w:rsid w:val="2391337B"/>
    <w:rsid w:val="239D00EF"/>
    <w:rsid w:val="239F199E"/>
    <w:rsid w:val="23A07C85"/>
    <w:rsid w:val="23AA6630"/>
    <w:rsid w:val="23AB52C0"/>
    <w:rsid w:val="23AF2C1D"/>
    <w:rsid w:val="23B238A1"/>
    <w:rsid w:val="23B82958"/>
    <w:rsid w:val="23BF0A67"/>
    <w:rsid w:val="23C63FC5"/>
    <w:rsid w:val="23D10C83"/>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8564B2"/>
    <w:rsid w:val="24977505"/>
    <w:rsid w:val="24A26D93"/>
    <w:rsid w:val="24A90781"/>
    <w:rsid w:val="24A94685"/>
    <w:rsid w:val="24BA7B31"/>
    <w:rsid w:val="24C56B1E"/>
    <w:rsid w:val="24CA4072"/>
    <w:rsid w:val="24D75DE1"/>
    <w:rsid w:val="24DB08E9"/>
    <w:rsid w:val="24E203FF"/>
    <w:rsid w:val="24EA2E16"/>
    <w:rsid w:val="24FD6E00"/>
    <w:rsid w:val="25007C4D"/>
    <w:rsid w:val="250410B4"/>
    <w:rsid w:val="25066490"/>
    <w:rsid w:val="25081631"/>
    <w:rsid w:val="25085A2D"/>
    <w:rsid w:val="25095FB4"/>
    <w:rsid w:val="251151B2"/>
    <w:rsid w:val="25125B70"/>
    <w:rsid w:val="25142268"/>
    <w:rsid w:val="251A55CA"/>
    <w:rsid w:val="251B0537"/>
    <w:rsid w:val="251C72FE"/>
    <w:rsid w:val="253007AC"/>
    <w:rsid w:val="253C30F9"/>
    <w:rsid w:val="254E38B7"/>
    <w:rsid w:val="255327A8"/>
    <w:rsid w:val="255C4A4F"/>
    <w:rsid w:val="25615CD6"/>
    <w:rsid w:val="25627A10"/>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D17FBD"/>
    <w:rsid w:val="25D84432"/>
    <w:rsid w:val="25E41429"/>
    <w:rsid w:val="25F068A9"/>
    <w:rsid w:val="25F47DCB"/>
    <w:rsid w:val="260F0FCC"/>
    <w:rsid w:val="26162F9F"/>
    <w:rsid w:val="26285570"/>
    <w:rsid w:val="262B337E"/>
    <w:rsid w:val="262C1722"/>
    <w:rsid w:val="262E0F7F"/>
    <w:rsid w:val="26473C37"/>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628DC"/>
    <w:rsid w:val="26E65E49"/>
    <w:rsid w:val="26EA4AAD"/>
    <w:rsid w:val="26F0197C"/>
    <w:rsid w:val="26F55BE8"/>
    <w:rsid w:val="26F56719"/>
    <w:rsid w:val="270B5779"/>
    <w:rsid w:val="270D7803"/>
    <w:rsid w:val="27224996"/>
    <w:rsid w:val="273A445C"/>
    <w:rsid w:val="273F08A2"/>
    <w:rsid w:val="27427939"/>
    <w:rsid w:val="27533C8E"/>
    <w:rsid w:val="27586B74"/>
    <w:rsid w:val="275E4A93"/>
    <w:rsid w:val="276B63AC"/>
    <w:rsid w:val="276D67BF"/>
    <w:rsid w:val="27740206"/>
    <w:rsid w:val="27845EBA"/>
    <w:rsid w:val="279723AC"/>
    <w:rsid w:val="27A46E01"/>
    <w:rsid w:val="27A92674"/>
    <w:rsid w:val="27B35675"/>
    <w:rsid w:val="27BE5860"/>
    <w:rsid w:val="27CA1384"/>
    <w:rsid w:val="27D7701A"/>
    <w:rsid w:val="27DC1F02"/>
    <w:rsid w:val="27DF53AA"/>
    <w:rsid w:val="27E90584"/>
    <w:rsid w:val="27FE3209"/>
    <w:rsid w:val="2808149B"/>
    <w:rsid w:val="280865A3"/>
    <w:rsid w:val="28095B6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9C186B"/>
    <w:rsid w:val="289D03F7"/>
    <w:rsid w:val="289E1ADE"/>
    <w:rsid w:val="28A2755B"/>
    <w:rsid w:val="28A97AF2"/>
    <w:rsid w:val="28B12E5F"/>
    <w:rsid w:val="28B15DE8"/>
    <w:rsid w:val="28B93229"/>
    <w:rsid w:val="28BA4414"/>
    <w:rsid w:val="28C5219E"/>
    <w:rsid w:val="28CC2700"/>
    <w:rsid w:val="28D0111A"/>
    <w:rsid w:val="28DC03E8"/>
    <w:rsid w:val="28EC424C"/>
    <w:rsid w:val="28EC6178"/>
    <w:rsid w:val="28F10F1A"/>
    <w:rsid w:val="28F11492"/>
    <w:rsid w:val="28FC0AE4"/>
    <w:rsid w:val="29096924"/>
    <w:rsid w:val="291B55B8"/>
    <w:rsid w:val="291D1D8A"/>
    <w:rsid w:val="29205315"/>
    <w:rsid w:val="2922093E"/>
    <w:rsid w:val="2923009C"/>
    <w:rsid w:val="29235AB0"/>
    <w:rsid w:val="29253ACB"/>
    <w:rsid w:val="29293BB2"/>
    <w:rsid w:val="292B14A8"/>
    <w:rsid w:val="2930256F"/>
    <w:rsid w:val="293E32BA"/>
    <w:rsid w:val="29467712"/>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952C2"/>
    <w:rsid w:val="29EE028D"/>
    <w:rsid w:val="29F7183A"/>
    <w:rsid w:val="2A0252C0"/>
    <w:rsid w:val="2A0F7B5E"/>
    <w:rsid w:val="2A1472D7"/>
    <w:rsid w:val="2A15437E"/>
    <w:rsid w:val="2A1E2270"/>
    <w:rsid w:val="2A253865"/>
    <w:rsid w:val="2A2765EA"/>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87FF8"/>
    <w:rsid w:val="2B5D164D"/>
    <w:rsid w:val="2B5E683A"/>
    <w:rsid w:val="2B6107ED"/>
    <w:rsid w:val="2B6428DA"/>
    <w:rsid w:val="2B6E267A"/>
    <w:rsid w:val="2B731C37"/>
    <w:rsid w:val="2B7942B0"/>
    <w:rsid w:val="2B7A700A"/>
    <w:rsid w:val="2B7C05F4"/>
    <w:rsid w:val="2B7C4B5A"/>
    <w:rsid w:val="2B7D31BC"/>
    <w:rsid w:val="2B7E0A92"/>
    <w:rsid w:val="2B846DD9"/>
    <w:rsid w:val="2B967F8B"/>
    <w:rsid w:val="2BA87186"/>
    <w:rsid w:val="2BB56B1A"/>
    <w:rsid w:val="2BBF4233"/>
    <w:rsid w:val="2BDD6E12"/>
    <w:rsid w:val="2BE62B4B"/>
    <w:rsid w:val="2BE94332"/>
    <w:rsid w:val="2BEC167C"/>
    <w:rsid w:val="2BED7C81"/>
    <w:rsid w:val="2BEF5E63"/>
    <w:rsid w:val="2BFA626C"/>
    <w:rsid w:val="2C084621"/>
    <w:rsid w:val="2C1C20A9"/>
    <w:rsid w:val="2C1E328B"/>
    <w:rsid w:val="2C286654"/>
    <w:rsid w:val="2C315972"/>
    <w:rsid w:val="2C334589"/>
    <w:rsid w:val="2C3823E4"/>
    <w:rsid w:val="2C450566"/>
    <w:rsid w:val="2C4A78EF"/>
    <w:rsid w:val="2C4D6197"/>
    <w:rsid w:val="2C542E3A"/>
    <w:rsid w:val="2C5B3850"/>
    <w:rsid w:val="2C634F07"/>
    <w:rsid w:val="2C75110C"/>
    <w:rsid w:val="2C7A6F87"/>
    <w:rsid w:val="2C7D1DD2"/>
    <w:rsid w:val="2C7F444E"/>
    <w:rsid w:val="2C974F7D"/>
    <w:rsid w:val="2CA252DF"/>
    <w:rsid w:val="2CA305DC"/>
    <w:rsid w:val="2CAD43E8"/>
    <w:rsid w:val="2CB3524E"/>
    <w:rsid w:val="2CB41485"/>
    <w:rsid w:val="2CCC1A01"/>
    <w:rsid w:val="2CCD2E84"/>
    <w:rsid w:val="2CD127A8"/>
    <w:rsid w:val="2CD42AC8"/>
    <w:rsid w:val="2CD43F01"/>
    <w:rsid w:val="2CE06ADC"/>
    <w:rsid w:val="2CE434B7"/>
    <w:rsid w:val="2CF64B25"/>
    <w:rsid w:val="2CFE716B"/>
    <w:rsid w:val="2D024E57"/>
    <w:rsid w:val="2D077192"/>
    <w:rsid w:val="2D1411FA"/>
    <w:rsid w:val="2D152281"/>
    <w:rsid w:val="2D156596"/>
    <w:rsid w:val="2D1F67AE"/>
    <w:rsid w:val="2D2B53E8"/>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11456"/>
    <w:rsid w:val="2EFE2F95"/>
    <w:rsid w:val="2F0509F1"/>
    <w:rsid w:val="2F1201CF"/>
    <w:rsid w:val="2F145336"/>
    <w:rsid w:val="2F1E3DB3"/>
    <w:rsid w:val="2F26673C"/>
    <w:rsid w:val="2F4100F5"/>
    <w:rsid w:val="2F46214C"/>
    <w:rsid w:val="2F4E0B46"/>
    <w:rsid w:val="2F544800"/>
    <w:rsid w:val="2F5F4700"/>
    <w:rsid w:val="2F603A6A"/>
    <w:rsid w:val="2FA22DFE"/>
    <w:rsid w:val="2FBF68A3"/>
    <w:rsid w:val="2FC9496C"/>
    <w:rsid w:val="2FCC4A77"/>
    <w:rsid w:val="2FCD52D7"/>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391C9F"/>
    <w:rsid w:val="323F466C"/>
    <w:rsid w:val="32454E82"/>
    <w:rsid w:val="32460A89"/>
    <w:rsid w:val="32461745"/>
    <w:rsid w:val="3248549E"/>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656B7"/>
    <w:rsid w:val="3328712B"/>
    <w:rsid w:val="3332058F"/>
    <w:rsid w:val="33346179"/>
    <w:rsid w:val="33346908"/>
    <w:rsid w:val="333636C9"/>
    <w:rsid w:val="333726DB"/>
    <w:rsid w:val="333F0E83"/>
    <w:rsid w:val="33465B36"/>
    <w:rsid w:val="334C7F15"/>
    <w:rsid w:val="336045CB"/>
    <w:rsid w:val="33650CAA"/>
    <w:rsid w:val="33713745"/>
    <w:rsid w:val="337A39BA"/>
    <w:rsid w:val="337B0E24"/>
    <w:rsid w:val="338D06DC"/>
    <w:rsid w:val="339A72FB"/>
    <w:rsid w:val="33A336EF"/>
    <w:rsid w:val="33AB464E"/>
    <w:rsid w:val="33B9549D"/>
    <w:rsid w:val="33BE1549"/>
    <w:rsid w:val="33DE220C"/>
    <w:rsid w:val="33DE57BA"/>
    <w:rsid w:val="33E26C50"/>
    <w:rsid w:val="33EC5958"/>
    <w:rsid w:val="33ED5AF2"/>
    <w:rsid w:val="33EE7170"/>
    <w:rsid w:val="33FE552D"/>
    <w:rsid w:val="33FF702C"/>
    <w:rsid w:val="34042E97"/>
    <w:rsid w:val="34071D65"/>
    <w:rsid w:val="340F578C"/>
    <w:rsid w:val="3410777F"/>
    <w:rsid w:val="34190E90"/>
    <w:rsid w:val="34197884"/>
    <w:rsid w:val="341B67F4"/>
    <w:rsid w:val="34241E8E"/>
    <w:rsid w:val="3424360F"/>
    <w:rsid w:val="34300FA3"/>
    <w:rsid w:val="343B2E98"/>
    <w:rsid w:val="344605AA"/>
    <w:rsid w:val="34481CD0"/>
    <w:rsid w:val="34581840"/>
    <w:rsid w:val="34602A06"/>
    <w:rsid w:val="34612B14"/>
    <w:rsid w:val="3464024B"/>
    <w:rsid w:val="34797DCF"/>
    <w:rsid w:val="348722A0"/>
    <w:rsid w:val="349F1AA3"/>
    <w:rsid w:val="34A9284D"/>
    <w:rsid w:val="34B07223"/>
    <w:rsid w:val="34B6583E"/>
    <w:rsid w:val="34B76BC7"/>
    <w:rsid w:val="34BB2CD7"/>
    <w:rsid w:val="34BC46ED"/>
    <w:rsid w:val="34BE1635"/>
    <w:rsid w:val="34C23F0D"/>
    <w:rsid w:val="34C57286"/>
    <w:rsid w:val="34CC00D3"/>
    <w:rsid w:val="34D2441F"/>
    <w:rsid w:val="34D72C19"/>
    <w:rsid w:val="34DA756E"/>
    <w:rsid w:val="34DC5044"/>
    <w:rsid w:val="34EB291C"/>
    <w:rsid w:val="350F4737"/>
    <w:rsid w:val="35143012"/>
    <w:rsid w:val="3526195B"/>
    <w:rsid w:val="35270D50"/>
    <w:rsid w:val="35281E1D"/>
    <w:rsid w:val="353D15CB"/>
    <w:rsid w:val="35404339"/>
    <w:rsid w:val="35447836"/>
    <w:rsid w:val="35495B7D"/>
    <w:rsid w:val="354C413B"/>
    <w:rsid w:val="355B34A4"/>
    <w:rsid w:val="35631F42"/>
    <w:rsid w:val="356B739B"/>
    <w:rsid w:val="35713CF3"/>
    <w:rsid w:val="357D2D9B"/>
    <w:rsid w:val="358316A2"/>
    <w:rsid w:val="35A457F3"/>
    <w:rsid w:val="35AC1F22"/>
    <w:rsid w:val="35AD061E"/>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26537A"/>
    <w:rsid w:val="363D5BC2"/>
    <w:rsid w:val="363E4C6B"/>
    <w:rsid w:val="36411BD2"/>
    <w:rsid w:val="364918AE"/>
    <w:rsid w:val="365E5B6A"/>
    <w:rsid w:val="36641444"/>
    <w:rsid w:val="36762B93"/>
    <w:rsid w:val="367F0410"/>
    <w:rsid w:val="3696776B"/>
    <w:rsid w:val="36B01301"/>
    <w:rsid w:val="36C162B9"/>
    <w:rsid w:val="36C22673"/>
    <w:rsid w:val="36D03DAA"/>
    <w:rsid w:val="36D1082A"/>
    <w:rsid w:val="36D254F8"/>
    <w:rsid w:val="36EA06E7"/>
    <w:rsid w:val="36F0197C"/>
    <w:rsid w:val="36FB43FE"/>
    <w:rsid w:val="370137E2"/>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5F47F6"/>
    <w:rsid w:val="37667C0A"/>
    <w:rsid w:val="376F58CE"/>
    <w:rsid w:val="37805199"/>
    <w:rsid w:val="37856AB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123EDC"/>
    <w:rsid w:val="381D6D09"/>
    <w:rsid w:val="38222DAE"/>
    <w:rsid w:val="3828625F"/>
    <w:rsid w:val="382E4764"/>
    <w:rsid w:val="383E1C7E"/>
    <w:rsid w:val="38405E59"/>
    <w:rsid w:val="38406232"/>
    <w:rsid w:val="38410EBF"/>
    <w:rsid w:val="384D1CCD"/>
    <w:rsid w:val="38523359"/>
    <w:rsid w:val="385272D2"/>
    <w:rsid w:val="38564A03"/>
    <w:rsid w:val="385B57A5"/>
    <w:rsid w:val="386108A2"/>
    <w:rsid w:val="386910FC"/>
    <w:rsid w:val="386F289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60454D"/>
    <w:rsid w:val="3B642C2E"/>
    <w:rsid w:val="3B6C02E4"/>
    <w:rsid w:val="3B6E49BC"/>
    <w:rsid w:val="3B7B7262"/>
    <w:rsid w:val="3B7D1A04"/>
    <w:rsid w:val="3B8107C0"/>
    <w:rsid w:val="3B81295F"/>
    <w:rsid w:val="3B835015"/>
    <w:rsid w:val="3B8D2298"/>
    <w:rsid w:val="3B984501"/>
    <w:rsid w:val="3B9A57C6"/>
    <w:rsid w:val="3B9C41DB"/>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A21CD1"/>
    <w:rsid w:val="3CA74156"/>
    <w:rsid w:val="3CAE6923"/>
    <w:rsid w:val="3CB42C60"/>
    <w:rsid w:val="3CD702EC"/>
    <w:rsid w:val="3CE03FB1"/>
    <w:rsid w:val="3CE22E92"/>
    <w:rsid w:val="3CE91AFF"/>
    <w:rsid w:val="3D150CF9"/>
    <w:rsid w:val="3D1E485D"/>
    <w:rsid w:val="3D1E4C6D"/>
    <w:rsid w:val="3D1F6909"/>
    <w:rsid w:val="3D251890"/>
    <w:rsid w:val="3D29796C"/>
    <w:rsid w:val="3D2A65FB"/>
    <w:rsid w:val="3D2F15D1"/>
    <w:rsid w:val="3D2F4F49"/>
    <w:rsid w:val="3D3F7EA7"/>
    <w:rsid w:val="3D501FAB"/>
    <w:rsid w:val="3D5045E3"/>
    <w:rsid w:val="3D69793A"/>
    <w:rsid w:val="3D71533E"/>
    <w:rsid w:val="3D787C7F"/>
    <w:rsid w:val="3D84663D"/>
    <w:rsid w:val="3D8A2495"/>
    <w:rsid w:val="3D8A2CB5"/>
    <w:rsid w:val="3D8D0DD0"/>
    <w:rsid w:val="3D8F791C"/>
    <w:rsid w:val="3D92189C"/>
    <w:rsid w:val="3D957655"/>
    <w:rsid w:val="3DC70533"/>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3265FB"/>
    <w:rsid w:val="3E326708"/>
    <w:rsid w:val="3E363CD2"/>
    <w:rsid w:val="3E393A8F"/>
    <w:rsid w:val="3E5526C1"/>
    <w:rsid w:val="3E591805"/>
    <w:rsid w:val="3E751FD6"/>
    <w:rsid w:val="3E7A36E3"/>
    <w:rsid w:val="3E7B5663"/>
    <w:rsid w:val="3E8000C3"/>
    <w:rsid w:val="3EA405C0"/>
    <w:rsid w:val="3EAD331D"/>
    <w:rsid w:val="3EB029E5"/>
    <w:rsid w:val="3EBE650B"/>
    <w:rsid w:val="3ECD3652"/>
    <w:rsid w:val="3ECD5B0B"/>
    <w:rsid w:val="3EDB3F74"/>
    <w:rsid w:val="3F0668BA"/>
    <w:rsid w:val="3F092939"/>
    <w:rsid w:val="3F0F0A0C"/>
    <w:rsid w:val="3F144291"/>
    <w:rsid w:val="3F1D5609"/>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946DAB"/>
    <w:rsid w:val="3F9C2463"/>
    <w:rsid w:val="3F9F7F01"/>
    <w:rsid w:val="3FA145FB"/>
    <w:rsid w:val="3FB46325"/>
    <w:rsid w:val="3FB93E82"/>
    <w:rsid w:val="3FBB3270"/>
    <w:rsid w:val="3FBC356E"/>
    <w:rsid w:val="3FC920F7"/>
    <w:rsid w:val="3FCE3903"/>
    <w:rsid w:val="3FE266C5"/>
    <w:rsid w:val="3FE3566B"/>
    <w:rsid w:val="3FE63A4B"/>
    <w:rsid w:val="40087B33"/>
    <w:rsid w:val="4013542E"/>
    <w:rsid w:val="40183E9E"/>
    <w:rsid w:val="401D0966"/>
    <w:rsid w:val="4024553F"/>
    <w:rsid w:val="40263745"/>
    <w:rsid w:val="40341C30"/>
    <w:rsid w:val="403860DE"/>
    <w:rsid w:val="403A2E57"/>
    <w:rsid w:val="403B2415"/>
    <w:rsid w:val="403E3C95"/>
    <w:rsid w:val="4043767B"/>
    <w:rsid w:val="404E7546"/>
    <w:rsid w:val="4060383F"/>
    <w:rsid w:val="40672B72"/>
    <w:rsid w:val="406870F5"/>
    <w:rsid w:val="40852D92"/>
    <w:rsid w:val="40855E2E"/>
    <w:rsid w:val="40880940"/>
    <w:rsid w:val="408E4045"/>
    <w:rsid w:val="409221B1"/>
    <w:rsid w:val="40970F71"/>
    <w:rsid w:val="409F0D3E"/>
    <w:rsid w:val="40A028A8"/>
    <w:rsid w:val="40A02C07"/>
    <w:rsid w:val="40A6694F"/>
    <w:rsid w:val="40B812DF"/>
    <w:rsid w:val="40BF7286"/>
    <w:rsid w:val="40CA46E8"/>
    <w:rsid w:val="40CD02B0"/>
    <w:rsid w:val="40DA556D"/>
    <w:rsid w:val="40E160B1"/>
    <w:rsid w:val="40E34F98"/>
    <w:rsid w:val="40E37882"/>
    <w:rsid w:val="40F02FAE"/>
    <w:rsid w:val="40F438B4"/>
    <w:rsid w:val="40F52E07"/>
    <w:rsid w:val="40F67298"/>
    <w:rsid w:val="40FD3844"/>
    <w:rsid w:val="40FD5CA4"/>
    <w:rsid w:val="410C6967"/>
    <w:rsid w:val="411B4BC9"/>
    <w:rsid w:val="411B4D5B"/>
    <w:rsid w:val="411B5699"/>
    <w:rsid w:val="411B6C04"/>
    <w:rsid w:val="411C6609"/>
    <w:rsid w:val="4132640F"/>
    <w:rsid w:val="41347979"/>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21B67"/>
    <w:rsid w:val="41D32142"/>
    <w:rsid w:val="41F86571"/>
    <w:rsid w:val="41FA6BA0"/>
    <w:rsid w:val="42066F15"/>
    <w:rsid w:val="42094C4D"/>
    <w:rsid w:val="420D44A5"/>
    <w:rsid w:val="421F27A6"/>
    <w:rsid w:val="422173DA"/>
    <w:rsid w:val="422817AF"/>
    <w:rsid w:val="42322E2C"/>
    <w:rsid w:val="42325D4D"/>
    <w:rsid w:val="423347FB"/>
    <w:rsid w:val="42340C5F"/>
    <w:rsid w:val="424F3677"/>
    <w:rsid w:val="42533F46"/>
    <w:rsid w:val="42610910"/>
    <w:rsid w:val="427325F0"/>
    <w:rsid w:val="427442DA"/>
    <w:rsid w:val="4274697B"/>
    <w:rsid w:val="429B55E1"/>
    <w:rsid w:val="42A67C48"/>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F174E"/>
    <w:rsid w:val="438363A1"/>
    <w:rsid w:val="438A09F4"/>
    <w:rsid w:val="439C02EA"/>
    <w:rsid w:val="439E5BFC"/>
    <w:rsid w:val="43AD1381"/>
    <w:rsid w:val="43BF7975"/>
    <w:rsid w:val="43C028DE"/>
    <w:rsid w:val="43C134D4"/>
    <w:rsid w:val="43CF2CBF"/>
    <w:rsid w:val="43DD6B09"/>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C40C4"/>
    <w:rsid w:val="44945473"/>
    <w:rsid w:val="449F34E4"/>
    <w:rsid w:val="44A83F10"/>
    <w:rsid w:val="44B4132E"/>
    <w:rsid w:val="44C154EE"/>
    <w:rsid w:val="44CB5C95"/>
    <w:rsid w:val="44CD3B68"/>
    <w:rsid w:val="44CF4427"/>
    <w:rsid w:val="44DD587C"/>
    <w:rsid w:val="44E22EF8"/>
    <w:rsid w:val="44EF3D29"/>
    <w:rsid w:val="44F2742E"/>
    <w:rsid w:val="44F9230E"/>
    <w:rsid w:val="44FB5350"/>
    <w:rsid w:val="450A78D3"/>
    <w:rsid w:val="450C71F4"/>
    <w:rsid w:val="45193DC1"/>
    <w:rsid w:val="451A03B9"/>
    <w:rsid w:val="45231E3D"/>
    <w:rsid w:val="45244329"/>
    <w:rsid w:val="452E03D4"/>
    <w:rsid w:val="452F2225"/>
    <w:rsid w:val="45387A1B"/>
    <w:rsid w:val="453C350A"/>
    <w:rsid w:val="454129E2"/>
    <w:rsid w:val="454B3194"/>
    <w:rsid w:val="45631EC8"/>
    <w:rsid w:val="45651630"/>
    <w:rsid w:val="456A0E31"/>
    <w:rsid w:val="456B2283"/>
    <w:rsid w:val="456D26BB"/>
    <w:rsid w:val="456E2687"/>
    <w:rsid w:val="45706131"/>
    <w:rsid w:val="457775B5"/>
    <w:rsid w:val="457D7C38"/>
    <w:rsid w:val="458C5BBB"/>
    <w:rsid w:val="45911443"/>
    <w:rsid w:val="459431E2"/>
    <w:rsid w:val="45AA35AC"/>
    <w:rsid w:val="45B069C0"/>
    <w:rsid w:val="45BF3739"/>
    <w:rsid w:val="45C10A97"/>
    <w:rsid w:val="45C61379"/>
    <w:rsid w:val="45C87C35"/>
    <w:rsid w:val="45D043C8"/>
    <w:rsid w:val="45E75902"/>
    <w:rsid w:val="45EC24A1"/>
    <w:rsid w:val="45ED187D"/>
    <w:rsid w:val="45EE3D43"/>
    <w:rsid w:val="45EF70C2"/>
    <w:rsid w:val="45F3770D"/>
    <w:rsid w:val="45FE055E"/>
    <w:rsid w:val="460352E5"/>
    <w:rsid w:val="46167E08"/>
    <w:rsid w:val="461809E9"/>
    <w:rsid w:val="46193213"/>
    <w:rsid w:val="461C3B64"/>
    <w:rsid w:val="461E166B"/>
    <w:rsid w:val="46275681"/>
    <w:rsid w:val="462910C5"/>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B5FB8"/>
    <w:rsid w:val="47B01F63"/>
    <w:rsid w:val="47B57AA9"/>
    <w:rsid w:val="47BD1A01"/>
    <w:rsid w:val="47C75897"/>
    <w:rsid w:val="47D16693"/>
    <w:rsid w:val="47FD2993"/>
    <w:rsid w:val="48081356"/>
    <w:rsid w:val="48111E70"/>
    <w:rsid w:val="48122653"/>
    <w:rsid w:val="481F3081"/>
    <w:rsid w:val="482F1009"/>
    <w:rsid w:val="483A6853"/>
    <w:rsid w:val="48415BA9"/>
    <w:rsid w:val="484C3E81"/>
    <w:rsid w:val="485129EA"/>
    <w:rsid w:val="48512D8D"/>
    <w:rsid w:val="4853360D"/>
    <w:rsid w:val="48544E73"/>
    <w:rsid w:val="485C0139"/>
    <w:rsid w:val="48703291"/>
    <w:rsid w:val="487810BE"/>
    <w:rsid w:val="48986ACB"/>
    <w:rsid w:val="489B4B80"/>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83F30"/>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A03D90"/>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F62A86"/>
    <w:rsid w:val="4A0C6FE4"/>
    <w:rsid w:val="4A120F67"/>
    <w:rsid w:val="4A153BB2"/>
    <w:rsid w:val="4A1D6D18"/>
    <w:rsid w:val="4A483701"/>
    <w:rsid w:val="4A4D7520"/>
    <w:rsid w:val="4A591D2A"/>
    <w:rsid w:val="4A5938F5"/>
    <w:rsid w:val="4A5C069D"/>
    <w:rsid w:val="4A637681"/>
    <w:rsid w:val="4A8A5E97"/>
    <w:rsid w:val="4A8F6D97"/>
    <w:rsid w:val="4A9608B5"/>
    <w:rsid w:val="4AB374A7"/>
    <w:rsid w:val="4AC015DC"/>
    <w:rsid w:val="4ADD6B8B"/>
    <w:rsid w:val="4AE74853"/>
    <w:rsid w:val="4AEA0BFE"/>
    <w:rsid w:val="4AEC1A96"/>
    <w:rsid w:val="4AF07D34"/>
    <w:rsid w:val="4AF8272A"/>
    <w:rsid w:val="4B002063"/>
    <w:rsid w:val="4B236579"/>
    <w:rsid w:val="4B256B35"/>
    <w:rsid w:val="4B2B4049"/>
    <w:rsid w:val="4B3F1CDC"/>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165EF"/>
    <w:rsid w:val="4BE93577"/>
    <w:rsid w:val="4BED6879"/>
    <w:rsid w:val="4BF018CF"/>
    <w:rsid w:val="4BF33106"/>
    <w:rsid w:val="4BFE59E1"/>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4E78F7"/>
    <w:rsid w:val="4D5D13C2"/>
    <w:rsid w:val="4D6C55BB"/>
    <w:rsid w:val="4D722D24"/>
    <w:rsid w:val="4D764762"/>
    <w:rsid w:val="4D7D7073"/>
    <w:rsid w:val="4D8372F3"/>
    <w:rsid w:val="4D8B7B9D"/>
    <w:rsid w:val="4D961D96"/>
    <w:rsid w:val="4D964D02"/>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575E9"/>
    <w:rsid w:val="4F6E7AFA"/>
    <w:rsid w:val="4F7A37D0"/>
    <w:rsid w:val="4F941A1E"/>
    <w:rsid w:val="4F9E45CB"/>
    <w:rsid w:val="4FA55AF5"/>
    <w:rsid w:val="4FAF54C7"/>
    <w:rsid w:val="4FC45505"/>
    <w:rsid w:val="4FCD754A"/>
    <w:rsid w:val="4FCF415B"/>
    <w:rsid w:val="4FD04524"/>
    <w:rsid w:val="4FD36BF8"/>
    <w:rsid w:val="4FD64932"/>
    <w:rsid w:val="4FDF0AB8"/>
    <w:rsid w:val="4FE47FC5"/>
    <w:rsid w:val="4FE917B6"/>
    <w:rsid w:val="4FE95025"/>
    <w:rsid w:val="4FF07F9F"/>
    <w:rsid w:val="4FF83B5E"/>
    <w:rsid w:val="50033932"/>
    <w:rsid w:val="500442FB"/>
    <w:rsid w:val="500B2A88"/>
    <w:rsid w:val="500F732D"/>
    <w:rsid w:val="501205A2"/>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CE20CC"/>
    <w:rsid w:val="50CE4889"/>
    <w:rsid w:val="50D04690"/>
    <w:rsid w:val="50D255D0"/>
    <w:rsid w:val="50DC5135"/>
    <w:rsid w:val="50DC6BC8"/>
    <w:rsid w:val="50DD5F5D"/>
    <w:rsid w:val="50E760A3"/>
    <w:rsid w:val="50ED18FC"/>
    <w:rsid w:val="50F81FDD"/>
    <w:rsid w:val="510001F6"/>
    <w:rsid w:val="510541BF"/>
    <w:rsid w:val="510B5ED5"/>
    <w:rsid w:val="51166EF9"/>
    <w:rsid w:val="511C62F1"/>
    <w:rsid w:val="511D7396"/>
    <w:rsid w:val="513C0476"/>
    <w:rsid w:val="513D7B66"/>
    <w:rsid w:val="51431D27"/>
    <w:rsid w:val="51603CB7"/>
    <w:rsid w:val="516738E8"/>
    <w:rsid w:val="516C08E4"/>
    <w:rsid w:val="517A1060"/>
    <w:rsid w:val="51882F71"/>
    <w:rsid w:val="518B07AE"/>
    <w:rsid w:val="518E2BFD"/>
    <w:rsid w:val="518E6B4D"/>
    <w:rsid w:val="518F0440"/>
    <w:rsid w:val="519427C5"/>
    <w:rsid w:val="51962773"/>
    <w:rsid w:val="519C78B6"/>
    <w:rsid w:val="51AB5790"/>
    <w:rsid w:val="51AD0B89"/>
    <w:rsid w:val="51BE7968"/>
    <w:rsid w:val="51C73A22"/>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E261D"/>
    <w:rsid w:val="52A82AE3"/>
    <w:rsid w:val="52AF6614"/>
    <w:rsid w:val="52BC289F"/>
    <w:rsid w:val="52C04713"/>
    <w:rsid w:val="52C06506"/>
    <w:rsid w:val="52C17F72"/>
    <w:rsid w:val="52C52A87"/>
    <w:rsid w:val="52C530BB"/>
    <w:rsid w:val="52D6081E"/>
    <w:rsid w:val="52DE5558"/>
    <w:rsid w:val="52E304A1"/>
    <w:rsid w:val="52E46607"/>
    <w:rsid w:val="530150A6"/>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87442"/>
    <w:rsid w:val="54785B44"/>
    <w:rsid w:val="547903A3"/>
    <w:rsid w:val="547D2B60"/>
    <w:rsid w:val="549555E2"/>
    <w:rsid w:val="54A422B8"/>
    <w:rsid w:val="54A50013"/>
    <w:rsid w:val="54A83051"/>
    <w:rsid w:val="54B464C3"/>
    <w:rsid w:val="54B813E9"/>
    <w:rsid w:val="54B83ADA"/>
    <w:rsid w:val="54BD2D6B"/>
    <w:rsid w:val="54C35E5C"/>
    <w:rsid w:val="54CB2443"/>
    <w:rsid w:val="54CB30D9"/>
    <w:rsid w:val="54CE113F"/>
    <w:rsid w:val="54CF6BE8"/>
    <w:rsid w:val="54D311D6"/>
    <w:rsid w:val="54D55E63"/>
    <w:rsid w:val="54DE3408"/>
    <w:rsid w:val="54F01DAF"/>
    <w:rsid w:val="54F528B8"/>
    <w:rsid w:val="54FA46AD"/>
    <w:rsid w:val="54FE057D"/>
    <w:rsid w:val="54FF1786"/>
    <w:rsid w:val="550161A7"/>
    <w:rsid w:val="55022A19"/>
    <w:rsid w:val="550720F3"/>
    <w:rsid w:val="552A1EFF"/>
    <w:rsid w:val="55313A24"/>
    <w:rsid w:val="55336DD6"/>
    <w:rsid w:val="55425E84"/>
    <w:rsid w:val="55496EA4"/>
    <w:rsid w:val="55505074"/>
    <w:rsid w:val="555E3C8A"/>
    <w:rsid w:val="55634300"/>
    <w:rsid w:val="556A084A"/>
    <w:rsid w:val="556B5274"/>
    <w:rsid w:val="55723134"/>
    <w:rsid w:val="557F26FB"/>
    <w:rsid w:val="55814705"/>
    <w:rsid w:val="558765D2"/>
    <w:rsid w:val="559E62C6"/>
    <w:rsid w:val="55AC2A1D"/>
    <w:rsid w:val="55BB6071"/>
    <w:rsid w:val="55BD57BD"/>
    <w:rsid w:val="55C52CB1"/>
    <w:rsid w:val="55D86810"/>
    <w:rsid w:val="55E829DA"/>
    <w:rsid w:val="55EE762F"/>
    <w:rsid w:val="55F35D2F"/>
    <w:rsid w:val="560A6EA4"/>
    <w:rsid w:val="560C1C79"/>
    <w:rsid w:val="56134A34"/>
    <w:rsid w:val="56242F51"/>
    <w:rsid w:val="562435B0"/>
    <w:rsid w:val="56273B21"/>
    <w:rsid w:val="563071ED"/>
    <w:rsid w:val="563E283D"/>
    <w:rsid w:val="564512F2"/>
    <w:rsid w:val="56542CC6"/>
    <w:rsid w:val="56636C2F"/>
    <w:rsid w:val="567E3F47"/>
    <w:rsid w:val="5680063E"/>
    <w:rsid w:val="56806F4E"/>
    <w:rsid w:val="56895B6C"/>
    <w:rsid w:val="568C6120"/>
    <w:rsid w:val="56934E6B"/>
    <w:rsid w:val="56AA5523"/>
    <w:rsid w:val="56AC5844"/>
    <w:rsid w:val="56B305D6"/>
    <w:rsid w:val="56C13D7F"/>
    <w:rsid w:val="56C66D69"/>
    <w:rsid w:val="56CA570E"/>
    <w:rsid w:val="56EB6B58"/>
    <w:rsid w:val="56F160AC"/>
    <w:rsid w:val="570E463B"/>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564010"/>
    <w:rsid w:val="585E4CEA"/>
    <w:rsid w:val="586D185C"/>
    <w:rsid w:val="586E1F56"/>
    <w:rsid w:val="587156F6"/>
    <w:rsid w:val="587568B5"/>
    <w:rsid w:val="58762FAF"/>
    <w:rsid w:val="587B7B01"/>
    <w:rsid w:val="58887114"/>
    <w:rsid w:val="588C7BA9"/>
    <w:rsid w:val="58951737"/>
    <w:rsid w:val="58A663BF"/>
    <w:rsid w:val="58A73E33"/>
    <w:rsid w:val="58A8475E"/>
    <w:rsid w:val="58B27438"/>
    <w:rsid w:val="58BA2510"/>
    <w:rsid w:val="58C7228F"/>
    <w:rsid w:val="58D012A0"/>
    <w:rsid w:val="58E12CDA"/>
    <w:rsid w:val="58E66F51"/>
    <w:rsid w:val="58F024D3"/>
    <w:rsid w:val="58F66800"/>
    <w:rsid w:val="58FE34CE"/>
    <w:rsid w:val="5900556E"/>
    <w:rsid w:val="5910618D"/>
    <w:rsid w:val="59146751"/>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A70E6"/>
    <w:rsid w:val="59A16026"/>
    <w:rsid w:val="59AC67BA"/>
    <w:rsid w:val="59B54FFD"/>
    <w:rsid w:val="59B57E4C"/>
    <w:rsid w:val="59B70430"/>
    <w:rsid w:val="59C149C2"/>
    <w:rsid w:val="59C232F1"/>
    <w:rsid w:val="59E00C4F"/>
    <w:rsid w:val="59E54182"/>
    <w:rsid w:val="59EC21A1"/>
    <w:rsid w:val="59F823A8"/>
    <w:rsid w:val="5A011FDA"/>
    <w:rsid w:val="5A0209CD"/>
    <w:rsid w:val="5A0711BD"/>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3626B"/>
    <w:rsid w:val="5AA73161"/>
    <w:rsid w:val="5AA97502"/>
    <w:rsid w:val="5AAA738F"/>
    <w:rsid w:val="5AB12437"/>
    <w:rsid w:val="5ABE3A85"/>
    <w:rsid w:val="5ACF477C"/>
    <w:rsid w:val="5AD70890"/>
    <w:rsid w:val="5AD9175D"/>
    <w:rsid w:val="5ADB2F8A"/>
    <w:rsid w:val="5ADD6630"/>
    <w:rsid w:val="5AE37909"/>
    <w:rsid w:val="5AE731D0"/>
    <w:rsid w:val="5AEC4FB0"/>
    <w:rsid w:val="5AF201A3"/>
    <w:rsid w:val="5AF21846"/>
    <w:rsid w:val="5AFE7388"/>
    <w:rsid w:val="5B0941A9"/>
    <w:rsid w:val="5B211CCD"/>
    <w:rsid w:val="5B213ED2"/>
    <w:rsid w:val="5B223D51"/>
    <w:rsid w:val="5B285DB7"/>
    <w:rsid w:val="5B2A5CEC"/>
    <w:rsid w:val="5B2E4A55"/>
    <w:rsid w:val="5B3A11A0"/>
    <w:rsid w:val="5B494AD7"/>
    <w:rsid w:val="5B582F46"/>
    <w:rsid w:val="5B5C47A5"/>
    <w:rsid w:val="5B5F571C"/>
    <w:rsid w:val="5B60132F"/>
    <w:rsid w:val="5B66163F"/>
    <w:rsid w:val="5B6664DF"/>
    <w:rsid w:val="5B671FDF"/>
    <w:rsid w:val="5B712356"/>
    <w:rsid w:val="5B8A62A5"/>
    <w:rsid w:val="5B8F0F1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C030EAC"/>
    <w:rsid w:val="5C052306"/>
    <w:rsid w:val="5C1E1738"/>
    <w:rsid w:val="5C2470F5"/>
    <w:rsid w:val="5C260ED7"/>
    <w:rsid w:val="5C274363"/>
    <w:rsid w:val="5C28396C"/>
    <w:rsid w:val="5C2F4D65"/>
    <w:rsid w:val="5C453383"/>
    <w:rsid w:val="5C4A6E17"/>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4B2F"/>
    <w:rsid w:val="5D677493"/>
    <w:rsid w:val="5D733A05"/>
    <w:rsid w:val="5D8560E7"/>
    <w:rsid w:val="5D8A326E"/>
    <w:rsid w:val="5D8B579D"/>
    <w:rsid w:val="5D91227B"/>
    <w:rsid w:val="5D9616D3"/>
    <w:rsid w:val="5D9D0CBF"/>
    <w:rsid w:val="5DA630FD"/>
    <w:rsid w:val="5DAD534C"/>
    <w:rsid w:val="5DC85C22"/>
    <w:rsid w:val="5DD051EB"/>
    <w:rsid w:val="5DDD0C01"/>
    <w:rsid w:val="5DDF2C78"/>
    <w:rsid w:val="5DDF7118"/>
    <w:rsid w:val="5DE00FDA"/>
    <w:rsid w:val="5DE01E22"/>
    <w:rsid w:val="5DEF4C41"/>
    <w:rsid w:val="5DF62864"/>
    <w:rsid w:val="5E0D293F"/>
    <w:rsid w:val="5E202A9E"/>
    <w:rsid w:val="5E404CEC"/>
    <w:rsid w:val="5E496763"/>
    <w:rsid w:val="5E4D377B"/>
    <w:rsid w:val="5E4F14E2"/>
    <w:rsid w:val="5E603C90"/>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C293C"/>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C1E29"/>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567E5"/>
    <w:rsid w:val="60DF12F6"/>
    <w:rsid w:val="60EA7A30"/>
    <w:rsid w:val="60F81F00"/>
    <w:rsid w:val="60FF6C32"/>
    <w:rsid w:val="61015D7B"/>
    <w:rsid w:val="61031243"/>
    <w:rsid w:val="610E1472"/>
    <w:rsid w:val="6110361A"/>
    <w:rsid w:val="61140905"/>
    <w:rsid w:val="611B7449"/>
    <w:rsid w:val="61343992"/>
    <w:rsid w:val="613A368A"/>
    <w:rsid w:val="613F235B"/>
    <w:rsid w:val="61417E8D"/>
    <w:rsid w:val="6150209C"/>
    <w:rsid w:val="61592FD1"/>
    <w:rsid w:val="61633C51"/>
    <w:rsid w:val="616403C9"/>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A5F12"/>
    <w:rsid w:val="62492067"/>
    <w:rsid w:val="62620E8D"/>
    <w:rsid w:val="62696740"/>
    <w:rsid w:val="6274669A"/>
    <w:rsid w:val="62786EF5"/>
    <w:rsid w:val="627E3938"/>
    <w:rsid w:val="628F7407"/>
    <w:rsid w:val="628F7750"/>
    <w:rsid w:val="62997343"/>
    <w:rsid w:val="62A43F2F"/>
    <w:rsid w:val="62A85D5A"/>
    <w:rsid w:val="62A962A9"/>
    <w:rsid w:val="62B06D08"/>
    <w:rsid w:val="62BA0727"/>
    <w:rsid w:val="62C409EB"/>
    <w:rsid w:val="62C467A7"/>
    <w:rsid w:val="62D30D82"/>
    <w:rsid w:val="62D3744B"/>
    <w:rsid w:val="62DC4E1A"/>
    <w:rsid w:val="62E278AB"/>
    <w:rsid w:val="62E73B0D"/>
    <w:rsid w:val="62E857EB"/>
    <w:rsid w:val="62ED3BFB"/>
    <w:rsid w:val="62EE459F"/>
    <w:rsid w:val="62FB0972"/>
    <w:rsid w:val="630B22DA"/>
    <w:rsid w:val="630F0237"/>
    <w:rsid w:val="63167C26"/>
    <w:rsid w:val="63297666"/>
    <w:rsid w:val="633D0C68"/>
    <w:rsid w:val="63461C21"/>
    <w:rsid w:val="635504E7"/>
    <w:rsid w:val="635B59F7"/>
    <w:rsid w:val="635B7EBB"/>
    <w:rsid w:val="635C0F4F"/>
    <w:rsid w:val="6361757D"/>
    <w:rsid w:val="63834036"/>
    <w:rsid w:val="63847EBE"/>
    <w:rsid w:val="638A37D2"/>
    <w:rsid w:val="639B23B6"/>
    <w:rsid w:val="63A67A01"/>
    <w:rsid w:val="63AA6096"/>
    <w:rsid w:val="63C24C59"/>
    <w:rsid w:val="63CF01C4"/>
    <w:rsid w:val="63D71292"/>
    <w:rsid w:val="63E00D8C"/>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38311C"/>
    <w:rsid w:val="643C590C"/>
    <w:rsid w:val="644138D8"/>
    <w:rsid w:val="64420333"/>
    <w:rsid w:val="64537DA4"/>
    <w:rsid w:val="645A62B9"/>
    <w:rsid w:val="64643155"/>
    <w:rsid w:val="647238EB"/>
    <w:rsid w:val="64726E5D"/>
    <w:rsid w:val="64745879"/>
    <w:rsid w:val="64831C72"/>
    <w:rsid w:val="648A7AB4"/>
    <w:rsid w:val="6494274C"/>
    <w:rsid w:val="64993195"/>
    <w:rsid w:val="649B324A"/>
    <w:rsid w:val="64A3701B"/>
    <w:rsid w:val="64A53A6D"/>
    <w:rsid w:val="64A67BE1"/>
    <w:rsid w:val="64AD220C"/>
    <w:rsid w:val="64B17EB1"/>
    <w:rsid w:val="64B97384"/>
    <w:rsid w:val="64BA0F20"/>
    <w:rsid w:val="64BF0C98"/>
    <w:rsid w:val="64D1408B"/>
    <w:rsid w:val="64D85596"/>
    <w:rsid w:val="64D92F18"/>
    <w:rsid w:val="64E447FB"/>
    <w:rsid w:val="64F01DC5"/>
    <w:rsid w:val="64F165A9"/>
    <w:rsid w:val="64FA2F88"/>
    <w:rsid w:val="650141C0"/>
    <w:rsid w:val="651547FE"/>
    <w:rsid w:val="65283C7D"/>
    <w:rsid w:val="65360A56"/>
    <w:rsid w:val="65402B6D"/>
    <w:rsid w:val="65456463"/>
    <w:rsid w:val="65462F10"/>
    <w:rsid w:val="65624DB7"/>
    <w:rsid w:val="65671CA7"/>
    <w:rsid w:val="6567622F"/>
    <w:rsid w:val="658D5BA6"/>
    <w:rsid w:val="65984DF1"/>
    <w:rsid w:val="65AB176E"/>
    <w:rsid w:val="65AB4645"/>
    <w:rsid w:val="65AB6FCC"/>
    <w:rsid w:val="65B01520"/>
    <w:rsid w:val="65BA18D8"/>
    <w:rsid w:val="65BB32AF"/>
    <w:rsid w:val="65C356D4"/>
    <w:rsid w:val="65C84E81"/>
    <w:rsid w:val="65CD6C90"/>
    <w:rsid w:val="65DD39D9"/>
    <w:rsid w:val="65E27E4E"/>
    <w:rsid w:val="65E752FB"/>
    <w:rsid w:val="65EA5682"/>
    <w:rsid w:val="65EE162D"/>
    <w:rsid w:val="660B5EC3"/>
    <w:rsid w:val="66110FAB"/>
    <w:rsid w:val="66137345"/>
    <w:rsid w:val="6614793D"/>
    <w:rsid w:val="6622041A"/>
    <w:rsid w:val="66273FB0"/>
    <w:rsid w:val="662F093E"/>
    <w:rsid w:val="6630495D"/>
    <w:rsid w:val="6632562D"/>
    <w:rsid w:val="66362EC7"/>
    <w:rsid w:val="663A25BC"/>
    <w:rsid w:val="663C168D"/>
    <w:rsid w:val="663C2969"/>
    <w:rsid w:val="6658071D"/>
    <w:rsid w:val="66655577"/>
    <w:rsid w:val="666A4F9C"/>
    <w:rsid w:val="666F1745"/>
    <w:rsid w:val="668650F6"/>
    <w:rsid w:val="66880ED6"/>
    <w:rsid w:val="669D704F"/>
    <w:rsid w:val="66AB3EC5"/>
    <w:rsid w:val="66AC6EFC"/>
    <w:rsid w:val="66AE11BA"/>
    <w:rsid w:val="66AF654A"/>
    <w:rsid w:val="66BE385F"/>
    <w:rsid w:val="66CA3AFE"/>
    <w:rsid w:val="66E64C1D"/>
    <w:rsid w:val="66F80F79"/>
    <w:rsid w:val="66FB4D34"/>
    <w:rsid w:val="66FC5B33"/>
    <w:rsid w:val="670D7A51"/>
    <w:rsid w:val="670F7EFF"/>
    <w:rsid w:val="671141FA"/>
    <w:rsid w:val="67276465"/>
    <w:rsid w:val="67306E47"/>
    <w:rsid w:val="67332C13"/>
    <w:rsid w:val="673F1C63"/>
    <w:rsid w:val="673F4D92"/>
    <w:rsid w:val="67417835"/>
    <w:rsid w:val="67436816"/>
    <w:rsid w:val="6746217B"/>
    <w:rsid w:val="67486EC1"/>
    <w:rsid w:val="676D25DC"/>
    <w:rsid w:val="6772777B"/>
    <w:rsid w:val="67866E1E"/>
    <w:rsid w:val="678B29F5"/>
    <w:rsid w:val="678E19F1"/>
    <w:rsid w:val="679E465B"/>
    <w:rsid w:val="67A04CD2"/>
    <w:rsid w:val="67A82CD8"/>
    <w:rsid w:val="67AC227B"/>
    <w:rsid w:val="67AE185A"/>
    <w:rsid w:val="67BA2ED4"/>
    <w:rsid w:val="67C05953"/>
    <w:rsid w:val="67C64641"/>
    <w:rsid w:val="67CA245E"/>
    <w:rsid w:val="67CF671D"/>
    <w:rsid w:val="67FC2839"/>
    <w:rsid w:val="67FC624E"/>
    <w:rsid w:val="6802716F"/>
    <w:rsid w:val="6804711D"/>
    <w:rsid w:val="681362E2"/>
    <w:rsid w:val="681569AD"/>
    <w:rsid w:val="682E60E4"/>
    <w:rsid w:val="683A1B31"/>
    <w:rsid w:val="683D547E"/>
    <w:rsid w:val="68445B1F"/>
    <w:rsid w:val="68491B6C"/>
    <w:rsid w:val="6850133A"/>
    <w:rsid w:val="685D0094"/>
    <w:rsid w:val="685E4912"/>
    <w:rsid w:val="68652121"/>
    <w:rsid w:val="68861720"/>
    <w:rsid w:val="688B2F2B"/>
    <w:rsid w:val="689A6D62"/>
    <w:rsid w:val="689E3A42"/>
    <w:rsid w:val="68B93D1C"/>
    <w:rsid w:val="68C17BCC"/>
    <w:rsid w:val="68DF13C1"/>
    <w:rsid w:val="68F91DF1"/>
    <w:rsid w:val="68FB7DF4"/>
    <w:rsid w:val="69024731"/>
    <w:rsid w:val="690472CF"/>
    <w:rsid w:val="691179BD"/>
    <w:rsid w:val="691B2E9E"/>
    <w:rsid w:val="69200B1F"/>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253162"/>
    <w:rsid w:val="6A3A6DE0"/>
    <w:rsid w:val="6A3A7894"/>
    <w:rsid w:val="6A3C4545"/>
    <w:rsid w:val="6A432665"/>
    <w:rsid w:val="6A4877E4"/>
    <w:rsid w:val="6A4E5117"/>
    <w:rsid w:val="6A4F1B24"/>
    <w:rsid w:val="6A566969"/>
    <w:rsid w:val="6A5B70F4"/>
    <w:rsid w:val="6A633F5B"/>
    <w:rsid w:val="6A6925A2"/>
    <w:rsid w:val="6A697DC8"/>
    <w:rsid w:val="6A6D5522"/>
    <w:rsid w:val="6A71259B"/>
    <w:rsid w:val="6A836CE4"/>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62569A"/>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5656"/>
    <w:rsid w:val="6C0A563E"/>
    <w:rsid w:val="6C0C5806"/>
    <w:rsid w:val="6C1006E1"/>
    <w:rsid w:val="6C1709EC"/>
    <w:rsid w:val="6C1B089B"/>
    <w:rsid w:val="6C2208AB"/>
    <w:rsid w:val="6C2814C5"/>
    <w:rsid w:val="6C326F7D"/>
    <w:rsid w:val="6C3F630A"/>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8003C"/>
    <w:rsid w:val="6CFC1F82"/>
    <w:rsid w:val="6CFF02F3"/>
    <w:rsid w:val="6D006613"/>
    <w:rsid w:val="6D064A43"/>
    <w:rsid w:val="6D163B89"/>
    <w:rsid w:val="6D1A43F4"/>
    <w:rsid w:val="6D252B6B"/>
    <w:rsid w:val="6D281885"/>
    <w:rsid w:val="6D346F1D"/>
    <w:rsid w:val="6D361C65"/>
    <w:rsid w:val="6D506716"/>
    <w:rsid w:val="6D5645C6"/>
    <w:rsid w:val="6D57181B"/>
    <w:rsid w:val="6D5F137A"/>
    <w:rsid w:val="6D684EAB"/>
    <w:rsid w:val="6D6C0536"/>
    <w:rsid w:val="6D6D3FDF"/>
    <w:rsid w:val="6D7273BF"/>
    <w:rsid w:val="6D777BD8"/>
    <w:rsid w:val="6D8F7B39"/>
    <w:rsid w:val="6D9F1794"/>
    <w:rsid w:val="6DAB4D00"/>
    <w:rsid w:val="6DC8702A"/>
    <w:rsid w:val="6DD41E64"/>
    <w:rsid w:val="6DD53A5A"/>
    <w:rsid w:val="6DE02F5E"/>
    <w:rsid w:val="6DE317C3"/>
    <w:rsid w:val="6DE5597F"/>
    <w:rsid w:val="6DEA2AF2"/>
    <w:rsid w:val="6DF0434D"/>
    <w:rsid w:val="6DF1202B"/>
    <w:rsid w:val="6DF27BA0"/>
    <w:rsid w:val="6DF4644E"/>
    <w:rsid w:val="6DF55E6E"/>
    <w:rsid w:val="6E062157"/>
    <w:rsid w:val="6E0B3D67"/>
    <w:rsid w:val="6E104D52"/>
    <w:rsid w:val="6E2414D0"/>
    <w:rsid w:val="6E2A44A5"/>
    <w:rsid w:val="6E3621C3"/>
    <w:rsid w:val="6E453189"/>
    <w:rsid w:val="6E454CC8"/>
    <w:rsid w:val="6E490261"/>
    <w:rsid w:val="6E530820"/>
    <w:rsid w:val="6E557A22"/>
    <w:rsid w:val="6E5F0DAA"/>
    <w:rsid w:val="6E656EBC"/>
    <w:rsid w:val="6E7A2651"/>
    <w:rsid w:val="6E7B361D"/>
    <w:rsid w:val="6E8C65B7"/>
    <w:rsid w:val="6E9F1975"/>
    <w:rsid w:val="6EB8360B"/>
    <w:rsid w:val="6EC4312C"/>
    <w:rsid w:val="6EDE21EB"/>
    <w:rsid w:val="6EF21B88"/>
    <w:rsid w:val="6EF62377"/>
    <w:rsid w:val="6EFF2445"/>
    <w:rsid w:val="6F000F1E"/>
    <w:rsid w:val="6F063E1D"/>
    <w:rsid w:val="6F0A2370"/>
    <w:rsid w:val="6F112CE7"/>
    <w:rsid w:val="6F136B01"/>
    <w:rsid w:val="6F1404DE"/>
    <w:rsid w:val="6F1F579B"/>
    <w:rsid w:val="6F3376BD"/>
    <w:rsid w:val="6F4D5894"/>
    <w:rsid w:val="6F542E31"/>
    <w:rsid w:val="6F5A5DF8"/>
    <w:rsid w:val="6F5C3100"/>
    <w:rsid w:val="6F62091E"/>
    <w:rsid w:val="6F701A97"/>
    <w:rsid w:val="6F7701D6"/>
    <w:rsid w:val="6F7F091B"/>
    <w:rsid w:val="6F7F7551"/>
    <w:rsid w:val="6F8F5BAE"/>
    <w:rsid w:val="6F9D213C"/>
    <w:rsid w:val="6FA00E69"/>
    <w:rsid w:val="6FA628FC"/>
    <w:rsid w:val="6FA808D1"/>
    <w:rsid w:val="6FA85C0E"/>
    <w:rsid w:val="6FA86512"/>
    <w:rsid w:val="6FA86B05"/>
    <w:rsid w:val="6FAF09D1"/>
    <w:rsid w:val="6FCA4CE0"/>
    <w:rsid w:val="6FCD31B3"/>
    <w:rsid w:val="6FCD7779"/>
    <w:rsid w:val="6FD0055A"/>
    <w:rsid w:val="6FD33AAE"/>
    <w:rsid w:val="6FD375E8"/>
    <w:rsid w:val="6FD966D2"/>
    <w:rsid w:val="6FE068E4"/>
    <w:rsid w:val="6FE54D61"/>
    <w:rsid w:val="6FF15EB3"/>
    <w:rsid w:val="6FF546B8"/>
    <w:rsid w:val="6FF9508C"/>
    <w:rsid w:val="6FFB22E5"/>
    <w:rsid w:val="700751F8"/>
    <w:rsid w:val="700C7F99"/>
    <w:rsid w:val="700F6C5A"/>
    <w:rsid w:val="70134404"/>
    <w:rsid w:val="70157DD5"/>
    <w:rsid w:val="702811A4"/>
    <w:rsid w:val="702F7772"/>
    <w:rsid w:val="703C4DCE"/>
    <w:rsid w:val="703C7596"/>
    <w:rsid w:val="7052415E"/>
    <w:rsid w:val="70584663"/>
    <w:rsid w:val="705D0282"/>
    <w:rsid w:val="70647404"/>
    <w:rsid w:val="707B4BB9"/>
    <w:rsid w:val="7080255C"/>
    <w:rsid w:val="70804F16"/>
    <w:rsid w:val="7088000E"/>
    <w:rsid w:val="70880D75"/>
    <w:rsid w:val="70952C97"/>
    <w:rsid w:val="709605B2"/>
    <w:rsid w:val="7098155B"/>
    <w:rsid w:val="70CA5526"/>
    <w:rsid w:val="70D23371"/>
    <w:rsid w:val="70DF36FD"/>
    <w:rsid w:val="70F266BA"/>
    <w:rsid w:val="70F44551"/>
    <w:rsid w:val="710B68F8"/>
    <w:rsid w:val="710C4A55"/>
    <w:rsid w:val="711E33D2"/>
    <w:rsid w:val="71287BEF"/>
    <w:rsid w:val="712A5894"/>
    <w:rsid w:val="712A6CE9"/>
    <w:rsid w:val="712C30B6"/>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C39B6"/>
    <w:rsid w:val="718C658F"/>
    <w:rsid w:val="718E301B"/>
    <w:rsid w:val="718E6E2B"/>
    <w:rsid w:val="71900C30"/>
    <w:rsid w:val="71A420BB"/>
    <w:rsid w:val="71B26561"/>
    <w:rsid w:val="71B76C37"/>
    <w:rsid w:val="71BE4DDE"/>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63A1C"/>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41049C"/>
    <w:rsid w:val="73491462"/>
    <w:rsid w:val="734B78B4"/>
    <w:rsid w:val="734E1BEC"/>
    <w:rsid w:val="73505624"/>
    <w:rsid w:val="7358133C"/>
    <w:rsid w:val="735925A6"/>
    <w:rsid w:val="73827254"/>
    <w:rsid w:val="738C54E7"/>
    <w:rsid w:val="73930668"/>
    <w:rsid w:val="7396760B"/>
    <w:rsid w:val="73B20910"/>
    <w:rsid w:val="73BD69AD"/>
    <w:rsid w:val="73C121B9"/>
    <w:rsid w:val="73C91E6F"/>
    <w:rsid w:val="73CB59CA"/>
    <w:rsid w:val="73D74517"/>
    <w:rsid w:val="73DA730C"/>
    <w:rsid w:val="73E32D7C"/>
    <w:rsid w:val="73E647D0"/>
    <w:rsid w:val="73E814A3"/>
    <w:rsid w:val="73F15747"/>
    <w:rsid w:val="73FB5A90"/>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842E4"/>
    <w:rsid w:val="755B5C32"/>
    <w:rsid w:val="75690D40"/>
    <w:rsid w:val="757976E9"/>
    <w:rsid w:val="758837C0"/>
    <w:rsid w:val="75896B45"/>
    <w:rsid w:val="758C341D"/>
    <w:rsid w:val="758D62FC"/>
    <w:rsid w:val="759810DC"/>
    <w:rsid w:val="75A0244B"/>
    <w:rsid w:val="75A04BF1"/>
    <w:rsid w:val="75A56204"/>
    <w:rsid w:val="75AB200F"/>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9F4B1D"/>
    <w:rsid w:val="77A82052"/>
    <w:rsid w:val="77AB523D"/>
    <w:rsid w:val="77AD7473"/>
    <w:rsid w:val="77B22AD2"/>
    <w:rsid w:val="77D66F19"/>
    <w:rsid w:val="77E74EA3"/>
    <w:rsid w:val="77EC4E1A"/>
    <w:rsid w:val="77F93AD5"/>
    <w:rsid w:val="77FE6B15"/>
    <w:rsid w:val="78072897"/>
    <w:rsid w:val="780D5BA7"/>
    <w:rsid w:val="781E6120"/>
    <w:rsid w:val="78247ECD"/>
    <w:rsid w:val="782A2A31"/>
    <w:rsid w:val="78350944"/>
    <w:rsid w:val="783963BB"/>
    <w:rsid w:val="7847683F"/>
    <w:rsid w:val="78592AE1"/>
    <w:rsid w:val="785F36C4"/>
    <w:rsid w:val="78647B38"/>
    <w:rsid w:val="78671BBD"/>
    <w:rsid w:val="786733AF"/>
    <w:rsid w:val="786C1502"/>
    <w:rsid w:val="787E43A3"/>
    <w:rsid w:val="78812F30"/>
    <w:rsid w:val="7881633C"/>
    <w:rsid w:val="789412D2"/>
    <w:rsid w:val="78994653"/>
    <w:rsid w:val="78A23DCC"/>
    <w:rsid w:val="78B106EF"/>
    <w:rsid w:val="78B236BF"/>
    <w:rsid w:val="78BB40CD"/>
    <w:rsid w:val="78C2513D"/>
    <w:rsid w:val="78C2745B"/>
    <w:rsid w:val="78C325E3"/>
    <w:rsid w:val="78CA7836"/>
    <w:rsid w:val="78EF05C0"/>
    <w:rsid w:val="790F07B9"/>
    <w:rsid w:val="790F7E2C"/>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74AA7"/>
    <w:rsid w:val="7A164AE0"/>
    <w:rsid w:val="7A17550E"/>
    <w:rsid w:val="7A1D5BCA"/>
    <w:rsid w:val="7A290A2B"/>
    <w:rsid w:val="7A2925B3"/>
    <w:rsid w:val="7A3C7619"/>
    <w:rsid w:val="7A500017"/>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1A1FD7"/>
    <w:rsid w:val="7B2948F5"/>
    <w:rsid w:val="7B316253"/>
    <w:rsid w:val="7B376E26"/>
    <w:rsid w:val="7B3808E0"/>
    <w:rsid w:val="7B4A331E"/>
    <w:rsid w:val="7B587523"/>
    <w:rsid w:val="7B631FC6"/>
    <w:rsid w:val="7B6B676E"/>
    <w:rsid w:val="7B776005"/>
    <w:rsid w:val="7B7A1189"/>
    <w:rsid w:val="7B7B3D4F"/>
    <w:rsid w:val="7B850568"/>
    <w:rsid w:val="7B88133B"/>
    <w:rsid w:val="7B8C6BB5"/>
    <w:rsid w:val="7B94534A"/>
    <w:rsid w:val="7BB43E63"/>
    <w:rsid w:val="7BC01697"/>
    <w:rsid w:val="7BC7283B"/>
    <w:rsid w:val="7BCC1864"/>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794E64"/>
    <w:rsid w:val="7C7D6F3B"/>
    <w:rsid w:val="7C824496"/>
    <w:rsid w:val="7C8345D7"/>
    <w:rsid w:val="7C964439"/>
    <w:rsid w:val="7C9E6D73"/>
    <w:rsid w:val="7CB0081C"/>
    <w:rsid w:val="7CB80C1E"/>
    <w:rsid w:val="7CB932B3"/>
    <w:rsid w:val="7CBA4BBB"/>
    <w:rsid w:val="7CC204B4"/>
    <w:rsid w:val="7CC370E6"/>
    <w:rsid w:val="7CCB07D6"/>
    <w:rsid w:val="7CD321D8"/>
    <w:rsid w:val="7CD87D80"/>
    <w:rsid w:val="7CDE3D5F"/>
    <w:rsid w:val="7CE15591"/>
    <w:rsid w:val="7CE23CCD"/>
    <w:rsid w:val="7CE8714F"/>
    <w:rsid w:val="7CE97A34"/>
    <w:rsid w:val="7D02287F"/>
    <w:rsid w:val="7D071B08"/>
    <w:rsid w:val="7D196567"/>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B5379D"/>
    <w:rsid w:val="7DBC67FA"/>
    <w:rsid w:val="7DC4776F"/>
    <w:rsid w:val="7DDE0252"/>
    <w:rsid w:val="7DE92585"/>
    <w:rsid w:val="7DE9582C"/>
    <w:rsid w:val="7E1A78D3"/>
    <w:rsid w:val="7E334242"/>
    <w:rsid w:val="7E335CAB"/>
    <w:rsid w:val="7E3606A2"/>
    <w:rsid w:val="7E3B052D"/>
    <w:rsid w:val="7E40505A"/>
    <w:rsid w:val="7E491C6A"/>
    <w:rsid w:val="7E4F093D"/>
    <w:rsid w:val="7E5A30AC"/>
    <w:rsid w:val="7E5A50BD"/>
    <w:rsid w:val="7E5F3642"/>
    <w:rsid w:val="7E627D2F"/>
    <w:rsid w:val="7E757799"/>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A63A1"/>
    <w:rsid w:val="7F5C125B"/>
    <w:rsid w:val="7F63224D"/>
    <w:rsid w:val="7F754EA2"/>
    <w:rsid w:val="7F7B4DEA"/>
    <w:rsid w:val="7F827DE9"/>
    <w:rsid w:val="7F852744"/>
    <w:rsid w:val="7F932219"/>
    <w:rsid w:val="7FA92ED5"/>
    <w:rsid w:val="7FAE449D"/>
    <w:rsid w:val="7FAF00E5"/>
    <w:rsid w:val="7FB647ED"/>
    <w:rsid w:val="7FC27060"/>
    <w:rsid w:val="7FCB6122"/>
    <w:rsid w:val="7FD728A5"/>
    <w:rsid w:val="7FDD0935"/>
    <w:rsid w:val="7FDD0BAD"/>
    <w:rsid w:val="7FE26DBE"/>
    <w:rsid w:val="7FED55A0"/>
    <w:rsid w:val="7FF31A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22"/>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23"/>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4"/>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7">
    <w:name w:val="Default Paragraph Font"/>
    <w:unhideWhenUsed/>
    <w:uiPriority w:val="1"/>
  </w:style>
  <w:style w:type="table" w:default="1" w:styleId="15">
    <w:name w:val="Normal Table"/>
    <w:unhideWhenUsed/>
    <w:uiPriority w:val="99"/>
    <w:tblPr>
      <w:tblStyle w:val="15"/>
      <w:tblCellMar>
        <w:top w:w="0" w:type="dxa"/>
        <w:left w:w="108" w:type="dxa"/>
        <w:bottom w:w="0" w:type="dxa"/>
        <w:right w:w="108" w:type="dxa"/>
      </w:tblCellMar>
    </w:tblPr>
  </w:style>
  <w:style w:type="paragraph" w:styleId="5">
    <w:name w:val="annotation text"/>
    <w:basedOn w:val="1"/>
    <w:link w:val="25"/>
    <w:unhideWhenUsed/>
    <w:uiPriority w:val="99"/>
    <w:pPr>
      <w:jc w:val="left"/>
    </w:pPr>
  </w:style>
  <w:style w:type="paragraph" w:styleId="6">
    <w:name w:val="Body Text"/>
    <w:basedOn w:val="1"/>
    <w:link w:val="26"/>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7"/>
    <w:unhideWhenUsed/>
    <w:uiPriority w:val="99"/>
    <w:pPr>
      <w:ind w:left="100" w:leftChars="2500"/>
    </w:pPr>
  </w:style>
  <w:style w:type="paragraph" w:styleId="8">
    <w:name w:val="Balloon Text"/>
    <w:basedOn w:val="1"/>
    <w:link w:val="28"/>
    <w:unhideWhenUsed/>
    <w:uiPriority w:val="99"/>
    <w:rPr>
      <w:kern w:val="0"/>
      <w:sz w:val="18"/>
      <w:szCs w:val="18"/>
    </w:rPr>
  </w:style>
  <w:style w:type="paragraph" w:styleId="9">
    <w:name w:val="footer"/>
    <w:basedOn w:val="1"/>
    <w:link w:val="29"/>
    <w:unhideWhenUsed/>
    <w:uiPriority w:val="99"/>
    <w:pPr>
      <w:tabs>
        <w:tab w:val="center" w:pos="4153"/>
        <w:tab w:val="right" w:pos="8306"/>
      </w:tabs>
      <w:snapToGrid w:val="0"/>
      <w:jc w:val="left"/>
    </w:pPr>
    <w:rPr>
      <w:kern w:val="0"/>
      <w:sz w:val="18"/>
      <w:szCs w:val="18"/>
    </w:rPr>
  </w:style>
  <w:style w:type="paragraph" w:styleId="10">
    <w:name w:val="header"/>
    <w:basedOn w:val="1"/>
    <w:link w:val="30"/>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31"/>
    <w:unhideWhenUsed/>
    <w:uiPriority w:val="99"/>
    <w:pPr>
      <w:snapToGrid w:val="0"/>
      <w:jc w:val="left"/>
    </w:pPr>
    <w:rPr>
      <w:sz w:val="18"/>
      <w:szCs w:val="18"/>
    </w:rPr>
  </w:style>
  <w:style w:type="paragraph" w:styleId="12">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32"/>
    <w:unhideWhenUsed/>
    <w:uiPriority w:val="99"/>
    <w:rPr>
      <w:b/>
      <w:bCs/>
    </w:rPr>
  </w:style>
  <w:style w:type="table" w:styleId="16">
    <w:name w:val="Table Grid"/>
    <w:basedOn w:val="15"/>
    <w:qFormat/>
    <w:uiPriority w:val="59"/>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rPr>
  </w:style>
  <w:style w:type="character" w:styleId="19">
    <w:name w:val="Hyperlink"/>
    <w:unhideWhenUsed/>
    <w:uiPriority w:val="99"/>
    <w:rPr>
      <w:color w:val="0000FF"/>
      <w:u w:val="single"/>
    </w:rPr>
  </w:style>
  <w:style w:type="character" w:styleId="20">
    <w:name w:val="annotation reference"/>
    <w:unhideWhenUsed/>
    <w:uiPriority w:val="99"/>
    <w:rPr>
      <w:sz w:val="21"/>
      <w:szCs w:val="21"/>
    </w:rPr>
  </w:style>
  <w:style w:type="character" w:styleId="21">
    <w:name w:val="footnote reference"/>
    <w:unhideWhenUsed/>
    <w:uiPriority w:val="99"/>
    <w:rPr>
      <w:vertAlign w:val="superscript"/>
    </w:rPr>
  </w:style>
  <w:style w:type="character" w:customStyle="1" w:styleId="22">
    <w:name w:val="标题 1 字符"/>
    <w:link w:val="2"/>
    <w:uiPriority w:val="1"/>
    <w:rPr>
      <w:rFonts w:ascii="黑体" w:hAnsi="Times New Roman" w:eastAsia="黑体" w:cs="黑体"/>
      <w:b/>
      <w:bCs/>
      <w:kern w:val="0"/>
      <w:sz w:val="36"/>
      <w:szCs w:val="36"/>
    </w:rPr>
  </w:style>
  <w:style w:type="character" w:customStyle="1" w:styleId="23">
    <w:name w:val="标题 2 字符"/>
    <w:link w:val="3"/>
    <w:uiPriority w:val="9"/>
    <w:rPr>
      <w:rFonts w:ascii="Cambria" w:hAnsi="Cambria" w:eastAsia="宋体" w:cs="Times New Roman"/>
      <w:b/>
      <w:bCs/>
      <w:sz w:val="32"/>
      <w:szCs w:val="32"/>
    </w:rPr>
  </w:style>
  <w:style w:type="character" w:customStyle="1" w:styleId="24">
    <w:name w:val="标题 3 字符"/>
    <w:link w:val="4"/>
    <w:uiPriority w:val="1"/>
    <w:rPr>
      <w:rFonts w:ascii="宋体" w:hAnsi="Times New Roman" w:eastAsia="宋体" w:cs="宋体"/>
      <w:b/>
      <w:bCs/>
      <w:kern w:val="0"/>
      <w:szCs w:val="21"/>
    </w:rPr>
  </w:style>
  <w:style w:type="character" w:customStyle="1" w:styleId="25">
    <w:name w:val="批注文字 字符"/>
    <w:link w:val="5"/>
    <w:uiPriority w:val="99"/>
    <w:rPr>
      <w:kern w:val="2"/>
      <w:sz w:val="21"/>
      <w:szCs w:val="22"/>
    </w:rPr>
  </w:style>
  <w:style w:type="character" w:customStyle="1" w:styleId="26">
    <w:name w:val="正文文本 字符"/>
    <w:link w:val="6"/>
    <w:uiPriority w:val="1"/>
    <w:rPr>
      <w:rFonts w:ascii="宋体" w:hAnsi="Times New Roman" w:eastAsia="宋体" w:cs="宋体"/>
      <w:kern w:val="0"/>
      <w:szCs w:val="21"/>
    </w:rPr>
  </w:style>
  <w:style w:type="character" w:customStyle="1" w:styleId="27">
    <w:name w:val="日期 字符"/>
    <w:link w:val="7"/>
    <w:semiHidden/>
    <w:uiPriority w:val="99"/>
  </w:style>
  <w:style w:type="character" w:customStyle="1" w:styleId="28">
    <w:name w:val="批注框文本 字符"/>
    <w:link w:val="8"/>
    <w:semiHidden/>
    <w:uiPriority w:val="99"/>
    <w:rPr>
      <w:sz w:val="18"/>
      <w:szCs w:val="18"/>
    </w:rPr>
  </w:style>
  <w:style w:type="character" w:customStyle="1" w:styleId="29">
    <w:name w:val="页脚 字符"/>
    <w:link w:val="9"/>
    <w:uiPriority w:val="99"/>
    <w:rPr>
      <w:sz w:val="18"/>
      <w:szCs w:val="18"/>
    </w:rPr>
  </w:style>
  <w:style w:type="character" w:customStyle="1" w:styleId="30">
    <w:name w:val="页眉 字符"/>
    <w:link w:val="10"/>
    <w:uiPriority w:val="99"/>
    <w:rPr>
      <w:sz w:val="18"/>
      <w:szCs w:val="18"/>
    </w:rPr>
  </w:style>
  <w:style w:type="character" w:customStyle="1" w:styleId="31">
    <w:name w:val="脚注文本 字符1"/>
    <w:link w:val="11"/>
    <w:semiHidden/>
    <w:uiPriority w:val="99"/>
    <w:rPr>
      <w:kern w:val="2"/>
      <w:sz w:val="18"/>
      <w:szCs w:val="18"/>
    </w:rPr>
  </w:style>
  <w:style w:type="character" w:customStyle="1" w:styleId="32">
    <w:name w:val="批注主题 字符"/>
    <w:link w:val="14"/>
    <w:semiHidden/>
    <w:uiPriority w:val="99"/>
    <w:rPr>
      <w:b/>
      <w:bCs/>
      <w:kern w:val="2"/>
      <w:sz w:val="21"/>
      <w:szCs w:val="22"/>
    </w:rPr>
  </w:style>
  <w:style w:type="character" w:customStyle="1" w:styleId="33">
    <w:name w:val="脚注文本 字符"/>
    <w:semiHidden/>
    <w:uiPriority w:val="99"/>
    <w:rPr>
      <w:kern w:val="2"/>
      <w:sz w:val="18"/>
      <w:szCs w:val="18"/>
    </w:rPr>
  </w:style>
  <w:style w:type="paragraph" w:styleId="34">
    <w:name w:val=""/>
    <w:semiHidden/>
    <w:uiPriority w:val="99"/>
    <w:rPr>
      <w:kern w:val="2"/>
      <w:sz w:val="21"/>
      <w:szCs w:val="22"/>
      <w:lang w:val="en-US" w:eastAsia="zh-CN" w:bidi="ar-SA"/>
    </w:rPr>
  </w:style>
  <w:style w:type="paragraph" w:customStyle="1" w:styleId="35">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18725</Words>
  <Characters>19344</Characters>
  <Lines>155</Lines>
  <Paragraphs>43</Paragraphs>
  <TotalTime>0</TotalTime>
  <ScaleCrop>false</ScaleCrop>
  <LinksUpToDate>false</LinksUpToDate>
  <CharactersWithSpaces>19346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2022-08-09T08:21:00Z</dcterms:created>
  <dc:creator>JSYH</dc:creator>
  <cp:lastModifiedBy>adm</cp:lastModifiedBy>
  <cp:lastPrinted>2024-07-15T09:05:00Z</cp:lastPrinted>
  <dcterms:modified xsi:type="dcterms:W3CDTF">2025-04-11T00:38:06Z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9C48911FF74B4B77A8351AF835A2FE53</vt:lpwstr>
  </property>
</Properties>
</file>