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line="360" w:lineRule="auto"/>
        <w:jc w:val="center"/>
        <w:rPr>
          <w:rFonts w:ascii="楷体" w:hAnsi="楷体" w:eastAsia="楷体"/>
          <w:b/>
          <w:sz w:val="36"/>
          <w:szCs w:val="36"/>
        </w:rPr>
      </w:pPr>
      <w:bookmarkStart w:id="3" w:name="_GoBack"/>
      <w:bookmarkEnd w:id="3"/>
      <w:bookmarkStart w:id="0" w:name="_Hlk167980810"/>
      <w:bookmarkStart w:id="1" w:name="_Hlk168577216"/>
      <w:r>
        <w:rPr>
          <w:rFonts w:hint="eastAsia" w:ascii="楷体" w:hAnsi="楷体" w:eastAsia="楷体"/>
          <w:b/>
          <w:sz w:val="36"/>
          <w:szCs w:val="36"/>
        </w:rPr>
        <w:t>“苏银理财</w:t>
      </w:r>
      <w:r>
        <w:rPr>
          <w:rFonts w:hint="eastAsia" w:ascii="楷体" w:hAnsi="楷体" w:eastAsia="楷体"/>
          <w:b/>
          <w:sz w:val="36"/>
          <w:szCs w:val="36"/>
          <w:lang w:eastAsia="zh-CN"/>
        </w:rPr>
        <w:t>恒源封闭债权159期ESG</w:t>
      </w:r>
      <w:r>
        <w:rPr>
          <w:rFonts w:hint="eastAsia" w:ascii="楷体" w:hAnsi="楷体" w:eastAsia="楷体"/>
          <w:b/>
          <w:sz w:val="36"/>
          <w:szCs w:val="36"/>
        </w:rPr>
        <w:t>”理财产品说明书</w:t>
      </w:r>
    </w:p>
    <w:p>
      <w:pPr>
        <w:jc w:val="center"/>
        <w:rPr>
          <w:rFonts w:ascii="楷体" w:hAnsi="楷体" w:eastAsia="楷体"/>
          <w:b/>
          <w:sz w:val="28"/>
          <w:szCs w:val="28"/>
        </w:rPr>
      </w:pPr>
      <w:r>
        <w:rPr>
          <w:rFonts w:hint="eastAsia" w:ascii="楷体" w:hAnsi="楷体" w:eastAsia="楷体" w:cs="宋体"/>
          <w:b/>
          <w:kern w:val="0"/>
          <w:sz w:val="32"/>
          <w:szCs w:val="32"/>
        </w:rPr>
        <w:t>理财非存款、产品有风险、投资须谨慎</w:t>
      </w:r>
    </w:p>
    <w:p>
      <w:pPr>
        <w:rPr>
          <w:rFonts w:ascii="楷体" w:hAnsi="楷体" w:eastAsia="楷体"/>
          <w:b/>
          <w:sz w:val="28"/>
          <w:szCs w:val="28"/>
        </w:rPr>
      </w:pPr>
      <w:r>
        <w:rPr>
          <w:rFonts w:hint="eastAsia" w:ascii="楷体" w:hAnsi="楷体" w:eastAsia="楷体"/>
          <w:b/>
          <w:sz w:val="28"/>
          <w:szCs w:val="28"/>
        </w:rPr>
        <w:t>重要须知</w:t>
      </w:r>
    </w:p>
    <w:p>
      <w:pPr>
        <w:numPr>
          <w:ilvl w:val="0"/>
          <w:numId w:val="1"/>
        </w:numPr>
        <w:rPr>
          <w:rFonts w:ascii="楷体" w:hAnsi="楷体" w:eastAsia="楷体"/>
          <w:sz w:val="24"/>
          <w:szCs w:val="24"/>
        </w:rPr>
      </w:pPr>
      <w:r>
        <w:rPr>
          <w:rFonts w:hint="eastAsia" w:ascii="楷体" w:hAnsi="楷体" w:eastAsia="楷体"/>
          <w:sz w:val="24"/>
          <w:szCs w:val="24"/>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1"/>
        </w:numPr>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或者交易违约等事项而蒙受相应损失，投资者应充分认识投资风险，谨慎投资；本理财产品过往业绩不代表其未来表现，不等于理财产品实际收益，投资须谨慎；理财非存款、产品有风险、投资须谨慎。</w:t>
      </w:r>
    </w:p>
    <w:p>
      <w:pPr>
        <w:numPr>
          <w:ilvl w:val="0"/>
          <w:numId w:val="1"/>
        </w:numPr>
        <w:rPr>
          <w:rFonts w:ascii="楷体" w:hAnsi="楷体" w:eastAsia="楷体"/>
          <w:b/>
          <w:sz w:val="24"/>
          <w:szCs w:val="24"/>
          <w:u w:val="single"/>
        </w:rPr>
      </w:pPr>
      <w:r>
        <w:rPr>
          <w:rFonts w:hint="eastAsia" w:ascii="楷体" w:hAnsi="楷体" w:eastAsia="楷体"/>
          <w:b/>
          <w:sz w:val="24"/>
          <w:szCs w:val="24"/>
          <w:u w:val="single"/>
        </w:rPr>
        <w:t>本理财产品的任何业绩比较区间、业绩比较基准等类似表述均属不具有法律约束力的用语，业绩比较基准为管理人对本产品所设定的投资目标，不代表投资者可能获得的实际收益，亦不构成苏银理财有限责任公司（以下简称“苏银理财”）对本理财产品的任何收益承诺。</w:t>
      </w:r>
    </w:p>
    <w:p>
      <w:pPr>
        <w:numPr>
          <w:ilvl w:val="0"/>
          <w:numId w:val="1"/>
        </w:numPr>
        <w:rPr>
          <w:rFonts w:ascii="楷体" w:hAnsi="楷体" w:eastAsia="楷体"/>
          <w:sz w:val="24"/>
          <w:szCs w:val="24"/>
        </w:rPr>
      </w:pPr>
      <w:r>
        <w:rPr>
          <w:rFonts w:hint="eastAsia" w:ascii="楷体" w:hAnsi="楷体" w:eastAsia="楷体"/>
          <w:sz w:val="24"/>
          <w:szCs w:val="24"/>
        </w:rPr>
        <w:t>《理财产品说明书》、《风险揭示书》、《投资者权益须知》、《理财产品投资协议书》、《理财产品（代理）销售协议书》共同构成本理财产品完整的不可分割的理财产品合同。</w:t>
      </w:r>
    </w:p>
    <w:p>
      <w:pPr>
        <w:numPr>
          <w:ilvl w:val="0"/>
          <w:numId w:val="1"/>
        </w:numPr>
        <w:rPr>
          <w:rFonts w:ascii="楷体" w:hAnsi="楷体" w:eastAsia="楷体"/>
          <w:sz w:val="24"/>
          <w:szCs w:val="24"/>
        </w:rPr>
      </w:pPr>
      <w:r>
        <w:rPr>
          <w:rFonts w:hint="eastAsia" w:ascii="楷体" w:hAnsi="楷体" w:eastAsia="楷体"/>
          <w:sz w:val="24"/>
          <w:szCs w:val="24"/>
        </w:rPr>
        <w:t>本理财产品涉及的主要风险包括政策风险、信用风险、市场风险、流动性风险、管理风险、操作风险、产品不成立风险、延期兑付风险、提前终止风险、信息传递风险、税务风险、代销风险（如有）、其他风险等。请仔细阅读《“苏银理财</w:t>
      </w:r>
      <w:r>
        <w:rPr>
          <w:rFonts w:hint="eastAsia" w:ascii="楷体" w:hAnsi="楷体" w:eastAsia="楷体"/>
          <w:sz w:val="24"/>
          <w:szCs w:val="24"/>
          <w:lang w:eastAsia="zh-CN"/>
        </w:rPr>
        <w:t>恒源封闭债权159期ESG</w:t>
      </w:r>
      <w:r>
        <w:rPr>
          <w:rFonts w:hint="eastAsia" w:ascii="楷体" w:hAnsi="楷体" w:eastAsia="楷体"/>
          <w:sz w:val="24"/>
          <w:szCs w:val="24"/>
        </w:rPr>
        <w:t>”理财产品风险揭示书》的“风险揭示”部分。</w:t>
      </w:r>
    </w:p>
    <w:p>
      <w:pPr>
        <w:numPr>
          <w:ilvl w:val="0"/>
          <w:numId w:val="1"/>
        </w:numPr>
        <w:rPr>
          <w:rFonts w:ascii="楷体" w:hAnsi="楷体" w:eastAsia="楷体"/>
          <w:b/>
          <w:sz w:val="24"/>
          <w:szCs w:val="24"/>
          <w:u w:val="single"/>
        </w:rPr>
      </w:pPr>
      <w:r>
        <w:rPr>
          <w:rFonts w:hint="eastAsia" w:ascii="楷体" w:hAnsi="楷体" w:eastAsia="楷体"/>
          <w:b/>
          <w:sz w:val="24"/>
          <w:szCs w:val="24"/>
          <w:u w:val="single"/>
        </w:rPr>
        <w:t>投资者不得使用贷款、发行债券等筹集的非自有资金投资本理财产品。</w:t>
      </w:r>
    </w:p>
    <w:p>
      <w:pPr>
        <w:numPr>
          <w:ilvl w:val="0"/>
          <w:numId w:val="1"/>
        </w:numPr>
        <w:rPr>
          <w:rFonts w:ascii="楷体" w:hAnsi="楷体" w:eastAsia="楷体"/>
          <w:b/>
          <w:bCs/>
          <w:sz w:val="24"/>
          <w:szCs w:val="24"/>
        </w:rPr>
      </w:pPr>
      <w:r>
        <w:rPr>
          <w:rFonts w:hint="eastAsia" w:ascii="楷体" w:hAnsi="楷体" w:eastAsia="楷体"/>
          <w:sz w:val="24"/>
          <w:szCs w:val="24"/>
        </w:rPr>
        <w:t>本理财产品类型为</w:t>
      </w:r>
      <w:r>
        <w:rPr>
          <w:rFonts w:hint="eastAsia" w:ascii="楷体" w:hAnsi="楷体" w:eastAsia="楷体"/>
          <w:b/>
          <w:sz w:val="24"/>
          <w:szCs w:val="24"/>
          <w:u w:val="single"/>
        </w:rPr>
        <w:t>固定收益类</w:t>
      </w:r>
      <w:r>
        <w:rPr>
          <w:rFonts w:hint="eastAsia" w:ascii="楷体" w:hAnsi="楷体" w:eastAsia="楷体"/>
          <w:sz w:val="24"/>
          <w:szCs w:val="24"/>
        </w:rPr>
        <w:t>产品。若法律法规、监管政策及市场情况发生变化，苏银理财有权在不改变产品类型的情况下，可对本说明书中已约定的投资范围、投资品种、投资比例以及收费项目、条件、标准、方式和收益分配原则进行调整，</w:t>
      </w:r>
      <w:r>
        <w:rPr>
          <w:rFonts w:hint="eastAsia" w:ascii="楷体" w:hAnsi="楷体" w:eastAsia="楷体"/>
          <w:b/>
          <w:bCs/>
          <w:sz w:val="24"/>
          <w:szCs w:val="24"/>
          <w:u w:val="single"/>
        </w:rPr>
        <w:t>产品管理人将于</w:t>
      </w:r>
      <w:r>
        <w:rPr>
          <w:rFonts w:hint="eastAsia" w:ascii="楷体" w:hAnsi="楷体" w:eastAsia="楷体"/>
          <w:b/>
          <w:bCs/>
          <w:sz w:val="24"/>
          <w:szCs w:val="24"/>
          <w:u w:val="single"/>
          <w:lang w:val="en-US" w:eastAsia="zh-CN"/>
        </w:rPr>
        <w:t>调整事项</w:t>
      </w:r>
      <w:r>
        <w:rPr>
          <w:rFonts w:hint="eastAsia" w:ascii="楷体" w:hAnsi="楷体" w:eastAsia="楷体"/>
          <w:b/>
          <w:bCs/>
          <w:sz w:val="24"/>
          <w:szCs w:val="24"/>
          <w:u w:val="single"/>
        </w:rPr>
        <w:t>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
        </w:numPr>
        <w:rPr>
          <w:rFonts w:ascii="楷体" w:hAnsi="楷体" w:eastAsia="楷体"/>
          <w:sz w:val="24"/>
          <w:szCs w:val="24"/>
        </w:rPr>
      </w:pPr>
      <w:r>
        <w:rPr>
          <w:rFonts w:hint="eastAsia" w:ascii="楷体" w:hAnsi="楷体" w:eastAsia="楷体"/>
          <w:sz w:val="24"/>
          <w:szCs w:val="24"/>
        </w:rPr>
        <w:t>为贯彻落实金融监管总局和银行业理财登记托管中心的要求，苏银理财将向监管机构报送理财产品投资者身份信息、每日交易、持仓等信息。后续金融监管总局和银行业理财登记托管中心等机关如果提出新的信息报送要求，苏银理财将按照该等机关的要求执行。投资者签署本理财产品销售文件即视为已经同意苏银理财将按照相关机关要求报送投资者相关信息。</w:t>
      </w:r>
    </w:p>
    <w:p>
      <w:pPr>
        <w:numPr>
          <w:ilvl w:val="0"/>
          <w:numId w:val="1"/>
        </w:numPr>
        <w:rPr>
          <w:rFonts w:ascii="楷体" w:hAnsi="楷体" w:eastAsia="楷体"/>
          <w:sz w:val="24"/>
          <w:szCs w:val="24"/>
        </w:rPr>
      </w:pPr>
      <w:r>
        <w:rPr>
          <w:rFonts w:hint="eastAsia" w:ascii="楷体" w:hAnsi="楷体" w:eastAsia="楷体"/>
          <w:sz w:val="24"/>
          <w:szCs w:val="24"/>
        </w:rPr>
        <w:t>在本产品存续期内，如因监管政策或法律法规发生变化，在不损害投资者利益的前提下，苏银理财有权单方对本产品条款进行修订，并按本理财产品说明书约定的信息披露方式予以披露。</w:t>
      </w:r>
    </w:p>
    <w:p>
      <w:pPr>
        <w:numPr>
          <w:ilvl w:val="0"/>
          <w:numId w:val="1"/>
        </w:numPr>
        <w:rPr>
          <w:rFonts w:ascii="楷体" w:hAnsi="楷体" w:eastAsia="楷体"/>
          <w:sz w:val="24"/>
          <w:szCs w:val="24"/>
        </w:rPr>
      </w:pPr>
      <w:r>
        <w:rPr>
          <w:rFonts w:hint="eastAsia" w:ascii="楷体" w:hAnsi="楷体" w:eastAsia="楷体"/>
          <w:sz w:val="24"/>
          <w:szCs w:val="24"/>
        </w:rPr>
        <w:t>在购买本理财产品后，投资者应随时关注该理财产品的信息披露情况，及时获取相关信息。</w:t>
      </w:r>
    </w:p>
    <w:p>
      <w:pPr>
        <w:numPr>
          <w:ilvl w:val="0"/>
          <w:numId w:val="1"/>
        </w:numPr>
        <w:rPr>
          <w:rFonts w:ascii="楷体" w:hAnsi="楷体" w:eastAsia="楷体"/>
        </w:rPr>
      </w:pPr>
      <w:r>
        <w:rPr>
          <w:rFonts w:hint="eastAsia" w:ascii="楷体" w:hAnsi="楷体" w:eastAsia="楷体"/>
          <w:sz w:val="24"/>
          <w:szCs w:val="24"/>
        </w:rPr>
        <w:t>本理财产品说明书在法律许可的范围内由苏银理财负责解释。</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产品要素</w:t>
      </w:r>
    </w:p>
    <w:p>
      <w:pPr>
        <w:ind w:firstLine="480" w:firstLineChars="200"/>
        <w:rPr>
          <w:rFonts w:ascii="楷体" w:hAnsi="楷体" w:eastAsia="楷体" w:cs="Calibri"/>
          <w:sz w:val="24"/>
          <w:szCs w:val="24"/>
        </w:rPr>
      </w:pPr>
      <w:r>
        <w:rPr>
          <w:rFonts w:hint="eastAsia" w:ascii="楷体" w:hAnsi="楷体" w:eastAsia="楷体" w:cs="Calibri"/>
          <w:sz w:val="24"/>
          <w:szCs w:val="24"/>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8"/>
        <w:gridCol w:w="6614"/>
      </w:tblGrid>
      <w:tr>
        <w:tblPrEx>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1"/>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产品名称</w:t>
            </w:r>
          </w:p>
        </w:tc>
        <w:tc>
          <w:tcPr>
            <w:tcW w:w="6614" w:type="dxa"/>
            <w:noWrap w:val="0"/>
            <w:vAlign w:val="center"/>
          </w:tcPr>
          <w:p>
            <w:pPr>
              <w:pStyle w:val="37"/>
              <w:kinsoku w:val="0"/>
              <w:overflowPunct w:val="0"/>
              <w:spacing w:before="13"/>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恒源封闭债权159期ESG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ind w:left="57"/>
              <w:jc w:val="both"/>
              <w:rPr>
                <w:rFonts w:ascii="楷体" w:hAnsi="楷体" w:eastAsia="楷体" w:cs="宋体"/>
                <w:b/>
                <w:spacing w:val="-2"/>
                <w:sz w:val="21"/>
                <w:szCs w:val="21"/>
              </w:rPr>
            </w:pPr>
            <w:r>
              <w:rPr>
                <w:rFonts w:hint="eastAsia" w:ascii="楷体" w:hAnsi="楷体" w:eastAsia="楷体" w:cs="宋体"/>
                <w:b/>
                <w:spacing w:val="-2"/>
                <w:sz w:val="21"/>
                <w:szCs w:val="21"/>
              </w:rPr>
              <w:t>理财产品登记编码</w:t>
            </w:r>
          </w:p>
        </w:tc>
        <w:tc>
          <w:tcPr>
            <w:tcW w:w="6614" w:type="dxa"/>
            <w:noWrap w:val="0"/>
            <w:vAlign w:val="center"/>
          </w:tcPr>
          <w:p>
            <w:pPr>
              <w:pStyle w:val="37"/>
              <w:kinsoku w:val="0"/>
              <w:overflowPunct w:val="0"/>
              <w:spacing w:line="260" w:lineRule="exact"/>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Z7003125000062</w:t>
            </w:r>
          </w:p>
          <w:p>
            <w:pPr>
              <w:pStyle w:val="37"/>
              <w:kinsoku w:val="0"/>
              <w:overflowPunct w:val="0"/>
              <w:spacing w:line="260" w:lineRule="exact"/>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（投资者可依据该编码在中国理财网</w:t>
            </w:r>
            <w:r>
              <w:fldChar w:fldCharType="begin"/>
            </w:r>
            <w:r>
              <w:instrText xml:space="preserve"> HYPERLINK "http://www.chinawealth.com.cn/" </w:instrText>
            </w:r>
            <w:r>
              <w:fldChar w:fldCharType="separate"/>
            </w:r>
            <w:r>
              <w:rPr>
                <w:rFonts w:ascii="楷体" w:hAnsi="楷体" w:eastAsia="楷体" w:cs="宋体"/>
                <w:spacing w:val="-2"/>
                <w:sz w:val="21"/>
                <w:szCs w:val="21"/>
              </w:rPr>
              <w:t>www.chinawealth.com.cn</w:t>
            </w:r>
            <w:r>
              <w:rPr>
                <w:rFonts w:ascii="楷体" w:hAnsi="楷体" w:eastAsia="楷体" w:cs="宋体"/>
                <w:spacing w:val="-2"/>
                <w:sz w:val="21"/>
                <w:szCs w:val="21"/>
              </w:rPr>
              <w:fldChar w:fldCharType="end"/>
            </w:r>
            <w:r>
              <w:rPr>
                <w:rFonts w:hint="eastAsia" w:ascii="楷体" w:hAnsi="楷体" w:eastAsia="楷体" w:cs="宋体"/>
                <w:spacing w:val="-2"/>
                <w:sz w:val="21"/>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销售简称/销售代码</w:t>
            </w:r>
          </w:p>
        </w:tc>
        <w:tc>
          <w:tcPr>
            <w:tcW w:w="6614" w:type="dxa"/>
            <w:noWrap w:val="0"/>
            <w:vAlign w:val="center"/>
          </w:tcPr>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rPr>
              <w:t>A份额：苏银理财</w:t>
            </w:r>
            <w:r>
              <w:rPr>
                <w:rFonts w:hint="eastAsia" w:ascii="楷体" w:hAnsi="楷体" w:eastAsia="楷体" w:cs="宋体"/>
                <w:spacing w:val="-2"/>
                <w:sz w:val="21"/>
                <w:szCs w:val="21"/>
                <w:lang w:eastAsia="zh-CN"/>
              </w:rPr>
              <w:t>恒源封闭债权159期ESG（13月）</w:t>
            </w:r>
            <w:r>
              <w:rPr>
                <w:rFonts w:hint="eastAsia" w:ascii="楷体" w:hAnsi="楷体" w:eastAsia="楷体" w:cs="宋体"/>
                <w:spacing w:val="-2"/>
                <w:sz w:val="21"/>
                <w:szCs w:val="21"/>
              </w:rPr>
              <w:t>A/J0</w:t>
            </w:r>
            <w:r>
              <w:rPr>
                <w:rFonts w:hint="eastAsia" w:ascii="楷体" w:hAnsi="楷体" w:eastAsia="楷体" w:cs="宋体"/>
                <w:spacing w:val="-2"/>
                <w:sz w:val="21"/>
                <w:szCs w:val="21"/>
                <w:lang w:val="en-US" w:eastAsia="zh-CN"/>
              </w:rPr>
              <w:t>4027</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rPr>
              <w:t>B份额：苏银理财</w:t>
            </w:r>
            <w:r>
              <w:rPr>
                <w:rFonts w:hint="eastAsia" w:ascii="楷体" w:hAnsi="楷体" w:eastAsia="楷体" w:cs="宋体"/>
                <w:spacing w:val="-2"/>
                <w:sz w:val="21"/>
                <w:szCs w:val="21"/>
                <w:lang w:eastAsia="zh-CN"/>
              </w:rPr>
              <w:t>恒源封闭债权159期ESG（13月）</w:t>
            </w:r>
            <w:r>
              <w:rPr>
                <w:rFonts w:hint="eastAsia" w:ascii="楷体" w:hAnsi="楷体" w:eastAsia="楷体" w:cs="宋体"/>
                <w:spacing w:val="-2"/>
                <w:sz w:val="21"/>
                <w:szCs w:val="21"/>
              </w:rPr>
              <w:t>B/J0</w:t>
            </w:r>
            <w:r>
              <w:rPr>
                <w:rFonts w:hint="eastAsia" w:ascii="楷体" w:hAnsi="楷体" w:eastAsia="楷体" w:cs="宋体"/>
                <w:spacing w:val="-2"/>
                <w:sz w:val="21"/>
                <w:szCs w:val="21"/>
                <w:lang w:val="en-US" w:eastAsia="zh-CN"/>
              </w:rPr>
              <w:t>4028</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rPr>
              <w:t>C份额：苏银理财</w:t>
            </w:r>
            <w:r>
              <w:rPr>
                <w:rFonts w:hint="eastAsia" w:ascii="楷体" w:hAnsi="楷体" w:eastAsia="楷体" w:cs="宋体"/>
                <w:spacing w:val="-2"/>
                <w:sz w:val="21"/>
                <w:szCs w:val="21"/>
                <w:lang w:eastAsia="zh-CN"/>
              </w:rPr>
              <w:t>恒源封闭债权159期ESG（13月）</w:t>
            </w:r>
            <w:r>
              <w:rPr>
                <w:rFonts w:hint="eastAsia" w:ascii="楷体" w:hAnsi="楷体" w:eastAsia="楷体" w:cs="宋体"/>
                <w:spacing w:val="-2"/>
                <w:sz w:val="21"/>
                <w:szCs w:val="21"/>
              </w:rPr>
              <w:t>C/J0</w:t>
            </w:r>
            <w:r>
              <w:rPr>
                <w:rFonts w:hint="eastAsia" w:ascii="楷体" w:hAnsi="楷体" w:eastAsia="楷体" w:cs="宋体"/>
                <w:spacing w:val="-2"/>
                <w:sz w:val="21"/>
                <w:szCs w:val="21"/>
                <w:lang w:val="en-US" w:eastAsia="zh-CN"/>
              </w:rPr>
              <w:t>4029</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D</w:t>
            </w:r>
            <w:r>
              <w:rPr>
                <w:rFonts w:hint="eastAsia" w:ascii="楷体" w:hAnsi="楷体" w:eastAsia="楷体" w:cs="宋体"/>
                <w:spacing w:val="-2"/>
                <w:sz w:val="21"/>
                <w:szCs w:val="21"/>
              </w:rPr>
              <w:t>份额：苏银理财</w:t>
            </w:r>
            <w:r>
              <w:rPr>
                <w:rFonts w:hint="eastAsia" w:ascii="楷体" w:hAnsi="楷体" w:eastAsia="楷体" w:cs="宋体"/>
                <w:spacing w:val="-2"/>
                <w:sz w:val="21"/>
                <w:szCs w:val="21"/>
                <w:lang w:eastAsia="zh-CN"/>
              </w:rPr>
              <w:t>恒源封闭债权159期ESG（13月）</w:t>
            </w:r>
            <w:r>
              <w:rPr>
                <w:rFonts w:hint="eastAsia" w:ascii="楷体" w:hAnsi="楷体" w:eastAsia="楷体" w:cs="宋体"/>
                <w:spacing w:val="-2"/>
                <w:sz w:val="21"/>
                <w:szCs w:val="21"/>
                <w:lang w:val="en-US" w:eastAsia="zh-CN"/>
              </w:rPr>
              <w:t>D</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4030</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E份额：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恒源封闭债权159期ESG（13月）</w:t>
            </w: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4031</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F份额：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恒源封闭债权159期ESG（13月）</w:t>
            </w:r>
            <w:r>
              <w:rPr>
                <w:rFonts w:hint="eastAsia" w:ascii="楷体" w:hAnsi="楷体" w:eastAsia="楷体" w:cs="宋体"/>
                <w:spacing w:val="-2"/>
                <w:sz w:val="21"/>
                <w:szCs w:val="21"/>
                <w:lang w:val="en-US" w:eastAsia="zh-CN"/>
              </w:rPr>
              <w:t>F</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4032</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G份额：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恒源封闭债权159期ESG（13月）</w:t>
            </w:r>
            <w:r>
              <w:rPr>
                <w:rFonts w:hint="eastAsia" w:ascii="楷体" w:hAnsi="楷体" w:eastAsia="楷体" w:cs="宋体"/>
                <w:spacing w:val="-2"/>
                <w:sz w:val="21"/>
                <w:szCs w:val="21"/>
                <w:lang w:val="en-US" w:eastAsia="zh-CN"/>
              </w:rPr>
              <w:t>G</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4033</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H份额：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恒源封闭债权159期ESG（13月）</w:t>
            </w:r>
            <w:r>
              <w:rPr>
                <w:rFonts w:hint="eastAsia" w:ascii="楷体" w:hAnsi="楷体" w:eastAsia="楷体" w:cs="宋体"/>
                <w:spacing w:val="-2"/>
                <w:sz w:val="21"/>
                <w:szCs w:val="21"/>
                <w:lang w:val="en-US" w:eastAsia="zh-CN"/>
              </w:rPr>
              <w:t>H</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4034</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I份额：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恒源封闭债权159期ESG（13月）</w:t>
            </w:r>
            <w:r>
              <w:rPr>
                <w:rFonts w:hint="eastAsia" w:ascii="楷体" w:hAnsi="楷体" w:eastAsia="楷体" w:cs="宋体"/>
                <w:spacing w:val="-2"/>
                <w:sz w:val="21"/>
                <w:szCs w:val="21"/>
                <w:lang w:val="en-US" w:eastAsia="zh-CN"/>
              </w:rPr>
              <w:t>I</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4035</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AJS份额：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恒源封闭债权159期ESG（13月）</w:t>
            </w:r>
            <w:r>
              <w:rPr>
                <w:rFonts w:hint="eastAsia" w:ascii="楷体" w:hAnsi="楷体" w:eastAsia="楷体" w:cs="宋体"/>
                <w:spacing w:val="-2"/>
                <w:sz w:val="21"/>
                <w:szCs w:val="21"/>
                <w:lang w:val="en-US" w:eastAsia="zh-CN"/>
              </w:rPr>
              <w:t>AJS鑫福款</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产品管理人</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苏银理财有限责任公司，详见下文“二、产品管理人”。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产品托管人</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江苏银行股份有限公司，详见下文“十三、产品托管人”。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销售机构</w:t>
            </w:r>
          </w:p>
        </w:tc>
        <w:tc>
          <w:tcPr>
            <w:tcW w:w="6614" w:type="dxa"/>
            <w:noWrap w:val="0"/>
            <w:vAlign w:val="center"/>
          </w:tcPr>
          <w:p>
            <w:pPr>
              <w:pStyle w:val="37"/>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详见下文“三、销售机构”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产品内部风险评级</w:t>
            </w:r>
          </w:p>
        </w:tc>
        <w:tc>
          <w:tcPr>
            <w:tcW w:w="6614" w:type="dxa"/>
            <w:noWrap w:val="0"/>
            <w:vAlign w:val="center"/>
          </w:tcPr>
          <w:p>
            <w:pPr>
              <w:pStyle w:val="37"/>
              <w:kinsoku w:val="0"/>
              <w:overflowPunct w:val="0"/>
              <w:spacing w:before="13"/>
              <w:ind w:left="59" w:right="73" w:rightChars="35"/>
              <w:jc w:val="both"/>
              <w:rPr>
                <w:rFonts w:ascii="楷体" w:hAnsi="楷体" w:eastAsia="楷体" w:cs="宋体"/>
                <w:b/>
                <w:spacing w:val="-2"/>
                <w:sz w:val="21"/>
                <w:szCs w:val="21"/>
                <w:u w:val="single"/>
              </w:rPr>
            </w:pPr>
            <w:r>
              <w:rPr>
                <w:rFonts w:hint="eastAsia" w:ascii="楷体" w:hAnsi="楷体" w:eastAsia="楷体" w:cs="宋体"/>
                <w:b/>
                <w:spacing w:val="-2"/>
                <w:sz w:val="21"/>
                <w:szCs w:val="21"/>
                <w:u w:val="single"/>
              </w:rPr>
              <w:t>1、★★二级，</w:t>
            </w:r>
            <w:r>
              <w:rPr>
                <w:rFonts w:hint="eastAsia" w:ascii="楷体" w:hAnsi="楷体" w:eastAsia="楷体" w:cs="宋体"/>
                <w:spacing w:val="-2"/>
                <w:sz w:val="21"/>
                <w:szCs w:val="21"/>
              </w:rPr>
              <w:t>本评级为苏银理财有限责任公司内部评级，由苏银理财根据理财产品的投资组合、同类产品过往业绩和风险状况等因素，对理财产品进行评级，仅供客户参考。</w:t>
            </w:r>
          </w:p>
          <w:p>
            <w:pPr>
              <w:pStyle w:val="37"/>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w:t>
            </w:r>
            <w:r>
              <w:rPr>
                <w:rFonts w:ascii="楷体" w:hAnsi="楷体" w:eastAsia="楷体" w:cs="宋体"/>
                <w:spacing w:val="-2"/>
                <w:sz w:val="21"/>
                <w:szCs w:val="21"/>
              </w:rPr>
              <w:t>销售评级与</w:t>
            </w:r>
            <w:r>
              <w:rPr>
                <w:rFonts w:hint="eastAsia" w:ascii="楷体" w:hAnsi="楷体" w:eastAsia="楷体" w:cs="宋体"/>
                <w:spacing w:val="-2"/>
                <w:sz w:val="21"/>
                <w:szCs w:val="21"/>
              </w:rPr>
              <w:t>苏银理财</w:t>
            </w:r>
            <w:r>
              <w:rPr>
                <w:rFonts w:ascii="楷体" w:hAnsi="楷体" w:eastAsia="楷体" w:cs="宋体"/>
                <w:spacing w:val="-2"/>
                <w:sz w:val="21"/>
                <w:szCs w:val="21"/>
              </w:rPr>
              <w:t>产品评级结果不一致的，代理销售机构应当采用对应较高风险等级的评级结果并予以披露</w:t>
            </w:r>
            <w:r>
              <w:rPr>
                <w:rFonts w:hint="eastAsia" w:ascii="楷体" w:hAnsi="楷体" w:eastAsia="楷体" w:cs="宋体"/>
                <w:spacing w:val="-2"/>
                <w:sz w:val="21"/>
                <w:szCs w:val="21"/>
              </w:rPr>
              <w:t>。</w:t>
            </w:r>
          </w:p>
          <w:p>
            <w:pPr>
              <w:pStyle w:val="37"/>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b/>
                <w:spacing w:val="-2"/>
                <w:sz w:val="21"/>
                <w:szCs w:val="21"/>
                <w:u w:val="single"/>
              </w:rPr>
              <w:t>3、如本产品</w:t>
            </w:r>
            <w:r>
              <w:rPr>
                <w:rFonts w:ascii="楷体" w:hAnsi="楷体" w:eastAsia="楷体" w:cs="宋体"/>
                <w:b/>
                <w:spacing w:val="-2"/>
                <w:sz w:val="21"/>
                <w:szCs w:val="21"/>
                <w:u w:val="single"/>
              </w:rPr>
              <w:t>通过代理销售机构渠道销售，理财产品评级</w:t>
            </w:r>
            <w:r>
              <w:rPr>
                <w:rFonts w:hint="eastAsia" w:ascii="楷体" w:hAnsi="楷体" w:eastAsia="楷体" w:cs="宋体"/>
                <w:b/>
                <w:spacing w:val="-2"/>
                <w:sz w:val="21"/>
                <w:szCs w:val="21"/>
                <w:u w:val="single"/>
              </w:rPr>
              <w:t>以</w:t>
            </w:r>
            <w:r>
              <w:rPr>
                <w:rFonts w:ascii="楷体" w:hAnsi="楷体" w:eastAsia="楷体" w:cs="宋体"/>
                <w:b/>
                <w:spacing w:val="-2"/>
                <w:sz w:val="21"/>
                <w:szCs w:val="21"/>
                <w:u w:val="single"/>
              </w:rPr>
              <w:t>代理销售机构最终披露的评级结果为准</w:t>
            </w:r>
            <w:r>
              <w:rPr>
                <w:rFonts w:hint="eastAsia" w:ascii="楷体" w:hAnsi="楷体" w:eastAsia="楷体" w:cs="宋体"/>
                <w:b/>
                <w:spacing w:val="-2"/>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收益类型</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产品类型</w:t>
            </w:r>
          </w:p>
        </w:tc>
        <w:tc>
          <w:tcPr>
            <w:tcW w:w="6614" w:type="dxa"/>
            <w:noWrap w:val="0"/>
            <w:vAlign w:val="center"/>
          </w:tcPr>
          <w:p>
            <w:pPr>
              <w:pStyle w:val="37"/>
              <w:kinsoku w:val="0"/>
              <w:overflowPunct w:val="0"/>
              <w:spacing w:before="12"/>
              <w:ind w:left="59" w:right="73" w:rightChars="35"/>
              <w:jc w:val="both"/>
              <w:rPr>
                <w:rFonts w:ascii="楷体" w:hAnsi="楷体" w:eastAsia="楷体" w:cs="宋体"/>
                <w:b/>
                <w:spacing w:val="-2"/>
                <w:sz w:val="21"/>
                <w:szCs w:val="21"/>
                <w:u w:val="single"/>
              </w:rPr>
            </w:pPr>
            <w:r>
              <w:rPr>
                <w:rFonts w:hint="eastAsia" w:ascii="楷体" w:hAnsi="楷体" w:eastAsia="楷体" w:cs="宋体"/>
                <w:b/>
                <w:spacing w:val="-2"/>
                <w:sz w:val="21"/>
                <w:szCs w:val="21"/>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销售对象</w:t>
            </w:r>
          </w:p>
        </w:tc>
        <w:tc>
          <w:tcPr>
            <w:tcW w:w="6614" w:type="dxa"/>
            <w:noWrap w:val="0"/>
            <w:vAlign w:val="center"/>
          </w:tcPr>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rPr>
              <w:t>A份额面向个人和机构投资者销售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B</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C</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销售机构江苏银行仅限新资金客户及新客户，具体以销售机构系统设置为准。新资金的达标条件为“客户前一日资产时点余额”较“前一月末资产月日均余额”的新增额大于5万元；新客户是指首次购买苏银理财理财产品的客户）；</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D</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份额面向个人和机构投资者销售（销售机构江苏银行仅限财富客户、私行客户</w:t>
            </w:r>
            <w:r>
              <w:rPr>
                <w:rFonts w:hint="eastAsia" w:ascii="楷体" w:hAnsi="楷体" w:eastAsia="楷体" w:cs="宋体"/>
                <w:spacing w:val="-2"/>
                <w:sz w:val="21"/>
                <w:szCs w:val="21"/>
                <w:lang w:eastAsia="zh-CN"/>
              </w:rPr>
              <w:t>、企业高管客户</w:t>
            </w:r>
            <w:r>
              <w:rPr>
                <w:rFonts w:hint="eastAsia" w:ascii="楷体" w:hAnsi="楷体" w:eastAsia="楷体" w:cs="宋体"/>
                <w:spacing w:val="-2"/>
                <w:sz w:val="21"/>
                <w:szCs w:val="21"/>
              </w:rPr>
              <w:t>，江苏银行财富客户指在江苏银行日均资产大于等于200万元的个人客户，江苏银行私行客户指在江苏银行日均资产大于等于600万元的个人客户</w:t>
            </w:r>
            <w:r>
              <w:rPr>
                <w:rFonts w:hint="eastAsia" w:ascii="楷体" w:hAnsi="楷体" w:eastAsia="楷体" w:cs="宋体"/>
                <w:spacing w:val="-2"/>
                <w:sz w:val="21"/>
                <w:szCs w:val="21"/>
                <w:lang w:eastAsia="zh-CN"/>
              </w:rPr>
              <w:t>，企业高管客户是指与江苏银行有业务来往的企业的高管客户</w:t>
            </w:r>
            <w:r>
              <w:rPr>
                <w:rFonts w:hint="eastAsia" w:ascii="楷体" w:hAnsi="楷体" w:eastAsia="楷体" w:cs="宋体"/>
                <w:spacing w:val="-2"/>
                <w:sz w:val="21"/>
                <w:szCs w:val="21"/>
              </w:rPr>
              <w:t>；机构投资者具体以销售机构设置为准</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F</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G</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H</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I</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AJS</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募集币种</w:t>
            </w:r>
          </w:p>
        </w:tc>
        <w:tc>
          <w:tcPr>
            <w:tcW w:w="6614" w:type="dxa"/>
            <w:noWrap w:val="0"/>
            <w:vAlign w:val="center"/>
          </w:tcPr>
          <w:p>
            <w:pPr>
              <w:pStyle w:val="37"/>
              <w:kinsoku w:val="0"/>
              <w:overflowPunct w:val="0"/>
              <w:spacing w:before="14"/>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spacing w:val="-2"/>
                <w:sz w:val="21"/>
                <w:szCs w:val="21"/>
              </w:rPr>
            </w:pPr>
            <w:r>
              <w:rPr>
                <w:rFonts w:hint="eastAsia" w:ascii="楷体" w:hAnsi="楷体" w:eastAsia="楷体" w:cs="宋体"/>
                <w:b/>
                <w:spacing w:val="-2"/>
                <w:sz w:val="21"/>
                <w:szCs w:val="21"/>
              </w:rPr>
              <w:t>计划发行规模</w:t>
            </w:r>
          </w:p>
        </w:tc>
        <w:tc>
          <w:tcPr>
            <w:tcW w:w="6614" w:type="dxa"/>
            <w:noWrap w:val="0"/>
            <w:vAlign w:val="center"/>
          </w:tcPr>
          <w:p>
            <w:pPr>
              <w:ind w:left="59" w:right="73" w:rightChars="35"/>
              <w:rPr>
                <w:rFonts w:ascii="楷体" w:hAnsi="楷体" w:eastAsia="楷体"/>
                <w:szCs w:val="21"/>
              </w:rPr>
            </w:pPr>
            <w:r>
              <w:rPr>
                <w:rFonts w:hint="eastAsia" w:ascii="楷体" w:hAnsi="楷体" w:eastAsia="楷体"/>
                <w:szCs w:val="21"/>
              </w:rPr>
              <w:t>计划发行总规模：</w:t>
            </w:r>
            <w:r>
              <w:rPr>
                <w:rFonts w:hint="eastAsia" w:ascii="楷体" w:hAnsi="楷体" w:eastAsia="楷体"/>
                <w:szCs w:val="21"/>
                <w:lang w:val="en-US" w:eastAsia="zh-CN"/>
              </w:rPr>
              <w:t>10</w:t>
            </w:r>
            <w:r>
              <w:rPr>
                <w:rFonts w:hint="eastAsia" w:ascii="楷体" w:hAnsi="楷体" w:eastAsia="楷体"/>
                <w:szCs w:val="21"/>
              </w:rPr>
              <w:t>亿份。</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募集过程中管理人有权根据产品的募集情况调整计划发行规模。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认购起点</w:t>
            </w:r>
            <w:r>
              <w:rPr>
                <w:rFonts w:ascii="楷体" w:hAnsi="楷体" w:eastAsia="楷体" w:cs="宋体"/>
                <w:b/>
                <w:spacing w:val="-2"/>
                <w:sz w:val="21"/>
                <w:szCs w:val="21"/>
              </w:rPr>
              <w:t>/</w:t>
            </w:r>
            <w:r>
              <w:rPr>
                <w:rFonts w:hint="eastAsia" w:ascii="楷体" w:hAnsi="楷体" w:eastAsia="楷体" w:cs="宋体"/>
                <w:b/>
                <w:spacing w:val="-2"/>
                <w:sz w:val="21"/>
                <w:szCs w:val="21"/>
              </w:rPr>
              <w:t>追加金额</w:t>
            </w:r>
          </w:p>
        </w:tc>
        <w:tc>
          <w:tcPr>
            <w:tcW w:w="6614" w:type="dxa"/>
            <w:noWrap w:val="0"/>
            <w:vAlign w:val="center"/>
          </w:tcPr>
          <w:p>
            <w:pPr>
              <w:ind w:left="59" w:right="73" w:rightChars="35"/>
              <w:rPr>
                <w:rFonts w:hint="eastAsia" w:ascii="楷体" w:hAnsi="楷体" w:eastAsia="楷体"/>
                <w:szCs w:val="21"/>
              </w:rPr>
            </w:pPr>
            <w:r>
              <w:rPr>
                <w:rFonts w:hint="eastAsia" w:ascii="楷体" w:hAnsi="楷体" w:eastAsia="楷体"/>
                <w:szCs w:val="21"/>
              </w:rPr>
              <w:t>A份额购买起点金额为1元，追加金额为1元的整数倍；（具体以销售机构设置为准）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B</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C</w:t>
            </w:r>
            <w:r>
              <w:rPr>
                <w:rFonts w:hint="eastAsia" w:ascii="楷体" w:hAnsi="楷体" w:eastAsia="楷体"/>
                <w:szCs w:val="21"/>
              </w:rPr>
              <w:t>份额购买起点金额为1</w:t>
            </w:r>
            <w:r>
              <w:rPr>
                <w:rFonts w:hint="eastAsia" w:ascii="楷体" w:hAnsi="楷体" w:eastAsia="楷体"/>
                <w:szCs w:val="21"/>
                <w:lang w:val="en-US" w:eastAsia="zh-CN"/>
              </w:rPr>
              <w:t>0,000</w:t>
            </w:r>
            <w:r>
              <w:rPr>
                <w:rFonts w:hint="eastAsia" w:ascii="楷体" w:hAnsi="楷体" w:eastAsia="楷体"/>
                <w:szCs w:val="21"/>
              </w:rPr>
              <w:t>元，追加金额为1</w:t>
            </w:r>
            <w:r>
              <w:rPr>
                <w:rFonts w:hint="eastAsia" w:ascii="楷体" w:hAnsi="楷体" w:eastAsia="楷体"/>
                <w:szCs w:val="21"/>
                <w:lang w:val="en-US" w:eastAsia="zh-CN"/>
              </w:rPr>
              <w:t>0,000</w:t>
            </w:r>
            <w:r>
              <w:rPr>
                <w:rFonts w:hint="eastAsia" w:ascii="楷体" w:hAnsi="楷体" w:eastAsia="楷体"/>
                <w:szCs w:val="21"/>
              </w:rPr>
              <w:t>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D</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E</w:t>
            </w:r>
            <w:r>
              <w:rPr>
                <w:rFonts w:hint="eastAsia" w:ascii="楷体" w:hAnsi="楷体" w:eastAsia="楷体"/>
                <w:szCs w:val="21"/>
              </w:rPr>
              <w:t>份额购买起点金额为</w:t>
            </w:r>
            <w:r>
              <w:rPr>
                <w:rFonts w:hint="eastAsia" w:ascii="楷体" w:hAnsi="楷体" w:eastAsia="楷体"/>
                <w:szCs w:val="21"/>
                <w:lang w:val="en-US" w:eastAsia="zh-CN"/>
              </w:rPr>
              <w:t>300,000</w:t>
            </w:r>
            <w:r>
              <w:rPr>
                <w:rFonts w:hint="eastAsia" w:ascii="楷体" w:hAnsi="楷体" w:eastAsia="楷体"/>
                <w:szCs w:val="21"/>
              </w:rPr>
              <w:t>元，追加金额为1</w:t>
            </w:r>
            <w:r>
              <w:rPr>
                <w:rFonts w:hint="eastAsia" w:ascii="楷体" w:hAnsi="楷体" w:eastAsia="楷体"/>
                <w:szCs w:val="21"/>
                <w:lang w:val="en-US" w:eastAsia="zh-CN"/>
              </w:rPr>
              <w:t>0,000</w:t>
            </w:r>
            <w:r>
              <w:rPr>
                <w:rFonts w:hint="eastAsia" w:ascii="楷体" w:hAnsi="楷体" w:eastAsia="楷体"/>
                <w:szCs w:val="21"/>
              </w:rPr>
              <w:t>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F</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G</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H</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I</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rPr>
              <w:t>A</w:t>
            </w:r>
            <w:r>
              <w:rPr>
                <w:rFonts w:hint="eastAsia" w:ascii="楷体" w:hAnsi="楷体" w:eastAsia="楷体"/>
                <w:szCs w:val="21"/>
                <w:lang w:val="en-US" w:eastAsia="zh-CN"/>
              </w:rPr>
              <w:t>JS</w:t>
            </w:r>
            <w:r>
              <w:rPr>
                <w:rFonts w:hint="eastAsia" w:ascii="楷体" w:hAnsi="楷体" w:eastAsia="楷体"/>
                <w:szCs w:val="21"/>
              </w:rPr>
              <w:t>份额购买起点金额为1元，追加金额为1元的整数倍；（具体以销售机构设置为准）</w:t>
            </w:r>
          </w:p>
          <w:p>
            <w:pPr>
              <w:ind w:left="59" w:right="73" w:rightChars="35"/>
              <w:rPr>
                <w:rFonts w:ascii="楷体" w:hAnsi="楷体" w:eastAsia="楷体" w:cs="宋体"/>
                <w:spacing w:val="-2"/>
                <w:szCs w:val="21"/>
              </w:rPr>
            </w:pPr>
            <w:r>
              <w:rPr>
                <w:rFonts w:hint="eastAsia" w:ascii="楷体" w:hAnsi="楷体" w:eastAsia="楷体"/>
                <w:szCs w:val="21"/>
              </w:rPr>
              <w:t>认购资金的清算和认购份额的计算详见下文“八、产品认购”。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份额面值</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募集期</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4</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22</w:t>
            </w:r>
            <w:r>
              <w:rPr>
                <w:rFonts w:hint="eastAsia" w:ascii="楷体" w:hAnsi="楷体" w:eastAsia="楷体" w:cs="宋体"/>
                <w:spacing w:val="-2"/>
                <w:sz w:val="21"/>
                <w:szCs w:val="21"/>
              </w:rPr>
              <w:t>日9:00至202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4</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29</w:t>
            </w:r>
            <w:r>
              <w:rPr>
                <w:rFonts w:hint="eastAsia" w:ascii="楷体" w:hAnsi="楷体" w:eastAsia="楷体" w:cs="宋体"/>
                <w:spacing w:val="-2"/>
                <w:sz w:val="21"/>
                <w:szCs w:val="21"/>
              </w:rPr>
              <w:t>日17:00</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管理人在法律允许的范围内保留延长或提前终止产品募集期的权利。如有变动，实际产品募集期以管理人公告为准。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产品成立日/份额登记日</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4</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30</w:t>
            </w:r>
            <w:r>
              <w:rPr>
                <w:rFonts w:hint="eastAsia" w:ascii="楷体" w:hAnsi="楷体" w:eastAsia="楷体" w:cs="宋体"/>
                <w:spacing w:val="-2"/>
                <w:sz w:val="21"/>
                <w:szCs w:val="21"/>
              </w:rPr>
              <w:t>日</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若产品认购份额未达到最低发行总规模3000万，或新的法律、法规导致本产品无法合法合规运行，或出现其他导致影响产品成立不可抗力因素，产品管理人有权利但无义务宣布产品不成立，并于产品募集期结束后5个工作日内将投资者认购资金返还至投资者资金账户，募集期及资金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产品到期日</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29</w:t>
            </w:r>
            <w:r>
              <w:rPr>
                <w:rFonts w:hint="eastAsia" w:ascii="楷体" w:hAnsi="楷体" w:eastAsia="楷体" w:cs="宋体"/>
                <w:spacing w:val="-2"/>
                <w:sz w:val="21"/>
                <w:szCs w:val="21"/>
              </w:rPr>
              <w:t>日（如遇节假日，顺延至下一工作日）</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在符合产品说明书约定的条件下，管理人有权提前终止该产品，产品到期日受制于提前终止条款。详见下文“十、产品的终止与清算”。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9" w:right="73" w:rightChars="35"/>
              <w:jc w:val="both"/>
              <w:rPr>
                <w:rFonts w:ascii="楷体" w:hAnsi="楷体" w:eastAsia="楷体" w:cs="宋体"/>
                <w:b/>
                <w:spacing w:val="-2"/>
                <w:sz w:val="21"/>
                <w:szCs w:val="21"/>
              </w:rPr>
            </w:pPr>
            <w:r>
              <w:rPr>
                <w:rFonts w:hint="eastAsia" w:ascii="楷体" w:hAnsi="楷体" w:eastAsia="楷体" w:cs="宋体"/>
                <w:b/>
                <w:spacing w:val="-2"/>
                <w:sz w:val="21"/>
                <w:szCs w:val="21"/>
              </w:rPr>
              <w:t>产品存续期限</w:t>
            </w:r>
          </w:p>
        </w:tc>
        <w:tc>
          <w:tcPr>
            <w:tcW w:w="6614" w:type="dxa"/>
            <w:noWrap w:val="0"/>
            <w:vAlign w:val="center"/>
          </w:tcPr>
          <w:p>
            <w:pPr>
              <w:ind w:left="59" w:right="73" w:rightChars="35"/>
              <w:rPr>
                <w:rFonts w:ascii="楷体" w:hAnsi="楷体" w:eastAsia="楷体" w:cs="宋体"/>
                <w:spacing w:val="-2"/>
                <w:kern w:val="0"/>
                <w:szCs w:val="21"/>
              </w:rPr>
            </w:pPr>
            <w:r>
              <w:rPr>
                <w:rFonts w:hint="eastAsia" w:ascii="楷体" w:hAnsi="楷体" w:eastAsia="楷体" w:cs="宋体"/>
                <w:spacing w:val="-2"/>
                <w:kern w:val="0"/>
                <w:szCs w:val="21"/>
                <w:lang w:val="en-US" w:eastAsia="zh-CN"/>
              </w:rPr>
              <w:t>394</w:t>
            </w:r>
            <w:r>
              <w:rPr>
                <w:rFonts w:hint="eastAsia" w:ascii="楷体" w:hAnsi="楷体" w:eastAsia="楷体" w:cs="宋体"/>
                <w:spacing w:val="-2"/>
                <w:kern w:val="0"/>
                <w:szCs w:val="21"/>
              </w:rPr>
              <w:t>天（以理财产品实际存续天数为准），</w:t>
            </w:r>
            <w:r>
              <w:rPr>
                <w:rFonts w:hint="eastAsia" w:ascii="楷体" w:hAnsi="楷体" w:eastAsia="楷体" w:cs="Calibri"/>
                <w:b/>
                <w:szCs w:val="21"/>
                <w:u w:val="single"/>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单个客户持有份额上限</w:t>
            </w:r>
          </w:p>
        </w:tc>
        <w:tc>
          <w:tcPr>
            <w:tcW w:w="6614" w:type="dxa"/>
            <w:noWrap w:val="0"/>
            <w:vAlign w:val="center"/>
          </w:tcPr>
          <w:p>
            <w:pPr>
              <w:ind w:left="59" w:right="73" w:rightChars="35"/>
              <w:rPr>
                <w:rFonts w:ascii="楷体" w:hAnsi="楷体" w:eastAsia="楷体" w:cs="宋体"/>
                <w:spacing w:val="-2"/>
                <w:kern w:val="0"/>
                <w:szCs w:val="21"/>
              </w:rPr>
            </w:pPr>
            <w:r>
              <w:rPr>
                <w:rFonts w:hint="eastAsia" w:ascii="楷体" w:hAnsi="楷体" w:eastAsia="楷体" w:cs="宋体"/>
                <w:spacing w:val="-2"/>
                <w:kern w:val="0"/>
                <w:szCs w:val="21"/>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9" w:right="73" w:rightChars="35"/>
              <w:jc w:val="both"/>
              <w:rPr>
                <w:rFonts w:ascii="楷体" w:hAnsi="楷体" w:eastAsia="楷体" w:cs="宋体"/>
                <w:b/>
                <w:spacing w:val="-2"/>
                <w:sz w:val="21"/>
                <w:szCs w:val="21"/>
              </w:rPr>
            </w:pPr>
            <w:r>
              <w:rPr>
                <w:rFonts w:hint="eastAsia" w:ascii="楷体" w:hAnsi="楷体" w:eastAsia="楷体" w:cs="宋体"/>
                <w:b/>
                <w:spacing w:val="-2"/>
                <w:sz w:val="21"/>
                <w:szCs w:val="21"/>
              </w:rPr>
              <w:t>业绩比较基准（年化）</w:t>
            </w:r>
          </w:p>
        </w:tc>
        <w:tc>
          <w:tcPr>
            <w:tcW w:w="6614" w:type="dxa"/>
            <w:noWrap w:val="0"/>
            <w:vAlign w:val="center"/>
          </w:tcPr>
          <w:p>
            <w:pPr>
              <w:pStyle w:val="37"/>
              <w:kinsoku w:val="0"/>
              <w:overflowPunct w:val="0"/>
              <w:spacing w:before="37"/>
              <w:ind w:left="21" w:leftChars="10" w:right="73" w:rightChars="35"/>
              <w:jc w:val="both"/>
              <w:rPr>
                <w:rFonts w:ascii="楷体" w:hAnsi="楷体" w:eastAsia="楷体" w:cs="宋体"/>
                <w:spacing w:val="-2"/>
                <w:sz w:val="21"/>
                <w:szCs w:val="21"/>
              </w:rPr>
            </w:pPr>
            <w:r>
              <w:rPr>
                <w:rFonts w:hint="eastAsia" w:ascii="楷体" w:hAnsi="楷体" w:eastAsia="楷体" w:cs="宋体"/>
                <w:b/>
                <w:bCs/>
                <w:spacing w:val="-2"/>
                <w:sz w:val="21"/>
                <w:szCs w:val="21"/>
                <w:u w:val="single"/>
              </w:rPr>
              <w:t>苏银理财</w:t>
            </w:r>
            <w:r>
              <w:rPr>
                <w:rFonts w:ascii="楷体" w:hAnsi="楷体" w:eastAsia="楷体" w:cs="宋体"/>
                <w:b/>
                <w:bCs/>
                <w:spacing w:val="-2"/>
                <w:sz w:val="21"/>
                <w:szCs w:val="21"/>
                <w:u w:val="single"/>
              </w:rPr>
              <w:t>参考过往投资经验，依据近期货币市场工具、债券</w:t>
            </w:r>
            <w:r>
              <w:rPr>
                <w:rFonts w:hint="eastAsia" w:ascii="楷体" w:hAnsi="楷体" w:eastAsia="楷体" w:cs="宋体"/>
                <w:b/>
                <w:bCs/>
                <w:spacing w:val="-2"/>
                <w:sz w:val="21"/>
                <w:szCs w:val="21"/>
                <w:u w:val="single"/>
              </w:rPr>
              <w:t>、非标准化债权</w:t>
            </w:r>
            <w:r>
              <w:rPr>
                <w:rFonts w:ascii="楷体" w:hAnsi="楷体" w:eastAsia="楷体" w:cs="宋体"/>
                <w:b/>
                <w:bCs/>
                <w:spacing w:val="-2"/>
                <w:sz w:val="21"/>
                <w:szCs w:val="21"/>
                <w:u w:val="single"/>
              </w:rPr>
              <w:t>等资产</w:t>
            </w:r>
            <w:r>
              <w:rPr>
                <w:rFonts w:hint="eastAsia" w:ascii="楷体" w:hAnsi="楷体" w:eastAsia="楷体" w:cs="宋体"/>
                <w:b/>
                <w:bCs/>
                <w:spacing w:val="-2"/>
                <w:sz w:val="21"/>
                <w:szCs w:val="21"/>
                <w:u w:val="single"/>
              </w:rPr>
              <w:t>投资</w:t>
            </w:r>
            <w:r>
              <w:rPr>
                <w:rFonts w:ascii="楷体" w:hAnsi="楷体" w:eastAsia="楷体" w:cs="宋体"/>
                <w:b/>
                <w:bCs/>
                <w:spacing w:val="-2"/>
                <w:sz w:val="21"/>
                <w:szCs w:val="21"/>
                <w:u w:val="single"/>
              </w:rPr>
              <w:t>收益水平，在产品说明书约定的投资范围和投资比例内</w:t>
            </w:r>
            <w:r>
              <w:rPr>
                <w:rFonts w:hint="eastAsia" w:ascii="楷体" w:hAnsi="楷体" w:eastAsia="楷体" w:cs="宋体"/>
                <w:b/>
                <w:bCs/>
                <w:spacing w:val="-2"/>
                <w:sz w:val="21"/>
                <w:szCs w:val="21"/>
                <w:u w:val="single"/>
              </w:rPr>
              <w:t>，综合考虑各份额收取的销售服务费和投资管理费的情况，</w:t>
            </w:r>
            <w:r>
              <w:rPr>
                <w:rFonts w:ascii="楷体" w:hAnsi="楷体" w:eastAsia="楷体" w:cs="宋体"/>
                <w:b/>
                <w:bCs/>
                <w:spacing w:val="-2"/>
                <w:sz w:val="21"/>
                <w:szCs w:val="21"/>
                <w:u w:val="single"/>
              </w:rPr>
              <w:t>模拟测算得出</w:t>
            </w:r>
            <w:r>
              <w:rPr>
                <w:rFonts w:hint="eastAsia" w:ascii="楷体" w:hAnsi="楷体" w:eastAsia="楷体" w:cs="宋体"/>
                <w:b/>
                <w:bCs/>
                <w:spacing w:val="-2"/>
                <w:sz w:val="21"/>
                <w:szCs w:val="21"/>
                <w:u w:val="single"/>
              </w:rPr>
              <w:t>业绩比较基准。本产品各份额因收取的销售服务费和投资管理费存在差异，业绩比较基准设置将有所不同。</w:t>
            </w:r>
            <w:r>
              <w:rPr>
                <w:rFonts w:hint="eastAsia" w:ascii="楷体" w:hAnsi="楷体" w:eastAsia="楷体" w:cs="宋体"/>
                <w:spacing w:val="-2"/>
                <w:sz w:val="21"/>
                <w:szCs w:val="21"/>
              </w:rPr>
              <w:t>各份额业绩比较基准如下：</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rPr>
              <w:t>A份额：年化</w:t>
            </w:r>
            <w:r>
              <w:rPr>
                <w:rFonts w:hint="eastAsia" w:ascii="楷体" w:hAnsi="楷体" w:eastAsia="楷体" w:cs="宋体"/>
                <w:bCs/>
                <w:spacing w:val="-2"/>
                <w:kern w:val="2"/>
                <w:sz w:val="21"/>
                <w:szCs w:val="21"/>
                <w:lang w:val="en-US" w:eastAsia="zh-CN"/>
              </w:rPr>
              <w:t>2.80%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B</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C</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2.85%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D</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E</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2.90%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F</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G</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H</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2.60%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I</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2.50%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rPr>
              <w:t>A</w:t>
            </w:r>
            <w:r>
              <w:rPr>
                <w:rFonts w:hint="eastAsia" w:ascii="楷体" w:hAnsi="楷体" w:eastAsia="楷体" w:cs="宋体"/>
                <w:bCs/>
                <w:spacing w:val="-2"/>
                <w:kern w:val="2"/>
                <w:sz w:val="21"/>
                <w:szCs w:val="21"/>
                <w:lang w:val="en-US" w:eastAsia="zh-CN"/>
              </w:rPr>
              <w:t>JS</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2.70%</w:t>
            </w:r>
          </w:p>
          <w:p>
            <w:pPr>
              <w:ind w:left="59" w:right="73" w:rightChars="35"/>
              <w:rPr>
                <w:rFonts w:ascii="楷体" w:hAnsi="楷体" w:eastAsia="楷体" w:cs="宋体"/>
                <w:b/>
                <w:spacing w:val="-2"/>
                <w:szCs w:val="21"/>
                <w:u w:val="single"/>
              </w:rPr>
            </w:pPr>
            <w:r>
              <w:rPr>
                <w:rFonts w:hint="eastAsia" w:ascii="楷体" w:hAnsi="楷体" w:eastAsia="楷体" w:cs="宋体"/>
                <w:b/>
                <w:spacing w:val="-2"/>
                <w:szCs w:val="21"/>
                <w:u w:val="single"/>
              </w:rPr>
              <w:t>本产品为净值型产品，业绩表现将随市场波动，具有不确定性。业绩比</w:t>
            </w:r>
          </w:p>
          <w:p>
            <w:pPr>
              <w:ind w:left="59" w:right="73" w:rightChars="35"/>
              <w:rPr>
                <w:rFonts w:ascii="楷体" w:hAnsi="楷体" w:eastAsia="楷体" w:cs="宋体"/>
                <w:spacing w:val="-2"/>
                <w:kern w:val="0"/>
                <w:szCs w:val="21"/>
              </w:rPr>
            </w:pPr>
            <w:r>
              <w:rPr>
                <w:rFonts w:hint="eastAsia" w:ascii="楷体" w:hAnsi="楷体" w:eastAsia="楷体" w:cs="宋体"/>
                <w:b/>
                <w:spacing w:val="-2"/>
                <w:szCs w:val="21"/>
                <w:u w:val="single"/>
              </w:rPr>
              <w:t>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9" w:leftChars="0" w:right="73" w:rightChars="35"/>
              <w:jc w:val="both"/>
              <w:rPr>
                <w:rFonts w:hint="eastAsia" w:ascii="楷体" w:hAnsi="楷体" w:eastAsia="楷体" w:cs="宋体"/>
                <w:b/>
                <w:spacing w:val="-2"/>
                <w:sz w:val="21"/>
                <w:szCs w:val="21"/>
              </w:rPr>
            </w:pPr>
            <w:r>
              <w:rPr>
                <w:rFonts w:hint="eastAsia" w:ascii="楷体" w:hAnsi="楷体" w:eastAsia="楷体" w:cs="宋体"/>
                <w:b/>
                <w:spacing w:val="-2"/>
                <w:sz w:val="21"/>
                <w:szCs w:val="21"/>
              </w:rPr>
              <w:t>投资策略</w:t>
            </w:r>
          </w:p>
        </w:tc>
        <w:tc>
          <w:tcPr>
            <w:tcW w:w="6614" w:type="dxa"/>
            <w:noWrap w:val="0"/>
            <w:vAlign w:val="center"/>
          </w:tcPr>
          <w:p>
            <w:pPr>
              <w:ind w:left="59" w:right="73" w:rightChars="35"/>
              <w:rPr>
                <w:rFonts w:hint="eastAsia" w:ascii="楷体" w:hAnsi="楷体" w:eastAsia="楷体" w:cs="宋体"/>
                <w:spacing w:val="-2"/>
                <w:kern w:val="0"/>
                <w:szCs w:val="21"/>
              </w:rPr>
            </w:pPr>
            <w:r>
              <w:rPr>
                <w:rFonts w:hint="eastAsia" w:ascii="楷体" w:hAnsi="楷体" w:eastAsia="楷体" w:cs="宋体"/>
                <w:spacing w:val="-2"/>
                <w:kern w:val="0"/>
                <w:szCs w:val="21"/>
              </w:rPr>
              <w:t>ESG是环境(Environmental)、社会责任(Social)、公司治理(Governance)的缩写,包括企业对环境的影响、对社会的责任以及企业内部的公司治理情况。</w:t>
            </w:r>
          </w:p>
          <w:p>
            <w:pPr>
              <w:ind w:left="59" w:leftChars="0" w:right="73" w:rightChars="35"/>
              <w:rPr>
                <w:rFonts w:hint="eastAsia" w:ascii="楷体" w:hAnsi="楷体" w:eastAsia="楷体" w:cs="宋体"/>
                <w:b/>
                <w:spacing w:val="-2"/>
                <w:szCs w:val="21"/>
                <w:u w:val="single"/>
              </w:rPr>
            </w:pPr>
            <w:r>
              <w:rPr>
                <w:rFonts w:hint="eastAsia" w:ascii="楷体" w:hAnsi="楷体" w:eastAsia="楷体" w:cs="宋体"/>
                <w:spacing w:val="-2"/>
                <w:kern w:val="0"/>
                <w:szCs w:val="21"/>
              </w:rPr>
              <w:t>本理财产品在投资品种选择上，积极贯彻ESG责任投资理念，综合考虑行业发展、社会贡献、绿色环保、公司业绩、内部治理等因素，优选符合ESG理念的行业进行重点配置，并且进行紧密的投后跟踪管理，严格控制产品投资风险，在充分践行ESG可持续发展投资理念的同时，让投资者在风险相对可控的情况下分享市场快速发展的红利，以更好地实现投资者财富保值增值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8"/>
              <w:ind w:left="55"/>
              <w:jc w:val="both"/>
              <w:rPr>
                <w:rFonts w:ascii="楷体" w:hAnsi="楷体" w:eastAsia="楷体" w:cs="宋体"/>
                <w:spacing w:val="-2"/>
                <w:sz w:val="21"/>
                <w:szCs w:val="21"/>
              </w:rPr>
            </w:pPr>
            <w:r>
              <w:rPr>
                <w:rFonts w:hint="eastAsia" w:ascii="楷体" w:hAnsi="楷体" w:eastAsia="楷体" w:cs="宋体"/>
                <w:b/>
                <w:spacing w:val="-2"/>
                <w:sz w:val="21"/>
                <w:szCs w:val="21"/>
              </w:rPr>
              <w:t>产品费用</w:t>
            </w:r>
          </w:p>
        </w:tc>
        <w:tc>
          <w:tcPr>
            <w:tcW w:w="6614" w:type="dxa"/>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本产品费用包括托管费、销售服务费、投资管理费、超额业绩报酬（如有）以及产品运作和清算中产生的其他费用等。</w:t>
            </w:r>
          </w:p>
          <w:p>
            <w:pPr>
              <w:ind w:left="59" w:right="73" w:rightChars="35"/>
              <w:rPr>
                <w:rFonts w:ascii="楷体" w:hAnsi="楷体" w:eastAsia="楷体" w:cs="宋体"/>
                <w:spacing w:val="-2"/>
                <w:szCs w:val="21"/>
              </w:rPr>
            </w:pPr>
            <w:r>
              <w:rPr>
                <w:rFonts w:hint="eastAsia" w:ascii="楷体" w:hAnsi="楷体" w:eastAsia="楷体" w:cs="宋体"/>
                <w:spacing w:val="-2"/>
                <w:szCs w:val="21"/>
              </w:rPr>
              <w:t>1.托管费率：0.02%/年；</w:t>
            </w:r>
          </w:p>
          <w:p>
            <w:pPr>
              <w:ind w:left="59" w:right="73" w:rightChars="35"/>
              <w:rPr>
                <w:rFonts w:ascii="楷体" w:hAnsi="楷体" w:eastAsia="楷体" w:cs="宋体"/>
                <w:spacing w:val="-2"/>
                <w:szCs w:val="21"/>
              </w:rPr>
            </w:pPr>
            <w:r>
              <w:rPr>
                <w:rFonts w:hint="eastAsia" w:ascii="楷体" w:hAnsi="楷体" w:eastAsia="楷体" w:cs="宋体"/>
                <w:spacing w:val="-2"/>
                <w:szCs w:val="21"/>
              </w:rPr>
              <w:t>2.销售服务费率：A份额0.</w:t>
            </w:r>
            <w:r>
              <w:rPr>
                <w:rFonts w:hint="eastAsia" w:ascii="楷体" w:hAnsi="楷体" w:eastAsia="楷体" w:cs="宋体"/>
                <w:spacing w:val="-2"/>
                <w:szCs w:val="21"/>
                <w:lang w:val="en-US" w:eastAsia="zh-CN"/>
              </w:rPr>
              <w:t>10</w:t>
            </w:r>
            <w:r>
              <w:rPr>
                <w:rFonts w:hint="eastAsia" w:ascii="楷体" w:hAnsi="楷体" w:eastAsia="楷体" w:cs="宋体"/>
                <w:spacing w:val="-2"/>
                <w:szCs w:val="21"/>
              </w:rPr>
              <w:t>%/年，B份额0.</w:t>
            </w:r>
            <w:r>
              <w:rPr>
                <w:rFonts w:hint="eastAsia" w:ascii="楷体" w:hAnsi="楷体" w:eastAsia="楷体" w:cs="宋体"/>
                <w:spacing w:val="-2"/>
                <w:szCs w:val="21"/>
                <w:lang w:val="en-US" w:eastAsia="zh-CN"/>
              </w:rPr>
              <w:t>15</w:t>
            </w:r>
            <w:r>
              <w:rPr>
                <w:rFonts w:hint="eastAsia" w:ascii="楷体" w:hAnsi="楷体" w:eastAsia="楷体" w:cs="宋体"/>
                <w:spacing w:val="-2"/>
                <w:szCs w:val="21"/>
              </w:rPr>
              <w:t>%/年，C份额0.</w:t>
            </w:r>
            <w:r>
              <w:rPr>
                <w:rFonts w:hint="eastAsia" w:ascii="楷体" w:hAnsi="楷体" w:eastAsia="楷体" w:cs="宋体"/>
                <w:spacing w:val="-2"/>
                <w:szCs w:val="21"/>
                <w:lang w:val="en-US" w:eastAsia="zh-CN"/>
              </w:rPr>
              <w:t>05</w:t>
            </w:r>
            <w:r>
              <w:rPr>
                <w:rFonts w:hint="eastAsia" w:ascii="楷体" w:hAnsi="楷体" w:eastAsia="楷体" w:cs="宋体"/>
                <w:spacing w:val="-2"/>
                <w:szCs w:val="21"/>
              </w:rPr>
              <w:t>%/年</w:t>
            </w:r>
            <w:r>
              <w:rPr>
                <w:rFonts w:hint="eastAsia" w:ascii="楷体" w:hAnsi="楷体" w:eastAsia="楷体" w:cs="宋体"/>
                <w:spacing w:val="-2"/>
                <w:szCs w:val="21"/>
                <w:lang w:val="en-US" w:eastAsia="zh-CN"/>
              </w:rPr>
              <w:t>，D</w:t>
            </w:r>
            <w:r>
              <w:rPr>
                <w:rFonts w:hint="eastAsia" w:ascii="楷体" w:hAnsi="楷体" w:eastAsia="楷体" w:cs="宋体"/>
                <w:spacing w:val="-2"/>
                <w:szCs w:val="21"/>
              </w:rPr>
              <w:t>份额0.</w:t>
            </w:r>
            <w:r>
              <w:rPr>
                <w:rFonts w:hint="eastAsia" w:ascii="楷体" w:hAnsi="楷体" w:eastAsia="楷体" w:cs="宋体"/>
                <w:spacing w:val="-2"/>
                <w:szCs w:val="21"/>
                <w:lang w:val="en-US" w:eastAsia="zh-CN"/>
              </w:rPr>
              <w:t>2</w:t>
            </w:r>
            <w:r>
              <w:rPr>
                <w:rFonts w:hint="eastAsia" w:ascii="楷体" w:hAnsi="楷体" w:eastAsia="楷体" w:cs="宋体"/>
                <w:spacing w:val="-2"/>
                <w:szCs w:val="21"/>
              </w:rPr>
              <w:t>0%/年</w:t>
            </w:r>
            <w:r>
              <w:rPr>
                <w:rFonts w:hint="eastAsia" w:ascii="楷体" w:hAnsi="楷体" w:eastAsia="楷体" w:cs="宋体"/>
                <w:spacing w:val="-2"/>
                <w:szCs w:val="21"/>
                <w:lang w:val="en-US" w:eastAsia="zh-CN"/>
              </w:rPr>
              <w:t>，</w:t>
            </w:r>
            <w:r>
              <w:rPr>
                <w:rFonts w:hint="eastAsia" w:ascii="楷体" w:hAnsi="楷体" w:eastAsia="楷体" w:cs="宋体"/>
                <w:bCs/>
                <w:spacing w:val="-2"/>
                <w:kern w:val="2"/>
                <w:sz w:val="21"/>
                <w:szCs w:val="21"/>
                <w:lang w:val="en-US" w:eastAsia="zh-CN"/>
              </w:rPr>
              <w:t>E份额0.05%/年，F份额0.15%/年，G份额0.20%/年，H份额0.30%/年，I份额0.40%/年，AJS份额0.20%/年</w:t>
            </w:r>
            <w:r>
              <w:rPr>
                <w:rFonts w:hint="eastAsia" w:ascii="楷体" w:hAnsi="楷体" w:eastAsia="楷体" w:cs="宋体"/>
                <w:spacing w:val="-2"/>
                <w:szCs w:val="21"/>
              </w:rPr>
              <w:t>；</w:t>
            </w:r>
          </w:p>
          <w:p>
            <w:pPr>
              <w:ind w:left="59" w:right="73" w:rightChars="35"/>
              <w:rPr>
                <w:rFonts w:ascii="楷体" w:hAnsi="楷体" w:eastAsia="楷体" w:cs="宋体"/>
                <w:spacing w:val="-2"/>
                <w:szCs w:val="21"/>
              </w:rPr>
            </w:pPr>
            <w:r>
              <w:rPr>
                <w:rFonts w:hint="eastAsia" w:ascii="楷体" w:hAnsi="楷体" w:eastAsia="楷体" w:cs="宋体"/>
                <w:spacing w:val="-2"/>
                <w:szCs w:val="21"/>
              </w:rPr>
              <w:t>3.投资管理费率：A份额0.</w:t>
            </w:r>
            <w:r>
              <w:rPr>
                <w:rFonts w:hint="eastAsia" w:ascii="楷体" w:hAnsi="楷体" w:eastAsia="楷体" w:cs="宋体"/>
                <w:spacing w:val="-2"/>
                <w:szCs w:val="21"/>
                <w:lang w:val="en-US" w:eastAsia="zh-CN"/>
              </w:rPr>
              <w:t>06</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spacing w:val="-2"/>
                <w:szCs w:val="21"/>
              </w:rPr>
              <w:t>B份额0.</w:t>
            </w:r>
            <w:r>
              <w:rPr>
                <w:rFonts w:hint="eastAsia" w:ascii="楷体" w:hAnsi="楷体" w:eastAsia="楷体" w:cs="宋体"/>
                <w:spacing w:val="-2"/>
                <w:szCs w:val="21"/>
                <w:lang w:val="en-US" w:eastAsia="zh-CN"/>
              </w:rPr>
              <w:t>11%</w:t>
            </w:r>
            <w:r>
              <w:rPr>
                <w:rFonts w:hint="eastAsia" w:ascii="楷体" w:hAnsi="楷体" w:eastAsia="楷体" w:cs="宋体"/>
                <w:spacing w:val="-2"/>
                <w:szCs w:val="21"/>
              </w:rPr>
              <w:t>/年，C份额0.</w:t>
            </w:r>
            <w:r>
              <w:rPr>
                <w:rFonts w:hint="eastAsia" w:ascii="楷体" w:hAnsi="楷体" w:eastAsia="楷体" w:cs="宋体"/>
                <w:spacing w:val="-2"/>
                <w:szCs w:val="21"/>
                <w:lang w:val="en-US" w:eastAsia="zh-CN"/>
              </w:rPr>
              <w:t>06</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spacing w:val="-2"/>
                <w:szCs w:val="21"/>
                <w:lang w:val="en-US" w:eastAsia="zh-CN"/>
              </w:rPr>
              <w:t>D</w:t>
            </w:r>
            <w:r>
              <w:rPr>
                <w:rFonts w:hint="eastAsia" w:ascii="楷体" w:hAnsi="楷体" w:eastAsia="楷体" w:cs="宋体"/>
                <w:spacing w:val="-2"/>
                <w:szCs w:val="21"/>
              </w:rPr>
              <w:t>份额0.</w:t>
            </w:r>
            <w:r>
              <w:rPr>
                <w:rFonts w:hint="eastAsia" w:ascii="楷体" w:hAnsi="楷体" w:eastAsia="楷体" w:cs="宋体"/>
                <w:spacing w:val="-2"/>
                <w:szCs w:val="21"/>
                <w:lang w:val="en-US" w:eastAsia="zh-CN"/>
              </w:rPr>
              <w:t>06</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bCs/>
                <w:spacing w:val="-2"/>
                <w:kern w:val="2"/>
                <w:sz w:val="21"/>
                <w:szCs w:val="21"/>
                <w:lang w:val="en-US" w:eastAsia="zh-CN"/>
              </w:rPr>
              <w:t>E份额0.01%/年，F份额0.06%/年，G份额0.06%/年，H份额0.06%/年，I份额0.06%/年，AJS份额0.06%/年</w:t>
            </w:r>
            <w:r>
              <w:rPr>
                <w:rFonts w:hint="eastAsia" w:ascii="楷体" w:hAnsi="楷体" w:eastAsia="楷体" w:cs="宋体"/>
                <w:spacing w:val="-2"/>
                <w:szCs w:val="21"/>
              </w:rPr>
              <w:t>；</w:t>
            </w:r>
          </w:p>
          <w:p>
            <w:pPr>
              <w:ind w:left="59" w:right="73" w:rightChars="35"/>
              <w:rPr>
                <w:rFonts w:ascii="楷体" w:hAnsi="楷体" w:eastAsia="楷体" w:cs="宋体"/>
                <w:spacing w:val="-2"/>
                <w:szCs w:val="21"/>
              </w:rPr>
            </w:pPr>
            <w:r>
              <w:rPr>
                <w:rFonts w:hint="eastAsia" w:ascii="楷体" w:hAnsi="楷体" w:eastAsia="楷体" w:cs="宋体"/>
                <w:spacing w:val="-2"/>
                <w:szCs w:val="21"/>
              </w:rPr>
              <w:t>4.超额业绩报酬：若产品各份额实际投资收益在扣除托管费、销售服务费、投资管理费</w:t>
            </w:r>
            <w:r>
              <w:rPr>
                <w:rFonts w:hint="eastAsia" w:ascii="楷体" w:hAnsi="楷体" w:eastAsia="楷体" w:cs="宋体"/>
                <w:spacing w:val="-2"/>
                <w:szCs w:val="21"/>
                <w:lang w:val="en-US" w:eastAsia="zh-CN"/>
              </w:rPr>
              <w:t>等费用</w:t>
            </w:r>
            <w:r>
              <w:rPr>
                <w:rFonts w:hint="eastAsia" w:ascii="楷体" w:hAnsi="楷体" w:eastAsia="楷体" w:cs="宋体"/>
                <w:spacing w:val="-2"/>
                <w:szCs w:val="21"/>
              </w:rPr>
              <w:t>后超过各份额业绩比较基准，产品管理人将按照超出部分的</w:t>
            </w:r>
            <w:r>
              <w:rPr>
                <w:rFonts w:hint="eastAsia" w:ascii="楷体" w:hAnsi="楷体" w:eastAsia="楷体" w:cs="宋体"/>
                <w:spacing w:val="-2"/>
                <w:szCs w:val="21"/>
                <w:lang w:val="en-US" w:eastAsia="zh-CN"/>
              </w:rPr>
              <w:t>5</w:t>
            </w:r>
            <w:r>
              <w:rPr>
                <w:rFonts w:hint="eastAsia" w:ascii="楷体" w:hAnsi="楷体" w:eastAsia="楷体" w:cs="宋体"/>
                <w:spacing w:val="-2"/>
                <w:szCs w:val="21"/>
              </w:rPr>
              <w:t>0%收取超额业绩报酬。</w:t>
            </w:r>
          </w:p>
          <w:p>
            <w:pPr>
              <w:ind w:left="59" w:right="73" w:rightChars="35"/>
              <w:rPr>
                <w:rFonts w:ascii="楷体" w:hAnsi="楷体" w:eastAsia="楷体" w:cs="宋体"/>
                <w:spacing w:val="-2"/>
                <w:szCs w:val="21"/>
              </w:rPr>
            </w:pPr>
            <w:r>
              <w:rPr>
                <w:rFonts w:hint="eastAsia" w:ascii="楷体" w:hAnsi="楷体" w:eastAsia="楷体" w:cs="宋体"/>
                <w:spacing w:val="-2"/>
                <w:szCs w:val="21"/>
              </w:rPr>
              <w:t>产品存续期内理财产品将每日暂估超额业绩报酬，仅用于理财产品会计核算，并将扣除“暂估超额业绩报酬”后的理财产品份额净值按照说明书约定向投资者进行披露。理财产品实际的超额业绩报酬以到期日计提核算的数值为准。计算累计年化收益率和业绩比较基准时，1年按365日计算。</w:t>
            </w:r>
          </w:p>
          <w:p>
            <w:pPr>
              <w:ind w:left="59" w:right="73" w:rightChars="35"/>
              <w:rPr>
                <w:rFonts w:ascii="楷体" w:hAnsi="楷体" w:eastAsia="楷体"/>
                <w:sz w:val="24"/>
                <w:szCs w:val="24"/>
              </w:rPr>
            </w:pPr>
            <w:r>
              <w:rPr>
                <w:rFonts w:hint="eastAsia" w:ascii="楷体" w:hAnsi="楷体" w:eastAsia="楷体" w:cs="宋体"/>
                <w:spacing w:val="-2"/>
                <w:szCs w:val="21"/>
              </w:rPr>
              <w:t>产品存续期内苏银理财可对费用进行调整，实际收取费率以管理人公告为准。</w:t>
            </w:r>
            <w:r>
              <w:rPr>
                <w:rFonts w:hint="eastAsia" w:ascii="楷体" w:hAnsi="楷体" w:eastAsia="楷体" w:cs="宋体"/>
                <w:b/>
                <w:spacing w:val="-2"/>
                <w:szCs w:val="21"/>
                <w:u w:val="single"/>
              </w:rPr>
              <w:t>本产品设置有多个份额，各份额按照设置的销售对象和销售起点进行销售，各份额实际收取的销售服务费率和投资管理费率可能存在差异，客户根据产品销售时设置的条件自主选择购买。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估值日</w:t>
            </w:r>
          </w:p>
        </w:tc>
        <w:tc>
          <w:tcPr>
            <w:tcW w:w="6614" w:type="dxa"/>
            <w:tcBorders>
              <w:bottom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每周估值，并于估值日后第2个工作日内，通过本产品说明书约定方式披露产品单位净值。详见下文“九、产品估值”。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信息披露</w:t>
            </w:r>
          </w:p>
        </w:tc>
        <w:tc>
          <w:tcPr>
            <w:tcW w:w="6614" w:type="dxa"/>
            <w:tcBorders>
              <w:bottom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管理人将按照《产品说明书》中约定的方式进行信息披露，详见下文“十四、信息披露”。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收益分配</w:t>
            </w:r>
          </w:p>
        </w:tc>
        <w:tc>
          <w:tcPr>
            <w:tcW w:w="6614" w:type="dxa"/>
            <w:tcBorders>
              <w:bottom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本产品无分红机制，投资运作情况体现为产品净值变化。产品投资运作到期，投资收益扣除相关费用后，全部分配给投资者。</w:t>
            </w:r>
            <w:r>
              <w:rPr>
                <w:rFonts w:ascii="楷体" w:hAnsi="楷体" w:eastAsia="楷体" w:cs="宋体"/>
                <w:spacing w:val="-2"/>
                <w:szCs w:val="21"/>
              </w:rPr>
              <w:t>详见下文</w:t>
            </w:r>
            <w:r>
              <w:rPr>
                <w:rFonts w:hint="eastAsia" w:ascii="楷体" w:hAnsi="楷体" w:eastAsia="楷体" w:cs="宋体"/>
                <w:spacing w:val="-2"/>
                <w:szCs w:val="21"/>
              </w:rPr>
              <w:t>“十、产品的终止与清算”。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top w:val="single" w:color="auto" w:sz="4" w:space="0"/>
              <w:left w:val="single" w:color="auto" w:sz="4" w:space="0"/>
              <w:bottom w:val="single" w:color="auto" w:sz="4" w:space="0"/>
              <w:right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税款</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 xml:space="preserve">本产品运作过程中涉及的各纳税主体，其纳税义务按国家税收法律、法规执行。详见下文“十二、税收规定”。 </w:t>
            </w:r>
          </w:p>
        </w:tc>
      </w:tr>
    </w:tbl>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产品管理人</w:t>
      </w:r>
    </w:p>
    <w:p>
      <w:pPr>
        <w:ind w:firstLine="480" w:firstLineChars="200"/>
        <w:rPr>
          <w:rFonts w:ascii="楷体" w:hAnsi="楷体" w:eastAsia="楷体"/>
          <w:sz w:val="24"/>
          <w:szCs w:val="24"/>
        </w:rPr>
      </w:pPr>
      <w:r>
        <w:rPr>
          <w:rFonts w:hint="eastAsia" w:ascii="楷体" w:hAnsi="楷体" w:eastAsia="楷体"/>
          <w:sz w:val="24"/>
          <w:szCs w:val="24"/>
        </w:rPr>
        <w:t>本产品管理人为苏银理财有限责任公司，苏银理财系江苏银行股份有限公司全资控股的银行理财子公司。公司成立于2020年8月，注册资本为20亿元人民币，全部由江苏银行股份有限公司以货币资金认购并一次性足额缴纳。公司注册地为江苏省南京市。公司主要业务范围为：面向不特定社会公众公开发行理财产品，对受托的投资和财产进行投资和管理；面向合格投资者非公开发行理财产品，对受托的投资和财产进行投资和管理；理财顾问和咨询服务；经监管机构批准的其他业务等。</w:t>
      </w:r>
    </w:p>
    <w:p>
      <w:pPr>
        <w:ind w:firstLine="480" w:firstLineChars="200"/>
        <w:rPr>
          <w:rFonts w:ascii="楷体" w:hAnsi="楷体" w:eastAsia="楷体"/>
          <w:sz w:val="24"/>
          <w:szCs w:val="24"/>
        </w:rPr>
      </w:pPr>
      <w:r>
        <w:rPr>
          <w:rFonts w:hint="eastAsia" w:ascii="楷体" w:hAnsi="楷体" w:eastAsia="楷体"/>
          <w:sz w:val="24"/>
          <w:szCs w:val="24"/>
        </w:rPr>
        <w:t>投资</w:t>
      </w:r>
      <w:r>
        <w:rPr>
          <w:rFonts w:ascii="楷体" w:hAnsi="楷体" w:eastAsia="楷体"/>
          <w:sz w:val="24"/>
          <w:szCs w:val="24"/>
        </w:rPr>
        <w:t>者</w:t>
      </w:r>
      <w:r>
        <w:rPr>
          <w:rFonts w:hint="eastAsia" w:ascii="楷体" w:hAnsi="楷体" w:eastAsia="楷体"/>
          <w:sz w:val="24"/>
          <w:szCs w:val="24"/>
        </w:rPr>
        <w:t>在此</w:t>
      </w:r>
      <w:r>
        <w:rPr>
          <w:rFonts w:ascii="楷体" w:hAnsi="楷体" w:eastAsia="楷体"/>
          <w:sz w:val="24"/>
          <w:szCs w:val="24"/>
        </w:rPr>
        <w:t>授权并同意苏银理财享有以下权利：</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本理财产品合同</w:t>
      </w:r>
      <w:r>
        <w:rPr>
          <w:rFonts w:hint="eastAsia" w:ascii="楷体" w:hAnsi="楷体" w:eastAsia="楷体" w:cs="Calibri"/>
          <w:sz w:val="24"/>
          <w:szCs w:val="24"/>
        </w:rPr>
        <w:t>的</w:t>
      </w:r>
      <w:r>
        <w:rPr>
          <w:rFonts w:ascii="楷体" w:hAnsi="楷体" w:eastAsia="楷体" w:cs="Calibri"/>
          <w:sz w:val="24"/>
          <w:szCs w:val="24"/>
        </w:rPr>
        <w:t>约定，管理、运用和处分理财计划资金。</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w:t>
      </w:r>
      <w:r>
        <w:rPr>
          <w:rFonts w:hint="eastAsia" w:ascii="楷体" w:hAnsi="楷体" w:eastAsia="楷体" w:cs="Calibri"/>
          <w:sz w:val="24"/>
          <w:szCs w:val="24"/>
        </w:rPr>
        <w:t>产品</w:t>
      </w:r>
      <w:r>
        <w:rPr>
          <w:rFonts w:ascii="楷体" w:hAnsi="楷体" w:eastAsia="楷体" w:cs="Calibri"/>
          <w:sz w:val="24"/>
          <w:szCs w:val="24"/>
        </w:rPr>
        <w:t>合同的约定，及时、足额获得投资管理费。</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有权根据本理财产品合同的约定提前终止</w:t>
      </w:r>
      <w:r>
        <w:rPr>
          <w:rFonts w:hint="eastAsia" w:ascii="楷体" w:hAnsi="楷体" w:eastAsia="楷体" w:cs="Calibri"/>
          <w:sz w:val="24"/>
          <w:szCs w:val="24"/>
        </w:rPr>
        <w:t>或</w:t>
      </w:r>
      <w:r>
        <w:rPr>
          <w:rFonts w:ascii="楷体" w:hAnsi="楷体" w:eastAsia="楷体" w:cs="Calibri"/>
          <w:sz w:val="24"/>
          <w:szCs w:val="24"/>
        </w:rPr>
        <w:t>延长</w:t>
      </w:r>
      <w:r>
        <w:rPr>
          <w:rFonts w:hint="eastAsia" w:ascii="楷体" w:hAnsi="楷体" w:eastAsia="楷体" w:cs="Calibri"/>
          <w:sz w:val="24"/>
          <w:szCs w:val="24"/>
        </w:rPr>
        <w:t>本</w:t>
      </w:r>
      <w:r>
        <w:rPr>
          <w:rFonts w:ascii="楷体" w:hAnsi="楷体" w:eastAsia="楷体" w:cs="Calibri"/>
          <w:sz w:val="24"/>
          <w:szCs w:val="24"/>
        </w:rPr>
        <w:t>理财产品的期限。</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w:t>
      </w:r>
      <w:r>
        <w:rPr>
          <w:rFonts w:hint="eastAsia" w:ascii="楷体" w:hAnsi="楷体" w:eastAsia="楷体" w:cs="Calibri"/>
          <w:sz w:val="24"/>
          <w:szCs w:val="24"/>
        </w:rPr>
        <w:t>调整</w:t>
      </w:r>
      <w:r>
        <w:rPr>
          <w:rFonts w:ascii="楷体" w:hAnsi="楷体" w:eastAsia="楷体" w:cs="Calibri"/>
          <w:sz w:val="24"/>
          <w:szCs w:val="24"/>
        </w:rPr>
        <w:t>本</w:t>
      </w:r>
      <w:r>
        <w:rPr>
          <w:rFonts w:hint="eastAsia" w:ascii="楷体" w:hAnsi="楷体" w:eastAsia="楷体" w:cs="Calibri"/>
          <w:sz w:val="24"/>
          <w:szCs w:val="24"/>
        </w:rPr>
        <w:t>理财</w:t>
      </w:r>
      <w:r>
        <w:rPr>
          <w:rFonts w:ascii="楷体" w:hAnsi="楷体" w:eastAsia="楷体" w:cs="Calibri"/>
          <w:sz w:val="24"/>
          <w:szCs w:val="24"/>
        </w:rPr>
        <w:t>产品的认购规模</w:t>
      </w:r>
      <w:r>
        <w:rPr>
          <w:rFonts w:hint="eastAsia" w:ascii="楷体" w:hAnsi="楷体" w:eastAsia="楷体" w:cs="Calibri"/>
          <w:sz w:val="24"/>
          <w:szCs w:val="24"/>
        </w:rPr>
        <w:t>上限</w:t>
      </w:r>
      <w:r>
        <w:rPr>
          <w:rFonts w:ascii="楷体" w:hAnsi="楷体" w:eastAsia="楷体" w:cs="Calibri"/>
          <w:sz w:val="24"/>
          <w:szCs w:val="24"/>
        </w:rPr>
        <w:t>、认购起点、</w:t>
      </w:r>
      <w:r>
        <w:rPr>
          <w:rFonts w:hint="eastAsia" w:ascii="楷体" w:hAnsi="楷体" w:eastAsia="楷体" w:cs="Calibri"/>
          <w:sz w:val="24"/>
          <w:szCs w:val="24"/>
        </w:rPr>
        <w:t>认购</w:t>
      </w:r>
      <w:r>
        <w:rPr>
          <w:rFonts w:ascii="楷体" w:hAnsi="楷体" w:eastAsia="楷体" w:cs="Calibri"/>
          <w:sz w:val="24"/>
          <w:szCs w:val="24"/>
        </w:rPr>
        <w:t>金额上限、认购资金的最</w:t>
      </w:r>
      <w:r>
        <w:rPr>
          <w:rFonts w:hint="eastAsia" w:ascii="楷体" w:hAnsi="楷体" w:eastAsia="楷体" w:cs="Calibri"/>
          <w:sz w:val="24"/>
          <w:szCs w:val="24"/>
        </w:rPr>
        <w:t>低</w:t>
      </w:r>
      <w:r>
        <w:rPr>
          <w:rFonts w:ascii="楷体" w:hAnsi="楷体" w:eastAsia="楷体" w:cs="Calibri"/>
          <w:sz w:val="24"/>
          <w:szCs w:val="24"/>
        </w:rPr>
        <w:t>金额等</w:t>
      </w:r>
      <w:r>
        <w:rPr>
          <w:rFonts w:hint="eastAsia" w:ascii="楷体" w:hAnsi="楷体" w:eastAsia="楷体" w:cs="Calibri"/>
          <w:sz w:val="24"/>
          <w:szCs w:val="24"/>
        </w:rPr>
        <w:t>要素</w:t>
      </w:r>
      <w:r>
        <w:rPr>
          <w:rFonts w:ascii="楷体" w:hAnsi="楷体" w:eastAsia="楷体" w:cs="Calibri"/>
          <w:sz w:val="24"/>
          <w:szCs w:val="24"/>
        </w:rPr>
        <w:t>。</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有权依照法律规定和监管机构的要求将投资者的信息向有权部门或相关机构披露。</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理财产品投资管理人的名义，依照法律法规相关规定以及为理财产品的利益，对被投资的各类基金、公司/</w:t>
      </w:r>
      <w:r>
        <w:rPr>
          <w:rFonts w:hint="eastAsia" w:ascii="楷体" w:hAnsi="楷体" w:eastAsia="楷体" w:cs="Calibri"/>
          <w:sz w:val="24"/>
          <w:szCs w:val="24"/>
        </w:rPr>
        <w:t>企业</w:t>
      </w:r>
      <w:r>
        <w:rPr>
          <w:rFonts w:ascii="楷体" w:hAnsi="楷体" w:eastAsia="楷体" w:cs="Calibri"/>
          <w:sz w:val="24"/>
          <w:szCs w:val="24"/>
        </w:rPr>
        <w:t>等</w:t>
      </w:r>
      <w:r>
        <w:rPr>
          <w:rFonts w:hint="eastAsia" w:ascii="楷体" w:hAnsi="楷体" w:eastAsia="楷体" w:cs="Calibri"/>
          <w:sz w:val="24"/>
          <w:szCs w:val="24"/>
        </w:rPr>
        <w:t>行使</w:t>
      </w:r>
      <w:r>
        <w:rPr>
          <w:rFonts w:ascii="楷体" w:hAnsi="楷体" w:eastAsia="楷体" w:cs="Calibri"/>
          <w:sz w:val="24"/>
          <w:szCs w:val="24"/>
        </w:rPr>
        <w:t>出资人</w:t>
      </w:r>
      <w:r>
        <w:rPr>
          <w:rFonts w:hint="eastAsia" w:ascii="楷体" w:hAnsi="楷体" w:eastAsia="楷体" w:cs="Calibri"/>
          <w:sz w:val="24"/>
          <w:szCs w:val="24"/>
        </w:rPr>
        <w:t>/投资者</w:t>
      </w:r>
      <w:r>
        <w:rPr>
          <w:rFonts w:ascii="楷体" w:hAnsi="楷体" w:eastAsia="楷体" w:cs="Calibri"/>
          <w:sz w:val="24"/>
          <w:szCs w:val="24"/>
        </w:rPr>
        <w:t>权利（</w:t>
      </w:r>
      <w:r>
        <w:rPr>
          <w:rFonts w:hint="eastAsia" w:ascii="楷体" w:hAnsi="楷体" w:eastAsia="楷体" w:cs="Calibri"/>
          <w:sz w:val="24"/>
          <w:szCs w:val="24"/>
        </w:rPr>
        <w:t>包括</w:t>
      </w:r>
      <w:r>
        <w:rPr>
          <w:rFonts w:ascii="楷体" w:hAnsi="楷体" w:eastAsia="楷体" w:cs="Calibri"/>
          <w:sz w:val="24"/>
          <w:szCs w:val="24"/>
        </w:rPr>
        <w:t>但不限于表决投票的权利）</w:t>
      </w:r>
      <w:r>
        <w:rPr>
          <w:rFonts w:hint="eastAsia" w:ascii="楷体" w:hAnsi="楷体" w:eastAsia="楷体" w:cs="Calibri"/>
          <w:sz w:val="24"/>
          <w:szCs w:val="24"/>
        </w:rPr>
        <w:t>以及行使</w:t>
      </w:r>
      <w:r>
        <w:rPr>
          <w:rFonts w:ascii="楷体" w:hAnsi="楷体" w:eastAsia="楷体" w:cs="Calibri"/>
          <w:sz w:val="24"/>
          <w:szCs w:val="24"/>
        </w:rPr>
        <w:t>因理财产品投资于证券类基础资产（</w:t>
      </w:r>
      <w:r>
        <w:rPr>
          <w:rFonts w:hint="eastAsia" w:ascii="楷体" w:hAnsi="楷体" w:eastAsia="楷体" w:cs="Calibri"/>
          <w:sz w:val="24"/>
          <w:szCs w:val="24"/>
        </w:rPr>
        <w:t>含</w:t>
      </w:r>
      <w:r>
        <w:rPr>
          <w:rFonts w:ascii="楷体" w:hAnsi="楷体" w:eastAsia="楷体" w:cs="Calibri"/>
          <w:sz w:val="24"/>
          <w:szCs w:val="24"/>
        </w:rPr>
        <w:t>债券）</w:t>
      </w:r>
      <w:r>
        <w:rPr>
          <w:rFonts w:hint="eastAsia" w:ascii="楷体" w:hAnsi="楷体" w:eastAsia="楷体" w:cs="Calibri"/>
          <w:sz w:val="24"/>
          <w:szCs w:val="24"/>
        </w:rPr>
        <w:t>或</w:t>
      </w:r>
      <w:r>
        <w:rPr>
          <w:rFonts w:ascii="楷体" w:hAnsi="楷体" w:eastAsia="楷体" w:cs="Calibri"/>
          <w:sz w:val="24"/>
          <w:szCs w:val="24"/>
        </w:rPr>
        <w:t>其他基础资产（</w:t>
      </w:r>
      <w:r>
        <w:rPr>
          <w:rFonts w:hint="eastAsia" w:ascii="楷体" w:hAnsi="楷体" w:eastAsia="楷体" w:cs="Calibri"/>
          <w:sz w:val="24"/>
          <w:szCs w:val="24"/>
        </w:rPr>
        <w:t>包括</w:t>
      </w:r>
      <w:r>
        <w:rPr>
          <w:rFonts w:ascii="楷体" w:hAnsi="楷体" w:eastAsia="楷体" w:cs="Calibri"/>
          <w:sz w:val="24"/>
          <w:szCs w:val="24"/>
        </w:rPr>
        <w:t>但不限于债权类资产）</w:t>
      </w:r>
      <w:r>
        <w:rPr>
          <w:rFonts w:hint="eastAsia" w:ascii="楷体" w:hAnsi="楷体" w:eastAsia="楷体" w:cs="Calibri"/>
          <w:sz w:val="24"/>
          <w:szCs w:val="24"/>
        </w:rPr>
        <w:t>所产生</w:t>
      </w:r>
      <w:r>
        <w:rPr>
          <w:rFonts w:ascii="楷体" w:hAnsi="楷体" w:eastAsia="楷体" w:cs="Calibri"/>
          <w:sz w:val="24"/>
          <w:szCs w:val="24"/>
        </w:rPr>
        <w:t>的相关权利。</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w:t>
      </w:r>
      <w:r>
        <w:rPr>
          <w:rFonts w:hint="eastAsia" w:ascii="楷体" w:hAnsi="楷体" w:eastAsia="楷体" w:cs="Calibri"/>
          <w:sz w:val="24"/>
          <w:szCs w:val="24"/>
        </w:rPr>
        <w:t>法律法规相关规定以及代表理财产品份额持有人的利益行使代为追索的权利（包括但不限于提起诉讼/仲裁、申请保全/执行的权利）或者实施其他法律行为。</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法律法规、监管政策和本理财计划文件约定的其他权利。</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销售机构</w:t>
      </w:r>
    </w:p>
    <w:p>
      <w:pPr>
        <w:ind w:firstLine="480" w:firstLineChars="200"/>
        <w:rPr>
          <w:rFonts w:ascii="楷体" w:hAnsi="楷体" w:eastAsia="楷体"/>
          <w:sz w:val="24"/>
          <w:szCs w:val="24"/>
        </w:rPr>
      </w:pPr>
      <w:r>
        <w:rPr>
          <w:rFonts w:hint="eastAsia" w:ascii="楷体" w:hAnsi="楷体" w:eastAsia="楷体"/>
          <w:sz w:val="24"/>
          <w:szCs w:val="24"/>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bCs/>
          <w:sz w:val="24"/>
          <w:szCs w:val="24"/>
          <w:u w:val="single"/>
        </w:rPr>
        <w:t>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sz w:val="24"/>
          <w:szCs w:val="24"/>
        </w:rPr>
        <w:t>本产品各份额销售机构如下：</w:t>
      </w:r>
    </w:p>
    <w:tbl>
      <w:tblPr>
        <w:tblStyle w:val="15"/>
        <w:tblW w:w="0" w:type="auto"/>
        <w:tblInd w:w="1" w:type="dxa"/>
        <w:tblLayout w:type="autofit"/>
        <w:tblCellMar>
          <w:top w:w="0" w:type="dxa"/>
          <w:left w:w="108" w:type="dxa"/>
          <w:bottom w:w="0" w:type="dxa"/>
          <w:right w:w="108" w:type="dxa"/>
        </w:tblCellMar>
      </w:tblPr>
      <w:tblGrid>
        <w:gridCol w:w="958"/>
        <w:gridCol w:w="3538"/>
        <w:gridCol w:w="4025"/>
      </w:tblGrid>
      <w:tr>
        <w:tblPrEx>
          <w:tblCellMar>
            <w:top w:w="0" w:type="dxa"/>
            <w:left w:w="108" w:type="dxa"/>
            <w:bottom w:w="0" w:type="dxa"/>
            <w:right w:w="108" w:type="dxa"/>
          </w:tblCellMar>
        </w:tblPrEx>
        <w:trPr>
          <w:trHeight w:val="255" w:hRule="atLeast"/>
        </w:trPr>
        <w:tc>
          <w:tcPr>
            <w:tcW w:w="958"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楷体" w:hAnsi="楷体" w:eastAsia="楷体" w:cs="Arial"/>
                <w:b/>
                <w:bCs/>
                <w:kern w:val="0"/>
                <w:sz w:val="20"/>
                <w:szCs w:val="20"/>
              </w:rPr>
            </w:pPr>
            <w:bookmarkStart w:id="2" w:name="_Hlk167455320"/>
            <w:r>
              <w:rPr>
                <w:rFonts w:hint="eastAsia" w:ascii="楷体" w:hAnsi="楷体" w:eastAsia="楷体" w:cs="Arial"/>
                <w:b/>
                <w:bCs/>
                <w:kern w:val="0"/>
                <w:sz w:val="20"/>
                <w:szCs w:val="20"/>
              </w:rPr>
              <w:t>份额</w:t>
            </w:r>
          </w:p>
        </w:tc>
        <w:tc>
          <w:tcPr>
            <w:tcW w:w="7563" w:type="dxa"/>
            <w:gridSpan w:val="2"/>
            <w:tcBorders>
              <w:top w:val="single" w:color="auto" w:sz="4" w:space="0"/>
              <w:left w:val="nil"/>
              <w:bottom w:val="single" w:color="auto" w:sz="4" w:space="0"/>
              <w:right w:val="single" w:color="000000" w:sz="4" w:space="0"/>
            </w:tcBorders>
            <w:noWrap/>
            <w:vAlign w:val="center"/>
          </w:tcPr>
          <w:p>
            <w:pPr>
              <w:widowControl/>
              <w:spacing w:line="0" w:lineRule="atLeast"/>
              <w:jc w:val="center"/>
              <w:rPr>
                <w:rFonts w:ascii="楷体" w:hAnsi="楷体" w:eastAsia="楷体" w:cs="Arial"/>
                <w:b/>
                <w:bCs/>
                <w:kern w:val="0"/>
                <w:sz w:val="20"/>
                <w:szCs w:val="20"/>
              </w:rPr>
            </w:pPr>
            <w:r>
              <w:rPr>
                <w:rFonts w:hint="eastAsia" w:ascii="楷体" w:hAnsi="楷体" w:eastAsia="楷体" w:cs="Arial"/>
                <w:b/>
                <w:bCs/>
                <w:kern w:val="0"/>
                <w:sz w:val="20"/>
                <w:szCs w:val="20"/>
              </w:rPr>
              <w:t>销售机构</w:t>
            </w:r>
          </w:p>
        </w:tc>
      </w:tr>
      <w:tr>
        <w:tblPrEx>
          <w:tblCellMar>
            <w:top w:w="0" w:type="dxa"/>
            <w:left w:w="108" w:type="dxa"/>
            <w:bottom w:w="0" w:type="dxa"/>
            <w:right w:w="108" w:type="dxa"/>
          </w:tblCellMar>
        </w:tblPrEx>
        <w:trPr>
          <w:trHeight w:val="255" w:hRule="atLeast"/>
        </w:trPr>
        <w:tc>
          <w:tcPr>
            <w:tcW w:w="958" w:type="dxa"/>
            <w:vMerge w:val="restart"/>
            <w:tcBorders>
              <w:left w:val="single" w:color="auto" w:sz="4" w:space="0"/>
              <w:right w:val="single" w:color="auto" w:sz="4" w:space="0"/>
            </w:tcBorders>
            <w:noWrap w:val="0"/>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A份额</w:t>
            </w: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苏银理财有限责任公司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宁波通商银行股份有限公司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255" w:hRule="atLeast"/>
        </w:trPr>
        <w:tc>
          <w:tcPr>
            <w:tcW w:w="958" w:type="dxa"/>
            <w:vMerge w:val="restart"/>
            <w:tcBorders>
              <w:top w:val="single" w:color="auto" w:sz="4" w:space="0"/>
              <w:left w:val="single" w:color="auto" w:sz="4" w:space="0"/>
              <w:right w:val="single" w:color="auto" w:sz="4" w:space="0"/>
            </w:tcBorders>
            <w:noWrap/>
            <w:vAlign w:val="center"/>
          </w:tcPr>
          <w:p>
            <w:pPr>
              <w:widowControl/>
              <w:spacing w:line="0" w:lineRule="atLeast"/>
              <w:jc w:val="center"/>
              <w:rPr>
                <w:rFonts w:ascii="楷体" w:hAnsi="楷体" w:eastAsia="楷体" w:cs="Arial"/>
                <w:kern w:val="0"/>
                <w:sz w:val="20"/>
                <w:szCs w:val="20"/>
              </w:rPr>
            </w:pPr>
            <w:r>
              <w:rPr>
                <w:rFonts w:hint="eastAsia" w:ascii="楷体" w:hAnsi="楷体" w:eastAsia="楷体" w:cs="Arial"/>
                <w:kern w:val="0"/>
                <w:sz w:val="20"/>
                <w:szCs w:val="20"/>
              </w:rPr>
              <w:t>B份额</w:t>
            </w:r>
          </w:p>
        </w:tc>
        <w:tc>
          <w:tcPr>
            <w:tcW w:w="3538" w:type="dxa"/>
            <w:tcBorders>
              <w:top w:val="single" w:color="auto" w:sz="4" w:space="0"/>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浙江海宁农村商业银行股份有限公司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浙江上虞农村商业银行股份有限公司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浙江嘉善农村商业银行股份有限公司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浙江温州瓯海农村商业银行股份有限公司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浙江永嘉农村商业银行股份有限公司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浙江兰溪农村商业银行股份有限公司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浙江岱山农村商业银行股份有限公司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浙江青田农村商业银行股份有限公司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浙江绍兴瑞丰农村商业银行股份有限公司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浙江文成农村商业银行股份有限公司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浙江龙湾农村商业银行股份有限公司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浙江余杭农村商业银行股份有限公司</w:t>
            </w:r>
          </w:p>
        </w:tc>
      </w:tr>
      <w:tr>
        <w:tblPrEx>
          <w:tblCellMar>
            <w:top w:w="0" w:type="dxa"/>
            <w:left w:w="108" w:type="dxa"/>
            <w:bottom w:w="0" w:type="dxa"/>
            <w:right w:w="108" w:type="dxa"/>
          </w:tblCellMar>
        </w:tblPrEx>
        <w:trPr>
          <w:trHeight w:val="246"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浙江乐清农村商业银行股份有限公司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浙江武义农村商业银行股份有限公司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浙江德清农村商业银行股份有限公司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浙江舟山定海海洋农村商业银行股份有限公司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浙江新昌农村商业银行股份有限公司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浙江淳安农村商业银行股份有限公司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浙江平湖农村商业银行股份有限公司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浙江湖州吴兴农村商业银行股份有限公司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浙江桐乡农村商业银行股份有限公司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浙江萧山农村商业银行股份有限公司</w:t>
            </w:r>
          </w:p>
        </w:tc>
      </w:tr>
      <w:tr>
        <w:tblPrEx>
          <w:tblCellMar>
            <w:top w:w="0" w:type="dxa"/>
            <w:left w:w="108" w:type="dxa"/>
            <w:bottom w:w="0" w:type="dxa"/>
            <w:right w:w="108" w:type="dxa"/>
          </w:tblCellMar>
        </w:tblPrEx>
        <w:trPr>
          <w:trHeight w:val="238"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ascii="楷体" w:hAnsi="楷体" w:eastAsia="楷体" w:cs="Arial"/>
                <w:kern w:val="0"/>
                <w:sz w:val="20"/>
                <w:szCs w:val="20"/>
              </w:rPr>
            </w:pPr>
            <w:r>
              <w:rPr>
                <w:rFonts w:hint="eastAsia" w:ascii="楷体" w:hAnsi="楷体" w:eastAsia="楷体" w:cs="Arial"/>
                <w:kern w:val="0"/>
                <w:sz w:val="20"/>
                <w:szCs w:val="20"/>
              </w:rPr>
              <w:t>C份额</w:t>
            </w:r>
          </w:p>
        </w:tc>
        <w:tc>
          <w:tcPr>
            <w:tcW w:w="3538" w:type="dxa"/>
            <w:tcBorders>
              <w:top w:val="single" w:color="auto" w:sz="4" w:space="0"/>
              <w:left w:val="nil"/>
              <w:bottom w:val="single" w:color="auto" w:sz="4" w:space="0"/>
              <w:right w:val="nil"/>
            </w:tcBorders>
            <w:noWrap/>
            <w:vAlign w:val="center"/>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江苏银行股份有限公司</w:t>
            </w:r>
          </w:p>
        </w:tc>
        <w:tc>
          <w:tcPr>
            <w:tcW w:w="4025" w:type="dxa"/>
            <w:tcBorders>
              <w:top w:val="single" w:color="auto" w:sz="4" w:space="0"/>
              <w:left w:val="nil"/>
              <w:bottom w:val="single" w:color="auto" w:sz="4" w:space="0"/>
              <w:right w:val="single" w:color="auto" w:sz="4" w:space="0"/>
            </w:tcBorders>
            <w:noWrap/>
            <w:vAlign w:val="center"/>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255" w:hRule="atLeast"/>
        </w:trPr>
        <w:tc>
          <w:tcPr>
            <w:tcW w:w="958"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D份额</w:t>
            </w:r>
          </w:p>
        </w:tc>
        <w:tc>
          <w:tcPr>
            <w:tcW w:w="3538" w:type="dxa"/>
            <w:tcBorders>
              <w:top w:val="single" w:color="auto" w:sz="4" w:space="0"/>
              <w:left w:val="single" w:color="auto" w:sz="4" w:space="0"/>
              <w:bottom w:val="single" w:color="auto" w:sz="4" w:space="0"/>
              <w:right w:val="nil"/>
            </w:tcBorders>
            <w:noWrap/>
            <w:vAlign w:val="center"/>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武汉农村商业银行股份有限公司</w:t>
            </w:r>
          </w:p>
        </w:tc>
        <w:tc>
          <w:tcPr>
            <w:tcW w:w="4025" w:type="dxa"/>
            <w:tcBorders>
              <w:top w:val="single" w:color="auto" w:sz="4" w:space="0"/>
              <w:left w:val="nil"/>
              <w:bottom w:val="single" w:color="auto" w:sz="4" w:space="0"/>
              <w:right w:val="single" w:color="auto" w:sz="4" w:space="0"/>
            </w:tcBorders>
            <w:noWrap/>
            <w:vAlign w:val="center"/>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E份额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F份额</w:t>
            </w:r>
          </w:p>
        </w:tc>
        <w:tc>
          <w:tcPr>
            <w:tcW w:w="3538" w:type="dxa"/>
            <w:tcBorders>
              <w:top w:val="single" w:color="auto" w:sz="4" w:space="0"/>
              <w:left w:val="single" w:color="auto" w:sz="4" w:space="0"/>
              <w:bottom w:val="single" w:color="auto" w:sz="4" w:space="0"/>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上海银行股份有限公司</w:t>
            </w:r>
          </w:p>
        </w:tc>
        <w:tc>
          <w:tcPr>
            <w:tcW w:w="4025" w:type="dxa"/>
            <w:tcBorders>
              <w:top w:val="single" w:color="auto" w:sz="4" w:space="0"/>
              <w:left w:val="nil"/>
              <w:bottom w:val="single" w:color="auto" w:sz="4" w:space="0"/>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齐鲁银行股份有限公司</w:t>
            </w:r>
          </w:p>
        </w:tc>
      </w:tr>
      <w:tr>
        <w:tblPrEx>
          <w:tblCellMar>
            <w:top w:w="0" w:type="dxa"/>
            <w:left w:w="108" w:type="dxa"/>
            <w:bottom w:w="0" w:type="dxa"/>
            <w:right w:w="108" w:type="dxa"/>
          </w:tblCellMar>
        </w:tblPrEx>
        <w:trPr>
          <w:trHeight w:val="90" w:hRule="atLeast"/>
        </w:trPr>
        <w:tc>
          <w:tcPr>
            <w:tcW w:w="958" w:type="dxa"/>
            <w:vMerge w:val="restart"/>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G份额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莱商银行股份有限公司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齐鲁银行股份有限公司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威海市商业银行股份有限公司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东营银行股份有限公司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日照银行股份有限公司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北京农村商业银行股份有限公司</w:t>
            </w:r>
          </w:p>
        </w:tc>
      </w:tr>
      <w:tr>
        <w:tblPrEx>
          <w:tblCellMar>
            <w:top w:w="0" w:type="dxa"/>
            <w:left w:w="108" w:type="dxa"/>
            <w:bottom w:w="0" w:type="dxa"/>
            <w:right w:w="108" w:type="dxa"/>
          </w:tblCellMar>
        </w:tblPrEx>
        <w:trPr>
          <w:trHeight w:val="204"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single" w:color="auto" w:sz="4" w:space="0"/>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潍坊银行股份有限公司</w:t>
            </w:r>
          </w:p>
        </w:tc>
        <w:tc>
          <w:tcPr>
            <w:tcW w:w="4025" w:type="dxa"/>
            <w:tcBorders>
              <w:top w:val="nil"/>
              <w:left w:val="nil"/>
              <w:bottom w:val="single" w:color="auto" w:sz="4" w:space="0"/>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H份额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江苏苏州农村商业银行股份有限公司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I份额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上海农村商业银行股份有限公司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255" w:hRule="atLeast"/>
        </w:trPr>
        <w:tc>
          <w:tcPr>
            <w:tcW w:w="958" w:type="dxa"/>
            <w:vMerge w:val="restart"/>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bidi="ar-SA"/>
              </w:rPr>
            </w:pPr>
            <w:r>
              <w:rPr>
                <w:rFonts w:hint="eastAsia" w:ascii="楷体" w:hAnsi="楷体" w:eastAsia="楷体" w:cs="Arial"/>
                <w:kern w:val="0"/>
                <w:sz w:val="20"/>
                <w:szCs w:val="20"/>
                <w:lang w:val="en-US" w:eastAsia="zh-CN"/>
              </w:rPr>
              <w:t>AJS份额</w:t>
            </w:r>
          </w:p>
        </w:tc>
        <w:tc>
          <w:tcPr>
            <w:tcW w:w="3538" w:type="dxa"/>
            <w:tcBorders>
              <w:top w:val="single" w:color="auto" w:sz="4" w:space="0"/>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江苏张家港农村商业银行股份有限公司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江苏常熟农村商业银行股份有限公司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江苏扬州农村商业银行股份有限公司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江苏新沂农村商业银行股份有限公司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江苏大丰农村商业银行股份有限公司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江苏如皋农村商业银行股份有限公司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江苏江南农村商业银行股份有限公司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江苏启东农村商业银行股份有限公司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江苏泗阳农村商业银行股份有限公司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徐州农村商业银行股份有限公司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江苏沛县农村商业银行股份有限公司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江苏高邮农村商业银行股份有限公司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江苏灌云农村商业银行股份有限公司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江苏沭阳农村商业银行股份有限公司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江苏灌南农村商业银行股份有限公司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江苏民丰农村商业银行股份有限公司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江苏泰兴农村商业银行股份有限公司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江苏洪泽农村商业银行股份有限公司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江苏仪征农村商业银行股份有限公司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江苏镇江农村商业银行股份有限公司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江苏靖江农村商业银行股份有限公司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江苏海安农村商业银行股份有限公司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江苏海门农村商业银行股份有限公司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江苏苏州农村商业银行股份有限公司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连云港东方农村商业银行股份有限公司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江苏建湖农村商业银行股份有限公司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bottom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single" w:color="auto" w:sz="4" w:space="0"/>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江苏江都农村商业银行股份有限公司</w:t>
            </w:r>
          </w:p>
        </w:tc>
        <w:tc>
          <w:tcPr>
            <w:tcW w:w="4025" w:type="dxa"/>
            <w:tcBorders>
              <w:top w:val="nil"/>
              <w:left w:val="nil"/>
              <w:bottom w:val="single" w:color="auto" w:sz="4" w:space="0"/>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p>
        </w:tc>
      </w:tr>
      <w:bookmarkEnd w:id="2"/>
    </w:tbl>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投资合作机构</w:t>
      </w:r>
    </w:p>
    <w:p>
      <w:pPr>
        <w:ind w:firstLine="480" w:firstLineChars="200"/>
        <w:rPr>
          <w:rFonts w:ascii="楷体" w:hAnsi="楷体" w:eastAsia="楷体"/>
          <w:sz w:val="24"/>
          <w:szCs w:val="24"/>
        </w:rPr>
      </w:pPr>
      <w:r>
        <w:rPr>
          <w:rFonts w:hint="eastAsia" w:ascii="楷体" w:hAnsi="楷体" w:eastAsia="楷体"/>
          <w:sz w:val="24"/>
          <w:szCs w:val="24"/>
        </w:rPr>
        <w:t>投资合作机构主要职责是对理财产品受托资金进行投资管理，苏银理财已按投资决策流程对投资合作机构进行了准入，并持续开展投资合作机构的存续期管理。本产品投资合作机构包括：</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883"/>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b/>
                <w:bCs/>
                <w:sz w:val="20"/>
                <w:szCs w:val="20"/>
              </w:rPr>
            </w:pPr>
            <w:r>
              <w:rPr>
                <w:rFonts w:hint="eastAsia" w:ascii="楷体" w:hAnsi="楷体" w:eastAsia="楷体"/>
                <w:b/>
                <w:bCs/>
                <w:sz w:val="20"/>
                <w:szCs w:val="20"/>
              </w:rPr>
              <w:t>序号</w:t>
            </w:r>
          </w:p>
        </w:tc>
        <w:tc>
          <w:tcPr>
            <w:tcW w:w="2883" w:type="dxa"/>
            <w:noWrap w:val="0"/>
            <w:vAlign w:val="top"/>
          </w:tcPr>
          <w:p>
            <w:pPr>
              <w:spacing w:line="0" w:lineRule="atLeast"/>
              <w:jc w:val="center"/>
              <w:rPr>
                <w:rFonts w:ascii="楷体" w:hAnsi="楷体" w:eastAsia="楷体"/>
                <w:b/>
                <w:bCs/>
                <w:sz w:val="20"/>
                <w:szCs w:val="20"/>
              </w:rPr>
            </w:pPr>
            <w:r>
              <w:rPr>
                <w:rFonts w:hint="eastAsia" w:ascii="楷体" w:hAnsi="楷体" w:eastAsia="楷体"/>
                <w:b/>
                <w:bCs/>
                <w:sz w:val="20"/>
                <w:szCs w:val="20"/>
              </w:rPr>
              <w:t>投资合作机构</w:t>
            </w:r>
          </w:p>
        </w:tc>
        <w:tc>
          <w:tcPr>
            <w:tcW w:w="4974" w:type="dxa"/>
            <w:noWrap w:val="0"/>
            <w:vAlign w:val="top"/>
          </w:tcPr>
          <w:p>
            <w:pPr>
              <w:spacing w:line="0" w:lineRule="atLeast"/>
              <w:jc w:val="center"/>
              <w:rPr>
                <w:rFonts w:ascii="楷体" w:hAnsi="楷体" w:eastAsia="楷体"/>
                <w:b/>
                <w:bCs/>
                <w:sz w:val="20"/>
                <w:szCs w:val="20"/>
              </w:rPr>
            </w:pPr>
            <w:r>
              <w:rPr>
                <w:rFonts w:hint="eastAsia" w:ascii="楷体" w:hAnsi="楷体" w:eastAsia="楷体"/>
                <w:b/>
                <w:bCs/>
                <w:sz w:val="20"/>
                <w:szCs w:val="2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1</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弘业期货股份有限公司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弘业期货股份有限公司是经中国证监会批准设立的大型期货公司，总部位于江苏南京，公司在北京、上海、深圳等国内主要金融中心和重点城市设立40多家营业部和分公司。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2</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江苏省国际信托有限责任公司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江苏省国际信托有限责任公司是经江苏省人民政府和中国银行业监督管理委员会批准设立的非银行金融机构，是江苏省国信集团的主要成员企业之一，专业从事金融信托业务。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3</w:t>
            </w:r>
          </w:p>
        </w:tc>
        <w:tc>
          <w:tcPr>
            <w:tcW w:w="2883" w:type="dxa"/>
            <w:noWrap w:val="0"/>
            <w:vAlign w:val="center"/>
          </w:tcPr>
          <w:p>
            <w:pPr>
              <w:spacing w:line="0" w:lineRule="atLeast"/>
              <w:jc w:val="center"/>
              <w:rPr>
                <w:rFonts w:ascii="楷体" w:hAnsi="楷体" w:eastAsia="楷体"/>
                <w:sz w:val="20"/>
                <w:szCs w:val="20"/>
              </w:rPr>
            </w:pPr>
            <w:r>
              <w:rPr>
                <w:rFonts w:ascii="楷体" w:hAnsi="楷体" w:eastAsia="楷体"/>
                <w:sz w:val="20"/>
                <w:szCs w:val="18"/>
              </w:rPr>
              <w:t>创金合信基金管理有限公司</w:t>
            </w:r>
          </w:p>
        </w:tc>
        <w:tc>
          <w:tcPr>
            <w:tcW w:w="4974" w:type="dxa"/>
            <w:noWrap w:val="0"/>
            <w:vAlign w:val="top"/>
          </w:tcPr>
          <w:p>
            <w:pPr>
              <w:spacing w:line="0" w:lineRule="atLeast"/>
              <w:rPr>
                <w:rFonts w:ascii="楷体" w:hAnsi="楷体" w:eastAsia="楷体"/>
                <w:sz w:val="20"/>
                <w:szCs w:val="20"/>
              </w:rPr>
            </w:pPr>
            <w:r>
              <w:rPr>
                <w:rFonts w:ascii="楷体" w:hAnsi="楷体" w:eastAsia="楷体"/>
                <w:sz w:val="20"/>
                <w:szCs w:val="18"/>
              </w:rPr>
              <w:t>创金合信基金管理有限公司成立于2014年7月9日，由第一创业证券股份有限公司、深圳市金合信投资合伙企业（有限合伙）共同发起设立，注册地为深圳。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4</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18"/>
              </w:rPr>
              <w:t>华鑫国际信托有限公司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18"/>
              </w:rPr>
              <w:t>华鑫国际信托有限公司于2010年2月获得中国银行业监督管理委员会批准重新登记，并于同年3月正式挂牌开业，实际控制人为中国华电集团有限公司，注册资本73.95亿元。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5</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中国国际金融股份有限公司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中国国际金融股份有限公司于1995年7月31日成立，实际控制人为中央汇金投资有限责任公司，注册资本4,827,256,868元。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6</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东方财富证券股份有限公司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东方财富证券股份有限公司是东方财富信息股份有限公司旗下的持牌证券公司，总部位于上海，注册资本121亿元。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7</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南华基金管理有限公司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南华基金管理有限公司于2016年10月17日成立，注册资本2.5亿人民币，经营范围为基金募集、基金销售、资产管理、特定客户资产管理和中国证监会许可的其他业务。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8</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广东粤财信托有限公司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广东粤财信托有限公司成立于1985年3月7日，是中国银行保险监督管理委员会核准的国有控股金融机构，注册资本38亿元，股东为广东粤财投资控股有限公司和广东省科技创业投资有限公司。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9</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中国对外经济贸易信托有限公司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中国对外经济贸易信托有限公司成立于1987年9月30日，是中国银行保险监督管理委员会核准的国有控股金融机构，注册资本80亿元，股东为中化资本有限公司和中化集团财务有限责任公司。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10</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中诚信托有限责任公司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诚信托有限责任公司成立于1995年11月20日，是中国银行保险监督管理委员会核准的国有控股金融机构，注册资本48.5亿元，前三大股东分别为中国人民保险集团股份有限公司、国华能源投资有限公司和山东能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11</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中信信托有限责任公司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中信信托有限责任公司成立于1988年3月5日，是中国银行保险监督管理委员会核准的国有控股金融机构，注册资本112.76亿元，股东为中国中信金融控股有限公司。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hint="eastAsia" w:ascii="楷体" w:hAnsi="楷体" w:eastAsia="楷体"/>
                <w:sz w:val="20"/>
                <w:szCs w:val="20"/>
                <w:lang w:val="en-US" w:eastAsia="zh-CN"/>
              </w:rPr>
            </w:pPr>
            <w:r>
              <w:rPr>
                <w:rFonts w:hint="eastAsia" w:ascii="楷体" w:hAnsi="楷体" w:eastAsia="楷体"/>
                <w:sz w:val="20"/>
                <w:szCs w:val="20"/>
              </w:rPr>
              <w:t>1</w:t>
            </w:r>
            <w:r>
              <w:rPr>
                <w:rFonts w:hint="eastAsia" w:ascii="楷体" w:hAnsi="楷体" w:eastAsia="楷体"/>
                <w:sz w:val="20"/>
                <w:szCs w:val="20"/>
                <w:lang w:val="en-US" w:eastAsia="zh-CN"/>
              </w:rPr>
              <w:t>2</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安徽国元信托有限责任公司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安徽国元信托有限责任公司成立于2001年12月20日，是中国银行保险监督管理委员会核准的国有控股金融机构，注册资本42亿元，前三大股东分别为安徽国元金融控股集团有限责任公司、中建资本控股有限公司、安徽皖投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hint="eastAsia" w:ascii="楷体" w:hAnsi="楷体" w:eastAsia="楷体"/>
                <w:sz w:val="20"/>
                <w:szCs w:val="20"/>
                <w:lang w:val="en-US" w:eastAsia="zh-CN"/>
              </w:rPr>
            </w:pPr>
            <w:r>
              <w:rPr>
                <w:rFonts w:hint="eastAsia" w:ascii="楷体" w:hAnsi="楷体" w:eastAsia="楷体"/>
                <w:sz w:val="20"/>
                <w:szCs w:val="20"/>
              </w:rPr>
              <w:t>1</w:t>
            </w:r>
            <w:r>
              <w:rPr>
                <w:rFonts w:hint="eastAsia" w:ascii="楷体" w:hAnsi="楷体" w:eastAsia="楷体"/>
                <w:sz w:val="20"/>
                <w:szCs w:val="20"/>
                <w:lang w:val="en-US" w:eastAsia="zh-CN"/>
              </w:rPr>
              <w:t>3</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中粮信托有限责任公司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中粮信托有限责任公司成立于2009年7月27日，是中国银行保险监督管理委员会核准的国有控股金融机构，注册资本28.3095亿元，前三大股东分别为中粮资本投资有限公司、蒙特利尔银行、中粮财务有限责任公司。</w:t>
            </w:r>
          </w:p>
        </w:tc>
      </w:tr>
    </w:tbl>
    <w:p>
      <w:pPr>
        <w:ind w:firstLine="480" w:firstLineChars="200"/>
        <w:rPr>
          <w:rFonts w:ascii="楷体" w:hAnsi="楷体" w:eastAsia="楷体"/>
          <w:sz w:val="24"/>
          <w:szCs w:val="24"/>
        </w:rPr>
      </w:pPr>
      <w:r>
        <w:rPr>
          <w:rFonts w:hint="eastAsia" w:ascii="楷体" w:hAnsi="楷体" w:eastAsia="楷体"/>
          <w:sz w:val="24"/>
          <w:szCs w:val="24"/>
        </w:rPr>
        <w:t>产品存续期内合作机构如有变化，管理人将按照监管规定和内部管理制度要求对合作机构进行准入，签署相关协议后，</w:t>
      </w:r>
      <w:r>
        <w:rPr>
          <w:rFonts w:hint="eastAsia" w:ascii="楷体" w:hAnsi="楷体" w:eastAsia="楷体"/>
          <w:sz w:val="24"/>
          <w:szCs w:val="24"/>
          <w:lang w:val="en-US" w:eastAsia="zh-CN"/>
        </w:rPr>
        <w:t>披露</w:t>
      </w:r>
      <w:r>
        <w:rPr>
          <w:rFonts w:hint="eastAsia" w:ascii="楷体" w:hAnsi="楷体" w:eastAsia="楷体"/>
          <w:sz w:val="24"/>
          <w:szCs w:val="24"/>
        </w:rPr>
        <w:t>新增</w:t>
      </w:r>
      <w:r>
        <w:rPr>
          <w:rFonts w:hint="eastAsia" w:ascii="楷体" w:hAnsi="楷体" w:eastAsia="楷体"/>
          <w:sz w:val="24"/>
          <w:szCs w:val="24"/>
          <w:lang w:val="en-US" w:eastAsia="zh-CN"/>
        </w:rPr>
        <w:t>的</w:t>
      </w:r>
      <w:r>
        <w:rPr>
          <w:rFonts w:hint="eastAsia" w:ascii="楷体" w:hAnsi="楷体" w:eastAsia="楷体"/>
          <w:sz w:val="24"/>
          <w:szCs w:val="24"/>
        </w:rPr>
        <w:t>投资合作机构。</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名词释义</w:t>
      </w:r>
    </w:p>
    <w:p>
      <w:pPr>
        <w:ind w:firstLine="480" w:firstLineChars="200"/>
        <w:rPr>
          <w:rFonts w:ascii="楷体" w:hAnsi="楷体" w:eastAsia="楷体"/>
          <w:sz w:val="24"/>
          <w:szCs w:val="24"/>
        </w:rPr>
      </w:pPr>
      <w:r>
        <w:rPr>
          <w:rFonts w:hint="eastAsia" w:ascii="楷体" w:hAnsi="楷体" w:eastAsia="楷体"/>
          <w:sz w:val="24"/>
          <w:szCs w:val="24"/>
        </w:rPr>
        <w:t>在本理财产品说明书中，除非上下文另有明确约定，下列用词将具有如下含义：</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参与主体用语</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★管理人/产品管理人/理财产品管理人：指苏银理财有限责任公司（本文简称“苏银理财”）。</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托管人/产品托管人：指江苏银行股份有限公司（本文简称“江苏银行”）。江苏银行具备理财产品托管资格。托管人负责履行安全保管理财产品资金及其所投资的资产，办理清算、交割事宜，与管理人对账，监督理财产品投资运作等职责。</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代销机构/销售机构：指符合《关于规范金融机构资产管理业务的指导意见》、《商业银行理财业务监督管理办法》、《商业银行理财子公司管理办法》、《理财公司理财产品销售管理暂行办法》和金融监管总局规定的其他条件，取得理财产品销售资格并与管理人签订了销售服务代理协议，代为办理销售业务的机构。代销机构接受产品管理人的委托，在该机构渠道向投资者宣传推介、销售产品管理人依法发行的资产管理产品的活动。其中，“销售”是指向投资者宣传推介资产管理产品，办理产品申购、赎回的活动。</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监管机构：指有权对本理财产品管理人及相关合作机构实施监督管理的机构，包括但不限于中国人民银行、金融监管总局、中国证券监督管理委员会、外汇管理局、银行业理财登记托管中心等。</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投资者：指符合相关法律法规、监管规定要求的，可以购买理财产品份额的自然人和法人。</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理财产品用语</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w:t>
      </w:r>
      <w:r>
        <w:rPr>
          <w:rFonts w:ascii="楷体" w:hAnsi="楷体" w:eastAsia="楷体" w:cs="Calibri"/>
          <w:sz w:val="24"/>
          <w:szCs w:val="24"/>
        </w:rPr>
        <w:t>/</w:t>
      </w:r>
      <w:r>
        <w:rPr>
          <w:rFonts w:hint="eastAsia" w:ascii="楷体" w:hAnsi="楷体" w:eastAsia="楷体" w:cs="Calibri"/>
          <w:sz w:val="24"/>
          <w:szCs w:val="24"/>
        </w:rPr>
        <w:t>产品：指苏银理财按照约定条件和实际投资收益情况向投资者支付收益、不保证本金支付和收益水平的非保本理财产品。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本理财产品</w:t>
      </w:r>
      <w:r>
        <w:rPr>
          <w:rFonts w:ascii="楷体" w:hAnsi="楷体" w:eastAsia="楷体" w:cs="Calibri"/>
          <w:sz w:val="24"/>
          <w:szCs w:val="24"/>
        </w:rPr>
        <w:t>/</w:t>
      </w:r>
      <w:r>
        <w:rPr>
          <w:rFonts w:hint="eastAsia" w:ascii="楷体" w:hAnsi="楷体" w:eastAsia="楷体" w:cs="Calibri"/>
          <w:sz w:val="24"/>
          <w:szCs w:val="24"/>
        </w:rPr>
        <w:t>本产品：指“苏银理财</w:t>
      </w:r>
      <w:r>
        <w:rPr>
          <w:rFonts w:hint="eastAsia" w:ascii="楷体" w:hAnsi="楷体" w:eastAsia="楷体" w:cs="Calibri"/>
          <w:sz w:val="24"/>
          <w:szCs w:val="24"/>
          <w:lang w:eastAsia="zh-CN"/>
        </w:rPr>
        <w:t>恒源封闭债权159期ESG</w:t>
      </w:r>
      <w:r>
        <w:rPr>
          <w:rFonts w:hint="eastAsia" w:ascii="楷体" w:hAnsi="楷体" w:eastAsia="楷体" w:cs="Calibri"/>
          <w:sz w:val="24"/>
          <w:szCs w:val="24"/>
        </w:rPr>
        <w:t>”理财产品。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理财产品登记编码：指本款理财产品在全国银行业理财信息登记系统中的编码，投资者可在中国理财网进行查询该编码。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理财产品代码/产品代码：指本款理财产品在全国银行业理财信息登记系统中登记的内部识别码。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理财产品销售代码/销售代码：指本款理财产品可能存在不同产品份额类别，管理人在理财产品销售管理过程中为区分不同产品份额类别，在同一理财产品代码项下设置的内部识别码。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理财产品份额：指投资者持有本理财产品的单位数额。投资者基于其所持有的理财产品单位数额享有理财产品利益、承担理财产品风险。</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理财产品资产净值/理财资产净值/产品资产净值：产品资产净值=产品资产总值-产品负债总值。</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产品资产总值：指产品拥有的各类有价证券、银行存款、应收款项及其他资产的价值总和。</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产品负债总值：指产品运作及融资时形成的负债价值总和，包括融资资金本息、应付各项费用（包括托管费、销售</w:t>
      </w:r>
      <w:r>
        <w:rPr>
          <w:rFonts w:ascii="楷体" w:hAnsi="楷体" w:eastAsia="楷体" w:cs="Calibri"/>
          <w:sz w:val="24"/>
          <w:szCs w:val="24"/>
        </w:rPr>
        <w:t>服务费、</w:t>
      </w:r>
      <w:r>
        <w:rPr>
          <w:rFonts w:hint="eastAsia" w:ascii="楷体" w:hAnsi="楷体" w:eastAsia="楷体" w:cs="Calibri"/>
          <w:sz w:val="24"/>
          <w:szCs w:val="24"/>
        </w:rPr>
        <w:t>投资管理费、超额业绩报酬、其他费用等）、应付税金及其他应付款项等。</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份额单位净值/理财产品单位净值/单位净值：指理财产品份额的单位净值，即每1份理财产品份额以人民币计价的价格。理财产品单位净值=理财资产净值/产品总份额。投资者按该份额单位净值进行理财产品申购、赎回和终止时分配。</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理财产品估值：指计算评估理财产品资产和负债以确定理财产品单位净值的过程。</w:t>
      </w:r>
    </w:p>
    <w:p>
      <w:pPr>
        <w:numPr>
          <w:ilvl w:val="0"/>
          <w:numId w:val="6"/>
        </w:numPr>
        <w:tabs>
          <w:tab w:val="left" w:pos="851"/>
        </w:tabs>
        <w:ind w:left="0" w:firstLine="482" w:firstLineChars="200"/>
        <w:rPr>
          <w:rFonts w:ascii="楷体" w:hAnsi="楷体" w:eastAsia="楷体" w:cs="Calibri"/>
          <w:b/>
          <w:sz w:val="24"/>
          <w:szCs w:val="24"/>
        </w:rPr>
      </w:pPr>
      <w:r>
        <w:rPr>
          <w:rFonts w:hint="eastAsia" w:ascii="楷体" w:hAnsi="楷体" w:eastAsia="楷体" w:cs="Calibri"/>
          <w:b/>
          <w:sz w:val="24"/>
          <w:szCs w:val="24"/>
        </w:rPr>
        <w:t>★业绩比较基准：指管理人基于过往投资经验及对产品存续期投资市场波动的预判而对本产品所设定的投资目标。业绩比较基准不代表理财产品未来表现，不等于理财产品实际收益，不作为产品收益的业绩保证，投资须谨慎。</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利益/理财利益：指投资者因持有理财产品份额，按照销售文件约定取得或有权取得的理财产品管理人分配的理财产品资产。在理财产品对外投资资产正常回收的情况下，理财产品利益包括理财产品本金及理财产品收益。</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本金/理财本金：指就每一投资者而言，指投资者为认购/申购理财产品份额而向理财产品管理人交付的货币资金，即投资者的初始投资本金。就每一理财产品份额而言，在本理财产品成立时每一理财产品份额的初始投资本金为1元。为避免疑义，理财产品本金的称谓仅为方便计算理财产品利益而创设的，并非对投资者理财产品本金不受损失的承诺。</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★理财产品收益/理财收益：指投资者投资理财产品获得的投资收益，该收益为其获得分配的全部理财产品利益中扣除理财产品本金的部分。</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认购：指投资者根据产品说明书约定在募集期内申请购买本产品理财产品份额的行为。</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投资者资金账户：指投资者开立的银行账户，理财产品投资交易的资金遵循同卡进出原则，通过银行卡A认购/申购理财产品的资金，赎回或到期资金只能划转至银行卡A。</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法律法规或监管机构另有规定的，从其规定。</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期间与日期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工作日：指国家法定工作日。</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交易日：</w:t>
      </w:r>
      <w:r>
        <w:rPr>
          <w:rFonts w:ascii="楷体" w:hAnsi="楷体" w:eastAsia="楷体" w:cs="Calibri"/>
          <w:sz w:val="24"/>
          <w:szCs w:val="24"/>
        </w:rPr>
        <w:t>指上海证券交易所和深圳证券交易所的正常开盘交易日</w:t>
      </w:r>
      <w:r>
        <w:rPr>
          <w:rFonts w:hint="eastAsia" w:ascii="楷体" w:hAnsi="楷体" w:eastAsia="楷体" w:cs="Calibri"/>
          <w:sz w:val="24"/>
          <w:szCs w:val="24"/>
        </w:rPr>
        <w:t>。</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成立日：指本产品开始运作的日期。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份额登记日/份额确认日：指管理人对投资者提交的认购申请进行份额登记的日期。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终止日/到期日：指本产品终止的日期。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估值日：指产品管理人对理财产品项下资产进行估值的日期。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兑付日：指投资者理财资金到达投资者资金账户的日期。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募集期：指理财产品成立前，理财产品管理人接受理财产品认购的时间。</w:t>
      </w:r>
    </w:p>
    <w:p>
      <w:pPr>
        <w:numPr>
          <w:ilvl w:val="0"/>
          <w:numId w:val="7"/>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产品存续期：指自理财产品成立日起，至理财产品终止日的期间。</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其他</w:t>
      </w:r>
    </w:p>
    <w:p>
      <w:pPr>
        <w:numPr>
          <w:ilvl w:val="0"/>
          <w:numId w:val="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元：指人民币元。</w:t>
      </w:r>
    </w:p>
    <w:p>
      <w:pPr>
        <w:numPr>
          <w:ilvl w:val="0"/>
          <w:numId w:val="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适用法律：指在理财销售文件签署日和履行过程中，中国（不包括香港特别行政区、澳门特别行政区和台湾地区）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numPr>
          <w:ilvl w:val="0"/>
          <w:numId w:val="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不可抗力：指理财产品合同各方当事人所不能预见、不能避免且不能克服的客观情况，使得任何一方当事人无法及时履行理财合同的全部或部分义务，该类事件包括但不限于：</w:t>
      </w:r>
    </w:p>
    <w:p>
      <w:pPr>
        <w:numPr>
          <w:ilvl w:val="0"/>
          <w:numId w:val="9"/>
        </w:numPr>
        <w:tabs>
          <w:tab w:val="left" w:pos="728"/>
        </w:tabs>
        <w:ind w:left="420" w:leftChars="200"/>
        <w:rPr>
          <w:rFonts w:ascii="楷体" w:hAnsi="楷体" w:eastAsia="楷体" w:cs="Calibri"/>
          <w:sz w:val="24"/>
          <w:szCs w:val="24"/>
        </w:rPr>
      </w:pPr>
      <w:r>
        <w:rPr>
          <w:rFonts w:hint="eastAsia" w:ascii="楷体" w:hAnsi="楷体" w:eastAsia="楷体" w:cs="Calibri"/>
          <w:sz w:val="24"/>
          <w:szCs w:val="24"/>
        </w:rPr>
        <w:t>地震、海啸、台风、洪水、火灾、停电、严重传染病等；</w:t>
      </w:r>
    </w:p>
    <w:p>
      <w:pPr>
        <w:numPr>
          <w:ilvl w:val="0"/>
          <w:numId w:val="9"/>
        </w:numPr>
        <w:tabs>
          <w:tab w:val="left" w:pos="728"/>
        </w:tabs>
        <w:ind w:left="420" w:leftChars="200"/>
        <w:rPr>
          <w:rFonts w:ascii="楷体" w:hAnsi="楷体" w:eastAsia="楷体" w:cs="Calibri"/>
          <w:sz w:val="24"/>
          <w:szCs w:val="24"/>
        </w:rPr>
      </w:pPr>
      <w:r>
        <w:rPr>
          <w:rFonts w:hint="eastAsia" w:ascii="楷体" w:hAnsi="楷体" w:eastAsia="楷体" w:cs="Calibri"/>
          <w:sz w:val="24"/>
          <w:szCs w:val="24"/>
        </w:rPr>
        <w:t>战争、政变、恐怖主义、骚乱、罢工等；</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（3）新的法律法规、国家政策颁布实施导致原适用的法律法规、国家政策失效；</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（4）因不可归咎于理财产品合同当事人的事由，金融监管机构强制要求终止该理财产品；</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（5）网络系统遭受攻击、电信部门技术调整或故障等原因导致的服务中断和延迟等。</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风险评级</w:t>
      </w:r>
    </w:p>
    <w:p>
      <w:pPr>
        <w:ind w:firstLine="480" w:firstLineChars="200"/>
        <w:rPr>
          <w:rFonts w:ascii="楷体" w:hAnsi="楷体" w:eastAsia="楷体"/>
          <w:sz w:val="24"/>
          <w:szCs w:val="24"/>
        </w:rPr>
      </w:pPr>
      <w:r>
        <w:rPr>
          <w:rFonts w:hint="eastAsia" w:ascii="楷体" w:hAnsi="楷体" w:eastAsia="楷体"/>
          <w:sz w:val="24"/>
          <w:szCs w:val="24"/>
        </w:rPr>
        <w:t>本理财产品经苏银理财内部风险评级为</w:t>
      </w:r>
      <w:r>
        <w:rPr>
          <w:rFonts w:hint="eastAsia" w:ascii="楷体" w:hAnsi="楷体" w:eastAsia="楷体"/>
          <w:b/>
          <w:sz w:val="24"/>
          <w:szCs w:val="24"/>
          <w:u w:val="single"/>
        </w:rPr>
        <w:t>★★二级，适合中低风险型投资者，适合投资策略为稳健发展的投资者</w:t>
      </w:r>
      <w:r>
        <w:rPr>
          <w:rFonts w:hint="eastAsia" w:ascii="楷体" w:hAnsi="楷体" w:eastAsia="楷体"/>
          <w:sz w:val="24"/>
          <w:szCs w:val="24"/>
        </w:rPr>
        <w:t>。本评级为苏银理财有限责任公司内部评级，由苏银理财根据理财产品的投资组合、同类产品过往业绩和风险状况等因素，对理财产品进行评级，仅供客户参考。</w:t>
      </w:r>
    </w:p>
    <w:p>
      <w:pPr>
        <w:ind w:firstLine="480" w:firstLineChars="200"/>
        <w:rPr>
          <w:rFonts w:ascii="楷体" w:hAnsi="楷体" w:eastAsia="楷体"/>
          <w:sz w:val="24"/>
          <w:szCs w:val="24"/>
        </w:rPr>
      </w:pPr>
      <w:r>
        <w:rPr>
          <w:rFonts w:hint="eastAsia" w:ascii="楷体" w:hAnsi="楷体" w:eastAsia="楷体"/>
          <w:sz w:val="24"/>
          <w:szCs w:val="24"/>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p>
    <w:p>
      <w:pPr>
        <w:ind w:firstLine="482" w:firstLineChars="200"/>
        <w:rPr>
          <w:rFonts w:ascii="楷体" w:hAnsi="楷体" w:eastAsia="楷体"/>
          <w:b/>
          <w:sz w:val="24"/>
          <w:szCs w:val="24"/>
          <w:u w:val="single"/>
        </w:rPr>
      </w:pPr>
      <w:r>
        <w:rPr>
          <w:rFonts w:hint="eastAsia" w:ascii="楷体" w:hAnsi="楷体" w:eastAsia="楷体"/>
          <w:b/>
          <w:bCs/>
          <w:sz w:val="24"/>
          <w:szCs w:val="24"/>
          <w:u w:val="single"/>
        </w:rPr>
        <w:t>如本产品通过代理销售机构渠道销售，</w:t>
      </w:r>
      <w:r>
        <w:rPr>
          <w:rFonts w:hint="eastAsia" w:ascii="楷体" w:hAnsi="楷体" w:eastAsia="楷体"/>
          <w:b/>
          <w:sz w:val="24"/>
          <w:szCs w:val="24"/>
          <w:u w:val="single"/>
        </w:rPr>
        <w:t>理财产品评级以代理销售机构最终披露的评级结果为准。</w:t>
      </w:r>
    </w:p>
    <w:p>
      <w:pPr>
        <w:ind w:firstLine="480" w:firstLineChars="200"/>
        <w:rPr>
          <w:rFonts w:ascii="楷体" w:hAnsi="楷体" w:eastAsia="楷体"/>
          <w:b/>
          <w:sz w:val="24"/>
          <w:szCs w:val="24"/>
          <w:u w:val="single"/>
        </w:rPr>
      </w:pPr>
      <w:r>
        <w:rPr>
          <w:rFonts w:hint="eastAsia" w:ascii="楷体" w:hAnsi="楷体" w:eastAsia="楷体"/>
          <w:sz w:val="24"/>
          <w:szCs w:val="24"/>
        </w:rPr>
        <w:t>销售机构负责完成投资者风险承受能力评估，并在遵循投资者适当性原则的前提下进行本理财产品的销售活动。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43"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风险星级</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风险级别</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适合的投资者类别</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43" w:type="dxa"/>
            <w:tcBorders>
              <w:bottom w:val="single" w:color="auto" w:sz="4" w:space="0"/>
            </w:tcBorders>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一级（PR1）</w:t>
            </w:r>
          </w:p>
        </w:tc>
        <w:tc>
          <w:tcPr>
            <w:tcW w:w="2268"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低风险型</w:t>
            </w:r>
          </w:p>
        </w:tc>
        <w:tc>
          <w:tcPr>
            <w:tcW w:w="2084"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w:t>
            </w:r>
          </w:p>
        </w:tc>
        <w:tc>
          <w:tcPr>
            <w:tcW w:w="1842"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二级（PR2）</w:t>
            </w:r>
          </w:p>
        </w:tc>
        <w:tc>
          <w:tcPr>
            <w:tcW w:w="2268"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中低风险型</w:t>
            </w:r>
          </w:p>
        </w:tc>
        <w:tc>
          <w:tcPr>
            <w:tcW w:w="2084"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三级（PR3）</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四级（PR4）</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五级（PR5）</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风险承受</w:t>
            </w:r>
          </w:p>
        </w:tc>
      </w:tr>
    </w:tbl>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投资管理</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投资范围和比例</w:t>
      </w:r>
    </w:p>
    <w:p>
      <w:pPr>
        <w:ind w:firstLine="480" w:firstLineChars="200"/>
        <w:rPr>
          <w:rFonts w:ascii="楷体" w:hAnsi="楷体" w:eastAsia="楷体"/>
          <w:sz w:val="24"/>
          <w:szCs w:val="24"/>
        </w:rPr>
      </w:pPr>
      <w:r>
        <w:rPr>
          <w:rFonts w:hint="eastAsia" w:ascii="楷体" w:hAnsi="楷体" w:eastAsia="楷体"/>
          <w:sz w:val="24"/>
          <w:szCs w:val="24"/>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80" w:firstLineChars="200"/>
        <w:rPr>
          <w:rFonts w:ascii="楷体" w:hAnsi="楷体" w:eastAsia="楷体"/>
          <w:bCs/>
          <w:sz w:val="24"/>
          <w:szCs w:val="24"/>
        </w:rPr>
      </w:pPr>
      <w:r>
        <w:rPr>
          <w:rFonts w:hint="eastAsia" w:ascii="楷体" w:hAnsi="楷体" w:eastAsia="楷体"/>
          <w:bCs/>
          <w:sz w:val="24"/>
          <w:szCs w:val="24"/>
        </w:rPr>
        <w:t>本产品计划配置以下</w:t>
      </w:r>
      <w:r>
        <w:rPr>
          <w:rFonts w:ascii="楷体" w:hAnsi="楷体" w:eastAsia="楷体"/>
          <w:bCs/>
          <w:sz w:val="24"/>
          <w:szCs w:val="24"/>
        </w:rPr>
        <w:t>备选</w:t>
      </w:r>
      <w:r>
        <w:rPr>
          <w:rFonts w:hint="eastAsia" w:ascii="楷体" w:hAnsi="楷体" w:eastAsia="楷体"/>
          <w:bCs/>
          <w:sz w:val="24"/>
          <w:szCs w:val="24"/>
        </w:rPr>
        <w:t>非标准化债权类资产：</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信托贷款：资产类型为信托公司设立的资金信托计划，底层资产为蚂蚁及信托公司双重审核、信托公司自主风控后发放的个人贷款债权，资产到期日不超过理财产品</w:t>
      </w:r>
      <w:r>
        <w:rPr>
          <w:rFonts w:hint="eastAsia" w:ascii="楷体" w:hAnsi="楷体" w:eastAsia="楷体" w:cs="楷体"/>
          <w:sz w:val="24"/>
          <w:szCs w:val="24"/>
          <w:lang w:val="en-US" w:eastAsia="zh-CN"/>
        </w:rPr>
        <w:t>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信托贷款：资产类型为信托公司设立的资金信托计划，底层资产为微信及信托公司双重审核、信托公司自主风控后发放的个人贷款债权，资产到期日不超过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信托贷款：资产类型为信托公司设立的资金信托计划，底层资产为网商银行及信托公司双重审核、信托公司自主风控后发放的个人贷款债权，资产到期日不超过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信托贷款：资产类型为信托公司设立的资金信托计划，底层资产为抖音及信托公司双重审核、信托公司自主风控后发放的个人贷款债权，资产到期日不超过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信托贷款：资产类型为信托公司设立的资金信托计划，底层资产为度小满及信托公司双重审核、信托公司自主风控后发放的个人贷款债权，资产到期日不超过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信托贷款：资产类型为信托公司设立的资金信托计划，底层资产为京东及信托公司双重审核、信托公司自主风控后发放的个人贷款债权，资产到期日不超过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ind w:firstLine="480" w:firstLineChars="200"/>
        <w:rPr>
          <w:rFonts w:ascii="楷体" w:hAnsi="楷体" w:eastAsia="楷体"/>
          <w:sz w:val="24"/>
          <w:szCs w:val="24"/>
        </w:rPr>
      </w:pPr>
      <w:r>
        <w:rPr>
          <w:rFonts w:hint="eastAsia" w:ascii="楷体" w:hAnsi="楷体" w:eastAsia="楷体"/>
          <w:sz w:val="24"/>
          <w:szCs w:val="24"/>
        </w:rPr>
        <w:t>因产品实际募集规模和融资人资金需求存在不确定性，产品管理人将选择上述一笔或者多笔作为本理财产品投资的非标准化债权类资产（具体以实际投资为准），并在本理财产品的定期报告中进行信息披露。</w:t>
      </w:r>
    </w:p>
    <w:p>
      <w:pPr>
        <w:ind w:firstLine="480" w:firstLineChars="200"/>
        <w:rPr>
          <w:rFonts w:ascii="楷体" w:hAnsi="楷体" w:eastAsia="楷体"/>
          <w:sz w:val="24"/>
          <w:szCs w:val="24"/>
        </w:rPr>
      </w:pPr>
      <w:r>
        <w:rPr>
          <w:rFonts w:hint="eastAsia" w:ascii="楷体" w:hAnsi="楷体" w:eastAsia="楷体"/>
          <w:sz w:val="24"/>
          <w:szCs w:val="24"/>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0"/>
        </w:numPr>
        <w:tabs>
          <w:tab w:val="left" w:pos="993"/>
        </w:tabs>
        <w:ind w:left="0" w:firstLine="480" w:firstLineChars="200"/>
        <w:rPr>
          <w:rFonts w:hint="eastAsia" w:ascii="楷体" w:hAnsi="楷体" w:eastAsia="楷体" w:cs="Calibri"/>
          <w:sz w:val="24"/>
          <w:szCs w:val="24"/>
          <w:lang w:val="en-US" w:eastAsia="zh-CN"/>
        </w:rPr>
      </w:pPr>
      <w:r>
        <w:rPr>
          <w:rFonts w:hint="eastAsia" w:ascii="楷体" w:hAnsi="楷体" w:eastAsia="楷体" w:cs="Calibri"/>
          <w:sz w:val="24"/>
          <w:szCs w:val="24"/>
          <w:lang w:val="en-US" w:eastAsia="zh-CN"/>
        </w:rPr>
        <w:t>投资策略</w:t>
      </w:r>
    </w:p>
    <w:p>
      <w:pPr>
        <w:numPr>
          <w:ilvl w:val="0"/>
          <w:numId w:val="0"/>
        </w:numPr>
        <w:tabs>
          <w:tab w:val="left" w:pos="993"/>
        </w:tabs>
        <w:ind w:firstLine="480" w:firstLineChars="200"/>
        <w:rPr>
          <w:rFonts w:ascii="楷体" w:hAnsi="楷体" w:eastAsia="楷体" w:cs="Calibri"/>
          <w:sz w:val="24"/>
          <w:szCs w:val="24"/>
        </w:rPr>
      </w:pPr>
      <w:r>
        <w:rPr>
          <w:rFonts w:hint="default" w:ascii="楷体" w:hAnsi="楷体" w:eastAsia="楷体"/>
          <w:color w:val="auto"/>
          <w:sz w:val="24"/>
          <w:szCs w:val="24"/>
          <w:lang w:val="en-US" w:eastAsia="zh-CN"/>
        </w:rPr>
        <w:t>本理财产品在投资品种选择上，积极贯彻ESG责任投资理念，综合考虑行业发展、社会贡献、绿色环保、公司业绩、内部治理等因素，优选符合ESG理念的行业进行重点配置，并且进行紧密的投后跟踪管理，严格控制产品投资风险，在充分践行ESG可持续发展投资理念的同时，让投资者在风险相对可控的情况下分享市场快速发展的红利，以更好地实现投资者财富保值增值的目的。</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投资集中度限制</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本产品持有单只证券或者单只公募证券投资基金的市值不得超过产品净资产的</w:t>
      </w:r>
      <w:r>
        <w:rPr>
          <w:rFonts w:ascii="楷体" w:hAnsi="楷体" w:eastAsia="楷体" w:cs="Calibri"/>
          <w:sz w:val="24"/>
          <w:szCs w:val="24"/>
        </w:rPr>
        <w:t>10%</w:t>
      </w:r>
      <w:r>
        <w:rPr>
          <w:rFonts w:hint="eastAsia" w:ascii="楷体" w:hAnsi="楷体" w:eastAsia="楷体" w:cs="Calibri"/>
          <w:sz w:val="24"/>
          <w:szCs w:val="24"/>
        </w:rPr>
        <w:t>。</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管理人全部公募产品持有单只证券或单只公募证券投资基金的市值，不得超过该证券市值或该公募证券投资基金市值的</w:t>
      </w:r>
      <w:r>
        <w:rPr>
          <w:rFonts w:ascii="楷体" w:hAnsi="楷体" w:eastAsia="楷体" w:cs="Calibri"/>
          <w:sz w:val="24"/>
          <w:szCs w:val="24"/>
        </w:rPr>
        <w:t>30%</w:t>
      </w:r>
      <w:r>
        <w:rPr>
          <w:rFonts w:hint="eastAsia" w:ascii="楷体" w:hAnsi="楷体" w:eastAsia="楷体" w:cs="Calibri"/>
          <w:sz w:val="24"/>
          <w:szCs w:val="24"/>
        </w:rPr>
        <w:t>。</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管理人全部产品持有单一上市公司发行的股票，不得超过该上市公司可流通股票的30%。</w:t>
      </w:r>
    </w:p>
    <w:p>
      <w:pPr>
        <w:ind w:firstLine="480" w:firstLineChars="200"/>
        <w:rPr>
          <w:rFonts w:ascii="楷体" w:hAnsi="楷体" w:eastAsia="楷体"/>
          <w:sz w:val="24"/>
          <w:szCs w:val="24"/>
        </w:rPr>
      </w:pPr>
      <w:r>
        <w:rPr>
          <w:rFonts w:hint="eastAsia" w:ascii="楷体" w:hAnsi="楷体" w:eastAsia="楷体"/>
          <w:sz w:val="24"/>
          <w:szCs w:val="24"/>
        </w:rPr>
        <w:t>金融监督管理部门另有规定的除外。</w:t>
      </w:r>
    </w:p>
    <w:p>
      <w:pPr>
        <w:ind w:firstLine="480" w:firstLineChars="200"/>
        <w:rPr>
          <w:rFonts w:ascii="楷体" w:hAnsi="楷体" w:eastAsia="楷体"/>
          <w:sz w:val="24"/>
          <w:szCs w:val="24"/>
        </w:rPr>
      </w:pPr>
      <w:r>
        <w:rPr>
          <w:rFonts w:hint="eastAsia" w:ascii="楷体" w:hAnsi="楷体" w:eastAsia="楷体"/>
          <w:sz w:val="24"/>
          <w:szCs w:val="24"/>
        </w:rPr>
        <w:t>非因管理人主观因素导致突破上述比例限制的，产品管理人在流动性受限资产可出售、可转让或者恢复交易的</w:t>
      </w:r>
      <w:r>
        <w:rPr>
          <w:rFonts w:ascii="楷体" w:hAnsi="楷体" w:eastAsia="楷体"/>
          <w:sz w:val="24"/>
          <w:szCs w:val="24"/>
        </w:rPr>
        <w:t>1</w:t>
      </w:r>
      <w:r>
        <w:rPr>
          <w:rFonts w:hint="eastAsia" w:ascii="楷体" w:hAnsi="楷体" w:eastAsia="楷体"/>
          <w:sz w:val="24"/>
          <w:szCs w:val="24"/>
        </w:rPr>
        <w:t>0个交易日内调整至符合要求。</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杠杆水平限制</w:t>
      </w:r>
    </w:p>
    <w:p>
      <w:pPr>
        <w:ind w:firstLine="480" w:firstLineChars="200"/>
        <w:rPr>
          <w:rFonts w:ascii="楷体" w:hAnsi="楷体" w:eastAsia="楷体"/>
          <w:sz w:val="24"/>
          <w:szCs w:val="24"/>
        </w:rPr>
      </w:pPr>
      <w:r>
        <w:rPr>
          <w:rFonts w:hint="eastAsia" w:ascii="楷体" w:hAnsi="楷体" w:eastAsia="楷体"/>
          <w:sz w:val="24"/>
          <w:szCs w:val="24"/>
        </w:rPr>
        <w:t>本理财产品资产总值/理财产品资产净值不超过</w:t>
      </w:r>
      <w:r>
        <w:rPr>
          <w:rFonts w:ascii="楷体" w:hAnsi="楷体" w:eastAsia="楷体"/>
          <w:sz w:val="24"/>
          <w:szCs w:val="24"/>
        </w:rPr>
        <w:t>15</w:t>
      </w:r>
      <w:r>
        <w:rPr>
          <w:rFonts w:hint="eastAsia" w:ascii="楷体" w:hAnsi="楷体" w:eastAsia="楷体"/>
          <w:sz w:val="24"/>
          <w:szCs w:val="24"/>
        </w:rPr>
        <w:t>0%（如监管有最新规定的参照监管规定调整）。</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投资范围调整</w:t>
      </w:r>
    </w:p>
    <w:p>
      <w:pPr>
        <w:ind w:firstLine="480" w:firstLineChars="200"/>
        <w:rPr>
          <w:rFonts w:ascii="楷体" w:hAnsi="楷体" w:eastAsia="楷体"/>
          <w:sz w:val="24"/>
          <w:szCs w:val="24"/>
        </w:rPr>
      </w:pPr>
      <w:r>
        <w:rPr>
          <w:rFonts w:hint="eastAsia" w:ascii="楷体" w:hAnsi="楷体" w:eastAsia="楷体"/>
          <w:sz w:val="24"/>
          <w:szCs w:val="24"/>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产品认购</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认购期间：202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4</w:t>
      </w:r>
      <w:r>
        <w:rPr>
          <w:rFonts w:hint="eastAsia" w:ascii="楷体" w:hAnsi="楷体" w:eastAsia="楷体" w:cs="Calibri"/>
          <w:sz w:val="24"/>
          <w:szCs w:val="24"/>
        </w:rPr>
        <w:t>月</w:t>
      </w:r>
      <w:r>
        <w:rPr>
          <w:rFonts w:hint="eastAsia" w:ascii="楷体" w:hAnsi="楷体" w:eastAsia="楷体" w:cs="Calibri"/>
          <w:sz w:val="24"/>
          <w:szCs w:val="24"/>
          <w:lang w:val="en-US" w:eastAsia="zh-CN"/>
        </w:rPr>
        <w:t>22</w:t>
      </w:r>
      <w:r>
        <w:rPr>
          <w:rFonts w:hint="eastAsia" w:ascii="楷体" w:hAnsi="楷体" w:eastAsia="楷体" w:cs="Calibri"/>
          <w:sz w:val="24"/>
          <w:szCs w:val="24"/>
        </w:rPr>
        <w:t>日9:00至202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4</w:t>
      </w:r>
      <w:r>
        <w:rPr>
          <w:rFonts w:hint="eastAsia" w:ascii="楷体" w:hAnsi="楷体" w:eastAsia="楷体" w:cs="Calibri"/>
          <w:sz w:val="24"/>
          <w:szCs w:val="24"/>
        </w:rPr>
        <w:t>月</w:t>
      </w:r>
      <w:r>
        <w:rPr>
          <w:rFonts w:hint="eastAsia" w:ascii="楷体" w:hAnsi="楷体" w:eastAsia="楷体" w:cs="Calibri"/>
          <w:sz w:val="24"/>
          <w:szCs w:val="24"/>
          <w:lang w:val="en-US" w:eastAsia="zh-CN"/>
        </w:rPr>
        <w:t>29</w:t>
      </w:r>
      <w:r>
        <w:rPr>
          <w:rFonts w:hint="eastAsia" w:ascii="楷体" w:hAnsi="楷体" w:eastAsia="楷体" w:cs="Calibri"/>
          <w:sz w:val="24"/>
          <w:szCs w:val="24"/>
        </w:rPr>
        <w:t>日17:00。</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认购方式：本理财产品可在各销售机构指定渠道进行认购。</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销售机构受理认购申请并不代表该申请成功确认，仅代表其收到了认购申请，申请是否成功以管理人最终确认为准。具体而言，投资者按规定提交认购申请、全额交付款项并经销售机构成功冻结或预扣的，认购申请成立，管理人在认购份额登记日对投资者的认购申请成功登记后，视为投资者的认购申请生效。投资者应在理财产品成立后及时查询最终的成交情况以及认购的份额。</w:t>
      </w:r>
    </w:p>
    <w:p>
      <w:pPr>
        <w:numPr>
          <w:ilvl w:val="0"/>
          <w:numId w:val="13"/>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单笔认购起点金额</w:t>
      </w:r>
      <w:r>
        <w:rPr>
          <w:rFonts w:hint="eastAsia" w:ascii="楷体" w:hAnsi="楷体" w:eastAsia="楷体" w:cs="Calibri"/>
          <w:sz w:val="24"/>
          <w:szCs w:val="24"/>
          <w:lang w:eastAsia="zh-CN"/>
        </w:rPr>
        <w:t>、</w:t>
      </w:r>
      <w:r>
        <w:rPr>
          <w:rFonts w:hint="eastAsia" w:ascii="楷体" w:hAnsi="楷体" w:eastAsia="楷体" w:cs="Calibri"/>
          <w:sz w:val="24"/>
          <w:szCs w:val="24"/>
        </w:rPr>
        <w:t>追加金额</w:t>
      </w:r>
      <w:r>
        <w:rPr>
          <w:rFonts w:ascii="楷体" w:hAnsi="楷体" w:eastAsia="楷体" w:cs="Calibri"/>
          <w:sz w:val="24"/>
          <w:szCs w:val="24"/>
        </w:rPr>
        <w:t>（以各销售机构设置为准）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3672"/>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top"/>
          </w:tcPr>
          <w:p>
            <w:pPr>
              <w:numPr>
                <w:ilvl w:val="0"/>
                <w:numId w:val="0"/>
              </w:numPr>
              <w:tabs>
                <w:tab w:val="left" w:pos="993"/>
              </w:tabs>
              <w:jc w:val="center"/>
              <w:rPr>
                <w:rFonts w:hint="default" w:ascii="楷体" w:hAnsi="楷体" w:eastAsia="楷体" w:cs="Calibri"/>
                <w:b/>
                <w:bCs/>
                <w:sz w:val="24"/>
                <w:szCs w:val="24"/>
                <w:vertAlign w:val="baseline"/>
                <w:lang w:val="en-US" w:eastAsia="zh-CN"/>
              </w:rPr>
            </w:pPr>
            <w:r>
              <w:rPr>
                <w:rFonts w:hint="eastAsia" w:ascii="楷体" w:hAnsi="楷体" w:eastAsia="楷体" w:cs="Calibri"/>
                <w:b/>
                <w:bCs/>
                <w:sz w:val="24"/>
                <w:szCs w:val="24"/>
                <w:vertAlign w:val="baseline"/>
                <w:lang w:val="en-US" w:eastAsia="zh-CN"/>
              </w:rPr>
              <w:t>份额</w:t>
            </w:r>
          </w:p>
        </w:tc>
        <w:tc>
          <w:tcPr>
            <w:tcW w:w="3672" w:type="dxa"/>
            <w:noWrap w:val="0"/>
            <w:vAlign w:val="top"/>
          </w:tcPr>
          <w:p>
            <w:pPr>
              <w:numPr>
                <w:ilvl w:val="0"/>
                <w:numId w:val="0"/>
              </w:numPr>
              <w:tabs>
                <w:tab w:val="left" w:pos="993"/>
              </w:tabs>
              <w:jc w:val="center"/>
              <w:rPr>
                <w:rFonts w:hint="eastAsia" w:ascii="楷体" w:hAnsi="楷体" w:eastAsia="楷体" w:cs="Calibri"/>
                <w:b/>
                <w:bCs/>
                <w:sz w:val="24"/>
                <w:szCs w:val="24"/>
                <w:vertAlign w:val="baseline"/>
              </w:rPr>
            </w:pPr>
            <w:r>
              <w:rPr>
                <w:rFonts w:hint="eastAsia" w:ascii="楷体" w:hAnsi="楷体" w:eastAsia="楷体" w:cs="Calibri"/>
                <w:b/>
                <w:bCs/>
                <w:sz w:val="24"/>
                <w:szCs w:val="24"/>
              </w:rPr>
              <w:t>单笔认购起点金额</w:t>
            </w:r>
          </w:p>
        </w:tc>
        <w:tc>
          <w:tcPr>
            <w:tcW w:w="3246" w:type="dxa"/>
            <w:noWrap w:val="0"/>
            <w:vAlign w:val="top"/>
          </w:tcPr>
          <w:p>
            <w:pPr>
              <w:numPr>
                <w:ilvl w:val="0"/>
                <w:numId w:val="0"/>
              </w:numPr>
              <w:tabs>
                <w:tab w:val="left" w:pos="993"/>
              </w:tabs>
              <w:jc w:val="center"/>
              <w:rPr>
                <w:rFonts w:hint="eastAsia" w:ascii="楷体" w:hAnsi="楷体" w:eastAsia="楷体" w:cs="Calibri"/>
                <w:b/>
                <w:bCs/>
                <w:sz w:val="24"/>
                <w:szCs w:val="24"/>
                <w:vertAlign w:val="baseline"/>
              </w:rPr>
            </w:pPr>
            <w:r>
              <w:rPr>
                <w:rFonts w:hint="eastAsia" w:ascii="楷体" w:hAnsi="楷体" w:eastAsia="楷体" w:cs="Calibri"/>
                <w:b/>
                <w:bCs/>
                <w:sz w:val="24"/>
                <w:szCs w:val="24"/>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A份额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lang w:val="en-US" w:eastAsia="zh-CN"/>
              </w:rPr>
            </w:pPr>
            <w:r>
              <w:rPr>
                <w:rFonts w:hint="eastAsia" w:ascii="楷体" w:hAnsi="楷体" w:eastAsia="楷体" w:cs="宋体"/>
                <w:spacing w:val="-2"/>
                <w:sz w:val="24"/>
                <w:szCs w:val="24"/>
                <w:lang w:eastAsia="zh-CN"/>
              </w:rPr>
              <w:t>1元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sz w:val="24"/>
                <w:szCs w:val="24"/>
                <w:lang w:eastAsia="zh-CN"/>
              </w:rPr>
              <w:t>1元</w:t>
            </w:r>
            <w:r>
              <w:rPr>
                <w:rFonts w:hint="eastAsia" w:ascii="楷体" w:hAnsi="楷体" w:eastAsia="楷体"/>
                <w:sz w:val="24"/>
                <w:szCs w:val="24"/>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B份额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Calibri"/>
                <w:sz w:val="24"/>
                <w:szCs w:val="24"/>
                <w:vertAlign w:val="baseline"/>
                <w:lang w:val="en-US"/>
              </w:rPr>
            </w:pPr>
            <w:r>
              <w:rPr>
                <w:rFonts w:hint="eastAsia" w:ascii="楷体" w:hAnsi="楷体" w:eastAsia="楷体" w:cs="楷体"/>
                <w:i w:val="0"/>
                <w:iCs w:val="0"/>
                <w:color w:val="000000"/>
                <w:kern w:val="0"/>
                <w:sz w:val="24"/>
                <w:szCs w:val="24"/>
                <w:u w:val="none"/>
                <w:lang w:val="en-US" w:eastAsia="zh-CN" w:bidi="ar"/>
              </w:rPr>
              <w:t>C份额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D份额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E份额</w:t>
            </w:r>
          </w:p>
        </w:tc>
        <w:tc>
          <w:tcPr>
            <w:tcW w:w="3672" w:type="dxa"/>
            <w:noWrap w:val="0"/>
            <w:vAlign w:val="center"/>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cs="宋体"/>
                <w:spacing w:val="-2"/>
                <w:sz w:val="24"/>
                <w:szCs w:val="24"/>
                <w:highlight w:val="none"/>
                <w:vertAlign w:val="baseline"/>
                <w:lang w:val="en-US" w:eastAsia="zh-CN"/>
              </w:rPr>
              <w:t>300,000元</w:t>
            </w:r>
          </w:p>
        </w:tc>
        <w:tc>
          <w:tcPr>
            <w:tcW w:w="3246" w:type="dxa"/>
            <w:noWrap w:val="0"/>
            <w:vAlign w:val="center"/>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F份额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G份额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H份额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I份额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AJS份额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eastAsia="zh-CN"/>
              </w:rPr>
            </w:pPr>
            <w:r>
              <w:rPr>
                <w:rFonts w:hint="eastAsia" w:ascii="楷体" w:hAnsi="楷体" w:eastAsia="楷体" w:cs="宋体"/>
                <w:spacing w:val="-2"/>
                <w:sz w:val="24"/>
                <w:szCs w:val="24"/>
                <w:lang w:eastAsia="zh-CN"/>
              </w:rPr>
              <w:t>1元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lang w:eastAsia="zh-CN"/>
              </w:rPr>
            </w:pPr>
            <w:r>
              <w:rPr>
                <w:rFonts w:hint="eastAsia" w:ascii="楷体" w:hAnsi="楷体" w:eastAsia="楷体"/>
                <w:sz w:val="24"/>
                <w:szCs w:val="24"/>
                <w:lang w:eastAsia="zh-CN"/>
              </w:rPr>
              <w:t>1元</w:t>
            </w:r>
            <w:r>
              <w:rPr>
                <w:rFonts w:hint="eastAsia" w:ascii="楷体" w:hAnsi="楷体" w:eastAsia="楷体"/>
                <w:sz w:val="24"/>
                <w:szCs w:val="24"/>
              </w:rPr>
              <w:t>的整数倍</w:t>
            </w:r>
          </w:p>
        </w:tc>
      </w:tr>
    </w:tbl>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认购申请撤销时间：认购期间，投资者可于202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4</w:t>
      </w:r>
      <w:r>
        <w:rPr>
          <w:rFonts w:hint="eastAsia" w:ascii="楷体" w:hAnsi="楷体" w:eastAsia="楷体" w:cs="Calibri"/>
          <w:sz w:val="24"/>
          <w:szCs w:val="24"/>
        </w:rPr>
        <w:t>月</w:t>
      </w:r>
      <w:r>
        <w:rPr>
          <w:rFonts w:hint="eastAsia" w:ascii="楷体" w:hAnsi="楷体" w:eastAsia="楷体" w:cs="Calibri"/>
          <w:sz w:val="24"/>
          <w:szCs w:val="24"/>
          <w:lang w:val="en-US" w:eastAsia="zh-CN"/>
        </w:rPr>
        <w:t>29</w:t>
      </w:r>
      <w:r>
        <w:rPr>
          <w:rFonts w:hint="eastAsia" w:ascii="楷体" w:hAnsi="楷体" w:eastAsia="楷体" w:cs="Calibri"/>
          <w:sz w:val="24"/>
          <w:szCs w:val="24"/>
        </w:rPr>
        <w:t>日17:00前撤销认购申请，该时点后不得撤销。</w:t>
      </w:r>
      <w:r>
        <w:rPr>
          <w:rFonts w:hint="eastAsia" w:ascii="楷体" w:hAnsi="楷体" w:eastAsia="楷体" w:cs="Calibri"/>
          <w:b/>
          <w:sz w:val="24"/>
          <w:szCs w:val="24"/>
          <w:u w:val="single"/>
        </w:rPr>
        <w:t>本产品运行期间，不开放申购、赎回。</w:t>
      </w:r>
    </w:p>
    <w:p>
      <w:pPr>
        <w:numPr>
          <w:ilvl w:val="0"/>
          <w:numId w:val="13"/>
        </w:numPr>
        <w:tabs>
          <w:tab w:val="left" w:pos="993"/>
          <w:tab w:val="left" w:pos="6259"/>
        </w:tabs>
        <w:ind w:left="0" w:firstLine="480" w:firstLineChars="200"/>
        <w:rPr>
          <w:rFonts w:ascii="楷体" w:hAnsi="楷体" w:eastAsia="楷体" w:cs="Calibri"/>
          <w:sz w:val="24"/>
          <w:szCs w:val="24"/>
        </w:rPr>
      </w:pPr>
      <w:r>
        <w:rPr>
          <w:rFonts w:hint="eastAsia" w:ascii="楷体" w:hAnsi="楷体" w:eastAsia="楷体" w:cs="Calibri"/>
          <w:sz w:val="24"/>
          <w:szCs w:val="24"/>
        </w:rPr>
        <w:t>认购资金的清算</w:t>
      </w:r>
      <w:r>
        <w:rPr>
          <w:rFonts w:hint="eastAsia" w:ascii="楷体" w:hAnsi="楷体" w:eastAsia="楷体" w:cs="Calibri"/>
          <w:sz w:val="24"/>
          <w:szCs w:val="24"/>
          <w:lang w:eastAsia="zh-CN"/>
        </w:rPr>
        <w:tab/>
      </w:r>
    </w:p>
    <w:p>
      <w:pPr>
        <w:ind w:firstLine="480" w:firstLineChars="200"/>
        <w:rPr>
          <w:rFonts w:ascii="楷体" w:hAnsi="楷体" w:eastAsia="楷体"/>
          <w:sz w:val="24"/>
          <w:szCs w:val="24"/>
        </w:rPr>
      </w:pPr>
      <w:r>
        <w:rPr>
          <w:rFonts w:hint="eastAsia" w:ascii="楷体" w:hAnsi="楷体" w:eastAsia="楷体"/>
          <w:sz w:val="24"/>
          <w:szCs w:val="24"/>
        </w:rPr>
        <w:t>投资者提出认购申请时，须备足购买资金。如投资者通过代销渠道购买，管理人在份额确认日通知销售机构扣划投资者认购资金，投资者应在扣款前保证资金账户中拥有足够可用余额；如投资者通过苏银理财直营渠道购买，资金清算以《理财产品销售协议书》约定为准。因投资者资金账户余额不足、司法冻结、不可抗力因素或其他不可归责于苏银理财和销售机构的事由出现，造成扣款失败，认购申请未被确认的，苏银理财和销售机构不承担任何责任。</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认购份额登记日：本理财产品于202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4</w:t>
      </w:r>
      <w:r>
        <w:rPr>
          <w:rFonts w:hint="eastAsia" w:ascii="楷体" w:hAnsi="楷体" w:eastAsia="楷体" w:cs="Calibri"/>
          <w:sz w:val="24"/>
          <w:szCs w:val="24"/>
        </w:rPr>
        <w:t>月</w:t>
      </w:r>
      <w:r>
        <w:rPr>
          <w:rFonts w:hint="eastAsia" w:ascii="楷体" w:hAnsi="楷体" w:eastAsia="楷体" w:cs="Calibri"/>
          <w:sz w:val="24"/>
          <w:szCs w:val="24"/>
          <w:lang w:val="en-US" w:eastAsia="zh-CN"/>
        </w:rPr>
        <w:t>30</w:t>
      </w:r>
      <w:r>
        <w:rPr>
          <w:rFonts w:hint="eastAsia" w:ascii="楷体" w:hAnsi="楷体" w:eastAsia="楷体" w:cs="Calibri"/>
          <w:sz w:val="24"/>
          <w:szCs w:val="24"/>
        </w:rPr>
        <w:t>日进行份额登记。</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认购份额的计算</w:t>
      </w:r>
    </w:p>
    <w:p>
      <w:pPr>
        <w:ind w:firstLine="480" w:firstLineChars="200"/>
        <w:rPr>
          <w:rFonts w:ascii="楷体" w:hAnsi="楷体" w:eastAsia="楷体"/>
          <w:sz w:val="24"/>
          <w:szCs w:val="24"/>
        </w:rPr>
      </w:pPr>
      <w:r>
        <w:rPr>
          <w:rFonts w:ascii="楷体" w:hAnsi="楷体" w:eastAsia="楷体"/>
          <w:sz w:val="24"/>
          <w:szCs w:val="24"/>
        </w:rPr>
        <w:t>认购份额=</w:t>
      </w:r>
      <w:r>
        <w:rPr>
          <w:rFonts w:hint="eastAsia" w:ascii="楷体" w:hAnsi="楷体" w:eastAsia="楷体"/>
          <w:sz w:val="24"/>
          <w:szCs w:val="24"/>
        </w:rPr>
        <w:t>认购金额</w:t>
      </w:r>
      <w:r>
        <w:rPr>
          <w:rFonts w:ascii="楷体" w:hAnsi="楷体" w:eastAsia="楷体"/>
          <w:sz w:val="24"/>
          <w:szCs w:val="24"/>
        </w:rPr>
        <w:t>/</w:t>
      </w:r>
      <w:r>
        <w:rPr>
          <w:rFonts w:hint="eastAsia" w:ascii="楷体" w:hAnsi="楷体" w:eastAsia="楷体"/>
          <w:sz w:val="24"/>
          <w:szCs w:val="24"/>
        </w:rPr>
        <w:t>产品成立时单位净值</w:t>
      </w:r>
    </w:p>
    <w:p>
      <w:pPr>
        <w:ind w:firstLine="480" w:firstLineChars="200"/>
        <w:rPr>
          <w:rFonts w:ascii="楷体" w:hAnsi="楷体" w:eastAsia="楷体"/>
          <w:sz w:val="24"/>
          <w:szCs w:val="24"/>
        </w:rPr>
      </w:pPr>
      <w:r>
        <w:rPr>
          <w:rFonts w:hint="eastAsia" w:ascii="楷体" w:hAnsi="楷体" w:eastAsia="楷体"/>
          <w:sz w:val="24"/>
          <w:szCs w:val="24"/>
        </w:rPr>
        <w:t>产品成立时单位净值为1元/份，</w:t>
      </w:r>
      <w:r>
        <w:rPr>
          <w:rFonts w:ascii="楷体" w:hAnsi="楷体" w:eastAsia="楷体"/>
          <w:sz w:val="24"/>
          <w:szCs w:val="24"/>
        </w:rPr>
        <w:t>认购份额</w:t>
      </w:r>
      <w:r>
        <w:rPr>
          <w:rFonts w:hint="eastAsia" w:ascii="楷体" w:hAnsi="楷体" w:eastAsia="楷体"/>
          <w:sz w:val="24"/>
          <w:szCs w:val="24"/>
        </w:rPr>
        <w:t>以四舍五入的方法保留到小数点后两位。</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产品估值</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估值对象</w:t>
      </w:r>
    </w:p>
    <w:p>
      <w:pPr>
        <w:ind w:firstLine="480" w:firstLineChars="200"/>
        <w:rPr>
          <w:rFonts w:ascii="楷体" w:hAnsi="楷体" w:eastAsia="楷体"/>
          <w:sz w:val="24"/>
          <w:szCs w:val="24"/>
        </w:rPr>
      </w:pPr>
      <w:r>
        <w:rPr>
          <w:rFonts w:hint="eastAsia" w:ascii="楷体" w:hAnsi="楷体" w:eastAsia="楷体"/>
          <w:sz w:val="24"/>
          <w:szCs w:val="24"/>
        </w:rPr>
        <w:t>本产品所拥有的各类证券、银行存款、应收款项及其它资产及负债。</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估值要求</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本产品资产估值的目的是客观、准确的反映资产净值，确定理财产品资产净值，并为理财产品的兑付提供计价依据。</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本产品单位净值精确到小数点后6位，小数点6位后截位。</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本产品每周估值</w:t>
      </w:r>
      <w:r>
        <w:rPr>
          <w:rFonts w:ascii="楷体" w:hAnsi="楷体" w:eastAsia="楷体" w:cs="Calibri"/>
          <w:sz w:val="24"/>
          <w:szCs w:val="24"/>
        </w:rPr>
        <w:t>，</w:t>
      </w:r>
      <w:r>
        <w:rPr>
          <w:rFonts w:hint="eastAsia" w:ascii="楷体" w:hAnsi="楷体" w:eastAsia="楷体" w:cs="Calibri"/>
          <w:sz w:val="24"/>
          <w:szCs w:val="24"/>
        </w:rPr>
        <w:t>并于估值日后第2个工作日内，通过本产品说明书约定方式披露产品单位净值。</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估值方法</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1.存款类资产、货币市场工具：以本金列示，逐日计提利息。</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2.货币市场基金：按公允价值进行估值，以估值截止时间点能够取得的最新每万份收益进行估值。</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3.债券类资产：</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4.债权类资产：</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5.权益类资产：按公允价值进行估值，采用市价、监管认可的第三方估值机构提供的估值价格进行估值。</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7.其他资产：按公允价值进行估值。</w:t>
      </w:r>
    </w:p>
    <w:p>
      <w:pPr>
        <w:ind w:firstLine="480" w:firstLineChars="200"/>
        <w:rPr>
          <w:rFonts w:ascii="楷体" w:hAnsi="楷体" w:eastAsia="楷体"/>
          <w:sz w:val="24"/>
          <w:szCs w:val="24"/>
        </w:rPr>
      </w:pPr>
      <w:r>
        <w:rPr>
          <w:rFonts w:hint="eastAsia" w:ascii="楷体" w:hAnsi="楷体" w:eastAsia="楷体" w:cs="Calibri"/>
          <w:sz w:val="24"/>
          <w:szCs w:val="24"/>
        </w:rPr>
        <w:t>如有新增事项或变更事项，按国家法律法规及监管最新规定执行。</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估值错误的处理</w:t>
      </w:r>
    </w:p>
    <w:p>
      <w:pPr>
        <w:ind w:firstLine="480" w:firstLineChars="200"/>
        <w:rPr>
          <w:rFonts w:ascii="楷体" w:hAnsi="楷体" w:eastAsia="楷体"/>
          <w:sz w:val="24"/>
          <w:szCs w:val="24"/>
        </w:rPr>
      </w:pPr>
      <w:r>
        <w:rPr>
          <w:rFonts w:hint="eastAsia" w:ascii="楷体" w:hAnsi="楷体" w:eastAsia="楷体"/>
          <w:sz w:val="24"/>
          <w:szCs w:val="24"/>
        </w:rPr>
        <w:t>产品管理人和产品托管人将采取必要、适当合理的措施确保产品资产估值的准确性、及时性。当产品单位净值出现错误时，产品管理人应当立即予以纠正，并采取合理的措施防止损失进一步扩大。</w:t>
      </w:r>
      <w:r>
        <w:rPr>
          <w:rFonts w:hint="eastAsia" w:ascii="楷体" w:hAnsi="楷体" w:eastAsia="楷体"/>
          <w:sz w:val="24"/>
          <w:szCs w:val="24"/>
          <w:highlight w:val="none"/>
        </w:rPr>
        <w:t>由于证券交易所、期货交易所、第三方估值机构、登记机构等发送数据错误等非理财产品管理人和托管人原因，或由于其它不可抗力原因</w:t>
      </w:r>
      <w:r>
        <w:rPr>
          <w:rFonts w:hint="eastAsia" w:ascii="楷体" w:hAnsi="楷体" w:eastAsia="楷体"/>
          <w:sz w:val="24"/>
          <w:szCs w:val="24"/>
        </w:rPr>
        <w:t>，产品管理人和产品托管人虽然已采取必要、适当、合理的措施进行检查，但是未能发现该错误的，由此造成的产品估值错误，产品管理人和产品托管人免除赔偿责任。但产品管理人和产品托管人应当积极采取必要的措施</w:t>
      </w:r>
      <w:r>
        <w:rPr>
          <w:rFonts w:hint="eastAsia" w:ascii="楷体" w:hAnsi="楷体" w:eastAsia="楷体"/>
          <w:sz w:val="24"/>
          <w:szCs w:val="24"/>
          <w:lang w:val="en-US" w:eastAsia="zh-CN"/>
        </w:rPr>
        <w:t>减轻或</w:t>
      </w:r>
      <w:r>
        <w:rPr>
          <w:rFonts w:hint="eastAsia" w:ascii="楷体" w:hAnsi="楷体" w:eastAsia="楷体"/>
          <w:sz w:val="24"/>
          <w:szCs w:val="24"/>
        </w:rPr>
        <w:t>消除由此造成的影响。</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暂停估值</w:t>
      </w:r>
    </w:p>
    <w:p>
      <w:pPr>
        <w:ind w:firstLine="480" w:firstLineChars="200"/>
        <w:rPr>
          <w:rFonts w:ascii="楷体" w:hAnsi="楷体" w:eastAsia="楷体"/>
          <w:sz w:val="24"/>
          <w:szCs w:val="24"/>
        </w:rPr>
      </w:pPr>
      <w:r>
        <w:rPr>
          <w:rFonts w:hint="eastAsia" w:ascii="楷体" w:hAnsi="楷体" w:eastAsia="楷体"/>
          <w:sz w:val="24"/>
          <w:szCs w:val="24"/>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产品的终止与清算</w:t>
      </w:r>
    </w:p>
    <w:p>
      <w:pPr>
        <w:numPr>
          <w:ilvl w:val="0"/>
          <w:numId w:val="16"/>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理财产品的终止</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提前终止</w:t>
      </w:r>
    </w:p>
    <w:p>
      <w:pPr>
        <w:ind w:firstLine="480" w:firstLineChars="200"/>
        <w:rPr>
          <w:rFonts w:ascii="楷体" w:hAnsi="楷体" w:eastAsia="楷体"/>
          <w:sz w:val="24"/>
          <w:szCs w:val="24"/>
        </w:rPr>
      </w:pPr>
      <w:r>
        <w:rPr>
          <w:rFonts w:hint="eastAsia" w:ascii="楷体" w:hAnsi="楷体" w:eastAsia="楷体"/>
          <w:sz w:val="24"/>
          <w:szCs w:val="24"/>
        </w:rPr>
        <w:t>在理财产品投资运作期间内，投资者无权要求提前终止该理财产品。在理财产品投资运作期间内，当出现下列情形之一时，产品管理人有权</w:t>
      </w:r>
      <w:r>
        <w:rPr>
          <w:rFonts w:hint="eastAsia" w:ascii="楷体" w:hAnsi="楷体" w:eastAsia="楷体"/>
          <w:sz w:val="24"/>
          <w:szCs w:val="24"/>
          <w:lang w:val="en-US" w:eastAsia="zh-CN"/>
        </w:rPr>
        <w:t>提前</w:t>
      </w:r>
      <w:r>
        <w:rPr>
          <w:rFonts w:hint="eastAsia" w:ascii="楷体" w:hAnsi="楷体" w:eastAsia="楷体"/>
          <w:sz w:val="24"/>
          <w:szCs w:val="24"/>
        </w:rPr>
        <w:t>终止本产品：</w:t>
      </w:r>
    </w:p>
    <w:p>
      <w:pPr>
        <w:numPr>
          <w:ilvl w:val="0"/>
          <w:numId w:val="1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因不可抗力原因导致理财产品无法继续运作；</w:t>
      </w:r>
    </w:p>
    <w:p>
      <w:pPr>
        <w:numPr>
          <w:ilvl w:val="0"/>
          <w:numId w:val="1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因法律法规变化或国家金融政策调整、紧急措施出台影响产品继续正常运作；</w:t>
      </w:r>
    </w:p>
    <w:p>
      <w:pPr>
        <w:numPr>
          <w:ilvl w:val="0"/>
          <w:numId w:val="1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法律法规规定或监管部门认定的其他情形。</w:t>
      </w:r>
    </w:p>
    <w:p>
      <w:pPr>
        <w:tabs>
          <w:tab w:val="left" w:pos="1092"/>
        </w:tabs>
        <w:ind w:firstLine="480" w:firstLineChars="200"/>
        <w:rPr>
          <w:rFonts w:ascii="楷体" w:hAnsi="楷体" w:eastAsia="楷体" w:cs="Calibri"/>
          <w:sz w:val="24"/>
          <w:szCs w:val="24"/>
        </w:rPr>
      </w:pPr>
      <w:r>
        <w:rPr>
          <w:rFonts w:hint="eastAsia" w:ascii="楷体" w:hAnsi="楷体" w:eastAsia="楷体"/>
          <w:sz w:val="24"/>
          <w:szCs w:val="24"/>
        </w:rPr>
        <w:t>理财产品不因投资者死亡、丧失民事行为能力、破产等原因而终止。投资者因各种原因无法继续履行合同的，投资者的法定继承人、承继人、指定受益人或继任管理人等合法主体承担原投资者在本理财产品合同中相应的全部权利与义务。</w:t>
      </w:r>
    </w:p>
    <w:p>
      <w:pPr>
        <w:ind w:firstLine="480" w:firstLineChars="200"/>
        <w:rPr>
          <w:rFonts w:ascii="楷体" w:hAnsi="楷体" w:eastAsia="楷体"/>
          <w:sz w:val="24"/>
          <w:szCs w:val="24"/>
        </w:rPr>
      </w:pPr>
      <w:r>
        <w:rPr>
          <w:rFonts w:hint="eastAsia" w:ascii="楷体" w:hAnsi="楷体" w:eastAsia="楷体"/>
          <w:sz w:val="24"/>
          <w:szCs w:val="24"/>
        </w:rPr>
        <w:t>如理财产品管理人提前终止本理财产品，将至少提前</w:t>
      </w:r>
      <w:r>
        <w:rPr>
          <w:rFonts w:ascii="楷体" w:hAnsi="楷体" w:eastAsia="楷体"/>
          <w:sz w:val="24"/>
          <w:szCs w:val="24"/>
        </w:rPr>
        <w:t>2</w:t>
      </w:r>
      <w:r>
        <w:rPr>
          <w:rFonts w:hint="eastAsia" w:ascii="楷体" w:hAnsi="楷体" w:eastAsia="楷体"/>
          <w:sz w:val="24"/>
          <w:szCs w:val="24"/>
        </w:rPr>
        <w:t>个工作日（含）按说明书约定的信息披露方式予以披露。</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正常兑付</w:t>
      </w:r>
    </w:p>
    <w:p>
      <w:pPr>
        <w:ind w:firstLine="480" w:firstLineChars="200"/>
        <w:rPr>
          <w:rFonts w:ascii="楷体" w:hAnsi="楷体" w:eastAsia="楷体" w:cs="Calibri"/>
          <w:sz w:val="24"/>
          <w:szCs w:val="24"/>
        </w:rPr>
      </w:pPr>
      <w:r>
        <w:rPr>
          <w:rFonts w:hint="eastAsia" w:ascii="楷体" w:hAnsi="楷体" w:eastAsia="楷体"/>
          <w:sz w:val="24"/>
          <w:szCs w:val="24"/>
        </w:rPr>
        <w:t>投资者持有本理财产品至产品到期日，投资者的投资本金和收益（如有）将在产品到期后一次性支付。理财产品正常终止并兑付的，投资者的投资本金和收益（如有）将于产品到期日后5个工作日以内划至投资者指定账户，如遇法定节假日或公休日则相应顺延。产品到期日至资金实际到账日之间，投资者资金不计息。</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★延期兑付</w:t>
      </w:r>
    </w:p>
    <w:p>
      <w:pPr>
        <w:ind w:firstLine="480" w:firstLineChars="200"/>
        <w:rPr>
          <w:rFonts w:ascii="楷体" w:hAnsi="楷体" w:eastAsia="楷体"/>
          <w:sz w:val="24"/>
          <w:szCs w:val="24"/>
        </w:rPr>
      </w:pPr>
      <w:r>
        <w:rPr>
          <w:rFonts w:hint="eastAsia" w:ascii="楷体" w:hAnsi="楷体" w:eastAsia="楷体"/>
          <w:sz w:val="24"/>
          <w:szCs w:val="24"/>
        </w:rPr>
        <w:t>出现以下情况，产品管理人有权延长本理财产品的终止日：</w:t>
      </w:r>
    </w:p>
    <w:p>
      <w:pPr>
        <w:numPr>
          <w:ilvl w:val="0"/>
          <w:numId w:val="19"/>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lang w:val="en-US" w:eastAsia="zh-CN"/>
        </w:rPr>
        <w:t>产</w:t>
      </w:r>
      <w:r>
        <w:rPr>
          <w:rFonts w:hint="eastAsia" w:ascii="楷体" w:hAnsi="楷体" w:eastAsia="楷体" w:cs="Calibri"/>
          <w:sz w:val="24"/>
          <w:szCs w:val="24"/>
        </w:rPr>
        <w:t>品终止日遇非工作日则顺延至下一工作日，投资者清算资金到账日将相应调整；</w:t>
      </w:r>
    </w:p>
    <w:p>
      <w:pPr>
        <w:numPr>
          <w:ilvl w:val="0"/>
          <w:numId w:val="19"/>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因不可抗力</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市场发生重大变化等</w:t>
      </w:r>
      <w:r>
        <w:rPr>
          <w:rFonts w:hint="eastAsia" w:ascii="楷体" w:hAnsi="楷体" w:eastAsia="楷体" w:cs="Calibri"/>
          <w:sz w:val="24"/>
          <w:szCs w:val="24"/>
        </w:rPr>
        <w:t>原因导致产品项下对应的投资标的无法及时变现</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无法</w:t>
      </w:r>
      <w:r>
        <w:rPr>
          <w:rFonts w:hint="eastAsia" w:ascii="楷体" w:hAnsi="楷体" w:eastAsia="楷体" w:cs="Calibri"/>
          <w:sz w:val="24"/>
          <w:szCs w:val="24"/>
        </w:rPr>
        <w:t>及时收回资金；</w:t>
      </w:r>
    </w:p>
    <w:p>
      <w:pPr>
        <w:numPr>
          <w:ilvl w:val="0"/>
          <w:numId w:val="19"/>
        </w:numPr>
        <w:tabs>
          <w:tab w:val="left" w:pos="1092"/>
        </w:tabs>
        <w:ind w:left="0" w:firstLine="480" w:firstLineChars="200"/>
        <w:rPr>
          <w:rFonts w:ascii="楷体" w:hAnsi="楷体" w:eastAsia="楷体" w:cs="Calibri"/>
          <w:sz w:val="24"/>
          <w:szCs w:val="24"/>
        </w:rPr>
      </w:pPr>
      <w:r>
        <w:rPr>
          <w:rFonts w:hint="eastAsia" w:ascii="楷体" w:hAnsi="楷体" w:eastAsia="楷体" w:cs="Calibri"/>
          <w:color w:val="auto"/>
          <w:sz w:val="24"/>
          <w:szCs w:val="24"/>
        </w:rPr>
        <w:t>法律法规规定或监管部门认定的其他情形</w:t>
      </w:r>
      <w:r>
        <w:rPr>
          <w:rFonts w:hint="eastAsia" w:ascii="楷体" w:hAnsi="楷体" w:eastAsia="楷体" w:cs="Calibri"/>
          <w:sz w:val="24"/>
          <w:szCs w:val="24"/>
        </w:rPr>
        <w:t>。</w:t>
      </w:r>
    </w:p>
    <w:p>
      <w:pPr>
        <w:ind w:firstLine="480" w:firstLineChars="200"/>
        <w:rPr>
          <w:rFonts w:ascii="楷体" w:hAnsi="楷体" w:eastAsia="楷体"/>
          <w:sz w:val="24"/>
          <w:szCs w:val="24"/>
        </w:rPr>
      </w:pPr>
      <w:r>
        <w:rPr>
          <w:rFonts w:hint="eastAsia" w:ascii="楷体" w:hAnsi="楷体" w:eastAsia="楷体"/>
          <w:sz w:val="24"/>
          <w:szCs w:val="24"/>
        </w:rPr>
        <w:t>产品管理人决定延期兑付的，将至少提前</w:t>
      </w:r>
      <w:r>
        <w:rPr>
          <w:rFonts w:ascii="楷体" w:hAnsi="楷体" w:eastAsia="楷体"/>
          <w:sz w:val="24"/>
          <w:szCs w:val="24"/>
        </w:rPr>
        <w:t>2</w:t>
      </w:r>
      <w:r>
        <w:rPr>
          <w:rFonts w:hint="eastAsia" w:ascii="楷体" w:hAnsi="楷体" w:eastAsia="楷体"/>
          <w:sz w:val="24"/>
          <w:szCs w:val="24"/>
        </w:rPr>
        <w:t>个工作日（含）按说明书约定的信息披露方式予以披露。</w:t>
      </w:r>
    </w:p>
    <w:p>
      <w:pPr>
        <w:numPr>
          <w:ilvl w:val="0"/>
          <w:numId w:val="16"/>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投资者可得资金计算</w:t>
      </w:r>
    </w:p>
    <w:p>
      <w:pPr>
        <w:ind w:firstLine="480" w:firstLineChars="200"/>
        <w:rPr>
          <w:rFonts w:ascii="楷体" w:hAnsi="楷体" w:eastAsia="楷体"/>
          <w:sz w:val="24"/>
          <w:szCs w:val="24"/>
        </w:rPr>
      </w:pPr>
      <w:r>
        <w:rPr>
          <w:rFonts w:hint="eastAsia" w:ascii="楷体" w:hAnsi="楷体" w:eastAsia="楷体"/>
          <w:sz w:val="24"/>
          <w:szCs w:val="24"/>
        </w:rPr>
        <w:t>投资者可得资金=投资者持有份额×产品到期时单位净值</w:t>
      </w:r>
    </w:p>
    <w:p>
      <w:pPr>
        <w:ind w:firstLine="480" w:firstLineChars="200"/>
        <w:rPr>
          <w:rFonts w:ascii="楷体" w:hAnsi="楷体" w:eastAsia="楷体"/>
          <w:sz w:val="24"/>
          <w:szCs w:val="24"/>
        </w:rPr>
      </w:pPr>
      <w:r>
        <w:rPr>
          <w:rFonts w:hint="eastAsia" w:ascii="楷体" w:hAnsi="楷体" w:eastAsia="楷体"/>
          <w:sz w:val="24"/>
          <w:szCs w:val="24"/>
        </w:rPr>
        <w:t>计算示例</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以下示例均为假设情况，不代表本产品实际投资业绩。</w:t>
      </w:r>
    </w:p>
    <w:p>
      <w:pPr>
        <w:ind w:firstLine="480" w:firstLineChars="200"/>
        <w:rPr>
          <w:rFonts w:ascii="楷体" w:hAnsi="楷体" w:eastAsia="楷体"/>
          <w:sz w:val="24"/>
          <w:szCs w:val="24"/>
        </w:rPr>
      </w:pPr>
      <w:r>
        <w:rPr>
          <w:rFonts w:hint="eastAsia" w:ascii="楷体" w:hAnsi="楷体" w:eastAsia="楷体"/>
          <w:sz w:val="24"/>
          <w:szCs w:val="24"/>
        </w:rPr>
        <w:t>1.情景一</w:t>
      </w:r>
    </w:p>
    <w:p>
      <w:pPr>
        <w:ind w:firstLine="480" w:firstLineChars="200"/>
        <w:rPr>
          <w:rFonts w:ascii="楷体" w:hAnsi="楷体" w:eastAsia="楷体"/>
          <w:sz w:val="24"/>
          <w:szCs w:val="24"/>
        </w:rPr>
      </w:pPr>
      <w:r>
        <w:rPr>
          <w:rFonts w:hint="eastAsia" w:ascii="楷体" w:hAnsi="楷体" w:eastAsia="楷体"/>
          <w:sz w:val="24"/>
          <w:szCs w:val="24"/>
        </w:rPr>
        <w:t>假定投资者于募集期认购本产品，投资金额为10,000.00元，购买产品时单位净值为1.0000</w:t>
      </w:r>
      <w:r>
        <w:rPr>
          <w:rFonts w:ascii="楷体" w:hAnsi="楷体" w:eastAsia="楷体"/>
          <w:sz w:val="24"/>
          <w:szCs w:val="24"/>
        </w:rPr>
        <w:t>00</w:t>
      </w:r>
      <w:r>
        <w:rPr>
          <w:rFonts w:hint="eastAsia" w:ascii="楷体" w:hAnsi="楷体" w:eastAsia="楷体"/>
          <w:sz w:val="24"/>
          <w:szCs w:val="24"/>
        </w:rPr>
        <w:t>元，折算份额为10,000.00份。产品到期时，产品单位净值为</w:t>
      </w:r>
      <w:r>
        <w:rPr>
          <w:rFonts w:ascii="楷体" w:hAnsi="楷体" w:eastAsia="楷体"/>
          <w:sz w:val="24"/>
          <w:szCs w:val="24"/>
        </w:rPr>
        <w:t>1.027000</w:t>
      </w:r>
      <w:r>
        <w:rPr>
          <w:rFonts w:hint="eastAsia" w:ascii="楷体" w:hAnsi="楷体" w:eastAsia="楷体"/>
          <w:sz w:val="24"/>
          <w:szCs w:val="24"/>
        </w:rPr>
        <w:t>元。</w:t>
      </w:r>
    </w:p>
    <w:p>
      <w:pPr>
        <w:ind w:firstLine="480" w:firstLineChars="200"/>
        <w:rPr>
          <w:rFonts w:ascii="楷体" w:hAnsi="楷体" w:eastAsia="楷体"/>
          <w:sz w:val="24"/>
          <w:szCs w:val="24"/>
        </w:rPr>
      </w:pPr>
      <w:r>
        <w:rPr>
          <w:rFonts w:hint="eastAsia" w:ascii="楷体" w:hAnsi="楷体" w:eastAsia="楷体"/>
          <w:sz w:val="24"/>
          <w:szCs w:val="24"/>
        </w:rPr>
        <w:t>投资者可得资金=10,000.00×</w:t>
      </w:r>
      <w:r>
        <w:rPr>
          <w:rFonts w:ascii="楷体" w:hAnsi="楷体" w:eastAsia="楷体"/>
          <w:sz w:val="24"/>
          <w:szCs w:val="24"/>
        </w:rPr>
        <w:t>1.027000</w:t>
      </w:r>
      <w:r>
        <w:rPr>
          <w:rFonts w:hint="eastAsia" w:ascii="楷体" w:hAnsi="楷体" w:eastAsia="楷体"/>
          <w:sz w:val="24"/>
          <w:szCs w:val="24"/>
        </w:rPr>
        <w:t>=10,</w:t>
      </w:r>
      <w:r>
        <w:rPr>
          <w:rFonts w:ascii="楷体" w:hAnsi="楷体" w:eastAsia="楷体"/>
          <w:sz w:val="24"/>
          <w:szCs w:val="24"/>
        </w:rPr>
        <w:t>27</w:t>
      </w:r>
      <w:r>
        <w:rPr>
          <w:rFonts w:hint="eastAsia" w:ascii="楷体" w:hAnsi="楷体" w:eastAsia="楷体"/>
          <w:sz w:val="24"/>
          <w:szCs w:val="24"/>
        </w:rPr>
        <w:t>0.00（元）</w:t>
      </w:r>
    </w:p>
    <w:p>
      <w:pPr>
        <w:ind w:firstLine="480" w:firstLineChars="200"/>
        <w:rPr>
          <w:rFonts w:ascii="楷体" w:hAnsi="楷体" w:eastAsia="楷体"/>
          <w:sz w:val="24"/>
          <w:szCs w:val="24"/>
        </w:rPr>
      </w:pPr>
      <w:r>
        <w:rPr>
          <w:rFonts w:hint="eastAsia" w:ascii="楷体" w:hAnsi="楷体" w:eastAsia="楷体"/>
          <w:sz w:val="24"/>
          <w:szCs w:val="24"/>
        </w:rPr>
        <w:t>投资者投资收益=10,</w:t>
      </w:r>
      <w:r>
        <w:rPr>
          <w:rFonts w:ascii="楷体" w:hAnsi="楷体" w:eastAsia="楷体"/>
          <w:sz w:val="24"/>
          <w:szCs w:val="24"/>
        </w:rPr>
        <w:t>27</w:t>
      </w:r>
      <w:r>
        <w:rPr>
          <w:rFonts w:hint="eastAsia" w:ascii="楷体" w:hAnsi="楷体" w:eastAsia="楷体"/>
          <w:sz w:val="24"/>
          <w:szCs w:val="24"/>
        </w:rPr>
        <w:t>0.00-10,000.00=</w:t>
      </w:r>
      <w:r>
        <w:rPr>
          <w:rFonts w:ascii="楷体" w:hAnsi="楷体" w:eastAsia="楷体"/>
          <w:sz w:val="24"/>
          <w:szCs w:val="24"/>
        </w:rPr>
        <w:t>27</w:t>
      </w:r>
      <w:r>
        <w:rPr>
          <w:rFonts w:hint="eastAsia" w:ascii="楷体" w:hAnsi="楷体" w:eastAsia="楷体"/>
          <w:sz w:val="24"/>
          <w:szCs w:val="24"/>
        </w:rPr>
        <w:t>0.00（元）</w:t>
      </w:r>
    </w:p>
    <w:p>
      <w:pPr>
        <w:ind w:firstLine="480" w:firstLineChars="200"/>
        <w:rPr>
          <w:rFonts w:ascii="楷体" w:hAnsi="楷体" w:eastAsia="楷体"/>
          <w:sz w:val="24"/>
          <w:szCs w:val="24"/>
        </w:rPr>
      </w:pPr>
      <w:r>
        <w:rPr>
          <w:rFonts w:hint="eastAsia" w:ascii="楷体" w:hAnsi="楷体" w:eastAsia="楷体"/>
          <w:sz w:val="24"/>
          <w:szCs w:val="24"/>
        </w:rPr>
        <w:t>2.情景二</w:t>
      </w:r>
    </w:p>
    <w:p>
      <w:pPr>
        <w:ind w:firstLine="480" w:firstLineChars="200"/>
        <w:rPr>
          <w:rFonts w:ascii="楷体" w:hAnsi="楷体" w:eastAsia="楷体"/>
          <w:sz w:val="24"/>
          <w:szCs w:val="24"/>
        </w:rPr>
      </w:pPr>
      <w:r>
        <w:rPr>
          <w:rFonts w:hint="eastAsia" w:ascii="楷体" w:hAnsi="楷体" w:eastAsia="楷体"/>
          <w:sz w:val="24"/>
          <w:szCs w:val="24"/>
        </w:rPr>
        <w:t>假定投资者于募集期认购本产品，投资金额为10,000.00元，购买产品时单位净值为1.0000</w:t>
      </w:r>
      <w:r>
        <w:rPr>
          <w:rFonts w:ascii="楷体" w:hAnsi="楷体" w:eastAsia="楷体"/>
          <w:sz w:val="24"/>
          <w:szCs w:val="24"/>
        </w:rPr>
        <w:t>00</w:t>
      </w:r>
      <w:r>
        <w:rPr>
          <w:rFonts w:hint="eastAsia" w:ascii="楷体" w:hAnsi="楷体" w:eastAsia="楷体"/>
          <w:sz w:val="24"/>
          <w:szCs w:val="24"/>
        </w:rPr>
        <w:t>元，折算份额为10,000.00份。产品到期时，产品单位净值为</w:t>
      </w:r>
      <w:r>
        <w:rPr>
          <w:rFonts w:ascii="楷体" w:hAnsi="楷体" w:eastAsia="楷体"/>
          <w:sz w:val="24"/>
          <w:szCs w:val="24"/>
        </w:rPr>
        <w:t>0.997500</w:t>
      </w:r>
      <w:r>
        <w:rPr>
          <w:rFonts w:hint="eastAsia" w:ascii="楷体" w:hAnsi="楷体" w:eastAsia="楷体"/>
          <w:sz w:val="24"/>
          <w:szCs w:val="24"/>
        </w:rPr>
        <w:t>元。</w:t>
      </w:r>
    </w:p>
    <w:p>
      <w:pPr>
        <w:ind w:firstLine="480" w:firstLineChars="200"/>
        <w:rPr>
          <w:rFonts w:ascii="楷体" w:hAnsi="楷体" w:eastAsia="楷体"/>
          <w:sz w:val="24"/>
          <w:szCs w:val="24"/>
        </w:rPr>
      </w:pPr>
      <w:r>
        <w:rPr>
          <w:rFonts w:hint="eastAsia" w:ascii="楷体" w:hAnsi="楷体" w:eastAsia="楷体"/>
          <w:sz w:val="24"/>
          <w:szCs w:val="24"/>
        </w:rPr>
        <w:t>投资者可得资金=10,000.00×0.9975</w:t>
      </w:r>
      <w:r>
        <w:rPr>
          <w:rFonts w:ascii="楷体" w:hAnsi="楷体" w:eastAsia="楷体"/>
          <w:sz w:val="24"/>
          <w:szCs w:val="24"/>
        </w:rPr>
        <w:t>00</w:t>
      </w:r>
      <w:r>
        <w:rPr>
          <w:rFonts w:hint="eastAsia" w:ascii="楷体" w:hAnsi="楷体" w:eastAsia="楷体"/>
          <w:sz w:val="24"/>
          <w:szCs w:val="24"/>
        </w:rPr>
        <w:t>=9,975.00（元）</w:t>
      </w:r>
    </w:p>
    <w:p>
      <w:pPr>
        <w:ind w:firstLine="480" w:firstLineChars="200"/>
        <w:rPr>
          <w:rFonts w:ascii="楷体" w:hAnsi="楷体" w:eastAsia="楷体"/>
          <w:sz w:val="24"/>
          <w:szCs w:val="24"/>
        </w:rPr>
      </w:pPr>
      <w:r>
        <w:rPr>
          <w:rFonts w:hint="eastAsia" w:ascii="楷体" w:hAnsi="楷体" w:eastAsia="楷体"/>
          <w:sz w:val="24"/>
          <w:szCs w:val="24"/>
        </w:rPr>
        <w:t>投资者投资收益=9,975.00-10,000.00=-</w:t>
      </w:r>
      <w:r>
        <w:rPr>
          <w:rFonts w:ascii="楷体" w:hAnsi="楷体" w:eastAsia="楷体"/>
          <w:sz w:val="24"/>
          <w:szCs w:val="24"/>
        </w:rPr>
        <w:t>25</w:t>
      </w:r>
      <w:r>
        <w:rPr>
          <w:rFonts w:hint="eastAsia" w:ascii="楷体" w:hAnsi="楷体" w:eastAsia="楷体"/>
          <w:sz w:val="24"/>
          <w:szCs w:val="24"/>
        </w:rPr>
        <w:t>.</w:t>
      </w:r>
      <w:r>
        <w:rPr>
          <w:rFonts w:ascii="楷体" w:hAnsi="楷体" w:eastAsia="楷体"/>
          <w:sz w:val="24"/>
          <w:szCs w:val="24"/>
        </w:rPr>
        <w:t>00</w:t>
      </w:r>
      <w:r>
        <w:rPr>
          <w:rFonts w:hint="eastAsia" w:ascii="楷体" w:hAnsi="楷体" w:eastAsia="楷体"/>
          <w:sz w:val="24"/>
          <w:szCs w:val="24"/>
        </w:rPr>
        <w:t>（元）</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最不利的情形下，投资者可能损失100%本金。</w:t>
      </w:r>
    </w:p>
    <w:p>
      <w:pPr>
        <w:ind w:firstLine="482" w:firstLineChars="200"/>
        <w:rPr>
          <w:rFonts w:ascii="楷体" w:hAnsi="楷体" w:eastAsia="楷体"/>
          <w:sz w:val="24"/>
          <w:szCs w:val="24"/>
        </w:rPr>
      </w:pPr>
      <w:r>
        <w:rPr>
          <w:rFonts w:hint="eastAsia" w:ascii="楷体" w:hAnsi="楷体" w:eastAsia="楷体"/>
          <w:b/>
          <w:sz w:val="24"/>
          <w:szCs w:val="24"/>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16"/>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理财产品的清算</w:t>
      </w:r>
    </w:p>
    <w:p>
      <w:pPr>
        <w:numPr>
          <w:ilvl w:val="0"/>
          <w:numId w:val="2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自本理财产品终止日至投资者理财本金及收益到账日之间为本理财产品的清算期。清算期不计算利息或投资收益。清算期原则上不得超过5个工作日，清算期超过5个工作日的，将依约定进行公告。</w:t>
      </w:r>
    </w:p>
    <w:p>
      <w:pPr>
        <w:numPr>
          <w:ilvl w:val="0"/>
          <w:numId w:val="2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管理人将依照合同约定公布提前终止日并明确兑付日（一般为提前终止日之后的三个工作日以内）。产品管理人应将投资者理财资金于兑付日（遇节假日顺延）内划转至投资者资金账户。理财产品提前终止日（含当日）至兑付日之间，投资者资金不计息。</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产品费用</w:t>
      </w:r>
    </w:p>
    <w:p>
      <w:pPr>
        <w:numPr>
          <w:ilvl w:val="0"/>
          <w:numId w:val="21"/>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费用种类</w:t>
      </w:r>
    </w:p>
    <w:p>
      <w:pPr>
        <w:ind w:firstLine="480" w:firstLineChars="200"/>
        <w:rPr>
          <w:rFonts w:ascii="楷体" w:hAnsi="楷体" w:eastAsia="楷体"/>
          <w:sz w:val="24"/>
          <w:szCs w:val="24"/>
        </w:rPr>
      </w:pPr>
      <w:r>
        <w:rPr>
          <w:rFonts w:hint="eastAsia" w:ascii="楷体" w:hAnsi="楷体" w:eastAsia="楷体"/>
          <w:sz w:val="24"/>
          <w:szCs w:val="24"/>
        </w:rPr>
        <w:t>本产品费用包括托管费、销售服务费、投资管理费、超额业绩报酬（如有）以及产品运作和清算中产生的其他费用等。</w:t>
      </w:r>
    </w:p>
    <w:p>
      <w:pPr>
        <w:numPr>
          <w:ilvl w:val="0"/>
          <w:numId w:val="21"/>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计提方法、计提标准和支付方式</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托管费：本产品的托管费每日计提，按季支付，由托管行收取。计算方法如下：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每日应计提的托管费＝前一日的产品资产净值×托管费率÷</w:t>
      </w:r>
      <w:r>
        <w:rPr>
          <w:rFonts w:ascii="楷体" w:hAnsi="楷体" w:eastAsia="楷体"/>
          <w:sz w:val="24"/>
          <w:szCs w:val="24"/>
        </w:rPr>
        <w:t>365</w:t>
      </w:r>
    </w:p>
    <w:p>
      <w:pPr>
        <w:ind w:firstLine="480" w:firstLineChars="200"/>
        <w:rPr>
          <w:rFonts w:ascii="楷体" w:hAnsi="楷体" w:eastAsia="楷体"/>
          <w:sz w:val="24"/>
          <w:szCs w:val="24"/>
        </w:rPr>
      </w:pPr>
      <w:r>
        <w:rPr>
          <w:rFonts w:hint="eastAsia" w:ascii="楷体" w:hAnsi="楷体" w:eastAsia="楷体"/>
          <w:sz w:val="24"/>
          <w:szCs w:val="24"/>
        </w:rPr>
        <w:t>四舍五入保留至小数点后两位</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销售服务费：</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lang w:val="en-US" w:eastAsia="zh-CN"/>
        </w:rPr>
        <w:t>（1）</w:t>
      </w:r>
      <w:r>
        <w:rPr>
          <w:rFonts w:hint="eastAsia" w:ascii="楷体" w:hAnsi="楷体" w:eastAsia="楷体" w:cs="Calibri"/>
          <w:sz w:val="24"/>
          <w:szCs w:val="24"/>
        </w:rPr>
        <w:t>本产品</w:t>
      </w:r>
      <w:r>
        <w:rPr>
          <w:rFonts w:hint="eastAsia" w:ascii="楷体" w:hAnsi="楷体" w:eastAsia="楷体" w:cs="Calibri"/>
          <w:sz w:val="24"/>
          <w:szCs w:val="24"/>
          <w:lang w:val="en-US" w:eastAsia="zh-CN"/>
        </w:rPr>
        <w:t>A、B、C、E、F、G、H、I、AJS份额</w:t>
      </w:r>
      <w:r>
        <w:rPr>
          <w:rFonts w:hint="eastAsia" w:ascii="楷体" w:hAnsi="楷体" w:eastAsia="楷体" w:cs="Calibri"/>
          <w:sz w:val="24"/>
          <w:szCs w:val="24"/>
        </w:rPr>
        <w:t>的销售服务费每日计提，按季支付，由销售机构收取。计算方法如下：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每日应计提的销售服务费＝前一日的产品资产净值×销售服务费率÷</w:t>
      </w:r>
      <w:r>
        <w:rPr>
          <w:rFonts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0"/>
        </w:numPr>
        <w:tabs>
          <w:tab w:val="left" w:pos="728"/>
        </w:tabs>
        <w:ind w:firstLine="480" w:firstLineChars="200"/>
        <w:rPr>
          <w:rFonts w:hint="eastAsia" w:ascii="楷体" w:hAnsi="楷体" w:eastAsia="楷体" w:cs="Calibri"/>
          <w:sz w:val="24"/>
          <w:szCs w:val="24"/>
        </w:rPr>
      </w:pP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2</w:t>
      </w:r>
      <w:r>
        <w:rPr>
          <w:rFonts w:hint="eastAsia" w:ascii="楷体" w:hAnsi="楷体" w:eastAsia="楷体" w:cs="Calibri"/>
          <w:sz w:val="24"/>
          <w:szCs w:val="24"/>
          <w:lang w:eastAsia="zh-CN"/>
        </w:rPr>
        <w:t>）</w:t>
      </w:r>
      <w:r>
        <w:rPr>
          <w:rFonts w:hint="eastAsia" w:ascii="楷体" w:hAnsi="楷体" w:eastAsia="楷体" w:cs="Calibri"/>
          <w:sz w:val="24"/>
          <w:szCs w:val="24"/>
        </w:rPr>
        <w:t>本产品</w:t>
      </w:r>
      <w:r>
        <w:rPr>
          <w:rFonts w:hint="eastAsia" w:ascii="楷体" w:hAnsi="楷体" w:eastAsia="楷体" w:cs="Calibri"/>
          <w:sz w:val="24"/>
          <w:szCs w:val="24"/>
          <w:lang w:val="en-US" w:eastAsia="zh-CN"/>
        </w:rPr>
        <w:t>D份额</w:t>
      </w:r>
      <w:r>
        <w:rPr>
          <w:rFonts w:hint="eastAsia" w:ascii="楷体" w:hAnsi="楷体" w:eastAsia="楷体" w:cs="Calibri"/>
          <w:sz w:val="24"/>
          <w:szCs w:val="24"/>
        </w:rPr>
        <w:t>的销售服务费</w:t>
      </w:r>
      <w:r>
        <w:rPr>
          <w:rFonts w:hint="eastAsia" w:ascii="楷体" w:hAnsi="楷体" w:eastAsia="楷体" w:cs="Calibri"/>
          <w:sz w:val="24"/>
          <w:szCs w:val="24"/>
          <w:lang w:val="en-US" w:eastAsia="zh-CN"/>
        </w:rPr>
        <w:t>于产品成立日一次性提取</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每日摊销，</w:t>
      </w:r>
      <w:r>
        <w:rPr>
          <w:rFonts w:hint="eastAsia" w:ascii="楷体" w:hAnsi="楷体" w:eastAsia="楷体" w:cs="Calibri"/>
          <w:sz w:val="24"/>
          <w:szCs w:val="24"/>
        </w:rPr>
        <w:t>由销售机构收取。计算方法如下：</w:t>
      </w:r>
    </w:p>
    <w:p>
      <w:pPr>
        <w:ind w:firstLine="480" w:firstLineChars="200"/>
        <w:rPr>
          <w:rFonts w:hint="eastAsia" w:ascii="楷体" w:hAnsi="楷体" w:eastAsia="楷体"/>
          <w:sz w:val="24"/>
          <w:szCs w:val="24"/>
        </w:rPr>
      </w:pPr>
      <w:r>
        <w:rPr>
          <w:rFonts w:hint="eastAsia" w:ascii="楷体" w:hAnsi="楷体" w:eastAsia="楷体"/>
          <w:sz w:val="24"/>
          <w:szCs w:val="24"/>
        </w:rPr>
        <w:t>销售服务费＝</w:t>
      </w:r>
      <w:r>
        <w:rPr>
          <w:rFonts w:hint="eastAsia" w:ascii="楷体" w:hAnsi="楷体" w:eastAsia="楷体"/>
          <w:sz w:val="24"/>
          <w:szCs w:val="24"/>
          <w:lang w:val="en-US" w:eastAsia="zh-CN"/>
        </w:rPr>
        <w:t>产品成立日的产品份额</w:t>
      </w:r>
      <w:r>
        <w:rPr>
          <w:rFonts w:hint="eastAsia" w:ascii="楷体" w:hAnsi="楷体" w:eastAsia="楷体"/>
          <w:sz w:val="24"/>
          <w:szCs w:val="24"/>
        </w:rPr>
        <w:t>×</w:t>
      </w:r>
      <w:r>
        <w:rPr>
          <w:rFonts w:hint="eastAsia" w:ascii="楷体" w:hAnsi="楷体" w:eastAsia="楷体"/>
          <w:sz w:val="24"/>
          <w:szCs w:val="24"/>
          <w:lang w:val="en-US" w:eastAsia="zh-CN"/>
        </w:rPr>
        <w:t>销售服务费率</w:t>
      </w:r>
      <w:r>
        <w:rPr>
          <w:rFonts w:hint="eastAsia" w:ascii="楷体" w:hAnsi="楷体" w:eastAsia="楷体"/>
          <w:sz w:val="24"/>
          <w:szCs w:val="24"/>
        </w:rPr>
        <w:t>×</w:t>
      </w:r>
      <w:r>
        <w:rPr>
          <w:rFonts w:hint="eastAsia" w:ascii="楷体" w:hAnsi="楷体" w:eastAsia="楷体"/>
          <w:sz w:val="24"/>
          <w:szCs w:val="24"/>
          <w:lang w:val="en-US" w:eastAsia="zh-CN"/>
        </w:rPr>
        <w:t>产品投资期限天数</w:t>
      </w:r>
      <w:r>
        <w:rPr>
          <w:rFonts w:hint="eastAsia"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投资管理费：本产品的投资管理费每日计提，按月支付，由管理人收取。计算方法如下：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每日应计提的投资管理费＝前一日的产品资产净值×投资管理费率÷</w:t>
      </w:r>
      <w:r>
        <w:rPr>
          <w:rFonts w:ascii="楷体" w:hAnsi="楷体" w:eastAsia="楷体"/>
          <w:sz w:val="24"/>
          <w:szCs w:val="24"/>
        </w:rPr>
        <w:t>365</w:t>
      </w:r>
    </w:p>
    <w:p>
      <w:pPr>
        <w:ind w:firstLine="480" w:firstLineChars="200"/>
        <w:rPr>
          <w:rFonts w:ascii="楷体" w:hAnsi="楷体" w:eastAsia="楷体"/>
          <w:sz w:val="24"/>
          <w:szCs w:val="24"/>
        </w:rPr>
      </w:pPr>
      <w:r>
        <w:rPr>
          <w:rFonts w:hint="eastAsia" w:ascii="楷体" w:hAnsi="楷体" w:eastAsia="楷体"/>
          <w:sz w:val="24"/>
          <w:szCs w:val="24"/>
        </w:rPr>
        <w:t>四舍五入保留至小数点后两位</w:t>
      </w:r>
    </w:p>
    <w:p>
      <w:pPr>
        <w:numPr>
          <w:ilvl w:val="0"/>
          <w:numId w:val="22"/>
        </w:numPr>
        <w:tabs>
          <w:tab w:val="left" w:pos="728"/>
        </w:tabs>
        <w:ind w:left="0" w:firstLine="480" w:firstLineChars="200"/>
        <w:rPr>
          <w:rFonts w:ascii="楷体" w:hAnsi="楷体" w:eastAsia="楷体"/>
          <w:sz w:val="24"/>
          <w:szCs w:val="24"/>
        </w:rPr>
      </w:pPr>
      <w:r>
        <w:rPr>
          <w:rFonts w:hint="eastAsia" w:ascii="楷体" w:hAnsi="楷体" w:eastAsia="楷体" w:cs="Calibri"/>
          <w:sz w:val="24"/>
          <w:szCs w:val="24"/>
        </w:rPr>
        <w:t>超额业绩报酬</w:t>
      </w:r>
      <w:r>
        <w:rPr>
          <w:rFonts w:hint="eastAsia" w:ascii="楷体" w:hAnsi="楷体" w:eastAsia="楷体"/>
          <w:sz w:val="24"/>
          <w:szCs w:val="24"/>
        </w:rPr>
        <w:t>：若产品各份额实际投资收益在扣除托管费、销售服务费、投资管理费</w:t>
      </w:r>
      <w:r>
        <w:rPr>
          <w:rFonts w:hint="eastAsia" w:ascii="楷体" w:hAnsi="楷体" w:eastAsia="楷体"/>
          <w:sz w:val="24"/>
          <w:szCs w:val="24"/>
          <w:lang w:val="en-US" w:eastAsia="zh-CN"/>
        </w:rPr>
        <w:t>等费用</w:t>
      </w:r>
      <w:r>
        <w:rPr>
          <w:rFonts w:hint="eastAsia" w:ascii="楷体" w:hAnsi="楷体" w:eastAsia="楷体"/>
          <w:sz w:val="24"/>
          <w:szCs w:val="24"/>
        </w:rPr>
        <w:t>后超过各份额业绩比较基准，产品管理人将按照超出部分的</w:t>
      </w:r>
      <w:r>
        <w:rPr>
          <w:rFonts w:hint="eastAsia" w:ascii="楷体" w:hAnsi="楷体" w:eastAsia="楷体"/>
          <w:sz w:val="24"/>
          <w:szCs w:val="24"/>
          <w:lang w:val="en-US" w:eastAsia="zh-CN"/>
        </w:rPr>
        <w:t>5</w:t>
      </w:r>
      <w:r>
        <w:rPr>
          <w:rFonts w:hint="eastAsia" w:ascii="楷体" w:hAnsi="楷体" w:eastAsia="楷体"/>
          <w:sz w:val="24"/>
          <w:szCs w:val="24"/>
        </w:rPr>
        <w:t>0%收取超额业绩报酬。</w:t>
      </w:r>
    </w:p>
    <w:p>
      <w:pPr>
        <w:tabs>
          <w:tab w:val="left" w:pos="728"/>
        </w:tabs>
        <w:ind w:firstLine="480" w:firstLineChars="200"/>
        <w:rPr>
          <w:rFonts w:ascii="楷体" w:hAnsi="楷体" w:eastAsia="楷体"/>
          <w:sz w:val="24"/>
          <w:szCs w:val="24"/>
        </w:rPr>
      </w:pPr>
      <w:r>
        <w:rPr>
          <w:rFonts w:hint="eastAsia" w:ascii="楷体" w:hAnsi="楷体" w:eastAsia="楷体"/>
          <w:sz w:val="24"/>
          <w:szCs w:val="24"/>
        </w:rPr>
        <w:t>产品存续期内理财产品将每日暂估超额业绩报酬，仅用于理财产品会计核算，并将扣除“暂估超额业绩报酬”后的理财产品份额净值按照说明书约定向投资者进行披露。理财产品实际的超额业绩报酬以到期日计提核算的数值为准。计算累计年化收益率和业绩比较基准时，1年按365日计算。</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产品运作和清算中产生的交易手续费、注册登记费、账户服务费、审计费、及其他应由本产品承担的费用，按照实际发生时从产品中列支。</w:t>
      </w:r>
    </w:p>
    <w:p>
      <w:pPr>
        <w:ind w:firstLine="480" w:firstLineChars="200"/>
        <w:rPr>
          <w:rFonts w:ascii="楷体" w:hAnsi="楷体" w:eastAsia="楷体"/>
          <w:sz w:val="24"/>
          <w:szCs w:val="24"/>
        </w:rPr>
      </w:pPr>
      <w:r>
        <w:rPr>
          <w:rFonts w:hint="eastAsia" w:ascii="楷体" w:hAnsi="楷体" w:eastAsia="楷体"/>
          <w:sz w:val="24"/>
          <w:szCs w:val="24"/>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本产品不收取认购费用、申购费用、赎回费用。</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税收规定</w:t>
      </w:r>
    </w:p>
    <w:p>
      <w:pPr>
        <w:ind w:firstLine="480" w:firstLineChars="200"/>
        <w:rPr>
          <w:rFonts w:ascii="楷体" w:hAnsi="楷体" w:eastAsia="楷体"/>
          <w:sz w:val="24"/>
          <w:szCs w:val="24"/>
        </w:rPr>
      </w:pPr>
      <w:r>
        <w:rPr>
          <w:rFonts w:hint="eastAsia" w:ascii="楷体" w:hAnsi="楷体" w:eastAsia="楷体"/>
          <w:sz w:val="24"/>
          <w:szCs w:val="24"/>
        </w:rPr>
        <w:t>根据中国增值税等税收相关法律法规、税收政策等要求，本理财产品运营过程中发生的增值税应税行为，以理财产品管理人为纳税人。签约各方同意本理财产品在运营过程应缴纳的增值税及附加税费（包括但不限于城市维护建设税、教育费附加及地方教育附加等）由管理人从理财产品财产中支付，应缴纳增值税的原因包括但不限于投资者从理财产品中获取的收益被政府机关认定为应缴纳部分、投资者转让未到期理财产品等，并由管理人根据中国税务机关要求，履行相关纳税申报义务，由此可能会使理财产品净值或实际收益降低，请投资者知悉。</w:t>
      </w:r>
      <w:r>
        <w:rPr>
          <w:rFonts w:hint="eastAsia" w:ascii="楷体" w:hAnsi="楷体" w:eastAsia="楷体"/>
          <w:b/>
          <w:sz w:val="24"/>
          <w:szCs w:val="24"/>
          <w:u w:val="single"/>
        </w:rPr>
        <w:t>投资者从理财产品取得的收益应缴纳的税款，由投资者自行申报及缴纳。</w:t>
      </w:r>
    </w:p>
    <w:p>
      <w:pPr>
        <w:numPr>
          <w:ilvl w:val="0"/>
          <w:numId w:val="2"/>
        </w:numPr>
        <w:tabs>
          <w:tab w:val="left" w:pos="1414"/>
        </w:tabs>
        <w:ind w:firstLine="562" w:firstLineChars="200"/>
        <w:rPr>
          <w:rFonts w:ascii="楷体" w:hAnsi="楷体" w:eastAsia="楷体"/>
          <w:b/>
          <w:sz w:val="28"/>
          <w:szCs w:val="28"/>
        </w:rPr>
      </w:pPr>
      <w:r>
        <w:rPr>
          <w:rFonts w:hint="eastAsia" w:ascii="楷体" w:hAnsi="楷体" w:eastAsia="楷体"/>
          <w:b/>
          <w:sz w:val="28"/>
          <w:szCs w:val="28"/>
        </w:rPr>
        <w:t>产品托管人</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托管人</w:t>
      </w:r>
    </w:p>
    <w:p>
      <w:pPr>
        <w:ind w:firstLine="480" w:firstLineChars="200"/>
        <w:rPr>
          <w:rFonts w:ascii="楷体" w:hAnsi="楷体" w:eastAsia="楷体"/>
          <w:sz w:val="24"/>
          <w:szCs w:val="24"/>
        </w:rPr>
      </w:pPr>
      <w:r>
        <w:rPr>
          <w:rFonts w:hint="eastAsia" w:ascii="楷体" w:hAnsi="楷体" w:eastAsia="楷体"/>
          <w:sz w:val="24"/>
          <w:szCs w:val="24"/>
        </w:rPr>
        <w:t>本产品托管人为江苏银行股份有限公司。产品管理人在此特别披露</w:t>
      </w:r>
      <w:r>
        <w:rPr>
          <w:rFonts w:ascii="楷体" w:hAnsi="楷体" w:eastAsia="楷体"/>
          <w:sz w:val="24"/>
          <w:szCs w:val="24"/>
        </w:rPr>
        <w:t>：</w:t>
      </w:r>
      <w:r>
        <w:rPr>
          <w:rFonts w:hint="eastAsia" w:ascii="楷体" w:hAnsi="楷体" w:eastAsia="楷体"/>
          <w:sz w:val="24"/>
          <w:szCs w:val="24"/>
        </w:rPr>
        <w:t>托管人为产品管理人的关联方</w:t>
      </w:r>
      <w:r>
        <w:rPr>
          <w:rFonts w:ascii="楷体" w:hAnsi="楷体" w:eastAsia="楷体"/>
          <w:sz w:val="24"/>
          <w:szCs w:val="24"/>
        </w:rPr>
        <w:t>，</w:t>
      </w:r>
      <w:r>
        <w:rPr>
          <w:rFonts w:hint="eastAsia" w:ascii="楷体" w:hAnsi="楷体" w:eastAsia="楷体"/>
          <w:sz w:val="24"/>
          <w:szCs w:val="24"/>
        </w:rPr>
        <w:t>产品管理人聘请其担任托管人已履行现行法律法规和监管规定所规定必须履行的程序</w:t>
      </w:r>
      <w:r>
        <w:rPr>
          <w:rFonts w:ascii="楷体" w:hAnsi="楷体" w:eastAsia="楷体"/>
          <w:sz w:val="24"/>
          <w:szCs w:val="24"/>
        </w:rPr>
        <w:t>，</w:t>
      </w:r>
      <w:r>
        <w:rPr>
          <w:rFonts w:hint="eastAsia" w:ascii="楷体" w:hAnsi="楷体" w:eastAsia="楷体"/>
          <w:sz w:val="24"/>
          <w:szCs w:val="24"/>
        </w:rPr>
        <w:t>产品管理人、投资者同意并接受理财产品由托管人托管。</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托管人职责</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安全保管理财产品财产；</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为理财产品开立银行托管账户、证券账户等；</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确认与执行理财产品资金划拨指令，办理理财产品资金的收付，核对理财产品资金划拨记录；</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建立与理财产品管理人的对账机制，复核理财产品资产净值、理财产品份额申购、赎回价格，及时核查投资资金的支付和到账情况；</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监督理财产品投资运作；</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办理与理财产品托管业务活动相关的信息披露事项；</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保存理财产品托管业务活动的记录、账册、报表和其他相关材料；</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对理财产品投资信息和相关资料承担保密责任；</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国务院银行业监督管理机构规定的其他职责。</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信息披露</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信息披露内容</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产品类型、募集信息、产品净值、产品规模、托管安排、投资账户信息；</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产品投向、投资比例、持仓情况、杠杆水平以及主要投资风险；</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产品收益分配、各项费用情况；</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产品涉及关联交易；</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其他影响本产品投资运作的重大事项、临时性信息披露等。</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信息披露频率</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发行公告：管理人在产品成立后5个工作日内，披露产品成立公告，内容包括理财产品成立日期和募集规模等信息。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到期公告：管理人在产品终止后5个工作日内，披露产品到期公告，内容包括理财产品的存续期限、终止日期、收费情况和收益分配情况等信息。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重大事项公告：管理人在发生可能对理财产品投资者或者理财产品收益产生重大事项的事件后2个工作日内发布重大事项公告。</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产品净值披露：每周向投资者披露一次产品的资产净值和份额净值。</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临时性信息披露：管理人将及时披露国务院银行业监督管理机构规定的其他信息或除重大事项事件以外的其他信息。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半年度整体报告：每半年披露从事理财业务活动的有关信息。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账单：管理人每月向投资者提供其所持有的理财产品账单，账单内容包括但不限于投资者持有的理财产品份额、认购金额、份额单位净值、份额累计净值、资产净值、收益情况、投资者理财交易账户发生的交易明细记录等信息。</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信息披露方式</w:t>
      </w:r>
    </w:p>
    <w:p>
      <w:pPr>
        <w:ind w:firstLine="480" w:firstLineChars="200"/>
        <w:rPr>
          <w:rFonts w:ascii="楷体" w:hAnsi="楷体" w:eastAsia="楷体"/>
          <w:sz w:val="24"/>
          <w:szCs w:val="24"/>
        </w:rPr>
      </w:pPr>
      <w:r>
        <w:rPr>
          <w:rFonts w:hint="eastAsia" w:ascii="楷体" w:hAnsi="楷体" w:eastAsia="楷体"/>
          <w:sz w:val="24"/>
          <w:szCs w:val="24"/>
        </w:rPr>
        <w:t>由苏银理财按监管要求和说明书的约定，同时通过以下方式向投资者进行信息披露，披露方式包括：</w:t>
      </w:r>
    </w:p>
    <w:p>
      <w:pPr>
        <w:numPr>
          <w:ilvl w:val="0"/>
          <w:numId w:val="2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苏银理财通过苏银理财有限责任公司官方网站（</w:t>
      </w:r>
      <w:r>
        <w:rPr>
          <w:rFonts w:ascii="楷体" w:hAnsi="楷体" w:eastAsia="楷体" w:cs="Calibri"/>
          <w:sz w:val="24"/>
          <w:szCs w:val="24"/>
        </w:rPr>
        <w:t>www</w:t>
      </w:r>
      <w:r>
        <w:rPr>
          <w:rFonts w:hint="eastAsia" w:ascii="楷体" w:hAnsi="楷体" w:eastAsia="楷体" w:cs="Calibri"/>
          <w:sz w:val="24"/>
          <w:szCs w:val="24"/>
        </w:rPr>
        <w:t>.</w:t>
      </w:r>
      <w:r>
        <w:rPr>
          <w:rFonts w:ascii="楷体" w:hAnsi="楷体" w:eastAsia="楷体" w:cs="Calibri"/>
          <w:sz w:val="24"/>
          <w:szCs w:val="24"/>
        </w:rPr>
        <w:t>suyinwealth</w:t>
      </w:r>
      <w:r>
        <w:rPr>
          <w:rFonts w:hint="eastAsia" w:ascii="楷体" w:hAnsi="楷体" w:eastAsia="楷体" w:cs="Calibri"/>
          <w:sz w:val="24"/>
          <w:szCs w:val="24"/>
        </w:rPr>
        <w:t>.</w:t>
      </w:r>
      <w:r>
        <w:rPr>
          <w:rFonts w:ascii="楷体" w:hAnsi="楷体" w:eastAsia="楷体" w:cs="Calibri"/>
          <w:sz w:val="24"/>
          <w:szCs w:val="24"/>
        </w:rPr>
        <w:t>com</w:t>
      </w:r>
      <w:r>
        <w:rPr>
          <w:rFonts w:hint="eastAsia" w:ascii="楷体" w:hAnsi="楷体" w:eastAsia="楷体" w:cs="Calibri"/>
          <w:sz w:val="24"/>
          <w:szCs w:val="24"/>
        </w:rPr>
        <w:t>）进行信息披露。</w:t>
      </w:r>
    </w:p>
    <w:p>
      <w:pPr>
        <w:numPr>
          <w:ilvl w:val="0"/>
          <w:numId w:val="2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苏银理财将信息披露内容发送销售机构，由销售机构通过短信及销售机构电子渠道和营业网点等方式进行信息披露。</w:t>
      </w:r>
    </w:p>
    <w:p>
      <w:pPr>
        <w:ind w:firstLine="480" w:firstLineChars="200"/>
        <w:rPr>
          <w:rFonts w:ascii="楷体" w:hAnsi="楷体" w:eastAsia="楷体"/>
          <w:sz w:val="24"/>
          <w:szCs w:val="24"/>
        </w:rPr>
      </w:pPr>
      <w:r>
        <w:rPr>
          <w:rFonts w:hint="eastAsia" w:ascii="楷体" w:hAnsi="楷体" w:eastAsia="楷体"/>
          <w:sz w:val="24"/>
          <w:szCs w:val="24"/>
        </w:rPr>
        <w:t>相关信息在发布或发出之日视为通知已送达投资者并生效，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请投资者及时登陆苏银理财有限责任公司官方网站或者向销售机构查询获取披露信息。</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其他</w:t>
      </w:r>
    </w:p>
    <w:p>
      <w:pPr>
        <w:numPr>
          <w:ilvl w:val="0"/>
          <w:numId w:val="2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追索条款</w:t>
      </w:r>
    </w:p>
    <w:p>
      <w:pPr>
        <w:ind w:firstLine="480" w:firstLineChars="200"/>
        <w:rPr>
          <w:rFonts w:ascii="楷体" w:hAnsi="楷体" w:eastAsia="楷体"/>
          <w:sz w:val="24"/>
          <w:szCs w:val="24"/>
        </w:rPr>
      </w:pPr>
      <w:r>
        <w:rPr>
          <w:rFonts w:hint="eastAsia" w:ascii="楷体" w:hAnsi="楷体" w:eastAsia="楷体"/>
          <w:sz w:val="24"/>
          <w:szCs w:val="24"/>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信息安全</w:t>
      </w:r>
    </w:p>
    <w:p>
      <w:pPr>
        <w:ind w:firstLine="480" w:firstLineChars="200"/>
        <w:rPr>
          <w:rFonts w:ascii="楷体" w:hAnsi="楷体" w:eastAsia="楷体"/>
          <w:sz w:val="24"/>
          <w:szCs w:val="24"/>
        </w:rPr>
      </w:pPr>
      <w:r>
        <w:rPr>
          <w:rFonts w:hint="eastAsia" w:ascii="楷体" w:hAnsi="楷体" w:eastAsia="楷体"/>
          <w:sz w:val="24"/>
          <w:szCs w:val="24"/>
        </w:rPr>
        <w:t>苏银理财及销售机构将据相关法律、法规严格履行投资者信息保密责任，除监管机构或司法机关等有权机构外，不得对其他第三方提供任何投资者信息。投资者在此同意并授权，苏银理财可根据监管要求，为理财产品登记等需要，向登记部门或监管机构提供投资者相关信息。</w:t>
      </w:r>
    </w:p>
    <w:p>
      <w:pPr>
        <w:ind w:firstLine="480" w:firstLineChars="200"/>
        <w:rPr>
          <w:rFonts w:ascii="楷体" w:hAnsi="楷体" w:eastAsia="楷体"/>
          <w:sz w:val="24"/>
          <w:szCs w:val="24"/>
        </w:rPr>
      </w:pPr>
      <w:r>
        <w:rPr>
          <w:rFonts w:hint="eastAsia" w:ascii="楷体" w:hAnsi="楷体" w:eastAsia="楷体"/>
          <w:sz w:val="24"/>
          <w:szCs w:val="24"/>
        </w:rPr>
        <w:t>投资者在此同意并授权苏银理财可根据业务需要向苏银理财集团成员、服务机构及其他苏银理财认为必要的业务合作机构提供苏银理财获取的投资者个人信息，范围包括但不限于投资人的身份信息、账户信息等。上述第三方将为处理本协议项下事务之目的接触并按照苏银理财的业务要求以及“最少必须”原则使用投资人个人信息。苏银理财承诺将向有关第三方明确其保护投资人信息的职责并要求第三方承担相应的保密义务。</w:t>
      </w:r>
    </w:p>
    <w:p>
      <w:pPr>
        <w:numPr>
          <w:ilvl w:val="0"/>
          <w:numId w:val="2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争议解决</w:t>
      </w:r>
    </w:p>
    <w:p>
      <w:pPr>
        <w:ind w:firstLine="480" w:firstLineChars="200"/>
        <w:jc w:val="left"/>
        <w:rPr>
          <w:rFonts w:ascii="楷体" w:hAnsi="楷体" w:eastAsia="楷体"/>
          <w:sz w:val="24"/>
          <w:szCs w:val="24"/>
        </w:rPr>
      </w:pPr>
      <w:r>
        <w:rPr>
          <w:rFonts w:hint="eastAsia" w:ascii="楷体" w:hAnsi="楷体" w:eastAsia="楷体"/>
          <w:sz w:val="24"/>
          <w:szCs w:val="24"/>
        </w:rPr>
        <w:t>本合同的订立、生效、履行、解释、修改和终止等事项均适用中华人民共和国（不包括香港特别行政区、澳门特别行政区和台湾地区）法律。因本合同引起的或与本合同有关的任何争议，应当首先通过双方之间的友好协商解决；协商不成的，双方均有权提交产品管理人所在地有管辖权的人民法院诉讼解决。</w:t>
      </w:r>
    </w:p>
    <w:p>
      <w:pPr>
        <w:ind w:firstLine="480" w:firstLineChars="200"/>
        <w:jc w:val="left"/>
        <w:rPr>
          <w:rFonts w:ascii="楷体" w:hAnsi="楷体" w:eastAsia="楷体"/>
        </w:rPr>
      </w:pPr>
      <w:r>
        <w:rPr>
          <w:rFonts w:hint="eastAsia" w:ascii="楷体" w:hAnsi="楷体" w:eastAsia="楷体"/>
          <w:sz w:val="24"/>
          <w:szCs w:val="24"/>
        </w:rPr>
        <w:t>苏银理财有限责任公司将恪守勤勉尽责的原则，合理配置资产组合，为投资者提供专业化的理财服务。投资者应密切关注苏银理财有限责任公司与本产品有关的信息公告，以免造成不必要的损失。</w:t>
      </w:r>
      <w:bookmarkEnd w:id="0"/>
    </w:p>
    <w:bookmarkEnd w:id="1"/>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5D0C4"/>
    <w:multiLevelType w:val="singleLevel"/>
    <w:tmpl w:val="EE75D0C4"/>
    <w:lvl w:ilvl="0" w:tentative="0">
      <w:start w:val="1"/>
      <w:numFmt w:val="decimal"/>
      <w:suff w:val="nothing"/>
      <w:lvlText w:val="（%1）"/>
      <w:lvlJc w:val="left"/>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A62A71"/>
    <w:multiLevelType w:val="multilevel"/>
    <w:tmpl w:val="0AA62A7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A52050"/>
    <w:multiLevelType w:val="multilevel"/>
    <w:tmpl w:val="1CA52050"/>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DE002A"/>
    <w:multiLevelType w:val="multilevel"/>
    <w:tmpl w:val="33DE00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04046"/>
    <w:multiLevelType w:val="multilevel"/>
    <w:tmpl w:val="343040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C02CA7"/>
    <w:multiLevelType w:val="multilevel"/>
    <w:tmpl w:val="41C02C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9655AE0"/>
    <w:multiLevelType w:val="multilevel"/>
    <w:tmpl w:val="49655A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CB1E63"/>
    <w:multiLevelType w:val="multilevel"/>
    <w:tmpl w:val="55CB1E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A1C30FB"/>
    <w:multiLevelType w:val="multilevel"/>
    <w:tmpl w:val="5A1C30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737049F"/>
    <w:multiLevelType w:val="multilevel"/>
    <w:tmpl w:val="673704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501D7C"/>
    <w:multiLevelType w:val="multilevel"/>
    <w:tmpl w:val="6B501D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CCD3B1D"/>
    <w:multiLevelType w:val="multilevel"/>
    <w:tmpl w:val="6CCD3B1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D244212"/>
    <w:multiLevelType w:val="multilevel"/>
    <w:tmpl w:val="6D2442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8541B78"/>
    <w:multiLevelType w:val="singleLevel"/>
    <w:tmpl w:val="78541B78"/>
    <w:lvl w:ilvl="0" w:tentative="0">
      <w:start w:val="1"/>
      <w:numFmt w:val="decimal"/>
      <w:suff w:val="nothing"/>
      <w:lvlText w:val="（%1）"/>
      <w:lvlJc w:val="left"/>
    </w:lvl>
  </w:abstractNum>
  <w:abstractNum w:abstractNumId="28">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4"/>
  </w:num>
  <w:num w:numId="3">
    <w:abstractNumId w:val="9"/>
  </w:num>
  <w:num w:numId="4">
    <w:abstractNumId w:val="6"/>
  </w:num>
  <w:num w:numId="5">
    <w:abstractNumId w:val="18"/>
  </w:num>
  <w:num w:numId="6">
    <w:abstractNumId w:val="22"/>
  </w:num>
  <w:num w:numId="7">
    <w:abstractNumId w:val="5"/>
  </w:num>
  <w:num w:numId="8">
    <w:abstractNumId w:val="11"/>
  </w:num>
  <w:num w:numId="9">
    <w:abstractNumId w:val="0"/>
  </w:num>
  <w:num w:numId="10">
    <w:abstractNumId w:val="26"/>
  </w:num>
  <w:num w:numId="11">
    <w:abstractNumId w:val="27"/>
  </w:num>
  <w:num w:numId="12">
    <w:abstractNumId w:val="19"/>
  </w:num>
  <w:num w:numId="13">
    <w:abstractNumId w:val="14"/>
  </w:num>
  <w:num w:numId="14">
    <w:abstractNumId w:val="7"/>
  </w:num>
  <w:num w:numId="15">
    <w:abstractNumId w:val="3"/>
  </w:num>
  <w:num w:numId="16">
    <w:abstractNumId w:val="17"/>
  </w:num>
  <w:num w:numId="17">
    <w:abstractNumId w:val="21"/>
  </w:num>
  <w:num w:numId="18">
    <w:abstractNumId w:val="2"/>
  </w:num>
  <w:num w:numId="19">
    <w:abstractNumId w:val="23"/>
  </w:num>
  <w:num w:numId="20">
    <w:abstractNumId w:val="16"/>
  </w:num>
  <w:num w:numId="21">
    <w:abstractNumId w:val="24"/>
  </w:num>
  <w:num w:numId="22">
    <w:abstractNumId w:val="28"/>
  </w:num>
  <w:num w:numId="23">
    <w:abstractNumId w:val="20"/>
  </w:num>
  <w:num w:numId="24">
    <w:abstractNumId w:val="8"/>
  </w:num>
  <w:num w:numId="25">
    <w:abstractNumId w:val="15"/>
  </w:num>
  <w:num w:numId="26">
    <w:abstractNumId w:val="13"/>
  </w:num>
  <w:num w:numId="27">
    <w:abstractNumId w:val="25"/>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31"/>
    <w:rsid w:val="0000191C"/>
    <w:rsid w:val="00001E2F"/>
    <w:rsid w:val="00002389"/>
    <w:rsid w:val="00002DBD"/>
    <w:rsid w:val="00003606"/>
    <w:rsid w:val="000048B0"/>
    <w:rsid w:val="00005B01"/>
    <w:rsid w:val="000068E6"/>
    <w:rsid w:val="00006971"/>
    <w:rsid w:val="00006979"/>
    <w:rsid w:val="000101E4"/>
    <w:rsid w:val="0001103A"/>
    <w:rsid w:val="00011F27"/>
    <w:rsid w:val="0001244C"/>
    <w:rsid w:val="000128E4"/>
    <w:rsid w:val="000131EF"/>
    <w:rsid w:val="0001327D"/>
    <w:rsid w:val="00013628"/>
    <w:rsid w:val="00014334"/>
    <w:rsid w:val="00014C7A"/>
    <w:rsid w:val="000158A7"/>
    <w:rsid w:val="00015A92"/>
    <w:rsid w:val="00015D58"/>
    <w:rsid w:val="00016232"/>
    <w:rsid w:val="0002052D"/>
    <w:rsid w:val="000205F3"/>
    <w:rsid w:val="00020A6F"/>
    <w:rsid w:val="00021007"/>
    <w:rsid w:val="00021E37"/>
    <w:rsid w:val="00023BA8"/>
    <w:rsid w:val="000247F9"/>
    <w:rsid w:val="00024C7F"/>
    <w:rsid w:val="00024F3F"/>
    <w:rsid w:val="00025A69"/>
    <w:rsid w:val="00025BC2"/>
    <w:rsid w:val="000263ED"/>
    <w:rsid w:val="00027156"/>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68E"/>
    <w:rsid w:val="00050834"/>
    <w:rsid w:val="00050975"/>
    <w:rsid w:val="000514C8"/>
    <w:rsid w:val="00051DB3"/>
    <w:rsid w:val="000521A3"/>
    <w:rsid w:val="00054536"/>
    <w:rsid w:val="00054854"/>
    <w:rsid w:val="00055ACD"/>
    <w:rsid w:val="00056312"/>
    <w:rsid w:val="000565BA"/>
    <w:rsid w:val="000575CD"/>
    <w:rsid w:val="00057B16"/>
    <w:rsid w:val="00060433"/>
    <w:rsid w:val="00060571"/>
    <w:rsid w:val="00061D74"/>
    <w:rsid w:val="00062791"/>
    <w:rsid w:val="00064F2B"/>
    <w:rsid w:val="00066039"/>
    <w:rsid w:val="00066F56"/>
    <w:rsid w:val="000677EE"/>
    <w:rsid w:val="00067EB8"/>
    <w:rsid w:val="00070172"/>
    <w:rsid w:val="00070302"/>
    <w:rsid w:val="00071418"/>
    <w:rsid w:val="00071581"/>
    <w:rsid w:val="00071A4C"/>
    <w:rsid w:val="0007293A"/>
    <w:rsid w:val="00072D1F"/>
    <w:rsid w:val="0007366C"/>
    <w:rsid w:val="00073A65"/>
    <w:rsid w:val="00074189"/>
    <w:rsid w:val="00074306"/>
    <w:rsid w:val="000757BB"/>
    <w:rsid w:val="00080423"/>
    <w:rsid w:val="00080C2C"/>
    <w:rsid w:val="00081AD6"/>
    <w:rsid w:val="00082074"/>
    <w:rsid w:val="00082902"/>
    <w:rsid w:val="000853F6"/>
    <w:rsid w:val="0008676A"/>
    <w:rsid w:val="000867A8"/>
    <w:rsid w:val="00087036"/>
    <w:rsid w:val="00087EDB"/>
    <w:rsid w:val="000903FE"/>
    <w:rsid w:val="00091208"/>
    <w:rsid w:val="00093106"/>
    <w:rsid w:val="00093C11"/>
    <w:rsid w:val="00094631"/>
    <w:rsid w:val="00094F41"/>
    <w:rsid w:val="00096382"/>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C6A"/>
    <w:rsid w:val="000D2EE5"/>
    <w:rsid w:val="000D35BD"/>
    <w:rsid w:val="000D392D"/>
    <w:rsid w:val="000D49C0"/>
    <w:rsid w:val="000D71CF"/>
    <w:rsid w:val="000D7225"/>
    <w:rsid w:val="000D722C"/>
    <w:rsid w:val="000E0485"/>
    <w:rsid w:val="000E11F3"/>
    <w:rsid w:val="000E1951"/>
    <w:rsid w:val="000E2E7D"/>
    <w:rsid w:val="000E34F3"/>
    <w:rsid w:val="000E38B6"/>
    <w:rsid w:val="000E4205"/>
    <w:rsid w:val="000E6CC2"/>
    <w:rsid w:val="000E6D4F"/>
    <w:rsid w:val="000E7CF6"/>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FF6"/>
    <w:rsid w:val="000F65C5"/>
    <w:rsid w:val="000F7056"/>
    <w:rsid w:val="000F7103"/>
    <w:rsid w:val="000F7D2C"/>
    <w:rsid w:val="000F7F3B"/>
    <w:rsid w:val="00100E89"/>
    <w:rsid w:val="00100F0C"/>
    <w:rsid w:val="001025A3"/>
    <w:rsid w:val="001034D7"/>
    <w:rsid w:val="001036A0"/>
    <w:rsid w:val="0010457E"/>
    <w:rsid w:val="001065F5"/>
    <w:rsid w:val="00110417"/>
    <w:rsid w:val="00110B00"/>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8C"/>
    <w:rsid w:val="00125CCE"/>
    <w:rsid w:val="0012647A"/>
    <w:rsid w:val="00126DFD"/>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50DF"/>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60569"/>
    <w:rsid w:val="0016091E"/>
    <w:rsid w:val="00160DD2"/>
    <w:rsid w:val="00161080"/>
    <w:rsid w:val="00161E2F"/>
    <w:rsid w:val="001622A1"/>
    <w:rsid w:val="001624A3"/>
    <w:rsid w:val="001624DA"/>
    <w:rsid w:val="00162BF5"/>
    <w:rsid w:val="00163488"/>
    <w:rsid w:val="00164627"/>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6DA3"/>
    <w:rsid w:val="00191E3F"/>
    <w:rsid w:val="00191F2C"/>
    <w:rsid w:val="00193A85"/>
    <w:rsid w:val="00194395"/>
    <w:rsid w:val="00194963"/>
    <w:rsid w:val="00194E69"/>
    <w:rsid w:val="001950DD"/>
    <w:rsid w:val="00195FF0"/>
    <w:rsid w:val="00197344"/>
    <w:rsid w:val="00197DD9"/>
    <w:rsid w:val="001A05F5"/>
    <w:rsid w:val="001A1C12"/>
    <w:rsid w:val="001A1D51"/>
    <w:rsid w:val="001A3923"/>
    <w:rsid w:val="001A5487"/>
    <w:rsid w:val="001A57DB"/>
    <w:rsid w:val="001A586B"/>
    <w:rsid w:val="001A5CF0"/>
    <w:rsid w:val="001A73F1"/>
    <w:rsid w:val="001B1D26"/>
    <w:rsid w:val="001B1E1E"/>
    <w:rsid w:val="001B2F76"/>
    <w:rsid w:val="001B2F82"/>
    <w:rsid w:val="001B3673"/>
    <w:rsid w:val="001B396B"/>
    <w:rsid w:val="001B3DB5"/>
    <w:rsid w:val="001B4B9C"/>
    <w:rsid w:val="001B72EB"/>
    <w:rsid w:val="001B7D0D"/>
    <w:rsid w:val="001B7E3D"/>
    <w:rsid w:val="001C13E9"/>
    <w:rsid w:val="001C33C1"/>
    <w:rsid w:val="001C4148"/>
    <w:rsid w:val="001C687B"/>
    <w:rsid w:val="001C786D"/>
    <w:rsid w:val="001C78FF"/>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EB"/>
    <w:rsid w:val="001E4E95"/>
    <w:rsid w:val="001E59F4"/>
    <w:rsid w:val="001E631F"/>
    <w:rsid w:val="001F0A69"/>
    <w:rsid w:val="001F1333"/>
    <w:rsid w:val="001F1728"/>
    <w:rsid w:val="001F1EE8"/>
    <w:rsid w:val="001F2658"/>
    <w:rsid w:val="001F2DD0"/>
    <w:rsid w:val="001F3AD6"/>
    <w:rsid w:val="001F3CCB"/>
    <w:rsid w:val="001F63BD"/>
    <w:rsid w:val="001F6775"/>
    <w:rsid w:val="001F69BF"/>
    <w:rsid w:val="00200449"/>
    <w:rsid w:val="00200DF8"/>
    <w:rsid w:val="00200E4D"/>
    <w:rsid w:val="0020123C"/>
    <w:rsid w:val="0020196F"/>
    <w:rsid w:val="0020199B"/>
    <w:rsid w:val="002024E9"/>
    <w:rsid w:val="002034B8"/>
    <w:rsid w:val="0020515C"/>
    <w:rsid w:val="002051DA"/>
    <w:rsid w:val="0020639A"/>
    <w:rsid w:val="00206E9C"/>
    <w:rsid w:val="00210857"/>
    <w:rsid w:val="00211669"/>
    <w:rsid w:val="002119A2"/>
    <w:rsid w:val="00212895"/>
    <w:rsid w:val="00213632"/>
    <w:rsid w:val="00215F66"/>
    <w:rsid w:val="0021611E"/>
    <w:rsid w:val="002169DC"/>
    <w:rsid w:val="00220B6A"/>
    <w:rsid w:val="0022162D"/>
    <w:rsid w:val="002222A4"/>
    <w:rsid w:val="0022633B"/>
    <w:rsid w:val="00226F9D"/>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C46"/>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5866"/>
    <w:rsid w:val="00256152"/>
    <w:rsid w:val="00256E57"/>
    <w:rsid w:val="0025744E"/>
    <w:rsid w:val="002579CC"/>
    <w:rsid w:val="00257CDC"/>
    <w:rsid w:val="00260FFB"/>
    <w:rsid w:val="00263CB4"/>
    <w:rsid w:val="0026641B"/>
    <w:rsid w:val="002672C8"/>
    <w:rsid w:val="0027027C"/>
    <w:rsid w:val="00270665"/>
    <w:rsid w:val="002709BC"/>
    <w:rsid w:val="00272C53"/>
    <w:rsid w:val="00272E20"/>
    <w:rsid w:val="00273681"/>
    <w:rsid w:val="0027409E"/>
    <w:rsid w:val="00274FAF"/>
    <w:rsid w:val="0027510A"/>
    <w:rsid w:val="0027608A"/>
    <w:rsid w:val="002765F4"/>
    <w:rsid w:val="002766D8"/>
    <w:rsid w:val="00276883"/>
    <w:rsid w:val="00277C1F"/>
    <w:rsid w:val="002821D7"/>
    <w:rsid w:val="00282F20"/>
    <w:rsid w:val="00283152"/>
    <w:rsid w:val="002841A6"/>
    <w:rsid w:val="00284713"/>
    <w:rsid w:val="00284BCD"/>
    <w:rsid w:val="0028632E"/>
    <w:rsid w:val="0029004F"/>
    <w:rsid w:val="002916BD"/>
    <w:rsid w:val="00291B84"/>
    <w:rsid w:val="00292B19"/>
    <w:rsid w:val="00292B5E"/>
    <w:rsid w:val="002932FC"/>
    <w:rsid w:val="00294431"/>
    <w:rsid w:val="0029480F"/>
    <w:rsid w:val="00294B49"/>
    <w:rsid w:val="00295538"/>
    <w:rsid w:val="00295598"/>
    <w:rsid w:val="00297034"/>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795"/>
    <w:rsid w:val="002B1E52"/>
    <w:rsid w:val="002B2620"/>
    <w:rsid w:val="002B3225"/>
    <w:rsid w:val="002B5080"/>
    <w:rsid w:val="002B5694"/>
    <w:rsid w:val="002C021F"/>
    <w:rsid w:val="002C2056"/>
    <w:rsid w:val="002C222A"/>
    <w:rsid w:val="002C23F7"/>
    <w:rsid w:val="002C266A"/>
    <w:rsid w:val="002C2D1B"/>
    <w:rsid w:val="002C3367"/>
    <w:rsid w:val="002C450E"/>
    <w:rsid w:val="002C4EAE"/>
    <w:rsid w:val="002C5C34"/>
    <w:rsid w:val="002C7117"/>
    <w:rsid w:val="002C744B"/>
    <w:rsid w:val="002C7AC0"/>
    <w:rsid w:val="002C7CB4"/>
    <w:rsid w:val="002D064D"/>
    <w:rsid w:val="002D0706"/>
    <w:rsid w:val="002D29FD"/>
    <w:rsid w:val="002D2AEC"/>
    <w:rsid w:val="002D2C1F"/>
    <w:rsid w:val="002D35CA"/>
    <w:rsid w:val="002D3DB4"/>
    <w:rsid w:val="002D600D"/>
    <w:rsid w:val="002D77BF"/>
    <w:rsid w:val="002D78A3"/>
    <w:rsid w:val="002D7EE9"/>
    <w:rsid w:val="002E1382"/>
    <w:rsid w:val="002E2AA6"/>
    <w:rsid w:val="002E6F55"/>
    <w:rsid w:val="002F0E4E"/>
    <w:rsid w:val="002F24A1"/>
    <w:rsid w:val="002F3362"/>
    <w:rsid w:val="002F344B"/>
    <w:rsid w:val="002F3CD4"/>
    <w:rsid w:val="002F41A5"/>
    <w:rsid w:val="002F4C66"/>
    <w:rsid w:val="002F5903"/>
    <w:rsid w:val="002F709A"/>
    <w:rsid w:val="002F7558"/>
    <w:rsid w:val="002F77A8"/>
    <w:rsid w:val="00300000"/>
    <w:rsid w:val="00300388"/>
    <w:rsid w:val="00300637"/>
    <w:rsid w:val="003010B6"/>
    <w:rsid w:val="00301619"/>
    <w:rsid w:val="00301AD3"/>
    <w:rsid w:val="00301E80"/>
    <w:rsid w:val="00302755"/>
    <w:rsid w:val="00302771"/>
    <w:rsid w:val="00303147"/>
    <w:rsid w:val="003039E4"/>
    <w:rsid w:val="00304D18"/>
    <w:rsid w:val="00304E55"/>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5760"/>
    <w:rsid w:val="003169E1"/>
    <w:rsid w:val="00320DA0"/>
    <w:rsid w:val="003211A5"/>
    <w:rsid w:val="003222FC"/>
    <w:rsid w:val="00322A55"/>
    <w:rsid w:val="00324004"/>
    <w:rsid w:val="00325D85"/>
    <w:rsid w:val="0032607C"/>
    <w:rsid w:val="00326CF5"/>
    <w:rsid w:val="00326E7B"/>
    <w:rsid w:val="0033166C"/>
    <w:rsid w:val="0033358A"/>
    <w:rsid w:val="00333937"/>
    <w:rsid w:val="003342B8"/>
    <w:rsid w:val="0033504B"/>
    <w:rsid w:val="003362C7"/>
    <w:rsid w:val="00336A5A"/>
    <w:rsid w:val="00337AA0"/>
    <w:rsid w:val="00337E85"/>
    <w:rsid w:val="00341358"/>
    <w:rsid w:val="00341A2F"/>
    <w:rsid w:val="00341A7B"/>
    <w:rsid w:val="00342ADB"/>
    <w:rsid w:val="00343B0F"/>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B55"/>
    <w:rsid w:val="00366FB4"/>
    <w:rsid w:val="00367122"/>
    <w:rsid w:val="0037083D"/>
    <w:rsid w:val="00370FEC"/>
    <w:rsid w:val="00372402"/>
    <w:rsid w:val="003724FE"/>
    <w:rsid w:val="003726C4"/>
    <w:rsid w:val="003732C5"/>
    <w:rsid w:val="00374086"/>
    <w:rsid w:val="00375BEB"/>
    <w:rsid w:val="003762B7"/>
    <w:rsid w:val="00376C8B"/>
    <w:rsid w:val="003800B4"/>
    <w:rsid w:val="003809E0"/>
    <w:rsid w:val="003814E2"/>
    <w:rsid w:val="00381E88"/>
    <w:rsid w:val="003821F9"/>
    <w:rsid w:val="00382503"/>
    <w:rsid w:val="003827CD"/>
    <w:rsid w:val="00382C88"/>
    <w:rsid w:val="00383A99"/>
    <w:rsid w:val="00383D6D"/>
    <w:rsid w:val="003852EF"/>
    <w:rsid w:val="003859B5"/>
    <w:rsid w:val="003870EE"/>
    <w:rsid w:val="00387204"/>
    <w:rsid w:val="0038789A"/>
    <w:rsid w:val="00387ED7"/>
    <w:rsid w:val="00393452"/>
    <w:rsid w:val="00393CF7"/>
    <w:rsid w:val="00394C2C"/>
    <w:rsid w:val="00395441"/>
    <w:rsid w:val="003961B1"/>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DFB"/>
    <w:rsid w:val="003B6220"/>
    <w:rsid w:val="003B6826"/>
    <w:rsid w:val="003B7628"/>
    <w:rsid w:val="003B76DC"/>
    <w:rsid w:val="003C1E93"/>
    <w:rsid w:val="003C2161"/>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6D92"/>
    <w:rsid w:val="003E70B9"/>
    <w:rsid w:val="003E7812"/>
    <w:rsid w:val="003F07CE"/>
    <w:rsid w:val="003F0B04"/>
    <w:rsid w:val="003F2136"/>
    <w:rsid w:val="003F277A"/>
    <w:rsid w:val="003F31E6"/>
    <w:rsid w:val="003F40F9"/>
    <w:rsid w:val="003F43FA"/>
    <w:rsid w:val="003F4C40"/>
    <w:rsid w:val="003F52FE"/>
    <w:rsid w:val="003F580D"/>
    <w:rsid w:val="003F61D7"/>
    <w:rsid w:val="003F72A9"/>
    <w:rsid w:val="00401F3A"/>
    <w:rsid w:val="0040272E"/>
    <w:rsid w:val="00402EA0"/>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44B1"/>
    <w:rsid w:val="00426041"/>
    <w:rsid w:val="00426CBC"/>
    <w:rsid w:val="00427CC0"/>
    <w:rsid w:val="0043002F"/>
    <w:rsid w:val="004301CA"/>
    <w:rsid w:val="004303B3"/>
    <w:rsid w:val="00430927"/>
    <w:rsid w:val="00431EDA"/>
    <w:rsid w:val="00432433"/>
    <w:rsid w:val="0043308A"/>
    <w:rsid w:val="00433113"/>
    <w:rsid w:val="00433284"/>
    <w:rsid w:val="00434262"/>
    <w:rsid w:val="004343D1"/>
    <w:rsid w:val="0043485C"/>
    <w:rsid w:val="00435CF7"/>
    <w:rsid w:val="0043673C"/>
    <w:rsid w:val="00436801"/>
    <w:rsid w:val="00436A2E"/>
    <w:rsid w:val="00437DA0"/>
    <w:rsid w:val="00440E35"/>
    <w:rsid w:val="004412CE"/>
    <w:rsid w:val="00442603"/>
    <w:rsid w:val="00443A49"/>
    <w:rsid w:val="00444898"/>
    <w:rsid w:val="00445E88"/>
    <w:rsid w:val="00446292"/>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3FD9"/>
    <w:rsid w:val="00484CF0"/>
    <w:rsid w:val="004856F7"/>
    <w:rsid w:val="00485E98"/>
    <w:rsid w:val="0048615C"/>
    <w:rsid w:val="00486A15"/>
    <w:rsid w:val="00487169"/>
    <w:rsid w:val="0049046F"/>
    <w:rsid w:val="00490539"/>
    <w:rsid w:val="004907EE"/>
    <w:rsid w:val="004910C2"/>
    <w:rsid w:val="00491342"/>
    <w:rsid w:val="00491B25"/>
    <w:rsid w:val="00491CD6"/>
    <w:rsid w:val="004925DF"/>
    <w:rsid w:val="004929D1"/>
    <w:rsid w:val="004939CA"/>
    <w:rsid w:val="00494407"/>
    <w:rsid w:val="0049785B"/>
    <w:rsid w:val="00497D5C"/>
    <w:rsid w:val="004A083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4001"/>
    <w:rsid w:val="004B4B39"/>
    <w:rsid w:val="004B5736"/>
    <w:rsid w:val="004B6EA9"/>
    <w:rsid w:val="004B7203"/>
    <w:rsid w:val="004B735F"/>
    <w:rsid w:val="004B77FF"/>
    <w:rsid w:val="004C02E5"/>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B26"/>
    <w:rsid w:val="004D34DD"/>
    <w:rsid w:val="004D35FE"/>
    <w:rsid w:val="004D382B"/>
    <w:rsid w:val="004D3B10"/>
    <w:rsid w:val="004D49D8"/>
    <w:rsid w:val="004D5099"/>
    <w:rsid w:val="004D5D4E"/>
    <w:rsid w:val="004D63E7"/>
    <w:rsid w:val="004D6E8F"/>
    <w:rsid w:val="004D73A7"/>
    <w:rsid w:val="004D7BA3"/>
    <w:rsid w:val="004E30EB"/>
    <w:rsid w:val="004E35B4"/>
    <w:rsid w:val="004E3C6A"/>
    <w:rsid w:val="004E46B0"/>
    <w:rsid w:val="004E4C39"/>
    <w:rsid w:val="004E645B"/>
    <w:rsid w:val="004E706F"/>
    <w:rsid w:val="004F139C"/>
    <w:rsid w:val="004F13A9"/>
    <w:rsid w:val="004F3AC9"/>
    <w:rsid w:val="004F3E60"/>
    <w:rsid w:val="004F4072"/>
    <w:rsid w:val="004F46F0"/>
    <w:rsid w:val="004F4F78"/>
    <w:rsid w:val="004F52CF"/>
    <w:rsid w:val="004F55EC"/>
    <w:rsid w:val="004F5B96"/>
    <w:rsid w:val="004F60D0"/>
    <w:rsid w:val="004F715D"/>
    <w:rsid w:val="0050130D"/>
    <w:rsid w:val="005013A2"/>
    <w:rsid w:val="0050386F"/>
    <w:rsid w:val="00503CF3"/>
    <w:rsid w:val="005041D5"/>
    <w:rsid w:val="005071D2"/>
    <w:rsid w:val="00510090"/>
    <w:rsid w:val="00510526"/>
    <w:rsid w:val="00510823"/>
    <w:rsid w:val="0051208D"/>
    <w:rsid w:val="00515789"/>
    <w:rsid w:val="00516DA1"/>
    <w:rsid w:val="005201F1"/>
    <w:rsid w:val="00520ACC"/>
    <w:rsid w:val="00520B0B"/>
    <w:rsid w:val="005212D4"/>
    <w:rsid w:val="00522752"/>
    <w:rsid w:val="00522AA1"/>
    <w:rsid w:val="00523379"/>
    <w:rsid w:val="00523F14"/>
    <w:rsid w:val="0052415B"/>
    <w:rsid w:val="005266CB"/>
    <w:rsid w:val="00527FBD"/>
    <w:rsid w:val="0053069A"/>
    <w:rsid w:val="005308B0"/>
    <w:rsid w:val="00531959"/>
    <w:rsid w:val="00532800"/>
    <w:rsid w:val="0053444E"/>
    <w:rsid w:val="0053510C"/>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51149"/>
    <w:rsid w:val="0055122E"/>
    <w:rsid w:val="00551427"/>
    <w:rsid w:val="00551590"/>
    <w:rsid w:val="00551C0A"/>
    <w:rsid w:val="00553C6E"/>
    <w:rsid w:val="00554430"/>
    <w:rsid w:val="005555B2"/>
    <w:rsid w:val="005560A0"/>
    <w:rsid w:val="00560551"/>
    <w:rsid w:val="00561A27"/>
    <w:rsid w:val="00561FE9"/>
    <w:rsid w:val="00562804"/>
    <w:rsid w:val="00564093"/>
    <w:rsid w:val="00564529"/>
    <w:rsid w:val="00564783"/>
    <w:rsid w:val="00564DEB"/>
    <w:rsid w:val="00564F46"/>
    <w:rsid w:val="005659B2"/>
    <w:rsid w:val="00566586"/>
    <w:rsid w:val="00566CB6"/>
    <w:rsid w:val="00567AAC"/>
    <w:rsid w:val="00572A2F"/>
    <w:rsid w:val="00572C28"/>
    <w:rsid w:val="00572D91"/>
    <w:rsid w:val="00574893"/>
    <w:rsid w:val="005757A8"/>
    <w:rsid w:val="00575E03"/>
    <w:rsid w:val="00576001"/>
    <w:rsid w:val="00576A3A"/>
    <w:rsid w:val="00576B9E"/>
    <w:rsid w:val="00577555"/>
    <w:rsid w:val="005803FA"/>
    <w:rsid w:val="005806B4"/>
    <w:rsid w:val="005809B5"/>
    <w:rsid w:val="00581D0F"/>
    <w:rsid w:val="005822DA"/>
    <w:rsid w:val="00583A5E"/>
    <w:rsid w:val="0058412B"/>
    <w:rsid w:val="00587D7C"/>
    <w:rsid w:val="00590CD8"/>
    <w:rsid w:val="00591D64"/>
    <w:rsid w:val="00591E65"/>
    <w:rsid w:val="00592105"/>
    <w:rsid w:val="00593310"/>
    <w:rsid w:val="00593968"/>
    <w:rsid w:val="0059593D"/>
    <w:rsid w:val="00595C4D"/>
    <w:rsid w:val="00597498"/>
    <w:rsid w:val="0059767A"/>
    <w:rsid w:val="005A0462"/>
    <w:rsid w:val="005A0D71"/>
    <w:rsid w:val="005A1903"/>
    <w:rsid w:val="005A43FC"/>
    <w:rsid w:val="005A5C60"/>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CB"/>
    <w:rsid w:val="005C72E9"/>
    <w:rsid w:val="005C79F4"/>
    <w:rsid w:val="005D03A4"/>
    <w:rsid w:val="005D163E"/>
    <w:rsid w:val="005D19DF"/>
    <w:rsid w:val="005D2664"/>
    <w:rsid w:val="005D33A6"/>
    <w:rsid w:val="005D4D03"/>
    <w:rsid w:val="005D5066"/>
    <w:rsid w:val="005D5292"/>
    <w:rsid w:val="005D5470"/>
    <w:rsid w:val="005D637B"/>
    <w:rsid w:val="005E0829"/>
    <w:rsid w:val="005E14F6"/>
    <w:rsid w:val="005E162C"/>
    <w:rsid w:val="005E26A1"/>
    <w:rsid w:val="005E2C12"/>
    <w:rsid w:val="005E2D33"/>
    <w:rsid w:val="005E494F"/>
    <w:rsid w:val="005E5312"/>
    <w:rsid w:val="005E588E"/>
    <w:rsid w:val="005E5F0F"/>
    <w:rsid w:val="005E65CA"/>
    <w:rsid w:val="005E695B"/>
    <w:rsid w:val="005E7086"/>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B69"/>
    <w:rsid w:val="00633754"/>
    <w:rsid w:val="00633AD9"/>
    <w:rsid w:val="00635E85"/>
    <w:rsid w:val="0063693B"/>
    <w:rsid w:val="006371FF"/>
    <w:rsid w:val="00640F88"/>
    <w:rsid w:val="00641CAA"/>
    <w:rsid w:val="00642BAA"/>
    <w:rsid w:val="006436A7"/>
    <w:rsid w:val="00643869"/>
    <w:rsid w:val="00643DD9"/>
    <w:rsid w:val="00644A75"/>
    <w:rsid w:val="00645DCE"/>
    <w:rsid w:val="006472A0"/>
    <w:rsid w:val="00651512"/>
    <w:rsid w:val="00653500"/>
    <w:rsid w:val="00653D24"/>
    <w:rsid w:val="00654956"/>
    <w:rsid w:val="00654DE7"/>
    <w:rsid w:val="00655049"/>
    <w:rsid w:val="0065533C"/>
    <w:rsid w:val="00656A9D"/>
    <w:rsid w:val="00656F5E"/>
    <w:rsid w:val="006608B7"/>
    <w:rsid w:val="00662CBC"/>
    <w:rsid w:val="0066476E"/>
    <w:rsid w:val="00664788"/>
    <w:rsid w:val="0066619E"/>
    <w:rsid w:val="006673A8"/>
    <w:rsid w:val="0066777A"/>
    <w:rsid w:val="006700A9"/>
    <w:rsid w:val="0067038D"/>
    <w:rsid w:val="00671042"/>
    <w:rsid w:val="00671A6A"/>
    <w:rsid w:val="00673E46"/>
    <w:rsid w:val="00673F0C"/>
    <w:rsid w:val="00675082"/>
    <w:rsid w:val="00675EC1"/>
    <w:rsid w:val="00676A38"/>
    <w:rsid w:val="00680098"/>
    <w:rsid w:val="00680833"/>
    <w:rsid w:val="00680957"/>
    <w:rsid w:val="00681E46"/>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E17"/>
    <w:rsid w:val="0069655B"/>
    <w:rsid w:val="00696763"/>
    <w:rsid w:val="00696D1D"/>
    <w:rsid w:val="00696DEC"/>
    <w:rsid w:val="0069734A"/>
    <w:rsid w:val="006A044A"/>
    <w:rsid w:val="006A079B"/>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C044C"/>
    <w:rsid w:val="006C0A29"/>
    <w:rsid w:val="006C17FA"/>
    <w:rsid w:val="006C2C37"/>
    <w:rsid w:val="006C35B6"/>
    <w:rsid w:val="006C42CE"/>
    <w:rsid w:val="006C5486"/>
    <w:rsid w:val="006C592D"/>
    <w:rsid w:val="006C5D93"/>
    <w:rsid w:val="006C74B3"/>
    <w:rsid w:val="006D1D4A"/>
    <w:rsid w:val="006D209C"/>
    <w:rsid w:val="006D3791"/>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700A73"/>
    <w:rsid w:val="007015E9"/>
    <w:rsid w:val="00701F9E"/>
    <w:rsid w:val="00702A10"/>
    <w:rsid w:val="0070484E"/>
    <w:rsid w:val="0070491E"/>
    <w:rsid w:val="00704ED8"/>
    <w:rsid w:val="0070601C"/>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DBB"/>
    <w:rsid w:val="00723E51"/>
    <w:rsid w:val="0072579B"/>
    <w:rsid w:val="00725F23"/>
    <w:rsid w:val="007267EB"/>
    <w:rsid w:val="0072737A"/>
    <w:rsid w:val="00730159"/>
    <w:rsid w:val="00730AC8"/>
    <w:rsid w:val="00730C0D"/>
    <w:rsid w:val="0073129C"/>
    <w:rsid w:val="00731BC5"/>
    <w:rsid w:val="00732AFD"/>
    <w:rsid w:val="00732E0C"/>
    <w:rsid w:val="007330C4"/>
    <w:rsid w:val="007339DB"/>
    <w:rsid w:val="007356FC"/>
    <w:rsid w:val="00735CE3"/>
    <w:rsid w:val="007363C4"/>
    <w:rsid w:val="00736DD5"/>
    <w:rsid w:val="0074101E"/>
    <w:rsid w:val="0074150A"/>
    <w:rsid w:val="00741FEC"/>
    <w:rsid w:val="007433D3"/>
    <w:rsid w:val="00743A86"/>
    <w:rsid w:val="00743F1B"/>
    <w:rsid w:val="0074430F"/>
    <w:rsid w:val="007448B9"/>
    <w:rsid w:val="0074509B"/>
    <w:rsid w:val="007468E9"/>
    <w:rsid w:val="00746BED"/>
    <w:rsid w:val="00747D71"/>
    <w:rsid w:val="00750288"/>
    <w:rsid w:val="0075066C"/>
    <w:rsid w:val="00751BF1"/>
    <w:rsid w:val="00752BBB"/>
    <w:rsid w:val="00752EEF"/>
    <w:rsid w:val="007537F1"/>
    <w:rsid w:val="00753A4F"/>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5FA2"/>
    <w:rsid w:val="007665AE"/>
    <w:rsid w:val="007665E7"/>
    <w:rsid w:val="007669D1"/>
    <w:rsid w:val="00767809"/>
    <w:rsid w:val="00767F65"/>
    <w:rsid w:val="00773845"/>
    <w:rsid w:val="0077605D"/>
    <w:rsid w:val="00780896"/>
    <w:rsid w:val="00780E48"/>
    <w:rsid w:val="00780FF2"/>
    <w:rsid w:val="007815A1"/>
    <w:rsid w:val="00781F37"/>
    <w:rsid w:val="0078251C"/>
    <w:rsid w:val="00783BF6"/>
    <w:rsid w:val="00783D1B"/>
    <w:rsid w:val="0078501F"/>
    <w:rsid w:val="00785229"/>
    <w:rsid w:val="0078620B"/>
    <w:rsid w:val="0079186B"/>
    <w:rsid w:val="007919EE"/>
    <w:rsid w:val="00793312"/>
    <w:rsid w:val="00794B5C"/>
    <w:rsid w:val="00796669"/>
    <w:rsid w:val="00796A9E"/>
    <w:rsid w:val="00796D05"/>
    <w:rsid w:val="00797687"/>
    <w:rsid w:val="007979C3"/>
    <w:rsid w:val="00797F44"/>
    <w:rsid w:val="007A0BE3"/>
    <w:rsid w:val="007A20FE"/>
    <w:rsid w:val="007A25AF"/>
    <w:rsid w:val="007A30A5"/>
    <w:rsid w:val="007A4EEC"/>
    <w:rsid w:val="007A5FB9"/>
    <w:rsid w:val="007A62D0"/>
    <w:rsid w:val="007A664A"/>
    <w:rsid w:val="007A6FC4"/>
    <w:rsid w:val="007A70C6"/>
    <w:rsid w:val="007B11D0"/>
    <w:rsid w:val="007B17CD"/>
    <w:rsid w:val="007B1CB5"/>
    <w:rsid w:val="007B1DF3"/>
    <w:rsid w:val="007B27E9"/>
    <w:rsid w:val="007B2987"/>
    <w:rsid w:val="007B2E0B"/>
    <w:rsid w:val="007B6A8F"/>
    <w:rsid w:val="007B70D3"/>
    <w:rsid w:val="007C0B77"/>
    <w:rsid w:val="007C1031"/>
    <w:rsid w:val="007C1116"/>
    <w:rsid w:val="007C3AA6"/>
    <w:rsid w:val="007C4940"/>
    <w:rsid w:val="007C4EF2"/>
    <w:rsid w:val="007C55D4"/>
    <w:rsid w:val="007C590E"/>
    <w:rsid w:val="007C6368"/>
    <w:rsid w:val="007D093F"/>
    <w:rsid w:val="007D0BE8"/>
    <w:rsid w:val="007D0D6D"/>
    <w:rsid w:val="007D115B"/>
    <w:rsid w:val="007D190D"/>
    <w:rsid w:val="007D26ED"/>
    <w:rsid w:val="007D333B"/>
    <w:rsid w:val="007D36CA"/>
    <w:rsid w:val="007D4C02"/>
    <w:rsid w:val="007D5396"/>
    <w:rsid w:val="007D579E"/>
    <w:rsid w:val="007D5920"/>
    <w:rsid w:val="007D61ED"/>
    <w:rsid w:val="007D6496"/>
    <w:rsid w:val="007D6731"/>
    <w:rsid w:val="007D6837"/>
    <w:rsid w:val="007D7001"/>
    <w:rsid w:val="007D782F"/>
    <w:rsid w:val="007D784E"/>
    <w:rsid w:val="007D7963"/>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64E9"/>
    <w:rsid w:val="007F7EFE"/>
    <w:rsid w:val="007F7F51"/>
    <w:rsid w:val="0080100B"/>
    <w:rsid w:val="00801232"/>
    <w:rsid w:val="008014DB"/>
    <w:rsid w:val="00801BBC"/>
    <w:rsid w:val="00802684"/>
    <w:rsid w:val="00802729"/>
    <w:rsid w:val="0080341A"/>
    <w:rsid w:val="00804380"/>
    <w:rsid w:val="00804490"/>
    <w:rsid w:val="00805FBA"/>
    <w:rsid w:val="00806655"/>
    <w:rsid w:val="00806B2A"/>
    <w:rsid w:val="008071EA"/>
    <w:rsid w:val="00810DA4"/>
    <w:rsid w:val="008111F8"/>
    <w:rsid w:val="00811689"/>
    <w:rsid w:val="00813597"/>
    <w:rsid w:val="00813B3D"/>
    <w:rsid w:val="00814A29"/>
    <w:rsid w:val="00814EE8"/>
    <w:rsid w:val="00814FD6"/>
    <w:rsid w:val="00816711"/>
    <w:rsid w:val="00817E4D"/>
    <w:rsid w:val="00822457"/>
    <w:rsid w:val="008251FD"/>
    <w:rsid w:val="00825793"/>
    <w:rsid w:val="008259B8"/>
    <w:rsid w:val="00825AD3"/>
    <w:rsid w:val="00825ADA"/>
    <w:rsid w:val="00825DEA"/>
    <w:rsid w:val="00825FA4"/>
    <w:rsid w:val="0082667C"/>
    <w:rsid w:val="008269BB"/>
    <w:rsid w:val="00827362"/>
    <w:rsid w:val="008279A8"/>
    <w:rsid w:val="00827E59"/>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6BFA"/>
    <w:rsid w:val="00846E1E"/>
    <w:rsid w:val="008471F9"/>
    <w:rsid w:val="00847A9C"/>
    <w:rsid w:val="00847C99"/>
    <w:rsid w:val="00847E19"/>
    <w:rsid w:val="008512ED"/>
    <w:rsid w:val="00851D9C"/>
    <w:rsid w:val="00855674"/>
    <w:rsid w:val="00856812"/>
    <w:rsid w:val="00856E27"/>
    <w:rsid w:val="0086027C"/>
    <w:rsid w:val="008610DC"/>
    <w:rsid w:val="0086291A"/>
    <w:rsid w:val="00862D4F"/>
    <w:rsid w:val="00863AB4"/>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62BD"/>
    <w:rsid w:val="00887670"/>
    <w:rsid w:val="00887DD7"/>
    <w:rsid w:val="008917E7"/>
    <w:rsid w:val="00891F93"/>
    <w:rsid w:val="00892A20"/>
    <w:rsid w:val="00893A8B"/>
    <w:rsid w:val="008946C7"/>
    <w:rsid w:val="00895EAA"/>
    <w:rsid w:val="008962E9"/>
    <w:rsid w:val="0089653C"/>
    <w:rsid w:val="00896CA9"/>
    <w:rsid w:val="00897158"/>
    <w:rsid w:val="00897AEF"/>
    <w:rsid w:val="008A0CFE"/>
    <w:rsid w:val="008A0DE6"/>
    <w:rsid w:val="008A13F9"/>
    <w:rsid w:val="008A1FF5"/>
    <w:rsid w:val="008A233D"/>
    <w:rsid w:val="008A237E"/>
    <w:rsid w:val="008A2B47"/>
    <w:rsid w:val="008A447D"/>
    <w:rsid w:val="008A4AF5"/>
    <w:rsid w:val="008A4EFA"/>
    <w:rsid w:val="008A62A5"/>
    <w:rsid w:val="008A6722"/>
    <w:rsid w:val="008A7E2E"/>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F0D"/>
    <w:rsid w:val="008D5FCB"/>
    <w:rsid w:val="008D683A"/>
    <w:rsid w:val="008E02D6"/>
    <w:rsid w:val="008E0308"/>
    <w:rsid w:val="008E0359"/>
    <w:rsid w:val="008E0805"/>
    <w:rsid w:val="008E0FFB"/>
    <w:rsid w:val="008E12B9"/>
    <w:rsid w:val="008E2B4D"/>
    <w:rsid w:val="008E3094"/>
    <w:rsid w:val="008E3295"/>
    <w:rsid w:val="008E3DD1"/>
    <w:rsid w:val="008E55EA"/>
    <w:rsid w:val="008E5926"/>
    <w:rsid w:val="008E75C5"/>
    <w:rsid w:val="008E7887"/>
    <w:rsid w:val="008E7E6E"/>
    <w:rsid w:val="008F1194"/>
    <w:rsid w:val="008F1884"/>
    <w:rsid w:val="008F237A"/>
    <w:rsid w:val="008F2796"/>
    <w:rsid w:val="008F34D3"/>
    <w:rsid w:val="008F39CC"/>
    <w:rsid w:val="008F4306"/>
    <w:rsid w:val="008F6A2F"/>
    <w:rsid w:val="008F6B5E"/>
    <w:rsid w:val="008F755E"/>
    <w:rsid w:val="008F79D0"/>
    <w:rsid w:val="009008B1"/>
    <w:rsid w:val="00900FFE"/>
    <w:rsid w:val="00902015"/>
    <w:rsid w:val="00903107"/>
    <w:rsid w:val="00903531"/>
    <w:rsid w:val="00904A65"/>
    <w:rsid w:val="00905793"/>
    <w:rsid w:val="00906A6F"/>
    <w:rsid w:val="00907263"/>
    <w:rsid w:val="009074CA"/>
    <w:rsid w:val="00912168"/>
    <w:rsid w:val="009123F6"/>
    <w:rsid w:val="00913E2A"/>
    <w:rsid w:val="0091468D"/>
    <w:rsid w:val="0091475E"/>
    <w:rsid w:val="009163B6"/>
    <w:rsid w:val="00916B61"/>
    <w:rsid w:val="00917ED2"/>
    <w:rsid w:val="00917F42"/>
    <w:rsid w:val="009205E3"/>
    <w:rsid w:val="00920B30"/>
    <w:rsid w:val="009217A9"/>
    <w:rsid w:val="00922F29"/>
    <w:rsid w:val="009231E6"/>
    <w:rsid w:val="00924926"/>
    <w:rsid w:val="00924ED9"/>
    <w:rsid w:val="00926705"/>
    <w:rsid w:val="009277E9"/>
    <w:rsid w:val="0093042C"/>
    <w:rsid w:val="0093114D"/>
    <w:rsid w:val="00931316"/>
    <w:rsid w:val="00931A47"/>
    <w:rsid w:val="00931EDF"/>
    <w:rsid w:val="00933086"/>
    <w:rsid w:val="00934A0F"/>
    <w:rsid w:val="00935CA2"/>
    <w:rsid w:val="00935EE2"/>
    <w:rsid w:val="0093700C"/>
    <w:rsid w:val="009375B0"/>
    <w:rsid w:val="00937ED6"/>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63AA"/>
    <w:rsid w:val="00957ACF"/>
    <w:rsid w:val="00960570"/>
    <w:rsid w:val="00960F88"/>
    <w:rsid w:val="00962113"/>
    <w:rsid w:val="009623A4"/>
    <w:rsid w:val="009631D1"/>
    <w:rsid w:val="00963229"/>
    <w:rsid w:val="009632EA"/>
    <w:rsid w:val="0096515A"/>
    <w:rsid w:val="00965C79"/>
    <w:rsid w:val="00966601"/>
    <w:rsid w:val="00967094"/>
    <w:rsid w:val="00970079"/>
    <w:rsid w:val="009700A9"/>
    <w:rsid w:val="00970A79"/>
    <w:rsid w:val="00971A1C"/>
    <w:rsid w:val="00972B5A"/>
    <w:rsid w:val="00972CEF"/>
    <w:rsid w:val="00973C9C"/>
    <w:rsid w:val="009752BD"/>
    <w:rsid w:val="009758CF"/>
    <w:rsid w:val="00975BBA"/>
    <w:rsid w:val="00975FEE"/>
    <w:rsid w:val="009762AE"/>
    <w:rsid w:val="00976687"/>
    <w:rsid w:val="009831C5"/>
    <w:rsid w:val="0098672A"/>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7E7"/>
    <w:rsid w:val="009A5942"/>
    <w:rsid w:val="009A5C14"/>
    <w:rsid w:val="009A70B5"/>
    <w:rsid w:val="009A7763"/>
    <w:rsid w:val="009A7A9E"/>
    <w:rsid w:val="009A7B95"/>
    <w:rsid w:val="009B05E8"/>
    <w:rsid w:val="009B05F1"/>
    <w:rsid w:val="009B126C"/>
    <w:rsid w:val="009B2CF2"/>
    <w:rsid w:val="009B45E7"/>
    <w:rsid w:val="009B493A"/>
    <w:rsid w:val="009B4DE3"/>
    <w:rsid w:val="009B535D"/>
    <w:rsid w:val="009B62CB"/>
    <w:rsid w:val="009B6612"/>
    <w:rsid w:val="009B6991"/>
    <w:rsid w:val="009B6A55"/>
    <w:rsid w:val="009C0980"/>
    <w:rsid w:val="009C133B"/>
    <w:rsid w:val="009C158C"/>
    <w:rsid w:val="009C196E"/>
    <w:rsid w:val="009C2BD7"/>
    <w:rsid w:val="009C3B52"/>
    <w:rsid w:val="009C4A6F"/>
    <w:rsid w:val="009C54BE"/>
    <w:rsid w:val="009C55F9"/>
    <w:rsid w:val="009C6025"/>
    <w:rsid w:val="009C64D5"/>
    <w:rsid w:val="009C6EF1"/>
    <w:rsid w:val="009D09C5"/>
    <w:rsid w:val="009D161B"/>
    <w:rsid w:val="009D162C"/>
    <w:rsid w:val="009D18A0"/>
    <w:rsid w:val="009D1EF0"/>
    <w:rsid w:val="009D2E92"/>
    <w:rsid w:val="009D478F"/>
    <w:rsid w:val="009D479C"/>
    <w:rsid w:val="009D4D22"/>
    <w:rsid w:val="009D4D77"/>
    <w:rsid w:val="009D5125"/>
    <w:rsid w:val="009D613E"/>
    <w:rsid w:val="009D705F"/>
    <w:rsid w:val="009D7772"/>
    <w:rsid w:val="009D7E79"/>
    <w:rsid w:val="009E0B76"/>
    <w:rsid w:val="009E1143"/>
    <w:rsid w:val="009E2925"/>
    <w:rsid w:val="009E409E"/>
    <w:rsid w:val="009E63C4"/>
    <w:rsid w:val="009E64E6"/>
    <w:rsid w:val="009E6FA5"/>
    <w:rsid w:val="009E7131"/>
    <w:rsid w:val="009F0065"/>
    <w:rsid w:val="009F0651"/>
    <w:rsid w:val="009F0908"/>
    <w:rsid w:val="009F1984"/>
    <w:rsid w:val="009F1BCB"/>
    <w:rsid w:val="009F20C9"/>
    <w:rsid w:val="009F2488"/>
    <w:rsid w:val="009F3436"/>
    <w:rsid w:val="009F3650"/>
    <w:rsid w:val="009F57B8"/>
    <w:rsid w:val="009F6E81"/>
    <w:rsid w:val="009F7321"/>
    <w:rsid w:val="009F7990"/>
    <w:rsid w:val="00A00194"/>
    <w:rsid w:val="00A001C6"/>
    <w:rsid w:val="00A00244"/>
    <w:rsid w:val="00A01B60"/>
    <w:rsid w:val="00A02BF2"/>
    <w:rsid w:val="00A031F9"/>
    <w:rsid w:val="00A04BE3"/>
    <w:rsid w:val="00A05A0B"/>
    <w:rsid w:val="00A05E0C"/>
    <w:rsid w:val="00A11A72"/>
    <w:rsid w:val="00A11C5A"/>
    <w:rsid w:val="00A12FE6"/>
    <w:rsid w:val="00A1330B"/>
    <w:rsid w:val="00A14944"/>
    <w:rsid w:val="00A15004"/>
    <w:rsid w:val="00A2017E"/>
    <w:rsid w:val="00A20DE5"/>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3C4A"/>
    <w:rsid w:val="00A33F32"/>
    <w:rsid w:val="00A37578"/>
    <w:rsid w:val="00A403A6"/>
    <w:rsid w:val="00A403A8"/>
    <w:rsid w:val="00A404B2"/>
    <w:rsid w:val="00A406D2"/>
    <w:rsid w:val="00A40F81"/>
    <w:rsid w:val="00A41901"/>
    <w:rsid w:val="00A41E20"/>
    <w:rsid w:val="00A428F3"/>
    <w:rsid w:val="00A43874"/>
    <w:rsid w:val="00A44630"/>
    <w:rsid w:val="00A446D4"/>
    <w:rsid w:val="00A44D89"/>
    <w:rsid w:val="00A4582E"/>
    <w:rsid w:val="00A466C5"/>
    <w:rsid w:val="00A471F9"/>
    <w:rsid w:val="00A472C5"/>
    <w:rsid w:val="00A502DA"/>
    <w:rsid w:val="00A50CD1"/>
    <w:rsid w:val="00A513F1"/>
    <w:rsid w:val="00A518CE"/>
    <w:rsid w:val="00A52128"/>
    <w:rsid w:val="00A528CC"/>
    <w:rsid w:val="00A5297E"/>
    <w:rsid w:val="00A52EF0"/>
    <w:rsid w:val="00A541BB"/>
    <w:rsid w:val="00A5472F"/>
    <w:rsid w:val="00A54C4F"/>
    <w:rsid w:val="00A560DE"/>
    <w:rsid w:val="00A563BD"/>
    <w:rsid w:val="00A565E9"/>
    <w:rsid w:val="00A567FD"/>
    <w:rsid w:val="00A56F02"/>
    <w:rsid w:val="00A57FD5"/>
    <w:rsid w:val="00A60AEC"/>
    <w:rsid w:val="00A61B87"/>
    <w:rsid w:val="00A62028"/>
    <w:rsid w:val="00A6320B"/>
    <w:rsid w:val="00A63615"/>
    <w:rsid w:val="00A63B52"/>
    <w:rsid w:val="00A6444C"/>
    <w:rsid w:val="00A64491"/>
    <w:rsid w:val="00A655DD"/>
    <w:rsid w:val="00A66DA4"/>
    <w:rsid w:val="00A71E32"/>
    <w:rsid w:val="00A73844"/>
    <w:rsid w:val="00A73FA4"/>
    <w:rsid w:val="00A7441C"/>
    <w:rsid w:val="00A75036"/>
    <w:rsid w:val="00A7606A"/>
    <w:rsid w:val="00A7702A"/>
    <w:rsid w:val="00A777D7"/>
    <w:rsid w:val="00A77A28"/>
    <w:rsid w:val="00A80332"/>
    <w:rsid w:val="00A80D18"/>
    <w:rsid w:val="00A840C8"/>
    <w:rsid w:val="00A84413"/>
    <w:rsid w:val="00A85069"/>
    <w:rsid w:val="00A851D3"/>
    <w:rsid w:val="00A85C99"/>
    <w:rsid w:val="00A85CBE"/>
    <w:rsid w:val="00A86059"/>
    <w:rsid w:val="00A867D3"/>
    <w:rsid w:val="00A8682A"/>
    <w:rsid w:val="00A86AC2"/>
    <w:rsid w:val="00A877EA"/>
    <w:rsid w:val="00A90434"/>
    <w:rsid w:val="00A90848"/>
    <w:rsid w:val="00A90A79"/>
    <w:rsid w:val="00A90D5D"/>
    <w:rsid w:val="00A919A8"/>
    <w:rsid w:val="00A937B0"/>
    <w:rsid w:val="00A94817"/>
    <w:rsid w:val="00A95618"/>
    <w:rsid w:val="00A95E04"/>
    <w:rsid w:val="00A9702D"/>
    <w:rsid w:val="00AA00D8"/>
    <w:rsid w:val="00AA084D"/>
    <w:rsid w:val="00AA09CE"/>
    <w:rsid w:val="00AA109A"/>
    <w:rsid w:val="00AA1646"/>
    <w:rsid w:val="00AA184D"/>
    <w:rsid w:val="00AA21D4"/>
    <w:rsid w:val="00AA3ADF"/>
    <w:rsid w:val="00AA3C01"/>
    <w:rsid w:val="00AA4945"/>
    <w:rsid w:val="00AA4F18"/>
    <w:rsid w:val="00AA5FE9"/>
    <w:rsid w:val="00AA7490"/>
    <w:rsid w:val="00AA79FE"/>
    <w:rsid w:val="00AA7EB9"/>
    <w:rsid w:val="00AB0321"/>
    <w:rsid w:val="00AB12D8"/>
    <w:rsid w:val="00AB21EA"/>
    <w:rsid w:val="00AB29DA"/>
    <w:rsid w:val="00AB2D5C"/>
    <w:rsid w:val="00AB3A12"/>
    <w:rsid w:val="00AB3BF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D0DBB"/>
    <w:rsid w:val="00AD2B68"/>
    <w:rsid w:val="00AD2F15"/>
    <w:rsid w:val="00AD34FD"/>
    <w:rsid w:val="00AD4224"/>
    <w:rsid w:val="00AD4E75"/>
    <w:rsid w:val="00AD51FA"/>
    <w:rsid w:val="00AD65E0"/>
    <w:rsid w:val="00AD6DC7"/>
    <w:rsid w:val="00AD74C8"/>
    <w:rsid w:val="00AD7ED0"/>
    <w:rsid w:val="00AE09FB"/>
    <w:rsid w:val="00AE1A9A"/>
    <w:rsid w:val="00AE3181"/>
    <w:rsid w:val="00AE357C"/>
    <w:rsid w:val="00AE6795"/>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B66"/>
    <w:rsid w:val="00B06EDD"/>
    <w:rsid w:val="00B078AF"/>
    <w:rsid w:val="00B10470"/>
    <w:rsid w:val="00B10AEC"/>
    <w:rsid w:val="00B12212"/>
    <w:rsid w:val="00B12515"/>
    <w:rsid w:val="00B125A8"/>
    <w:rsid w:val="00B1324C"/>
    <w:rsid w:val="00B1367C"/>
    <w:rsid w:val="00B1478F"/>
    <w:rsid w:val="00B168BC"/>
    <w:rsid w:val="00B16963"/>
    <w:rsid w:val="00B17A09"/>
    <w:rsid w:val="00B2044E"/>
    <w:rsid w:val="00B21864"/>
    <w:rsid w:val="00B232F1"/>
    <w:rsid w:val="00B234B3"/>
    <w:rsid w:val="00B235F8"/>
    <w:rsid w:val="00B24FA2"/>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7E1"/>
    <w:rsid w:val="00B41EE8"/>
    <w:rsid w:val="00B4284B"/>
    <w:rsid w:val="00B42A03"/>
    <w:rsid w:val="00B432A2"/>
    <w:rsid w:val="00B43C11"/>
    <w:rsid w:val="00B44A7C"/>
    <w:rsid w:val="00B4527C"/>
    <w:rsid w:val="00B45440"/>
    <w:rsid w:val="00B4657E"/>
    <w:rsid w:val="00B47C5D"/>
    <w:rsid w:val="00B5024E"/>
    <w:rsid w:val="00B505E4"/>
    <w:rsid w:val="00B5087C"/>
    <w:rsid w:val="00B51834"/>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2F9E"/>
    <w:rsid w:val="00B6326B"/>
    <w:rsid w:val="00B644CA"/>
    <w:rsid w:val="00B65387"/>
    <w:rsid w:val="00B65E8B"/>
    <w:rsid w:val="00B6662D"/>
    <w:rsid w:val="00B66F7A"/>
    <w:rsid w:val="00B673E9"/>
    <w:rsid w:val="00B67872"/>
    <w:rsid w:val="00B67ED0"/>
    <w:rsid w:val="00B70145"/>
    <w:rsid w:val="00B7089F"/>
    <w:rsid w:val="00B70E53"/>
    <w:rsid w:val="00B71451"/>
    <w:rsid w:val="00B74278"/>
    <w:rsid w:val="00B74705"/>
    <w:rsid w:val="00B74730"/>
    <w:rsid w:val="00B74B9D"/>
    <w:rsid w:val="00B75149"/>
    <w:rsid w:val="00B77A6A"/>
    <w:rsid w:val="00B803D6"/>
    <w:rsid w:val="00B82774"/>
    <w:rsid w:val="00B83257"/>
    <w:rsid w:val="00B851E6"/>
    <w:rsid w:val="00B859BC"/>
    <w:rsid w:val="00B903E3"/>
    <w:rsid w:val="00B911C2"/>
    <w:rsid w:val="00B9192B"/>
    <w:rsid w:val="00B91DF8"/>
    <w:rsid w:val="00B93396"/>
    <w:rsid w:val="00B95300"/>
    <w:rsid w:val="00B9543E"/>
    <w:rsid w:val="00B9594C"/>
    <w:rsid w:val="00B96F03"/>
    <w:rsid w:val="00B9734C"/>
    <w:rsid w:val="00B97CB6"/>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E05BB"/>
    <w:rsid w:val="00BE0F25"/>
    <w:rsid w:val="00BE13D4"/>
    <w:rsid w:val="00BE207E"/>
    <w:rsid w:val="00BE274E"/>
    <w:rsid w:val="00BE336C"/>
    <w:rsid w:val="00BE4D2C"/>
    <w:rsid w:val="00BE7988"/>
    <w:rsid w:val="00BE7F6B"/>
    <w:rsid w:val="00BF0382"/>
    <w:rsid w:val="00BF082E"/>
    <w:rsid w:val="00BF0FC4"/>
    <w:rsid w:val="00BF191A"/>
    <w:rsid w:val="00BF1E0A"/>
    <w:rsid w:val="00BF27E9"/>
    <w:rsid w:val="00BF36F3"/>
    <w:rsid w:val="00BF6F76"/>
    <w:rsid w:val="00C00006"/>
    <w:rsid w:val="00C00489"/>
    <w:rsid w:val="00C02978"/>
    <w:rsid w:val="00C034A9"/>
    <w:rsid w:val="00C03859"/>
    <w:rsid w:val="00C03CFF"/>
    <w:rsid w:val="00C03DBF"/>
    <w:rsid w:val="00C048E6"/>
    <w:rsid w:val="00C04FA0"/>
    <w:rsid w:val="00C05E01"/>
    <w:rsid w:val="00C05E42"/>
    <w:rsid w:val="00C05F8E"/>
    <w:rsid w:val="00C06075"/>
    <w:rsid w:val="00C063F1"/>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66D3"/>
    <w:rsid w:val="00C266DA"/>
    <w:rsid w:val="00C26FE9"/>
    <w:rsid w:val="00C270C6"/>
    <w:rsid w:val="00C27687"/>
    <w:rsid w:val="00C27BD3"/>
    <w:rsid w:val="00C27D03"/>
    <w:rsid w:val="00C27DE4"/>
    <w:rsid w:val="00C303DE"/>
    <w:rsid w:val="00C3081E"/>
    <w:rsid w:val="00C31095"/>
    <w:rsid w:val="00C31607"/>
    <w:rsid w:val="00C31645"/>
    <w:rsid w:val="00C31DED"/>
    <w:rsid w:val="00C32321"/>
    <w:rsid w:val="00C32332"/>
    <w:rsid w:val="00C3241E"/>
    <w:rsid w:val="00C349F0"/>
    <w:rsid w:val="00C34A1E"/>
    <w:rsid w:val="00C34BEB"/>
    <w:rsid w:val="00C35828"/>
    <w:rsid w:val="00C35C9E"/>
    <w:rsid w:val="00C36509"/>
    <w:rsid w:val="00C3720B"/>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E87"/>
    <w:rsid w:val="00C7118E"/>
    <w:rsid w:val="00C72782"/>
    <w:rsid w:val="00C7422F"/>
    <w:rsid w:val="00C751BF"/>
    <w:rsid w:val="00C75D0F"/>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D4F"/>
    <w:rsid w:val="00CB7F06"/>
    <w:rsid w:val="00CC0334"/>
    <w:rsid w:val="00CC1692"/>
    <w:rsid w:val="00CC16DA"/>
    <w:rsid w:val="00CC1B8B"/>
    <w:rsid w:val="00CC1DF5"/>
    <w:rsid w:val="00CC3A59"/>
    <w:rsid w:val="00CC4253"/>
    <w:rsid w:val="00CC4804"/>
    <w:rsid w:val="00CC5133"/>
    <w:rsid w:val="00CC5C9B"/>
    <w:rsid w:val="00CC5F27"/>
    <w:rsid w:val="00CC63FE"/>
    <w:rsid w:val="00CC7437"/>
    <w:rsid w:val="00CC7EC6"/>
    <w:rsid w:val="00CD1841"/>
    <w:rsid w:val="00CD20E1"/>
    <w:rsid w:val="00CD3BBB"/>
    <w:rsid w:val="00CD3C54"/>
    <w:rsid w:val="00CD7989"/>
    <w:rsid w:val="00CE0493"/>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5493"/>
    <w:rsid w:val="00CF56F5"/>
    <w:rsid w:val="00CF5B07"/>
    <w:rsid w:val="00CF64CD"/>
    <w:rsid w:val="00CF67D8"/>
    <w:rsid w:val="00CF694E"/>
    <w:rsid w:val="00CF6BF4"/>
    <w:rsid w:val="00CF7532"/>
    <w:rsid w:val="00CF7DE9"/>
    <w:rsid w:val="00D0056A"/>
    <w:rsid w:val="00D00A07"/>
    <w:rsid w:val="00D01398"/>
    <w:rsid w:val="00D013D3"/>
    <w:rsid w:val="00D0189D"/>
    <w:rsid w:val="00D02AC6"/>
    <w:rsid w:val="00D03607"/>
    <w:rsid w:val="00D03D68"/>
    <w:rsid w:val="00D04528"/>
    <w:rsid w:val="00D050BA"/>
    <w:rsid w:val="00D05E32"/>
    <w:rsid w:val="00D06FC6"/>
    <w:rsid w:val="00D071BC"/>
    <w:rsid w:val="00D106A3"/>
    <w:rsid w:val="00D11CE7"/>
    <w:rsid w:val="00D12281"/>
    <w:rsid w:val="00D12584"/>
    <w:rsid w:val="00D12C41"/>
    <w:rsid w:val="00D14D03"/>
    <w:rsid w:val="00D16A6E"/>
    <w:rsid w:val="00D174F0"/>
    <w:rsid w:val="00D17707"/>
    <w:rsid w:val="00D222FD"/>
    <w:rsid w:val="00D22E79"/>
    <w:rsid w:val="00D236DE"/>
    <w:rsid w:val="00D243A9"/>
    <w:rsid w:val="00D26410"/>
    <w:rsid w:val="00D2713F"/>
    <w:rsid w:val="00D2772F"/>
    <w:rsid w:val="00D3079F"/>
    <w:rsid w:val="00D30C5E"/>
    <w:rsid w:val="00D3100A"/>
    <w:rsid w:val="00D312EB"/>
    <w:rsid w:val="00D3348F"/>
    <w:rsid w:val="00D3413F"/>
    <w:rsid w:val="00D3483B"/>
    <w:rsid w:val="00D3497A"/>
    <w:rsid w:val="00D37235"/>
    <w:rsid w:val="00D373B0"/>
    <w:rsid w:val="00D37508"/>
    <w:rsid w:val="00D40C07"/>
    <w:rsid w:val="00D40C75"/>
    <w:rsid w:val="00D40F22"/>
    <w:rsid w:val="00D4142C"/>
    <w:rsid w:val="00D4229B"/>
    <w:rsid w:val="00D42325"/>
    <w:rsid w:val="00D42F0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70EEA"/>
    <w:rsid w:val="00D71595"/>
    <w:rsid w:val="00D71B33"/>
    <w:rsid w:val="00D72158"/>
    <w:rsid w:val="00D72663"/>
    <w:rsid w:val="00D740F4"/>
    <w:rsid w:val="00D75DFD"/>
    <w:rsid w:val="00D76353"/>
    <w:rsid w:val="00D7794A"/>
    <w:rsid w:val="00D802FD"/>
    <w:rsid w:val="00D8162D"/>
    <w:rsid w:val="00D81DE2"/>
    <w:rsid w:val="00D82881"/>
    <w:rsid w:val="00D843A8"/>
    <w:rsid w:val="00D843F9"/>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266F"/>
    <w:rsid w:val="00DA26A7"/>
    <w:rsid w:val="00DA2928"/>
    <w:rsid w:val="00DA30E8"/>
    <w:rsid w:val="00DA3AE2"/>
    <w:rsid w:val="00DA3B33"/>
    <w:rsid w:val="00DA42A3"/>
    <w:rsid w:val="00DA50F2"/>
    <w:rsid w:val="00DA5B4D"/>
    <w:rsid w:val="00DA7075"/>
    <w:rsid w:val="00DA74A2"/>
    <w:rsid w:val="00DA76BE"/>
    <w:rsid w:val="00DB1EF7"/>
    <w:rsid w:val="00DB23B3"/>
    <w:rsid w:val="00DB5DF8"/>
    <w:rsid w:val="00DB5E98"/>
    <w:rsid w:val="00DB6664"/>
    <w:rsid w:val="00DB6B6B"/>
    <w:rsid w:val="00DB73FB"/>
    <w:rsid w:val="00DB7CD4"/>
    <w:rsid w:val="00DC0DBE"/>
    <w:rsid w:val="00DC2A0D"/>
    <w:rsid w:val="00DC2B7E"/>
    <w:rsid w:val="00DC3413"/>
    <w:rsid w:val="00DC3910"/>
    <w:rsid w:val="00DC429D"/>
    <w:rsid w:val="00DC6E17"/>
    <w:rsid w:val="00DC6F8F"/>
    <w:rsid w:val="00DD2246"/>
    <w:rsid w:val="00DD26B7"/>
    <w:rsid w:val="00DD35D4"/>
    <w:rsid w:val="00DD36B7"/>
    <w:rsid w:val="00DD3969"/>
    <w:rsid w:val="00DD4DCA"/>
    <w:rsid w:val="00DD5181"/>
    <w:rsid w:val="00DD5AEC"/>
    <w:rsid w:val="00DD5CCB"/>
    <w:rsid w:val="00DD6003"/>
    <w:rsid w:val="00DD651B"/>
    <w:rsid w:val="00DD725A"/>
    <w:rsid w:val="00DD7B1D"/>
    <w:rsid w:val="00DE1A4C"/>
    <w:rsid w:val="00DE1B04"/>
    <w:rsid w:val="00DE285A"/>
    <w:rsid w:val="00DE2F3F"/>
    <w:rsid w:val="00DE3123"/>
    <w:rsid w:val="00DE3774"/>
    <w:rsid w:val="00DE4AFA"/>
    <w:rsid w:val="00DE5417"/>
    <w:rsid w:val="00DE5630"/>
    <w:rsid w:val="00DE7227"/>
    <w:rsid w:val="00DE7312"/>
    <w:rsid w:val="00DE76FC"/>
    <w:rsid w:val="00DF0898"/>
    <w:rsid w:val="00DF0E35"/>
    <w:rsid w:val="00DF2C48"/>
    <w:rsid w:val="00DF308F"/>
    <w:rsid w:val="00DF33BD"/>
    <w:rsid w:val="00DF3789"/>
    <w:rsid w:val="00DF3F22"/>
    <w:rsid w:val="00DF4241"/>
    <w:rsid w:val="00DF4303"/>
    <w:rsid w:val="00DF45B4"/>
    <w:rsid w:val="00DF4BAB"/>
    <w:rsid w:val="00DF4D77"/>
    <w:rsid w:val="00DF5B12"/>
    <w:rsid w:val="00DF5D14"/>
    <w:rsid w:val="00DF608E"/>
    <w:rsid w:val="00DF676A"/>
    <w:rsid w:val="00DF6CC5"/>
    <w:rsid w:val="00DF6DEE"/>
    <w:rsid w:val="00DF6F9C"/>
    <w:rsid w:val="00DF6FF1"/>
    <w:rsid w:val="00DF76E0"/>
    <w:rsid w:val="00E0139A"/>
    <w:rsid w:val="00E015A9"/>
    <w:rsid w:val="00E02883"/>
    <w:rsid w:val="00E04029"/>
    <w:rsid w:val="00E04242"/>
    <w:rsid w:val="00E05D7D"/>
    <w:rsid w:val="00E07284"/>
    <w:rsid w:val="00E079B2"/>
    <w:rsid w:val="00E10861"/>
    <w:rsid w:val="00E120BC"/>
    <w:rsid w:val="00E1376C"/>
    <w:rsid w:val="00E13B02"/>
    <w:rsid w:val="00E14425"/>
    <w:rsid w:val="00E151A5"/>
    <w:rsid w:val="00E15635"/>
    <w:rsid w:val="00E15908"/>
    <w:rsid w:val="00E16BEE"/>
    <w:rsid w:val="00E16D43"/>
    <w:rsid w:val="00E21B02"/>
    <w:rsid w:val="00E21E4E"/>
    <w:rsid w:val="00E23869"/>
    <w:rsid w:val="00E23885"/>
    <w:rsid w:val="00E26156"/>
    <w:rsid w:val="00E26B75"/>
    <w:rsid w:val="00E26F08"/>
    <w:rsid w:val="00E27323"/>
    <w:rsid w:val="00E2768F"/>
    <w:rsid w:val="00E3099D"/>
    <w:rsid w:val="00E30DA9"/>
    <w:rsid w:val="00E31803"/>
    <w:rsid w:val="00E31C8B"/>
    <w:rsid w:val="00E32002"/>
    <w:rsid w:val="00E333FB"/>
    <w:rsid w:val="00E3340F"/>
    <w:rsid w:val="00E3345C"/>
    <w:rsid w:val="00E36150"/>
    <w:rsid w:val="00E36F7B"/>
    <w:rsid w:val="00E40778"/>
    <w:rsid w:val="00E4178B"/>
    <w:rsid w:val="00E41FE9"/>
    <w:rsid w:val="00E4501A"/>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5D25"/>
    <w:rsid w:val="00E569B2"/>
    <w:rsid w:val="00E60C14"/>
    <w:rsid w:val="00E61815"/>
    <w:rsid w:val="00E63C50"/>
    <w:rsid w:val="00E640AE"/>
    <w:rsid w:val="00E64C68"/>
    <w:rsid w:val="00E653EB"/>
    <w:rsid w:val="00E65D86"/>
    <w:rsid w:val="00E66834"/>
    <w:rsid w:val="00E66967"/>
    <w:rsid w:val="00E67E1C"/>
    <w:rsid w:val="00E7036A"/>
    <w:rsid w:val="00E708B4"/>
    <w:rsid w:val="00E70E2A"/>
    <w:rsid w:val="00E713EE"/>
    <w:rsid w:val="00E71643"/>
    <w:rsid w:val="00E72791"/>
    <w:rsid w:val="00E72C1A"/>
    <w:rsid w:val="00E73A84"/>
    <w:rsid w:val="00E74BBE"/>
    <w:rsid w:val="00E75DF7"/>
    <w:rsid w:val="00E763CD"/>
    <w:rsid w:val="00E76A0F"/>
    <w:rsid w:val="00E76F44"/>
    <w:rsid w:val="00E7711B"/>
    <w:rsid w:val="00E807D4"/>
    <w:rsid w:val="00E8114F"/>
    <w:rsid w:val="00E820A3"/>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31A2"/>
    <w:rsid w:val="00E93D9A"/>
    <w:rsid w:val="00E94C38"/>
    <w:rsid w:val="00E95B5E"/>
    <w:rsid w:val="00E95D88"/>
    <w:rsid w:val="00E96340"/>
    <w:rsid w:val="00E96551"/>
    <w:rsid w:val="00E96BBF"/>
    <w:rsid w:val="00E96F2B"/>
    <w:rsid w:val="00EA138E"/>
    <w:rsid w:val="00EA38D5"/>
    <w:rsid w:val="00EA4363"/>
    <w:rsid w:val="00EA43B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B3E"/>
    <w:rsid w:val="00EC0FC7"/>
    <w:rsid w:val="00EC1CEF"/>
    <w:rsid w:val="00EC23FA"/>
    <w:rsid w:val="00EC3466"/>
    <w:rsid w:val="00EC37C6"/>
    <w:rsid w:val="00EC3CEA"/>
    <w:rsid w:val="00EC4F27"/>
    <w:rsid w:val="00EC548A"/>
    <w:rsid w:val="00EC5A47"/>
    <w:rsid w:val="00EC6DAC"/>
    <w:rsid w:val="00EC744B"/>
    <w:rsid w:val="00EC778D"/>
    <w:rsid w:val="00EC7B5A"/>
    <w:rsid w:val="00ED1573"/>
    <w:rsid w:val="00ED1966"/>
    <w:rsid w:val="00ED1987"/>
    <w:rsid w:val="00ED419B"/>
    <w:rsid w:val="00ED4C06"/>
    <w:rsid w:val="00ED4DA5"/>
    <w:rsid w:val="00ED5AAA"/>
    <w:rsid w:val="00ED5AF3"/>
    <w:rsid w:val="00ED6747"/>
    <w:rsid w:val="00ED6E55"/>
    <w:rsid w:val="00ED71E9"/>
    <w:rsid w:val="00ED72F9"/>
    <w:rsid w:val="00ED7419"/>
    <w:rsid w:val="00ED78BD"/>
    <w:rsid w:val="00EE050F"/>
    <w:rsid w:val="00EE067F"/>
    <w:rsid w:val="00EE081A"/>
    <w:rsid w:val="00EE13C7"/>
    <w:rsid w:val="00EE1EB5"/>
    <w:rsid w:val="00EE243B"/>
    <w:rsid w:val="00EE28DF"/>
    <w:rsid w:val="00EE2CF1"/>
    <w:rsid w:val="00EE2F5B"/>
    <w:rsid w:val="00EE2FB7"/>
    <w:rsid w:val="00EE47A0"/>
    <w:rsid w:val="00EE60DB"/>
    <w:rsid w:val="00EE665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F09"/>
    <w:rsid w:val="00F00DBF"/>
    <w:rsid w:val="00F01157"/>
    <w:rsid w:val="00F016CA"/>
    <w:rsid w:val="00F01E4F"/>
    <w:rsid w:val="00F02A3A"/>
    <w:rsid w:val="00F04143"/>
    <w:rsid w:val="00F0482C"/>
    <w:rsid w:val="00F04F8E"/>
    <w:rsid w:val="00F05F9F"/>
    <w:rsid w:val="00F0740D"/>
    <w:rsid w:val="00F07750"/>
    <w:rsid w:val="00F07780"/>
    <w:rsid w:val="00F106C0"/>
    <w:rsid w:val="00F10988"/>
    <w:rsid w:val="00F10A86"/>
    <w:rsid w:val="00F11168"/>
    <w:rsid w:val="00F12149"/>
    <w:rsid w:val="00F13587"/>
    <w:rsid w:val="00F14DE1"/>
    <w:rsid w:val="00F15F0F"/>
    <w:rsid w:val="00F16387"/>
    <w:rsid w:val="00F1649C"/>
    <w:rsid w:val="00F16B82"/>
    <w:rsid w:val="00F16BF2"/>
    <w:rsid w:val="00F203C7"/>
    <w:rsid w:val="00F20769"/>
    <w:rsid w:val="00F210E0"/>
    <w:rsid w:val="00F21157"/>
    <w:rsid w:val="00F21209"/>
    <w:rsid w:val="00F214CB"/>
    <w:rsid w:val="00F21646"/>
    <w:rsid w:val="00F21917"/>
    <w:rsid w:val="00F24293"/>
    <w:rsid w:val="00F24526"/>
    <w:rsid w:val="00F24E14"/>
    <w:rsid w:val="00F25662"/>
    <w:rsid w:val="00F27A4B"/>
    <w:rsid w:val="00F27BB1"/>
    <w:rsid w:val="00F27E42"/>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21EA"/>
    <w:rsid w:val="00F430AC"/>
    <w:rsid w:val="00F462D5"/>
    <w:rsid w:val="00F464E9"/>
    <w:rsid w:val="00F46975"/>
    <w:rsid w:val="00F477B9"/>
    <w:rsid w:val="00F50562"/>
    <w:rsid w:val="00F53604"/>
    <w:rsid w:val="00F54A39"/>
    <w:rsid w:val="00F54B2D"/>
    <w:rsid w:val="00F54BBB"/>
    <w:rsid w:val="00F55625"/>
    <w:rsid w:val="00F559EB"/>
    <w:rsid w:val="00F55FAE"/>
    <w:rsid w:val="00F5762A"/>
    <w:rsid w:val="00F57BDB"/>
    <w:rsid w:val="00F60171"/>
    <w:rsid w:val="00F6086F"/>
    <w:rsid w:val="00F613FA"/>
    <w:rsid w:val="00F62392"/>
    <w:rsid w:val="00F624FB"/>
    <w:rsid w:val="00F6338E"/>
    <w:rsid w:val="00F63599"/>
    <w:rsid w:val="00F645A1"/>
    <w:rsid w:val="00F64BF4"/>
    <w:rsid w:val="00F6582D"/>
    <w:rsid w:val="00F65B0C"/>
    <w:rsid w:val="00F6631F"/>
    <w:rsid w:val="00F7133C"/>
    <w:rsid w:val="00F718A6"/>
    <w:rsid w:val="00F72112"/>
    <w:rsid w:val="00F723D6"/>
    <w:rsid w:val="00F724AB"/>
    <w:rsid w:val="00F74188"/>
    <w:rsid w:val="00F77E87"/>
    <w:rsid w:val="00F806A9"/>
    <w:rsid w:val="00F8071D"/>
    <w:rsid w:val="00F81320"/>
    <w:rsid w:val="00F81620"/>
    <w:rsid w:val="00F8217F"/>
    <w:rsid w:val="00F83113"/>
    <w:rsid w:val="00F83C22"/>
    <w:rsid w:val="00F84521"/>
    <w:rsid w:val="00F86093"/>
    <w:rsid w:val="00F86C89"/>
    <w:rsid w:val="00F86FFD"/>
    <w:rsid w:val="00F87451"/>
    <w:rsid w:val="00F906AB"/>
    <w:rsid w:val="00F91766"/>
    <w:rsid w:val="00F91A6E"/>
    <w:rsid w:val="00F91B1D"/>
    <w:rsid w:val="00F92EC2"/>
    <w:rsid w:val="00F9313C"/>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63CC"/>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C77"/>
    <w:rsid w:val="00FD6D51"/>
    <w:rsid w:val="00FD74C2"/>
    <w:rsid w:val="00FD7C6C"/>
    <w:rsid w:val="00FE1CB9"/>
    <w:rsid w:val="00FE54A8"/>
    <w:rsid w:val="00FE6741"/>
    <w:rsid w:val="00FE6B1A"/>
    <w:rsid w:val="00FE7B1F"/>
    <w:rsid w:val="00FF06F9"/>
    <w:rsid w:val="00FF0FB4"/>
    <w:rsid w:val="00FF1A88"/>
    <w:rsid w:val="00FF2B2A"/>
    <w:rsid w:val="00FF2B97"/>
    <w:rsid w:val="00FF3DC4"/>
    <w:rsid w:val="00FF4EE6"/>
    <w:rsid w:val="00FF683E"/>
    <w:rsid w:val="00FF7670"/>
    <w:rsid w:val="01096F64"/>
    <w:rsid w:val="010D3E32"/>
    <w:rsid w:val="011E27CD"/>
    <w:rsid w:val="01345ED7"/>
    <w:rsid w:val="013A744D"/>
    <w:rsid w:val="014354FF"/>
    <w:rsid w:val="0153462C"/>
    <w:rsid w:val="01572ED7"/>
    <w:rsid w:val="015A3032"/>
    <w:rsid w:val="0168358B"/>
    <w:rsid w:val="01695881"/>
    <w:rsid w:val="016D09F4"/>
    <w:rsid w:val="018876DC"/>
    <w:rsid w:val="018E7785"/>
    <w:rsid w:val="01A02591"/>
    <w:rsid w:val="01AA6FD1"/>
    <w:rsid w:val="01AB1B3B"/>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B11073"/>
    <w:rsid w:val="02B51591"/>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D4257"/>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5560D9"/>
    <w:rsid w:val="04674182"/>
    <w:rsid w:val="046874D3"/>
    <w:rsid w:val="04763DF0"/>
    <w:rsid w:val="0482632C"/>
    <w:rsid w:val="049632DF"/>
    <w:rsid w:val="04A741FF"/>
    <w:rsid w:val="04A76ED6"/>
    <w:rsid w:val="04AC0EFB"/>
    <w:rsid w:val="04AD6FEA"/>
    <w:rsid w:val="04B63702"/>
    <w:rsid w:val="04C81C8C"/>
    <w:rsid w:val="04CF101F"/>
    <w:rsid w:val="04D70BAD"/>
    <w:rsid w:val="04E8215F"/>
    <w:rsid w:val="04F01786"/>
    <w:rsid w:val="04FE16ED"/>
    <w:rsid w:val="04FE2E9B"/>
    <w:rsid w:val="05017DD7"/>
    <w:rsid w:val="050B0A06"/>
    <w:rsid w:val="051669AD"/>
    <w:rsid w:val="05172558"/>
    <w:rsid w:val="051B7D8F"/>
    <w:rsid w:val="052757BE"/>
    <w:rsid w:val="05294C90"/>
    <w:rsid w:val="052E67A8"/>
    <w:rsid w:val="052F41A8"/>
    <w:rsid w:val="053416F2"/>
    <w:rsid w:val="05346DD7"/>
    <w:rsid w:val="054018C1"/>
    <w:rsid w:val="05436779"/>
    <w:rsid w:val="055A4032"/>
    <w:rsid w:val="05701B3A"/>
    <w:rsid w:val="05712FAA"/>
    <w:rsid w:val="057168D5"/>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93A36"/>
    <w:rsid w:val="05EC58FE"/>
    <w:rsid w:val="05F06113"/>
    <w:rsid w:val="060530A2"/>
    <w:rsid w:val="060968CE"/>
    <w:rsid w:val="060C0BF5"/>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E7ED0"/>
    <w:rsid w:val="06BB1810"/>
    <w:rsid w:val="06BE55EB"/>
    <w:rsid w:val="06BF1CFA"/>
    <w:rsid w:val="06CB2176"/>
    <w:rsid w:val="06E423A9"/>
    <w:rsid w:val="06EB5A74"/>
    <w:rsid w:val="06FC6F82"/>
    <w:rsid w:val="070005FE"/>
    <w:rsid w:val="070C7AAE"/>
    <w:rsid w:val="071115A8"/>
    <w:rsid w:val="071F05EE"/>
    <w:rsid w:val="07201CA4"/>
    <w:rsid w:val="07223296"/>
    <w:rsid w:val="07232A97"/>
    <w:rsid w:val="07247135"/>
    <w:rsid w:val="07251666"/>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3B5806"/>
    <w:rsid w:val="0A556860"/>
    <w:rsid w:val="0A564792"/>
    <w:rsid w:val="0A6B6222"/>
    <w:rsid w:val="0A6E5095"/>
    <w:rsid w:val="0A7A1B33"/>
    <w:rsid w:val="0A7C10EC"/>
    <w:rsid w:val="0A8000C8"/>
    <w:rsid w:val="0A9567C3"/>
    <w:rsid w:val="0A9636B5"/>
    <w:rsid w:val="0A967038"/>
    <w:rsid w:val="0A9A67CC"/>
    <w:rsid w:val="0AA837BF"/>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56327B"/>
    <w:rsid w:val="0C575E84"/>
    <w:rsid w:val="0C682814"/>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E041A7"/>
    <w:rsid w:val="0CE17A4D"/>
    <w:rsid w:val="0CE96B24"/>
    <w:rsid w:val="0CEA175E"/>
    <w:rsid w:val="0CF176E8"/>
    <w:rsid w:val="0CF41713"/>
    <w:rsid w:val="0D171BAB"/>
    <w:rsid w:val="0D2A6377"/>
    <w:rsid w:val="0D2E781D"/>
    <w:rsid w:val="0D3716A6"/>
    <w:rsid w:val="0D3856CB"/>
    <w:rsid w:val="0D4010AD"/>
    <w:rsid w:val="0D475FD0"/>
    <w:rsid w:val="0D7725E8"/>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305B3"/>
    <w:rsid w:val="0EF86CB8"/>
    <w:rsid w:val="0EFA7667"/>
    <w:rsid w:val="0EFD4B48"/>
    <w:rsid w:val="0F203C55"/>
    <w:rsid w:val="0F2E1147"/>
    <w:rsid w:val="0F2E692D"/>
    <w:rsid w:val="0F3023AE"/>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F67576"/>
    <w:rsid w:val="10081E6D"/>
    <w:rsid w:val="100B3B4A"/>
    <w:rsid w:val="100E3A77"/>
    <w:rsid w:val="10184299"/>
    <w:rsid w:val="101E7929"/>
    <w:rsid w:val="102719F8"/>
    <w:rsid w:val="103706D8"/>
    <w:rsid w:val="10451378"/>
    <w:rsid w:val="1048247B"/>
    <w:rsid w:val="10594368"/>
    <w:rsid w:val="10722BCA"/>
    <w:rsid w:val="107D4F44"/>
    <w:rsid w:val="108166F7"/>
    <w:rsid w:val="10871CDD"/>
    <w:rsid w:val="10894825"/>
    <w:rsid w:val="108B4D1D"/>
    <w:rsid w:val="108F4B64"/>
    <w:rsid w:val="109022F8"/>
    <w:rsid w:val="10960E26"/>
    <w:rsid w:val="109C7BF4"/>
    <w:rsid w:val="109D79E8"/>
    <w:rsid w:val="10A654B6"/>
    <w:rsid w:val="10A83A33"/>
    <w:rsid w:val="10A945F4"/>
    <w:rsid w:val="10BD5C09"/>
    <w:rsid w:val="10BE78BE"/>
    <w:rsid w:val="10C664A7"/>
    <w:rsid w:val="10D80961"/>
    <w:rsid w:val="10D84BB2"/>
    <w:rsid w:val="10E55ACF"/>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5D33A6"/>
    <w:rsid w:val="12682F27"/>
    <w:rsid w:val="12712DBC"/>
    <w:rsid w:val="127B15E0"/>
    <w:rsid w:val="128B5E58"/>
    <w:rsid w:val="129C2721"/>
    <w:rsid w:val="12A173C6"/>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1806E8"/>
    <w:rsid w:val="13180E81"/>
    <w:rsid w:val="131B76BF"/>
    <w:rsid w:val="131E5A54"/>
    <w:rsid w:val="132666FE"/>
    <w:rsid w:val="132B2FAA"/>
    <w:rsid w:val="13300B4F"/>
    <w:rsid w:val="13302AD6"/>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04B5A"/>
    <w:rsid w:val="149C0447"/>
    <w:rsid w:val="149F349B"/>
    <w:rsid w:val="14A43C64"/>
    <w:rsid w:val="14A75D6E"/>
    <w:rsid w:val="14A93DFD"/>
    <w:rsid w:val="14AE709E"/>
    <w:rsid w:val="14AF3399"/>
    <w:rsid w:val="14B54A06"/>
    <w:rsid w:val="14C1517A"/>
    <w:rsid w:val="14CA7A3B"/>
    <w:rsid w:val="14D83477"/>
    <w:rsid w:val="14E51EF4"/>
    <w:rsid w:val="14F07FF2"/>
    <w:rsid w:val="14F1597F"/>
    <w:rsid w:val="14F56A4A"/>
    <w:rsid w:val="14F6254D"/>
    <w:rsid w:val="14F67A40"/>
    <w:rsid w:val="150074C4"/>
    <w:rsid w:val="1502609F"/>
    <w:rsid w:val="1509116B"/>
    <w:rsid w:val="150C2883"/>
    <w:rsid w:val="150E365F"/>
    <w:rsid w:val="151625EC"/>
    <w:rsid w:val="151B2925"/>
    <w:rsid w:val="151C0B37"/>
    <w:rsid w:val="152A50C1"/>
    <w:rsid w:val="15324A69"/>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5A5F04"/>
    <w:rsid w:val="166E5447"/>
    <w:rsid w:val="167B1FA5"/>
    <w:rsid w:val="167D5A4F"/>
    <w:rsid w:val="167D5C8B"/>
    <w:rsid w:val="167D5D73"/>
    <w:rsid w:val="16827E0D"/>
    <w:rsid w:val="16942708"/>
    <w:rsid w:val="169A44F1"/>
    <w:rsid w:val="16B9680F"/>
    <w:rsid w:val="16C021F8"/>
    <w:rsid w:val="16C51A1F"/>
    <w:rsid w:val="16C52BE5"/>
    <w:rsid w:val="16D769AB"/>
    <w:rsid w:val="16E04894"/>
    <w:rsid w:val="16FF5248"/>
    <w:rsid w:val="17011880"/>
    <w:rsid w:val="1707488A"/>
    <w:rsid w:val="17093D7D"/>
    <w:rsid w:val="170D1C6C"/>
    <w:rsid w:val="17185E43"/>
    <w:rsid w:val="171A746E"/>
    <w:rsid w:val="171C7BD2"/>
    <w:rsid w:val="17205824"/>
    <w:rsid w:val="17224EDE"/>
    <w:rsid w:val="1724329B"/>
    <w:rsid w:val="172474C1"/>
    <w:rsid w:val="17360383"/>
    <w:rsid w:val="17580BCA"/>
    <w:rsid w:val="175D213E"/>
    <w:rsid w:val="176161EF"/>
    <w:rsid w:val="1764447F"/>
    <w:rsid w:val="17665D05"/>
    <w:rsid w:val="177032FA"/>
    <w:rsid w:val="17767F07"/>
    <w:rsid w:val="178E023F"/>
    <w:rsid w:val="178F6A13"/>
    <w:rsid w:val="17A46455"/>
    <w:rsid w:val="17A967CF"/>
    <w:rsid w:val="17AA4E4E"/>
    <w:rsid w:val="17B513B1"/>
    <w:rsid w:val="17BA6F24"/>
    <w:rsid w:val="17BB56DB"/>
    <w:rsid w:val="17D5127C"/>
    <w:rsid w:val="17DB41FD"/>
    <w:rsid w:val="17EE1F12"/>
    <w:rsid w:val="18087F07"/>
    <w:rsid w:val="180C16BE"/>
    <w:rsid w:val="181B60D9"/>
    <w:rsid w:val="181F5100"/>
    <w:rsid w:val="182320B0"/>
    <w:rsid w:val="183423A1"/>
    <w:rsid w:val="18453FC9"/>
    <w:rsid w:val="184975A7"/>
    <w:rsid w:val="184E23F7"/>
    <w:rsid w:val="18501CDC"/>
    <w:rsid w:val="185B0C66"/>
    <w:rsid w:val="185B3AA3"/>
    <w:rsid w:val="185D2622"/>
    <w:rsid w:val="186A474B"/>
    <w:rsid w:val="186E4C91"/>
    <w:rsid w:val="186E7D6B"/>
    <w:rsid w:val="18747453"/>
    <w:rsid w:val="18840ED6"/>
    <w:rsid w:val="18862EF4"/>
    <w:rsid w:val="1895169E"/>
    <w:rsid w:val="189665E0"/>
    <w:rsid w:val="18A93AA9"/>
    <w:rsid w:val="18BA2D76"/>
    <w:rsid w:val="18D87F02"/>
    <w:rsid w:val="18DC25C3"/>
    <w:rsid w:val="18E070E4"/>
    <w:rsid w:val="18E44789"/>
    <w:rsid w:val="18FD0A35"/>
    <w:rsid w:val="1915052B"/>
    <w:rsid w:val="191E5048"/>
    <w:rsid w:val="1934698E"/>
    <w:rsid w:val="1942617C"/>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92726"/>
    <w:rsid w:val="19DF2A9B"/>
    <w:rsid w:val="19DF3D8E"/>
    <w:rsid w:val="19E14B66"/>
    <w:rsid w:val="19EA47AB"/>
    <w:rsid w:val="19F026DD"/>
    <w:rsid w:val="19F05152"/>
    <w:rsid w:val="19F1444F"/>
    <w:rsid w:val="1A003650"/>
    <w:rsid w:val="1A043415"/>
    <w:rsid w:val="1A070118"/>
    <w:rsid w:val="1A075651"/>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AB4CA1"/>
    <w:rsid w:val="1AB00ACD"/>
    <w:rsid w:val="1AB77CCA"/>
    <w:rsid w:val="1ABC53BD"/>
    <w:rsid w:val="1AE47673"/>
    <w:rsid w:val="1B003112"/>
    <w:rsid w:val="1B0623C3"/>
    <w:rsid w:val="1B0F3F68"/>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C1EC6"/>
    <w:rsid w:val="1BA17139"/>
    <w:rsid w:val="1BA23DC4"/>
    <w:rsid w:val="1BB11F4C"/>
    <w:rsid w:val="1BBC1CA7"/>
    <w:rsid w:val="1BC2223F"/>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3E0"/>
    <w:rsid w:val="1CB21A4B"/>
    <w:rsid w:val="1CB74949"/>
    <w:rsid w:val="1CB81D96"/>
    <w:rsid w:val="1CCC27F4"/>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97D04"/>
    <w:rsid w:val="1DCE1814"/>
    <w:rsid w:val="1DED2DDA"/>
    <w:rsid w:val="1DF72EE2"/>
    <w:rsid w:val="1E117340"/>
    <w:rsid w:val="1E120BA4"/>
    <w:rsid w:val="1E194B86"/>
    <w:rsid w:val="1E1A5164"/>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B4A12"/>
    <w:rsid w:val="1F355966"/>
    <w:rsid w:val="1F3C3877"/>
    <w:rsid w:val="1F3D3C30"/>
    <w:rsid w:val="1F483C21"/>
    <w:rsid w:val="1F4B0BE5"/>
    <w:rsid w:val="1F4F388C"/>
    <w:rsid w:val="1F51767D"/>
    <w:rsid w:val="1F532DA6"/>
    <w:rsid w:val="1F551B6E"/>
    <w:rsid w:val="1F594420"/>
    <w:rsid w:val="1F5B0B02"/>
    <w:rsid w:val="1F705077"/>
    <w:rsid w:val="1F862CF3"/>
    <w:rsid w:val="1F886FA7"/>
    <w:rsid w:val="1FA96E4C"/>
    <w:rsid w:val="1FAC017C"/>
    <w:rsid w:val="1FD11518"/>
    <w:rsid w:val="1FD2380D"/>
    <w:rsid w:val="1FD61F23"/>
    <w:rsid w:val="1FE16E27"/>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8438ED"/>
    <w:rsid w:val="20903E4E"/>
    <w:rsid w:val="20906B7D"/>
    <w:rsid w:val="20933A06"/>
    <w:rsid w:val="209D22B4"/>
    <w:rsid w:val="20A769E0"/>
    <w:rsid w:val="20AC309F"/>
    <w:rsid w:val="20AE53E1"/>
    <w:rsid w:val="20B91AD5"/>
    <w:rsid w:val="20C6209A"/>
    <w:rsid w:val="20E03174"/>
    <w:rsid w:val="20E775BF"/>
    <w:rsid w:val="20F32260"/>
    <w:rsid w:val="20FB43F0"/>
    <w:rsid w:val="20FB676C"/>
    <w:rsid w:val="21041ECB"/>
    <w:rsid w:val="210469CC"/>
    <w:rsid w:val="21094289"/>
    <w:rsid w:val="211D2484"/>
    <w:rsid w:val="211E0459"/>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87EBC"/>
    <w:rsid w:val="237E2346"/>
    <w:rsid w:val="237F1892"/>
    <w:rsid w:val="23830BF6"/>
    <w:rsid w:val="23885562"/>
    <w:rsid w:val="2391337B"/>
    <w:rsid w:val="239D00EF"/>
    <w:rsid w:val="239F199E"/>
    <w:rsid w:val="23A07C85"/>
    <w:rsid w:val="23AA6630"/>
    <w:rsid w:val="23AB52C0"/>
    <w:rsid w:val="23AF2C1D"/>
    <w:rsid w:val="23B238A1"/>
    <w:rsid w:val="23B82958"/>
    <w:rsid w:val="23BF0A67"/>
    <w:rsid w:val="23C63FC5"/>
    <w:rsid w:val="23D10C83"/>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8564B2"/>
    <w:rsid w:val="24977505"/>
    <w:rsid w:val="24A26D93"/>
    <w:rsid w:val="24A90781"/>
    <w:rsid w:val="24A94685"/>
    <w:rsid w:val="24BA7B31"/>
    <w:rsid w:val="24C56B1E"/>
    <w:rsid w:val="24CA4072"/>
    <w:rsid w:val="24D75DE1"/>
    <w:rsid w:val="24DB08E9"/>
    <w:rsid w:val="24E203FF"/>
    <w:rsid w:val="24EA2E16"/>
    <w:rsid w:val="24FD6E00"/>
    <w:rsid w:val="25007C4D"/>
    <w:rsid w:val="250410B4"/>
    <w:rsid w:val="25066490"/>
    <w:rsid w:val="25081631"/>
    <w:rsid w:val="25085A2D"/>
    <w:rsid w:val="25095FB4"/>
    <w:rsid w:val="251151B2"/>
    <w:rsid w:val="25125B70"/>
    <w:rsid w:val="25142268"/>
    <w:rsid w:val="251A55CA"/>
    <w:rsid w:val="251B0537"/>
    <w:rsid w:val="251C72FE"/>
    <w:rsid w:val="253007AC"/>
    <w:rsid w:val="253C30F9"/>
    <w:rsid w:val="254E38B7"/>
    <w:rsid w:val="255327A8"/>
    <w:rsid w:val="255C4A4F"/>
    <w:rsid w:val="25615CD6"/>
    <w:rsid w:val="25627A10"/>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D17FBD"/>
    <w:rsid w:val="25D84432"/>
    <w:rsid w:val="25E41429"/>
    <w:rsid w:val="25F068A9"/>
    <w:rsid w:val="25F47DCB"/>
    <w:rsid w:val="260F0FCC"/>
    <w:rsid w:val="26162F9F"/>
    <w:rsid w:val="26285570"/>
    <w:rsid w:val="262B337E"/>
    <w:rsid w:val="262C1722"/>
    <w:rsid w:val="262E0F7F"/>
    <w:rsid w:val="26473C37"/>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628DC"/>
    <w:rsid w:val="26E65E49"/>
    <w:rsid w:val="26EA4AAD"/>
    <w:rsid w:val="26F0197C"/>
    <w:rsid w:val="26F55BE8"/>
    <w:rsid w:val="26F56719"/>
    <w:rsid w:val="270B5779"/>
    <w:rsid w:val="270D7803"/>
    <w:rsid w:val="27224996"/>
    <w:rsid w:val="273A445C"/>
    <w:rsid w:val="273F08A2"/>
    <w:rsid w:val="27427939"/>
    <w:rsid w:val="27533C8E"/>
    <w:rsid w:val="27586B74"/>
    <w:rsid w:val="275E4A93"/>
    <w:rsid w:val="276B63AC"/>
    <w:rsid w:val="276D67BF"/>
    <w:rsid w:val="27740206"/>
    <w:rsid w:val="27845EBA"/>
    <w:rsid w:val="279723AC"/>
    <w:rsid w:val="27A46E01"/>
    <w:rsid w:val="27A92674"/>
    <w:rsid w:val="27B35675"/>
    <w:rsid w:val="27BE5860"/>
    <w:rsid w:val="27CA1384"/>
    <w:rsid w:val="27D7701A"/>
    <w:rsid w:val="27DC1F02"/>
    <w:rsid w:val="27DF53AA"/>
    <w:rsid w:val="27E90584"/>
    <w:rsid w:val="27FE3209"/>
    <w:rsid w:val="2808149B"/>
    <w:rsid w:val="280865A3"/>
    <w:rsid w:val="28095B6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9C186B"/>
    <w:rsid w:val="289D03F7"/>
    <w:rsid w:val="289E1ADE"/>
    <w:rsid w:val="28A2755B"/>
    <w:rsid w:val="28A97AF2"/>
    <w:rsid w:val="28B12E5F"/>
    <w:rsid w:val="28B15DE8"/>
    <w:rsid w:val="28B93229"/>
    <w:rsid w:val="28BA4414"/>
    <w:rsid w:val="28C5219E"/>
    <w:rsid w:val="28CC2700"/>
    <w:rsid w:val="28D0111A"/>
    <w:rsid w:val="28DC03E8"/>
    <w:rsid w:val="28EC424C"/>
    <w:rsid w:val="28EC6178"/>
    <w:rsid w:val="28F10F1A"/>
    <w:rsid w:val="28F11492"/>
    <w:rsid w:val="28FC0AE4"/>
    <w:rsid w:val="29096924"/>
    <w:rsid w:val="291B55B8"/>
    <w:rsid w:val="291D1D8A"/>
    <w:rsid w:val="29205315"/>
    <w:rsid w:val="2922093E"/>
    <w:rsid w:val="2923009C"/>
    <w:rsid w:val="29235AB0"/>
    <w:rsid w:val="29253ACB"/>
    <w:rsid w:val="29293BB2"/>
    <w:rsid w:val="292B14A8"/>
    <w:rsid w:val="2930256F"/>
    <w:rsid w:val="293E32BA"/>
    <w:rsid w:val="29467712"/>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952C2"/>
    <w:rsid w:val="29EE028D"/>
    <w:rsid w:val="29F7183A"/>
    <w:rsid w:val="2A0252C0"/>
    <w:rsid w:val="2A0F7B5E"/>
    <w:rsid w:val="2A1472D7"/>
    <w:rsid w:val="2A15437E"/>
    <w:rsid w:val="2A1E2270"/>
    <w:rsid w:val="2A253865"/>
    <w:rsid w:val="2A2765EA"/>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87FF8"/>
    <w:rsid w:val="2B5D164D"/>
    <w:rsid w:val="2B5E683A"/>
    <w:rsid w:val="2B6107ED"/>
    <w:rsid w:val="2B6428DA"/>
    <w:rsid w:val="2B6E267A"/>
    <w:rsid w:val="2B731C37"/>
    <w:rsid w:val="2B7942B0"/>
    <w:rsid w:val="2B7A700A"/>
    <w:rsid w:val="2B7C05F4"/>
    <w:rsid w:val="2B7C4B5A"/>
    <w:rsid w:val="2B7D31BC"/>
    <w:rsid w:val="2B7E0A92"/>
    <w:rsid w:val="2B846DD9"/>
    <w:rsid w:val="2B967F8B"/>
    <w:rsid w:val="2BA87186"/>
    <w:rsid w:val="2BB56B1A"/>
    <w:rsid w:val="2BBF4233"/>
    <w:rsid w:val="2BDD6E12"/>
    <w:rsid w:val="2BE62B4B"/>
    <w:rsid w:val="2BE94332"/>
    <w:rsid w:val="2BEC167C"/>
    <w:rsid w:val="2BED7C81"/>
    <w:rsid w:val="2BEF5E63"/>
    <w:rsid w:val="2BFA626C"/>
    <w:rsid w:val="2C084621"/>
    <w:rsid w:val="2C1C20A9"/>
    <w:rsid w:val="2C1E328B"/>
    <w:rsid w:val="2C286654"/>
    <w:rsid w:val="2C315972"/>
    <w:rsid w:val="2C334589"/>
    <w:rsid w:val="2C3823E4"/>
    <w:rsid w:val="2C450566"/>
    <w:rsid w:val="2C4A78EF"/>
    <w:rsid w:val="2C4D6197"/>
    <w:rsid w:val="2C542E3A"/>
    <w:rsid w:val="2C5B3850"/>
    <w:rsid w:val="2C634F07"/>
    <w:rsid w:val="2C75110C"/>
    <w:rsid w:val="2C7A6F87"/>
    <w:rsid w:val="2C7D1DD2"/>
    <w:rsid w:val="2C7F444E"/>
    <w:rsid w:val="2C974F7D"/>
    <w:rsid w:val="2CA252DF"/>
    <w:rsid w:val="2CA305DC"/>
    <w:rsid w:val="2CAD43E8"/>
    <w:rsid w:val="2CB3524E"/>
    <w:rsid w:val="2CB41485"/>
    <w:rsid w:val="2CCC1A01"/>
    <w:rsid w:val="2CCD2E84"/>
    <w:rsid w:val="2CD127A8"/>
    <w:rsid w:val="2CD42AC8"/>
    <w:rsid w:val="2CD43F01"/>
    <w:rsid w:val="2CE06ADC"/>
    <w:rsid w:val="2CE434B7"/>
    <w:rsid w:val="2CF64B25"/>
    <w:rsid w:val="2CFE716B"/>
    <w:rsid w:val="2D024E57"/>
    <w:rsid w:val="2D077192"/>
    <w:rsid w:val="2D1411FA"/>
    <w:rsid w:val="2D152281"/>
    <w:rsid w:val="2D156596"/>
    <w:rsid w:val="2D1F67AE"/>
    <w:rsid w:val="2D2B53E8"/>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11456"/>
    <w:rsid w:val="2EFE2F95"/>
    <w:rsid w:val="2F0509F1"/>
    <w:rsid w:val="2F1201CF"/>
    <w:rsid w:val="2F145336"/>
    <w:rsid w:val="2F1E3DB3"/>
    <w:rsid w:val="2F26673C"/>
    <w:rsid w:val="2F4100F5"/>
    <w:rsid w:val="2F46214C"/>
    <w:rsid w:val="2F4E0B46"/>
    <w:rsid w:val="2F544800"/>
    <w:rsid w:val="2F5F4700"/>
    <w:rsid w:val="2F603A6A"/>
    <w:rsid w:val="2FA22DFE"/>
    <w:rsid w:val="2FBF68A3"/>
    <w:rsid w:val="2FC9496C"/>
    <w:rsid w:val="2FCC4A77"/>
    <w:rsid w:val="2FCD52D7"/>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391C9F"/>
    <w:rsid w:val="323F466C"/>
    <w:rsid w:val="32454E82"/>
    <w:rsid w:val="32460A89"/>
    <w:rsid w:val="32461745"/>
    <w:rsid w:val="3248549E"/>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656B7"/>
    <w:rsid w:val="3328712B"/>
    <w:rsid w:val="3332058F"/>
    <w:rsid w:val="33346179"/>
    <w:rsid w:val="33346908"/>
    <w:rsid w:val="333636C9"/>
    <w:rsid w:val="333726DB"/>
    <w:rsid w:val="333F0E83"/>
    <w:rsid w:val="33465B36"/>
    <w:rsid w:val="334C7F15"/>
    <w:rsid w:val="336045CB"/>
    <w:rsid w:val="33650CAA"/>
    <w:rsid w:val="33713745"/>
    <w:rsid w:val="337A39BA"/>
    <w:rsid w:val="337B0E24"/>
    <w:rsid w:val="338D06DC"/>
    <w:rsid w:val="339A72FB"/>
    <w:rsid w:val="33A336EF"/>
    <w:rsid w:val="33AB464E"/>
    <w:rsid w:val="33B9549D"/>
    <w:rsid w:val="33BE1549"/>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581840"/>
    <w:rsid w:val="34602A06"/>
    <w:rsid w:val="34612B14"/>
    <w:rsid w:val="3464024B"/>
    <w:rsid w:val="34797DCF"/>
    <w:rsid w:val="348722A0"/>
    <w:rsid w:val="349F1AA3"/>
    <w:rsid w:val="34A9284D"/>
    <w:rsid w:val="34B07223"/>
    <w:rsid w:val="34B6583E"/>
    <w:rsid w:val="34B76BC7"/>
    <w:rsid w:val="34BB2CD7"/>
    <w:rsid w:val="34BC46ED"/>
    <w:rsid w:val="34BE1635"/>
    <w:rsid w:val="34C23F0D"/>
    <w:rsid w:val="34C57286"/>
    <w:rsid w:val="34CC00D3"/>
    <w:rsid w:val="34D2441F"/>
    <w:rsid w:val="34D72C19"/>
    <w:rsid w:val="34DA756E"/>
    <w:rsid w:val="34DC5044"/>
    <w:rsid w:val="34EB291C"/>
    <w:rsid w:val="350F4737"/>
    <w:rsid w:val="35143012"/>
    <w:rsid w:val="3526195B"/>
    <w:rsid w:val="35270D50"/>
    <w:rsid w:val="35281E1D"/>
    <w:rsid w:val="353D15CB"/>
    <w:rsid w:val="35404339"/>
    <w:rsid w:val="35447836"/>
    <w:rsid w:val="35495B7D"/>
    <w:rsid w:val="354C413B"/>
    <w:rsid w:val="355B34A4"/>
    <w:rsid w:val="35631F42"/>
    <w:rsid w:val="356B739B"/>
    <w:rsid w:val="35713CF3"/>
    <w:rsid w:val="357D2D9B"/>
    <w:rsid w:val="358316A2"/>
    <w:rsid w:val="35A457F3"/>
    <w:rsid w:val="35AC1F22"/>
    <w:rsid w:val="35AD061E"/>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26537A"/>
    <w:rsid w:val="363D5BC2"/>
    <w:rsid w:val="363E4C6B"/>
    <w:rsid w:val="36411BD2"/>
    <w:rsid w:val="364918AE"/>
    <w:rsid w:val="365E5B6A"/>
    <w:rsid w:val="36641444"/>
    <w:rsid w:val="36762B93"/>
    <w:rsid w:val="367F0410"/>
    <w:rsid w:val="3696776B"/>
    <w:rsid w:val="36B01301"/>
    <w:rsid w:val="36C162B9"/>
    <w:rsid w:val="36C22673"/>
    <w:rsid w:val="36D03DAA"/>
    <w:rsid w:val="36D1082A"/>
    <w:rsid w:val="36D254F8"/>
    <w:rsid w:val="36EA06E7"/>
    <w:rsid w:val="36F0197C"/>
    <w:rsid w:val="36FB43FE"/>
    <w:rsid w:val="370137E2"/>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5F47F6"/>
    <w:rsid w:val="37667C0A"/>
    <w:rsid w:val="376F58CE"/>
    <w:rsid w:val="37805199"/>
    <w:rsid w:val="37856AB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123EDC"/>
    <w:rsid w:val="381D6D09"/>
    <w:rsid w:val="38222DAE"/>
    <w:rsid w:val="3828625F"/>
    <w:rsid w:val="382E4764"/>
    <w:rsid w:val="383E1C7E"/>
    <w:rsid w:val="38405E59"/>
    <w:rsid w:val="38406232"/>
    <w:rsid w:val="38410EBF"/>
    <w:rsid w:val="384D1CCD"/>
    <w:rsid w:val="38523359"/>
    <w:rsid w:val="385272D2"/>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60454D"/>
    <w:rsid w:val="3B642C2E"/>
    <w:rsid w:val="3B6C02E4"/>
    <w:rsid w:val="3B6E49BC"/>
    <w:rsid w:val="3B7B7262"/>
    <w:rsid w:val="3B7D1A04"/>
    <w:rsid w:val="3B8107C0"/>
    <w:rsid w:val="3B81295F"/>
    <w:rsid w:val="3B835015"/>
    <w:rsid w:val="3B8D2298"/>
    <w:rsid w:val="3B984501"/>
    <w:rsid w:val="3B9A57C6"/>
    <w:rsid w:val="3B9C41DB"/>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A21CD1"/>
    <w:rsid w:val="3CA74156"/>
    <w:rsid w:val="3CAE6923"/>
    <w:rsid w:val="3CB42C60"/>
    <w:rsid w:val="3CD702EC"/>
    <w:rsid w:val="3CE03FB1"/>
    <w:rsid w:val="3CE22E92"/>
    <w:rsid w:val="3CE91AFF"/>
    <w:rsid w:val="3D150CF9"/>
    <w:rsid w:val="3D1E485D"/>
    <w:rsid w:val="3D1E4C6D"/>
    <w:rsid w:val="3D1F6909"/>
    <w:rsid w:val="3D251890"/>
    <w:rsid w:val="3D29796C"/>
    <w:rsid w:val="3D2A65FB"/>
    <w:rsid w:val="3D2F15D1"/>
    <w:rsid w:val="3D2F4F49"/>
    <w:rsid w:val="3D3F7EA7"/>
    <w:rsid w:val="3D501FAB"/>
    <w:rsid w:val="3D5045E3"/>
    <w:rsid w:val="3D69793A"/>
    <w:rsid w:val="3D71533E"/>
    <w:rsid w:val="3D787C7F"/>
    <w:rsid w:val="3D84663D"/>
    <w:rsid w:val="3D8A2495"/>
    <w:rsid w:val="3D8A2CB5"/>
    <w:rsid w:val="3D8D0DD0"/>
    <w:rsid w:val="3D8F791C"/>
    <w:rsid w:val="3D92189C"/>
    <w:rsid w:val="3D957655"/>
    <w:rsid w:val="3DC70533"/>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3265FB"/>
    <w:rsid w:val="3E326708"/>
    <w:rsid w:val="3E363CD2"/>
    <w:rsid w:val="3E393A8F"/>
    <w:rsid w:val="3E5526C1"/>
    <w:rsid w:val="3E591805"/>
    <w:rsid w:val="3E751FD6"/>
    <w:rsid w:val="3E7A36E3"/>
    <w:rsid w:val="3E7B5663"/>
    <w:rsid w:val="3E8000C3"/>
    <w:rsid w:val="3EA405C0"/>
    <w:rsid w:val="3EAD331D"/>
    <w:rsid w:val="3EB029E5"/>
    <w:rsid w:val="3EBE650B"/>
    <w:rsid w:val="3ECD3652"/>
    <w:rsid w:val="3ECD5B0B"/>
    <w:rsid w:val="3EDB3F74"/>
    <w:rsid w:val="3F0668BA"/>
    <w:rsid w:val="3F092939"/>
    <w:rsid w:val="3F0F0A0C"/>
    <w:rsid w:val="3F144291"/>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3E82"/>
    <w:rsid w:val="3FBB3270"/>
    <w:rsid w:val="3FBC356E"/>
    <w:rsid w:val="3FC920F7"/>
    <w:rsid w:val="3FCE3903"/>
    <w:rsid w:val="3FE266C5"/>
    <w:rsid w:val="3FE3566B"/>
    <w:rsid w:val="3FE63A4B"/>
    <w:rsid w:val="40087B33"/>
    <w:rsid w:val="4013542E"/>
    <w:rsid w:val="40183E9E"/>
    <w:rsid w:val="401D0966"/>
    <w:rsid w:val="4024553F"/>
    <w:rsid w:val="40263745"/>
    <w:rsid w:val="40341C30"/>
    <w:rsid w:val="403860DE"/>
    <w:rsid w:val="403A2E57"/>
    <w:rsid w:val="403B2415"/>
    <w:rsid w:val="403E3C95"/>
    <w:rsid w:val="4043767B"/>
    <w:rsid w:val="404E7546"/>
    <w:rsid w:val="4060383F"/>
    <w:rsid w:val="40672B72"/>
    <w:rsid w:val="406870F5"/>
    <w:rsid w:val="40852D92"/>
    <w:rsid w:val="40855E2E"/>
    <w:rsid w:val="40880940"/>
    <w:rsid w:val="408E4045"/>
    <w:rsid w:val="409221B1"/>
    <w:rsid w:val="40970F71"/>
    <w:rsid w:val="409F0D3E"/>
    <w:rsid w:val="40A028A8"/>
    <w:rsid w:val="40A02C07"/>
    <w:rsid w:val="40A6694F"/>
    <w:rsid w:val="40B812DF"/>
    <w:rsid w:val="40BF7286"/>
    <w:rsid w:val="40CA46E8"/>
    <w:rsid w:val="40CD02B0"/>
    <w:rsid w:val="40DA556D"/>
    <w:rsid w:val="40E160B1"/>
    <w:rsid w:val="40E34F98"/>
    <w:rsid w:val="40E37882"/>
    <w:rsid w:val="40F02FAE"/>
    <w:rsid w:val="40F438B4"/>
    <w:rsid w:val="40F52E07"/>
    <w:rsid w:val="40F67298"/>
    <w:rsid w:val="40FD3844"/>
    <w:rsid w:val="40FD5CA4"/>
    <w:rsid w:val="410C6967"/>
    <w:rsid w:val="411B4BC9"/>
    <w:rsid w:val="411B4D5B"/>
    <w:rsid w:val="411B5699"/>
    <w:rsid w:val="411B6C04"/>
    <w:rsid w:val="411C6609"/>
    <w:rsid w:val="4132640F"/>
    <w:rsid w:val="41347979"/>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322E2C"/>
    <w:rsid w:val="42325D4D"/>
    <w:rsid w:val="423347FB"/>
    <w:rsid w:val="42340C5F"/>
    <w:rsid w:val="424F3677"/>
    <w:rsid w:val="42533F46"/>
    <w:rsid w:val="42610910"/>
    <w:rsid w:val="427325F0"/>
    <w:rsid w:val="427442DA"/>
    <w:rsid w:val="4274697B"/>
    <w:rsid w:val="429B55E1"/>
    <w:rsid w:val="42A67C48"/>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F174E"/>
    <w:rsid w:val="438363A1"/>
    <w:rsid w:val="438A09F4"/>
    <w:rsid w:val="439C02EA"/>
    <w:rsid w:val="439E5BFC"/>
    <w:rsid w:val="43AD1381"/>
    <w:rsid w:val="43BF7975"/>
    <w:rsid w:val="43C028DE"/>
    <w:rsid w:val="43C134D4"/>
    <w:rsid w:val="43CF2CBF"/>
    <w:rsid w:val="43DD6B09"/>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C40C4"/>
    <w:rsid w:val="44945473"/>
    <w:rsid w:val="449F34E4"/>
    <w:rsid w:val="44A83F10"/>
    <w:rsid w:val="44B4132E"/>
    <w:rsid w:val="44C154EE"/>
    <w:rsid w:val="44CB5C95"/>
    <w:rsid w:val="44CD3B68"/>
    <w:rsid w:val="44CF4427"/>
    <w:rsid w:val="44DD587C"/>
    <w:rsid w:val="44E22EF8"/>
    <w:rsid w:val="44EF3D29"/>
    <w:rsid w:val="44F2742E"/>
    <w:rsid w:val="44F9230E"/>
    <w:rsid w:val="44FB5350"/>
    <w:rsid w:val="450A78D3"/>
    <w:rsid w:val="450C71F4"/>
    <w:rsid w:val="45193DC1"/>
    <w:rsid w:val="451A03B9"/>
    <w:rsid w:val="45231E3D"/>
    <w:rsid w:val="45244329"/>
    <w:rsid w:val="452E03D4"/>
    <w:rsid w:val="452F2225"/>
    <w:rsid w:val="45387A1B"/>
    <w:rsid w:val="453C350A"/>
    <w:rsid w:val="454129E2"/>
    <w:rsid w:val="454B3194"/>
    <w:rsid w:val="45631EC8"/>
    <w:rsid w:val="45651630"/>
    <w:rsid w:val="456A0E31"/>
    <w:rsid w:val="456B2283"/>
    <w:rsid w:val="456D26BB"/>
    <w:rsid w:val="456E2687"/>
    <w:rsid w:val="45706131"/>
    <w:rsid w:val="457775B5"/>
    <w:rsid w:val="457D7C38"/>
    <w:rsid w:val="458C5BBB"/>
    <w:rsid w:val="45911443"/>
    <w:rsid w:val="459431E2"/>
    <w:rsid w:val="45AA35AC"/>
    <w:rsid w:val="45B069C0"/>
    <w:rsid w:val="45BF3739"/>
    <w:rsid w:val="45C10A97"/>
    <w:rsid w:val="45C61379"/>
    <w:rsid w:val="45C87C35"/>
    <w:rsid w:val="45D043C8"/>
    <w:rsid w:val="45E75902"/>
    <w:rsid w:val="45EC24A1"/>
    <w:rsid w:val="45ED187D"/>
    <w:rsid w:val="45EE3D43"/>
    <w:rsid w:val="45EF70C2"/>
    <w:rsid w:val="45F3770D"/>
    <w:rsid w:val="45FE055E"/>
    <w:rsid w:val="460352E5"/>
    <w:rsid w:val="46167E08"/>
    <w:rsid w:val="461809E9"/>
    <w:rsid w:val="46193213"/>
    <w:rsid w:val="461C3B64"/>
    <w:rsid w:val="461E166B"/>
    <w:rsid w:val="46275681"/>
    <w:rsid w:val="462910C5"/>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B5FB8"/>
    <w:rsid w:val="47B01F63"/>
    <w:rsid w:val="47B57AA9"/>
    <w:rsid w:val="47BD1A01"/>
    <w:rsid w:val="47C75897"/>
    <w:rsid w:val="47D16693"/>
    <w:rsid w:val="47FD2993"/>
    <w:rsid w:val="48081356"/>
    <w:rsid w:val="48111E70"/>
    <w:rsid w:val="48122653"/>
    <w:rsid w:val="481F3081"/>
    <w:rsid w:val="482F1009"/>
    <w:rsid w:val="483A6853"/>
    <w:rsid w:val="48415BA9"/>
    <w:rsid w:val="484C3E81"/>
    <w:rsid w:val="485129EA"/>
    <w:rsid w:val="48512D8D"/>
    <w:rsid w:val="4853360D"/>
    <w:rsid w:val="48544E73"/>
    <w:rsid w:val="485C0139"/>
    <w:rsid w:val="48703291"/>
    <w:rsid w:val="487810BE"/>
    <w:rsid w:val="48986ACB"/>
    <w:rsid w:val="489B4B80"/>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83F30"/>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A03D90"/>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F62A86"/>
    <w:rsid w:val="4A0C6FE4"/>
    <w:rsid w:val="4A120F67"/>
    <w:rsid w:val="4A153BB2"/>
    <w:rsid w:val="4A1D6D18"/>
    <w:rsid w:val="4A483701"/>
    <w:rsid w:val="4A4D7520"/>
    <w:rsid w:val="4A591D2A"/>
    <w:rsid w:val="4A5938F5"/>
    <w:rsid w:val="4A5C069D"/>
    <w:rsid w:val="4A637681"/>
    <w:rsid w:val="4A8A5E97"/>
    <w:rsid w:val="4A8F6D97"/>
    <w:rsid w:val="4A9608B5"/>
    <w:rsid w:val="4AB374A7"/>
    <w:rsid w:val="4AC015DC"/>
    <w:rsid w:val="4ADD6B8B"/>
    <w:rsid w:val="4AE74853"/>
    <w:rsid w:val="4AEA0BFE"/>
    <w:rsid w:val="4AEC1A96"/>
    <w:rsid w:val="4AF07D34"/>
    <w:rsid w:val="4AF8272A"/>
    <w:rsid w:val="4B002063"/>
    <w:rsid w:val="4B236579"/>
    <w:rsid w:val="4B256B35"/>
    <w:rsid w:val="4B2B4049"/>
    <w:rsid w:val="4B3F1CDC"/>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165EF"/>
    <w:rsid w:val="4BE93577"/>
    <w:rsid w:val="4BED6879"/>
    <w:rsid w:val="4BF018CF"/>
    <w:rsid w:val="4BF33106"/>
    <w:rsid w:val="4BFE59E1"/>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4E78F7"/>
    <w:rsid w:val="4D5D13C2"/>
    <w:rsid w:val="4D6C55BB"/>
    <w:rsid w:val="4D722D24"/>
    <w:rsid w:val="4D764762"/>
    <w:rsid w:val="4D7D7073"/>
    <w:rsid w:val="4D8372F3"/>
    <w:rsid w:val="4D8B7B9D"/>
    <w:rsid w:val="4D961D96"/>
    <w:rsid w:val="4D964D02"/>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575E9"/>
    <w:rsid w:val="4F6E7AFA"/>
    <w:rsid w:val="4F7A37D0"/>
    <w:rsid w:val="4F941A1E"/>
    <w:rsid w:val="4F9E45CB"/>
    <w:rsid w:val="4FA55AF5"/>
    <w:rsid w:val="4FAF54C7"/>
    <w:rsid w:val="4FC45505"/>
    <w:rsid w:val="4FCD754A"/>
    <w:rsid w:val="4FCF415B"/>
    <w:rsid w:val="4FD04524"/>
    <w:rsid w:val="4FD36BF8"/>
    <w:rsid w:val="4FD64932"/>
    <w:rsid w:val="4FDF0AB8"/>
    <w:rsid w:val="4FE47FC5"/>
    <w:rsid w:val="4FE917B6"/>
    <w:rsid w:val="4FE95025"/>
    <w:rsid w:val="4FF07F9F"/>
    <w:rsid w:val="4FF83B5E"/>
    <w:rsid w:val="50033932"/>
    <w:rsid w:val="500442FB"/>
    <w:rsid w:val="500B2A88"/>
    <w:rsid w:val="500F732D"/>
    <w:rsid w:val="501205A2"/>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6EF9"/>
    <w:rsid w:val="511C62F1"/>
    <w:rsid w:val="511D7396"/>
    <w:rsid w:val="513C0476"/>
    <w:rsid w:val="513D7B66"/>
    <w:rsid w:val="51431D27"/>
    <w:rsid w:val="51603CB7"/>
    <w:rsid w:val="516738E8"/>
    <w:rsid w:val="516C08E4"/>
    <w:rsid w:val="517A1060"/>
    <w:rsid w:val="51882F71"/>
    <w:rsid w:val="518B07AE"/>
    <w:rsid w:val="518E2BFD"/>
    <w:rsid w:val="518E6B4D"/>
    <w:rsid w:val="518F0440"/>
    <w:rsid w:val="519427C5"/>
    <w:rsid w:val="51962773"/>
    <w:rsid w:val="519C78B6"/>
    <w:rsid w:val="51AB5790"/>
    <w:rsid w:val="51AD0B89"/>
    <w:rsid w:val="51BE7968"/>
    <w:rsid w:val="51C73A22"/>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E261D"/>
    <w:rsid w:val="52A82AE3"/>
    <w:rsid w:val="52AF6614"/>
    <w:rsid w:val="52BC289F"/>
    <w:rsid w:val="52C04713"/>
    <w:rsid w:val="52C06506"/>
    <w:rsid w:val="52C17F72"/>
    <w:rsid w:val="52C52A87"/>
    <w:rsid w:val="52C530BB"/>
    <w:rsid w:val="52D6081E"/>
    <w:rsid w:val="52DE5558"/>
    <w:rsid w:val="52E304A1"/>
    <w:rsid w:val="52E46607"/>
    <w:rsid w:val="530150A6"/>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87442"/>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28B8"/>
    <w:rsid w:val="54FA46AD"/>
    <w:rsid w:val="54FE057D"/>
    <w:rsid w:val="54FF1786"/>
    <w:rsid w:val="550161A7"/>
    <w:rsid w:val="55022A19"/>
    <w:rsid w:val="550720F3"/>
    <w:rsid w:val="552A1EFF"/>
    <w:rsid w:val="55313A24"/>
    <w:rsid w:val="55336DD6"/>
    <w:rsid w:val="55425E84"/>
    <w:rsid w:val="55496EA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60A6EA4"/>
    <w:rsid w:val="560C1C79"/>
    <w:rsid w:val="56134A34"/>
    <w:rsid w:val="56242F51"/>
    <w:rsid w:val="562435B0"/>
    <w:rsid w:val="56273B21"/>
    <w:rsid w:val="563071ED"/>
    <w:rsid w:val="563E283D"/>
    <w:rsid w:val="564512F2"/>
    <w:rsid w:val="56542CC6"/>
    <w:rsid w:val="56636C2F"/>
    <w:rsid w:val="567E3F47"/>
    <w:rsid w:val="5680063E"/>
    <w:rsid w:val="56806F4E"/>
    <w:rsid w:val="56895B6C"/>
    <w:rsid w:val="568C6120"/>
    <w:rsid w:val="56934E6B"/>
    <w:rsid w:val="56AA5523"/>
    <w:rsid w:val="56AC5844"/>
    <w:rsid w:val="56B305D6"/>
    <w:rsid w:val="56C13D7F"/>
    <w:rsid w:val="56C66D69"/>
    <w:rsid w:val="56CA570E"/>
    <w:rsid w:val="56EB6B58"/>
    <w:rsid w:val="56F160AC"/>
    <w:rsid w:val="570E463B"/>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564010"/>
    <w:rsid w:val="585E4CEA"/>
    <w:rsid w:val="586D185C"/>
    <w:rsid w:val="586E1F56"/>
    <w:rsid w:val="587156F6"/>
    <w:rsid w:val="587568B5"/>
    <w:rsid w:val="58762FAF"/>
    <w:rsid w:val="587B7B01"/>
    <w:rsid w:val="58887114"/>
    <w:rsid w:val="588C7BA9"/>
    <w:rsid w:val="58951737"/>
    <w:rsid w:val="58A663BF"/>
    <w:rsid w:val="58A73E33"/>
    <w:rsid w:val="58A8475E"/>
    <w:rsid w:val="58B27438"/>
    <w:rsid w:val="58BA2510"/>
    <w:rsid w:val="58C7228F"/>
    <w:rsid w:val="58D012A0"/>
    <w:rsid w:val="58E12CDA"/>
    <w:rsid w:val="58E66F51"/>
    <w:rsid w:val="58F024D3"/>
    <w:rsid w:val="58F66800"/>
    <w:rsid w:val="58FE34CE"/>
    <w:rsid w:val="5900556E"/>
    <w:rsid w:val="5910618D"/>
    <w:rsid w:val="59146751"/>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A70E6"/>
    <w:rsid w:val="59A16026"/>
    <w:rsid w:val="59AC67BA"/>
    <w:rsid w:val="59B54FFD"/>
    <w:rsid w:val="59B57E4C"/>
    <w:rsid w:val="59B70430"/>
    <w:rsid w:val="59C149C2"/>
    <w:rsid w:val="59C232F1"/>
    <w:rsid w:val="59E00C4F"/>
    <w:rsid w:val="59E54182"/>
    <w:rsid w:val="59EC21A1"/>
    <w:rsid w:val="59F823A8"/>
    <w:rsid w:val="5A011FDA"/>
    <w:rsid w:val="5A0209CD"/>
    <w:rsid w:val="5A0711BD"/>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3626B"/>
    <w:rsid w:val="5AA73161"/>
    <w:rsid w:val="5AA97502"/>
    <w:rsid w:val="5AAA738F"/>
    <w:rsid w:val="5AB12437"/>
    <w:rsid w:val="5ABE3A85"/>
    <w:rsid w:val="5ACF477C"/>
    <w:rsid w:val="5AD70890"/>
    <w:rsid w:val="5AD9175D"/>
    <w:rsid w:val="5ADB2F8A"/>
    <w:rsid w:val="5ADD6630"/>
    <w:rsid w:val="5AE37909"/>
    <w:rsid w:val="5AE731D0"/>
    <w:rsid w:val="5AEC4FB0"/>
    <w:rsid w:val="5AF201A3"/>
    <w:rsid w:val="5AF21846"/>
    <w:rsid w:val="5AFE7388"/>
    <w:rsid w:val="5B0941A9"/>
    <w:rsid w:val="5B211CCD"/>
    <w:rsid w:val="5B213ED2"/>
    <w:rsid w:val="5B223D51"/>
    <w:rsid w:val="5B285DB7"/>
    <w:rsid w:val="5B2A5CEC"/>
    <w:rsid w:val="5B2E4A55"/>
    <w:rsid w:val="5B3A11A0"/>
    <w:rsid w:val="5B494AD7"/>
    <w:rsid w:val="5B582F46"/>
    <w:rsid w:val="5B5C47A5"/>
    <w:rsid w:val="5B5F571C"/>
    <w:rsid w:val="5B60132F"/>
    <w:rsid w:val="5B66163F"/>
    <w:rsid w:val="5B6664DF"/>
    <w:rsid w:val="5B671FDF"/>
    <w:rsid w:val="5B712356"/>
    <w:rsid w:val="5B8A62A5"/>
    <w:rsid w:val="5B8F0F1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C030EAC"/>
    <w:rsid w:val="5C052306"/>
    <w:rsid w:val="5C1E1738"/>
    <w:rsid w:val="5C2470F5"/>
    <w:rsid w:val="5C260ED7"/>
    <w:rsid w:val="5C274363"/>
    <w:rsid w:val="5C28396C"/>
    <w:rsid w:val="5C2F4D65"/>
    <w:rsid w:val="5C453383"/>
    <w:rsid w:val="5C4A6E17"/>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4B2F"/>
    <w:rsid w:val="5D677493"/>
    <w:rsid w:val="5D733A05"/>
    <w:rsid w:val="5D8560E7"/>
    <w:rsid w:val="5D8A326E"/>
    <w:rsid w:val="5D8B579D"/>
    <w:rsid w:val="5D91227B"/>
    <w:rsid w:val="5D9616D3"/>
    <w:rsid w:val="5D9D0CBF"/>
    <w:rsid w:val="5DA630FD"/>
    <w:rsid w:val="5DAD534C"/>
    <w:rsid w:val="5DC85C22"/>
    <w:rsid w:val="5DD051EB"/>
    <w:rsid w:val="5DDD0C01"/>
    <w:rsid w:val="5DDF2C78"/>
    <w:rsid w:val="5DDF7118"/>
    <w:rsid w:val="5DE00FDA"/>
    <w:rsid w:val="5DE01E22"/>
    <w:rsid w:val="5DEF4C41"/>
    <w:rsid w:val="5DF62864"/>
    <w:rsid w:val="5E0D293F"/>
    <w:rsid w:val="5E202A9E"/>
    <w:rsid w:val="5E404CEC"/>
    <w:rsid w:val="5E496763"/>
    <w:rsid w:val="5E4D377B"/>
    <w:rsid w:val="5E4F14E2"/>
    <w:rsid w:val="5E603C90"/>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C293C"/>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C1E29"/>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567E5"/>
    <w:rsid w:val="60DF12F6"/>
    <w:rsid w:val="60EA7A30"/>
    <w:rsid w:val="60F81F00"/>
    <w:rsid w:val="60FF6C32"/>
    <w:rsid w:val="61015D7B"/>
    <w:rsid w:val="61031243"/>
    <w:rsid w:val="610E1472"/>
    <w:rsid w:val="6110361A"/>
    <w:rsid w:val="61140905"/>
    <w:rsid w:val="611B7449"/>
    <w:rsid w:val="61343992"/>
    <w:rsid w:val="613A368A"/>
    <w:rsid w:val="613F235B"/>
    <w:rsid w:val="61417E8D"/>
    <w:rsid w:val="6150209C"/>
    <w:rsid w:val="61592FD1"/>
    <w:rsid w:val="61633C51"/>
    <w:rsid w:val="616403C9"/>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A5F12"/>
    <w:rsid w:val="62492067"/>
    <w:rsid w:val="62620E8D"/>
    <w:rsid w:val="62696740"/>
    <w:rsid w:val="6274669A"/>
    <w:rsid w:val="62786EF5"/>
    <w:rsid w:val="627E3938"/>
    <w:rsid w:val="628F7407"/>
    <w:rsid w:val="628F7750"/>
    <w:rsid w:val="62997343"/>
    <w:rsid w:val="62A43F2F"/>
    <w:rsid w:val="62A85D5A"/>
    <w:rsid w:val="62A962A9"/>
    <w:rsid w:val="62B06D08"/>
    <w:rsid w:val="62BA0727"/>
    <w:rsid w:val="62C409EB"/>
    <w:rsid w:val="62C467A7"/>
    <w:rsid w:val="62D30D82"/>
    <w:rsid w:val="62D3744B"/>
    <w:rsid w:val="62DC4E1A"/>
    <w:rsid w:val="62E278AB"/>
    <w:rsid w:val="62E73B0D"/>
    <w:rsid w:val="62E857EB"/>
    <w:rsid w:val="62ED3BFB"/>
    <w:rsid w:val="62EE459F"/>
    <w:rsid w:val="62FB0972"/>
    <w:rsid w:val="630B22DA"/>
    <w:rsid w:val="630F0237"/>
    <w:rsid w:val="63167C26"/>
    <w:rsid w:val="63297666"/>
    <w:rsid w:val="633D0C68"/>
    <w:rsid w:val="63461C21"/>
    <w:rsid w:val="635504E7"/>
    <w:rsid w:val="635B59F7"/>
    <w:rsid w:val="635B7EBB"/>
    <w:rsid w:val="635C0F4F"/>
    <w:rsid w:val="6361757D"/>
    <w:rsid w:val="63834036"/>
    <w:rsid w:val="63847EBE"/>
    <w:rsid w:val="638A37D2"/>
    <w:rsid w:val="639B23B6"/>
    <w:rsid w:val="63A67A01"/>
    <w:rsid w:val="63AA6096"/>
    <w:rsid w:val="63C24C59"/>
    <w:rsid w:val="63CF01C4"/>
    <w:rsid w:val="63D71292"/>
    <w:rsid w:val="63E00D8C"/>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38311C"/>
    <w:rsid w:val="643C590C"/>
    <w:rsid w:val="644138D8"/>
    <w:rsid w:val="64420333"/>
    <w:rsid w:val="64537DA4"/>
    <w:rsid w:val="645A62B9"/>
    <w:rsid w:val="64643155"/>
    <w:rsid w:val="647238EB"/>
    <w:rsid w:val="64726E5D"/>
    <w:rsid w:val="64745879"/>
    <w:rsid w:val="64831C72"/>
    <w:rsid w:val="648A7AB4"/>
    <w:rsid w:val="6494274C"/>
    <w:rsid w:val="64993195"/>
    <w:rsid w:val="649B324A"/>
    <w:rsid w:val="64A3701B"/>
    <w:rsid w:val="64A53A6D"/>
    <w:rsid w:val="64A67BE1"/>
    <w:rsid w:val="64AD220C"/>
    <w:rsid w:val="64B17EB1"/>
    <w:rsid w:val="64B97384"/>
    <w:rsid w:val="64BA0F20"/>
    <w:rsid w:val="64BF0C98"/>
    <w:rsid w:val="64D1408B"/>
    <w:rsid w:val="64D85596"/>
    <w:rsid w:val="64D92F18"/>
    <w:rsid w:val="64E447FB"/>
    <w:rsid w:val="64F01DC5"/>
    <w:rsid w:val="64F165A9"/>
    <w:rsid w:val="64FA2F88"/>
    <w:rsid w:val="650141C0"/>
    <w:rsid w:val="651547FE"/>
    <w:rsid w:val="65283C7D"/>
    <w:rsid w:val="65360A56"/>
    <w:rsid w:val="65402B6D"/>
    <w:rsid w:val="65456463"/>
    <w:rsid w:val="65462F10"/>
    <w:rsid w:val="65624DB7"/>
    <w:rsid w:val="65671CA7"/>
    <w:rsid w:val="6567622F"/>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E385F"/>
    <w:rsid w:val="66CA3AFE"/>
    <w:rsid w:val="66E64C1D"/>
    <w:rsid w:val="66F80F79"/>
    <w:rsid w:val="66FB4D34"/>
    <w:rsid w:val="66FC5B33"/>
    <w:rsid w:val="670D7A51"/>
    <w:rsid w:val="670F7EFF"/>
    <w:rsid w:val="671141FA"/>
    <w:rsid w:val="67276465"/>
    <w:rsid w:val="67306E47"/>
    <w:rsid w:val="67332C13"/>
    <w:rsid w:val="673F1C63"/>
    <w:rsid w:val="673F4D92"/>
    <w:rsid w:val="67417835"/>
    <w:rsid w:val="67423020"/>
    <w:rsid w:val="67436816"/>
    <w:rsid w:val="6746217B"/>
    <w:rsid w:val="67486EC1"/>
    <w:rsid w:val="676D25DC"/>
    <w:rsid w:val="6772777B"/>
    <w:rsid w:val="67866E1E"/>
    <w:rsid w:val="678B29F5"/>
    <w:rsid w:val="678E19F1"/>
    <w:rsid w:val="679E465B"/>
    <w:rsid w:val="67A04CD2"/>
    <w:rsid w:val="67A82CD8"/>
    <w:rsid w:val="67AC227B"/>
    <w:rsid w:val="67AE185A"/>
    <w:rsid w:val="67BA2ED4"/>
    <w:rsid w:val="67C05953"/>
    <w:rsid w:val="67C64641"/>
    <w:rsid w:val="67CA245E"/>
    <w:rsid w:val="67CF671D"/>
    <w:rsid w:val="67FC2839"/>
    <w:rsid w:val="67FC624E"/>
    <w:rsid w:val="6802716F"/>
    <w:rsid w:val="6804711D"/>
    <w:rsid w:val="681362E2"/>
    <w:rsid w:val="681569AD"/>
    <w:rsid w:val="682E60E4"/>
    <w:rsid w:val="683A1B31"/>
    <w:rsid w:val="683D547E"/>
    <w:rsid w:val="68445B1F"/>
    <w:rsid w:val="68491B6C"/>
    <w:rsid w:val="6850133A"/>
    <w:rsid w:val="685D0094"/>
    <w:rsid w:val="685E4912"/>
    <w:rsid w:val="68652121"/>
    <w:rsid w:val="68861720"/>
    <w:rsid w:val="688B2F2B"/>
    <w:rsid w:val="689A6D62"/>
    <w:rsid w:val="689E3A42"/>
    <w:rsid w:val="68B93D1C"/>
    <w:rsid w:val="68C17BCC"/>
    <w:rsid w:val="68DF13C1"/>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253162"/>
    <w:rsid w:val="6A3A6DE0"/>
    <w:rsid w:val="6A3A7894"/>
    <w:rsid w:val="6A3C4545"/>
    <w:rsid w:val="6A432665"/>
    <w:rsid w:val="6A4877E4"/>
    <w:rsid w:val="6A4E5117"/>
    <w:rsid w:val="6A4F1B24"/>
    <w:rsid w:val="6A566969"/>
    <w:rsid w:val="6A5B70F4"/>
    <w:rsid w:val="6A633F5B"/>
    <w:rsid w:val="6A6925A2"/>
    <w:rsid w:val="6A697DC8"/>
    <w:rsid w:val="6A6D5522"/>
    <w:rsid w:val="6A71259B"/>
    <w:rsid w:val="6A836CE4"/>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62569A"/>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5656"/>
    <w:rsid w:val="6C0A563E"/>
    <w:rsid w:val="6C0C5806"/>
    <w:rsid w:val="6C1006E1"/>
    <w:rsid w:val="6C1709EC"/>
    <w:rsid w:val="6C1B089B"/>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8003C"/>
    <w:rsid w:val="6CFC1F82"/>
    <w:rsid w:val="6CFF02F3"/>
    <w:rsid w:val="6D006613"/>
    <w:rsid w:val="6D064A43"/>
    <w:rsid w:val="6D163B89"/>
    <w:rsid w:val="6D1A43F4"/>
    <w:rsid w:val="6D252B6B"/>
    <w:rsid w:val="6D281885"/>
    <w:rsid w:val="6D346F1D"/>
    <w:rsid w:val="6D361C65"/>
    <w:rsid w:val="6D506716"/>
    <w:rsid w:val="6D5645C6"/>
    <w:rsid w:val="6D57181B"/>
    <w:rsid w:val="6D5F137A"/>
    <w:rsid w:val="6D684EAB"/>
    <w:rsid w:val="6D6C0536"/>
    <w:rsid w:val="6D6D3FDF"/>
    <w:rsid w:val="6D7273BF"/>
    <w:rsid w:val="6D777BD8"/>
    <w:rsid w:val="6D8F7B39"/>
    <w:rsid w:val="6D9F1794"/>
    <w:rsid w:val="6DAB4D00"/>
    <w:rsid w:val="6DC8702A"/>
    <w:rsid w:val="6DD41E64"/>
    <w:rsid w:val="6DD53A5A"/>
    <w:rsid w:val="6DE02F5E"/>
    <w:rsid w:val="6DE317C3"/>
    <w:rsid w:val="6DE5597F"/>
    <w:rsid w:val="6DEA2AF2"/>
    <w:rsid w:val="6DF0434D"/>
    <w:rsid w:val="6DF1202B"/>
    <w:rsid w:val="6DF27BA0"/>
    <w:rsid w:val="6DF4644E"/>
    <w:rsid w:val="6DF55E6E"/>
    <w:rsid w:val="6E062157"/>
    <w:rsid w:val="6E0B3D67"/>
    <w:rsid w:val="6E104D52"/>
    <w:rsid w:val="6E2414D0"/>
    <w:rsid w:val="6E2A44A5"/>
    <w:rsid w:val="6E3621C3"/>
    <w:rsid w:val="6E453189"/>
    <w:rsid w:val="6E454CC8"/>
    <w:rsid w:val="6E490261"/>
    <w:rsid w:val="6E530820"/>
    <w:rsid w:val="6E557A22"/>
    <w:rsid w:val="6E5F0DAA"/>
    <w:rsid w:val="6E656EBC"/>
    <w:rsid w:val="6E7A2651"/>
    <w:rsid w:val="6E7B361D"/>
    <w:rsid w:val="6E8C65B7"/>
    <w:rsid w:val="6E9F1975"/>
    <w:rsid w:val="6EB8360B"/>
    <w:rsid w:val="6EC4312C"/>
    <w:rsid w:val="6EDE21EB"/>
    <w:rsid w:val="6EF21B88"/>
    <w:rsid w:val="6EF62377"/>
    <w:rsid w:val="6EFF2445"/>
    <w:rsid w:val="6F000F1E"/>
    <w:rsid w:val="6F063E1D"/>
    <w:rsid w:val="6F0A2370"/>
    <w:rsid w:val="6F112CE7"/>
    <w:rsid w:val="6F136B01"/>
    <w:rsid w:val="6F1404DE"/>
    <w:rsid w:val="6F1F579B"/>
    <w:rsid w:val="6F3376BD"/>
    <w:rsid w:val="6F4D5894"/>
    <w:rsid w:val="6F542E31"/>
    <w:rsid w:val="6F5A5DF8"/>
    <w:rsid w:val="6F5C3100"/>
    <w:rsid w:val="6F62091E"/>
    <w:rsid w:val="6F701A97"/>
    <w:rsid w:val="6F7701D6"/>
    <w:rsid w:val="6F7F091B"/>
    <w:rsid w:val="6F7F7551"/>
    <w:rsid w:val="6F8F5BAE"/>
    <w:rsid w:val="6F9D213C"/>
    <w:rsid w:val="6FA00E69"/>
    <w:rsid w:val="6FA628FC"/>
    <w:rsid w:val="6FA808D1"/>
    <w:rsid w:val="6FA85C0E"/>
    <w:rsid w:val="6FA86512"/>
    <w:rsid w:val="6FA86B05"/>
    <w:rsid w:val="6FAF09D1"/>
    <w:rsid w:val="6FCA4CE0"/>
    <w:rsid w:val="6FCD31B3"/>
    <w:rsid w:val="6FCD7779"/>
    <w:rsid w:val="6FD0055A"/>
    <w:rsid w:val="6FD33AAE"/>
    <w:rsid w:val="6FD375E8"/>
    <w:rsid w:val="6FD966D2"/>
    <w:rsid w:val="6FE068E4"/>
    <w:rsid w:val="6FE54D61"/>
    <w:rsid w:val="6FF15EB3"/>
    <w:rsid w:val="6FF546B8"/>
    <w:rsid w:val="6FF9508C"/>
    <w:rsid w:val="6FFB22E5"/>
    <w:rsid w:val="700751F8"/>
    <w:rsid w:val="700C7F99"/>
    <w:rsid w:val="700F6C5A"/>
    <w:rsid w:val="70134404"/>
    <w:rsid w:val="70157DD5"/>
    <w:rsid w:val="702811A4"/>
    <w:rsid w:val="702F7772"/>
    <w:rsid w:val="703C4DCE"/>
    <w:rsid w:val="703C7596"/>
    <w:rsid w:val="7052415E"/>
    <w:rsid w:val="70584663"/>
    <w:rsid w:val="705D0282"/>
    <w:rsid w:val="70647404"/>
    <w:rsid w:val="707B4BB9"/>
    <w:rsid w:val="7080255C"/>
    <w:rsid w:val="70804F16"/>
    <w:rsid w:val="7088000E"/>
    <w:rsid w:val="70880D75"/>
    <w:rsid w:val="70952C97"/>
    <w:rsid w:val="709605B2"/>
    <w:rsid w:val="7098155B"/>
    <w:rsid w:val="70CA5526"/>
    <w:rsid w:val="70D23371"/>
    <w:rsid w:val="70DF36FD"/>
    <w:rsid w:val="70F266BA"/>
    <w:rsid w:val="70F44551"/>
    <w:rsid w:val="710B68F8"/>
    <w:rsid w:val="710C4A55"/>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C39B6"/>
    <w:rsid w:val="718C658F"/>
    <w:rsid w:val="718E301B"/>
    <w:rsid w:val="718E6E2B"/>
    <w:rsid w:val="71900C30"/>
    <w:rsid w:val="71A420BB"/>
    <w:rsid w:val="71B26561"/>
    <w:rsid w:val="71B76C37"/>
    <w:rsid w:val="71BE4DDE"/>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41049C"/>
    <w:rsid w:val="73491462"/>
    <w:rsid w:val="734B78B4"/>
    <w:rsid w:val="734E1BEC"/>
    <w:rsid w:val="73505624"/>
    <w:rsid w:val="7358133C"/>
    <w:rsid w:val="735925A6"/>
    <w:rsid w:val="73827254"/>
    <w:rsid w:val="738C54E7"/>
    <w:rsid w:val="73930668"/>
    <w:rsid w:val="7396760B"/>
    <w:rsid w:val="73B20910"/>
    <w:rsid w:val="73BD69AD"/>
    <w:rsid w:val="73C121B9"/>
    <w:rsid w:val="73C91E6F"/>
    <w:rsid w:val="73CB59CA"/>
    <w:rsid w:val="73D74517"/>
    <w:rsid w:val="73DA730C"/>
    <w:rsid w:val="73E32D7C"/>
    <w:rsid w:val="73E647D0"/>
    <w:rsid w:val="73E814A3"/>
    <w:rsid w:val="73F15747"/>
    <w:rsid w:val="73FB5A90"/>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842E4"/>
    <w:rsid w:val="755B5C32"/>
    <w:rsid w:val="75690D40"/>
    <w:rsid w:val="757976E9"/>
    <w:rsid w:val="758837C0"/>
    <w:rsid w:val="75896B45"/>
    <w:rsid w:val="758C341D"/>
    <w:rsid w:val="758D62FC"/>
    <w:rsid w:val="759810DC"/>
    <w:rsid w:val="75A0244B"/>
    <w:rsid w:val="75A04BF1"/>
    <w:rsid w:val="75A56204"/>
    <w:rsid w:val="75AB200F"/>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B523D"/>
    <w:rsid w:val="77AD7473"/>
    <w:rsid w:val="77B22AD2"/>
    <w:rsid w:val="77D66F19"/>
    <w:rsid w:val="77E74EA3"/>
    <w:rsid w:val="77EC4E1A"/>
    <w:rsid w:val="77F93AD5"/>
    <w:rsid w:val="77FE6B15"/>
    <w:rsid w:val="78072897"/>
    <w:rsid w:val="780D5BA7"/>
    <w:rsid w:val="781E6120"/>
    <w:rsid w:val="78247ECD"/>
    <w:rsid w:val="782A2A31"/>
    <w:rsid w:val="78350944"/>
    <w:rsid w:val="783963BB"/>
    <w:rsid w:val="7847683F"/>
    <w:rsid w:val="78592AE1"/>
    <w:rsid w:val="785F36C4"/>
    <w:rsid w:val="78647B38"/>
    <w:rsid w:val="78671BBD"/>
    <w:rsid w:val="786733AF"/>
    <w:rsid w:val="786C1502"/>
    <w:rsid w:val="787E43A3"/>
    <w:rsid w:val="78812F30"/>
    <w:rsid w:val="7881633C"/>
    <w:rsid w:val="789412D2"/>
    <w:rsid w:val="78994653"/>
    <w:rsid w:val="78A23DCC"/>
    <w:rsid w:val="78B106EF"/>
    <w:rsid w:val="78B236BF"/>
    <w:rsid w:val="78BB40CD"/>
    <w:rsid w:val="78C2513D"/>
    <w:rsid w:val="78C2745B"/>
    <w:rsid w:val="78C325E3"/>
    <w:rsid w:val="78CA7836"/>
    <w:rsid w:val="78EF05C0"/>
    <w:rsid w:val="790F07B9"/>
    <w:rsid w:val="790F7E2C"/>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64AE0"/>
    <w:rsid w:val="7A17550E"/>
    <w:rsid w:val="7A1D5BCA"/>
    <w:rsid w:val="7A290A2B"/>
    <w:rsid w:val="7A2925B3"/>
    <w:rsid w:val="7A3C7619"/>
    <w:rsid w:val="7A500017"/>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1A1FD7"/>
    <w:rsid w:val="7B2948F5"/>
    <w:rsid w:val="7B316253"/>
    <w:rsid w:val="7B376E26"/>
    <w:rsid w:val="7B3808E0"/>
    <w:rsid w:val="7B4A331E"/>
    <w:rsid w:val="7B587523"/>
    <w:rsid w:val="7B631FC6"/>
    <w:rsid w:val="7B6B676E"/>
    <w:rsid w:val="7B776005"/>
    <w:rsid w:val="7B7A1189"/>
    <w:rsid w:val="7B7B3D4F"/>
    <w:rsid w:val="7B850568"/>
    <w:rsid w:val="7B88133B"/>
    <w:rsid w:val="7B8C6BB5"/>
    <w:rsid w:val="7B94534A"/>
    <w:rsid w:val="7BB43E63"/>
    <w:rsid w:val="7BC01697"/>
    <w:rsid w:val="7BC7283B"/>
    <w:rsid w:val="7BCC1864"/>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794E64"/>
    <w:rsid w:val="7C7D6F3B"/>
    <w:rsid w:val="7C824496"/>
    <w:rsid w:val="7C8345D7"/>
    <w:rsid w:val="7C964439"/>
    <w:rsid w:val="7C9E6D73"/>
    <w:rsid w:val="7CB0081C"/>
    <w:rsid w:val="7CB80C1E"/>
    <w:rsid w:val="7CB932B3"/>
    <w:rsid w:val="7CBA4BBB"/>
    <w:rsid w:val="7CC204B4"/>
    <w:rsid w:val="7CC370E6"/>
    <w:rsid w:val="7CCB07D6"/>
    <w:rsid w:val="7CD321D8"/>
    <w:rsid w:val="7CD87D80"/>
    <w:rsid w:val="7CDE3D5F"/>
    <w:rsid w:val="7CE15591"/>
    <w:rsid w:val="7CE23CCD"/>
    <w:rsid w:val="7CE8714F"/>
    <w:rsid w:val="7CE97A34"/>
    <w:rsid w:val="7D02287F"/>
    <w:rsid w:val="7D071B08"/>
    <w:rsid w:val="7D196567"/>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B5379D"/>
    <w:rsid w:val="7DBC67FA"/>
    <w:rsid w:val="7DC4776F"/>
    <w:rsid w:val="7DDE0252"/>
    <w:rsid w:val="7DE92585"/>
    <w:rsid w:val="7DE9582C"/>
    <w:rsid w:val="7E1A78D3"/>
    <w:rsid w:val="7E334242"/>
    <w:rsid w:val="7E335CAB"/>
    <w:rsid w:val="7E3606A2"/>
    <w:rsid w:val="7E3B052D"/>
    <w:rsid w:val="7E40505A"/>
    <w:rsid w:val="7E491C6A"/>
    <w:rsid w:val="7E4F093D"/>
    <w:rsid w:val="7E5A30AC"/>
    <w:rsid w:val="7E5A50BD"/>
    <w:rsid w:val="7E5F3642"/>
    <w:rsid w:val="7E627D2F"/>
    <w:rsid w:val="7E757799"/>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A63A1"/>
    <w:rsid w:val="7F5C125B"/>
    <w:rsid w:val="7F63224D"/>
    <w:rsid w:val="7F754EA2"/>
    <w:rsid w:val="7F7B4DEA"/>
    <w:rsid w:val="7F827DE9"/>
    <w:rsid w:val="7F852744"/>
    <w:rsid w:val="7F932219"/>
    <w:rsid w:val="7FA92ED5"/>
    <w:rsid w:val="7FAE449D"/>
    <w:rsid w:val="7FAF00E5"/>
    <w:rsid w:val="7FB647ED"/>
    <w:rsid w:val="7FC27060"/>
    <w:rsid w:val="7FCB6122"/>
    <w:rsid w:val="7FD728A5"/>
    <w:rsid w:val="7FDD0935"/>
    <w:rsid w:val="7FDD0BAD"/>
    <w:rsid w:val="7FE26DBE"/>
    <w:rsid w:val="7FED55A0"/>
    <w:rsid w:val="7FF31A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2"/>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23"/>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4"/>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unhideWhenUsed/>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annotation text"/>
    <w:basedOn w:val="1"/>
    <w:link w:val="25"/>
    <w:unhideWhenUsed/>
    <w:uiPriority w:val="99"/>
    <w:pPr>
      <w:jc w:val="left"/>
    </w:pPr>
  </w:style>
  <w:style w:type="paragraph" w:styleId="6">
    <w:name w:val="Body Text"/>
    <w:basedOn w:val="1"/>
    <w:link w:val="26"/>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7"/>
    <w:unhideWhenUsed/>
    <w:uiPriority w:val="99"/>
    <w:pPr>
      <w:ind w:left="100" w:leftChars="2500"/>
    </w:pPr>
  </w:style>
  <w:style w:type="paragraph" w:styleId="8">
    <w:name w:val="Balloon Text"/>
    <w:basedOn w:val="1"/>
    <w:link w:val="28"/>
    <w:unhideWhenUsed/>
    <w:uiPriority w:val="99"/>
    <w:rPr>
      <w:kern w:val="0"/>
      <w:sz w:val="18"/>
      <w:szCs w:val="18"/>
    </w:rPr>
  </w:style>
  <w:style w:type="paragraph" w:styleId="9">
    <w:name w:val="footer"/>
    <w:basedOn w:val="1"/>
    <w:link w:val="29"/>
    <w:unhideWhenUsed/>
    <w:uiPriority w:val="99"/>
    <w:pPr>
      <w:tabs>
        <w:tab w:val="center" w:pos="4153"/>
        <w:tab w:val="right" w:pos="8306"/>
      </w:tabs>
      <w:snapToGrid w:val="0"/>
      <w:jc w:val="left"/>
    </w:pPr>
    <w:rPr>
      <w:kern w:val="0"/>
      <w:sz w:val="18"/>
      <w:szCs w:val="18"/>
    </w:rPr>
  </w:style>
  <w:style w:type="paragraph" w:styleId="10">
    <w:name w:val="header"/>
    <w:basedOn w:val="1"/>
    <w:link w:val="30"/>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unhideWhenUsed/>
    <w:uiPriority w:val="99"/>
    <w:pPr>
      <w:snapToGrid w:val="0"/>
      <w:jc w:val="left"/>
    </w:pPr>
    <w:rPr>
      <w:sz w:val="18"/>
      <w:szCs w:val="18"/>
    </w:rPr>
  </w:style>
  <w:style w:type="paragraph" w:styleId="1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2"/>
    <w:unhideWhenUsed/>
    <w:uiPriority w:val="99"/>
    <w:rPr>
      <w:b/>
      <w:bCs/>
    </w:rPr>
  </w:style>
  <w:style w:type="table" w:styleId="16">
    <w:name w:val="Table Grid"/>
    <w:basedOn w:val="15"/>
    <w:qFormat/>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Hyperlink"/>
    <w:unhideWhenUsed/>
    <w:uiPriority w:val="99"/>
    <w:rPr>
      <w:color w:val="0000FF"/>
      <w:u w:val="single"/>
    </w:rPr>
  </w:style>
  <w:style w:type="character" w:styleId="20">
    <w:name w:val="annotation reference"/>
    <w:unhideWhenUsed/>
    <w:uiPriority w:val="99"/>
    <w:rPr>
      <w:sz w:val="21"/>
      <w:szCs w:val="21"/>
    </w:rPr>
  </w:style>
  <w:style w:type="character" w:styleId="21">
    <w:name w:val="footnote reference"/>
    <w:unhideWhenUsed/>
    <w:uiPriority w:val="99"/>
    <w:rPr>
      <w:vertAlign w:val="superscript"/>
    </w:rPr>
  </w:style>
  <w:style w:type="character" w:customStyle="1" w:styleId="22">
    <w:name w:val="标题 1 字符"/>
    <w:link w:val="2"/>
    <w:uiPriority w:val="1"/>
    <w:rPr>
      <w:rFonts w:ascii="黑体" w:hAnsi="Times New Roman" w:eastAsia="黑体" w:cs="黑体"/>
      <w:b/>
      <w:bCs/>
      <w:kern w:val="0"/>
      <w:sz w:val="36"/>
      <w:szCs w:val="36"/>
    </w:rPr>
  </w:style>
  <w:style w:type="character" w:customStyle="1" w:styleId="23">
    <w:name w:val="标题 2 字符"/>
    <w:link w:val="3"/>
    <w:uiPriority w:val="9"/>
    <w:rPr>
      <w:rFonts w:ascii="Cambria" w:hAnsi="Cambria" w:eastAsia="宋体" w:cs="Times New Roman"/>
      <w:b/>
      <w:bCs/>
      <w:sz w:val="32"/>
      <w:szCs w:val="32"/>
    </w:rPr>
  </w:style>
  <w:style w:type="character" w:customStyle="1" w:styleId="24">
    <w:name w:val="标题 3 字符"/>
    <w:link w:val="4"/>
    <w:uiPriority w:val="1"/>
    <w:rPr>
      <w:rFonts w:ascii="宋体" w:hAnsi="Times New Roman" w:eastAsia="宋体" w:cs="宋体"/>
      <w:b/>
      <w:bCs/>
      <w:kern w:val="0"/>
      <w:szCs w:val="21"/>
    </w:rPr>
  </w:style>
  <w:style w:type="character" w:customStyle="1" w:styleId="25">
    <w:name w:val="批注文字 字符"/>
    <w:link w:val="5"/>
    <w:uiPriority w:val="99"/>
    <w:rPr>
      <w:kern w:val="2"/>
      <w:sz w:val="21"/>
      <w:szCs w:val="22"/>
    </w:rPr>
  </w:style>
  <w:style w:type="character" w:customStyle="1" w:styleId="26">
    <w:name w:val="正文文本 字符"/>
    <w:link w:val="6"/>
    <w:uiPriority w:val="1"/>
    <w:rPr>
      <w:rFonts w:ascii="宋体" w:hAnsi="Times New Roman" w:eastAsia="宋体" w:cs="宋体"/>
      <w:kern w:val="0"/>
      <w:szCs w:val="21"/>
    </w:rPr>
  </w:style>
  <w:style w:type="character" w:customStyle="1" w:styleId="27">
    <w:name w:val="日期 字符"/>
    <w:link w:val="7"/>
    <w:semiHidden/>
    <w:uiPriority w:val="99"/>
  </w:style>
  <w:style w:type="character" w:customStyle="1" w:styleId="28">
    <w:name w:val="批注框文本 字符"/>
    <w:link w:val="8"/>
    <w:semiHidden/>
    <w:uiPriority w:val="99"/>
    <w:rPr>
      <w:sz w:val="18"/>
      <w:szCs w:val="18"/>
    </w:rPr>
  </w:style>
  <w:style w:type="character" w:customStyle="1" w:styleId="29">
    <w:name w:val="页脚 字符"/>
    <w:link w:val="9"/>
    <w:uiPriority w:val="99"/>
    <w:rPr>
      <w:sz w:val="18"/>
      <w:szCs w:val="18"/>
    </w:rPr>
  </w:style>
  <w:style w:type="character" w:customStyle="1" w:styleId="30">
    <w:name w:val="页眉 字符"/>
    <w:link w:val="10"/>
    <w:uiPriority w:val="99"/>
    <w:rPr>
      <w:sz w:val="18"/>
      <w:szCs w:val="18"/>
    </w:rPr>
  </w:style>
  <w:style w:type="character" w:customStyle="1" w:styleId="31">
    <w:name w:val="脚注文本 字符1"/>
    <w:link w:val="11"/>
    <w:semiHidden/>
    <w:uiPriority w:val="99"/>
    <w:rPr>
      <w:kern w:val="2"/>
      <w:sz w:val="18"/>
      <w:szCs w:val="18"/>
    </w:rPr>
  </w:style>
  <w:style w:type="character" w:customStyle="1" w:styleId="32">
    <w:name w:val="批注主题 字符"/>
    <w:link w:val="14"/>
    <w:semiHidden/>
    <w:uiPriority w:val="99"/>
    <w:rPr>
      <w:b/>
      <w:bCs/>
      <w:kern w:val="2"/>
      <w:sz w:val="21"/>
      <w:szCs w:val="22"/>
    </w:rPr>
  </w:style>
  <w:style w:type="character" w:customStyle="1" w:styleId="33">
    <w:name w:val="脚注文本 字符"/>
    <w:semiHidden/>
    <w:uiPriority w:val="99"/>
    <w:rPr>
      <w:kern w:val="2"/>
      <w:sz w:val="18"/>
      <w:szCs w:val="18"/>
    </w:rPr>
  </w:style>
  <w:style w:type="paragraph" w:styleId="34">
    <w:name w:val=""/>
    <w:semiHidden/>
    <w:uiPriority w:val="99"/>
    <w:rPr>
      <w:kern w:val="2"/>
      <w:sz w:val="21"/>
      <w:szCs w:val="22"/>
      <w:lang w:val="en-US" w:eastAsia="zh-CN" w:bidi="ar-SA"/>
    </w:rPr>
  </w:style>
  <w:style w:type="paragraph" w:customStyle="1" w:styleId="35">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18725</Words>
  <Characters>19344</Characters>
  <Lines>155</Lines>
  <Paragraphs>43</Paragraphs>
  <TotalTime>0</TotalTime>
  <ScaleCrop>false</ScaleCrop>
  <LinksUpToDate>false</LinksUpToDate>
  <CharactersWithSpaces>19346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2022-08-09T08:21:00Z</dcterms:created>
  <dc:creator>JSYH</dc:creator>
  <cp:lastModifiedBy>adm</cp:lastModifiedBy>
  <cp:lastPrinted>2024-07-15T09:05:00Z</cp:lastPrinted>
  <dcterms:modified xsi:type="dcterms:W3CDTF">2025-04-17T10:21:51Z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9C48911FF74B4B77A8351AF835A2FE53</vt:lpwstr>
  </property>
</Properties>
</file>