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【稳利恒盈封闭式固收类】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w:t>
      </w:r>
      <w:r>
        <w:rPr>
          <w:rStyle w:val="27"/>
          <w:rFonts w:hint="eastAsia" w:ascii="宋体" w:hAnsi="宋体" w:cs="Times New Roman"/>
          <w:sz w:val="32"/>
          <w:szCs w:val="32"/>
          <w:lang w:val="en-US" w:eastAsia="zh-CN"/>
        </w:rPr>
        <w:t>2025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【稳利恒盈封闭式固收类】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【稳利恒盈封闭式固收类】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eastAsia="zh-CN"/>
        </w:rPr>
        <w:t>稳利恒盈封闭式固收类</w:t>
      </w:r>
      <w:r>
        <w:rPr>
          <w:rFonts w:hint="eastAsia" w:asciiTheme="majorEastAsia" w:hAnsiTheme="majorEastAsia" w:eastAsiaTheme="majorEastAsia"/>
          <w:bCs/>
          <w:sz w:val="18"/>
          <w:szCs w:val="18"/>
        </w:rPr>
        <w:t>】</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销售服务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【兴银理财稳利恒盈封闭式2025年69期固收类理财产品】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【稳利恒盈封闭式2025年69期A(纯盈款)】</w:t>
            </w:r>
            <w:r>
              <w:rPr>
                <w:rFonts w:hint="eastAsia" w:hAnsi="宋体"/>
                <w:sz w:val="18"/>
                <w:szCs w:val="18"/>
              </w:rPr>
              <w:t>（适用【</w:t>
            </w:r>
            <w:r>
              <w:rPr>
                <w:rFonts w:hint="eastAsia" w:hAnsi="宋体"/>
                <w:sz w:val="18"/>
                <w:szCs w:val="18"/>
                <w:lang w:val="en-US" w:eastAsia="zh-CN"/>
              </w:rPr>
              <w:t>A</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【稳利恒盈封闭式2025年69期B(纯盈颐养款)】</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【稳利恒盈封闭式2025年69期C(纯盈颐养款)】</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【稳利恒盈封闭式2025年69期D(纯盈颐养款)】</w:t>
            </w:r>
            <w:r>
              <w:rPr>
                <w:rFonts w:hint="eastAsia" w:hAnsi="宋体"/>
                <w:sz w:val="18"/>
                <w:szCs w:val="18"/>
              </w:rPr>
              <w:t>（适用【</w:t>
            </w:r>
            <w:r>
              <w:rPr>
                <w:rFonts w:hint="eastAsia" w:hAnsi="宋体"/>
                <w:sz w:val="18"/>
                <w:szCs w:val="18"/>
                <w:lang w:val="en-US" w:eastAsia="zh-CN"/>
              </w:rPr>
              <w:t>D</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【稳利恒盈封闭式2025年69期E(纯盈颐养款)】</w:t>
            </w:r>
            <w:r>
              <w:rPr>
                <w:rFonts w:hint="eastAsia" w:hAnsi="宋体"/>
                <w:sz w:val="18"/>
                <w:szCs w:val="18"/>
              </w:rPr>
              <w:t>（适用【</w:t>
            </w:r>
            <w:r>
              <w:rPr>
                <w:rFonts w:hint="eastAsia" w:hAnsi="宋体"/>
                <w:sz w:val="18"/>
                <w:szCs w:val="18"/>
                <w:lang w:val="en-US" w:eastAsia="zh-CN"/>
              </w:rPr>
              <w:t>E</w:t>
            </w:r>
            <w:r>
              <w:rPr>
                <w:rFonts w:hint="eastAsia" w:hAnsi="宋体"/>
                <w:sz w:val="18"/>
                <w:szCs w:val="18"/>
              </w:rPr>
              <w:t>】类份额）</w:t>
            </w:r>
          </w:p>
          <w:p>
            <w:pPr>
              <w:widowControl/>
              <w:spacing w:line="360" w:lineRule="auto"/>
              <w:jc w:val="left"/>
              <w:rPr>
                <w:rFonts w:hint="eastAsia" w:hAnsi="宋体"/>
                <w:sz w:val="18"/>
                <w:szCs w:val="18"/>
              </w:rPr>
            </w:pPr>
            <w:r>
              <w:rPr>
                <w:rFonts w:hint="eastAsia" w:asciiTheme="majorEastAsia" w:hAnsiTheme="majorEastAsia" w:eastAsiaTheme="majorEastAsia"/>
                <w:bCs/>
                <w:kern w:val="0"/>
                <w:sz w:val="18"/>
                <w:szCs w:val="18"/>
              </w:rPr>
              <w:t>【稳利恒盈封闭式2025年69期F(纯盈颐养款)】</w:t>
            </w:r>
            <w:r>
              <w:rPr>
                <w:rFonts w:hint="eastAsia" w:hAnsi="宋体"/>
                <w:sz w:val="18"/>
                <w:szCs w:val="18"/>
              </w:rPr>
              <w:t>（适用【</w:t>
            </w:r>
            <w:r>
              <w:rPr>
                <w:rFonts w:hint="eastAsia" w:hAnsi="宋体"/>
                <w:sz w:val="18"/>
                <w:szCs w:val="18"/>
                <w:lang w:val="en-US" w:eastAsia="zh-CN"/>
              </w:rPr>
              <w:t>F</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【Z7002025000656】</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9N250690】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【9N25069A】（适用【</w:t>
            </w:r>
            <w:r>
              <w:rPr>
                <w:rFonts w:hint="eastAsia" w:hAnsi="宋体"/>
                <w:sz w:val="18"/>
                <w:szCs w:val="18"/>
                <w:lang w:val="en-US" w:eastAsia="zh-CN"/>
              </w:rPr>
              <w:t>A</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【9N25069B】（适用【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【9N25069C】（适用【</w:t>
            </w:r>
            <w:r>
              <w:rPr>
                <w:rFonts w:hint="eastAsia" w:hAnsi="宋体"/>
                <w:sz w:val="18"/>
                <w:szCs w:val="18"/>
                <w:lang w:val="en-US" w:eastAsia="zh-CN"/>
              </w:rPr>
              <w:t>C</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【9N25069D】（适用【</w:t>
            </w:r>
            <w:r>
              <w:rPr>
                <w:rFonts w:hint="eastAsia" w:hAnsi="宋体"/>
                <w:sz w:val="18"/>
                <w:szCs w:val="18"/>
                <w:lang w:val="en-US" w:eastAsia="zh-CN"/>
              </w:rPr>
              <w:t>D</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【9N25069E】（适用【</w:t>
            </w:r>
            <w:r>
              <w:rPr>
                <w:rFonts w:hint="eastAsia" w:hAnsi="宋体"/>
                <w:sz w:val="18"/>
                <w:szCs w:val="18"/>
                <w:lang w:val="en-US" w:eastAsia="zh-CN"/>
              </w:rPr>
              <w:t>E</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【9N25069F】（适用【</w:t>
            </w:r>
            <w:r>
              <w:rPr>
                <w:rFonts w:hint="eastAsia" w:hAnsi="宋体"/>
                <w:sz w:val="18"/>
                <w:szCs w:val="18"/>
                <w:lang w:val="en-US" w:eastAsia="zh-CN"/>
              </w:rPr>
              <w:t>F</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5</w:t>
            </w:r>
            <w:r>
              <w:rPr>
                <w:rFonts w:hint="eastAsia" w:asciiTheme="majorEastAsia" w:hAnsiTheme="majorEastAsia" w:eastAsiaTheme="majorEastAsia"/>
                <w:bCs/>
                <w:sz w:val="18"/>
                <w:szCs w:val="18"/>
              </w:rPr>
              <w:t>】亿元，最小成立规模为【</w:t>
            </w:r>
            <w:r>
              <w:rPr>
                <w:rFonts w:hint="eastAsia" w:asciiTheme="majorEastAsia" w:hAnsiTheme="majorEastAsia" w:eastAsiaTheme="majorEastAsia"/>
                <w:bCs/>
                <w:sz w:val="18"/>
                <w:szCs w:val="18"/>
                <w:lang w:val="en-US" w:eastAsia="zh-CN"/>
              </w:rPr>
              <w:t>/</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181天</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bidi w:val="0"/>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w:t>
            </w:r>
            <w:r>
              <w:rPr>
                <w:rFonts w:hint="eastAsia" w:cs="Times New Roman" w:asciiTheme="minorEastAsia" w:hAnsiTheme="minorEastAsia"/>
                <w:sz w:val="18"/>
                <w:szCs w:val="18"/>
                <w:lang w:val="en-US" w:eastAsia="zh-CN"/>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w:t>
            </w:r>
            <w:r>
              <w:rPr>
                <w:rFonts w:hint="eastAsia" w:asciiTheme="majorEastAsia" w:hAnsiTheme="majorEastAsia" w:eastAsiaTheme="majorEastAsia"/>
                <w:sz w:val="18"/>
                <w:szCs w:val="18"/>
                <w:lang w:val="en-US" w:eastAsia="zh-CN"/>
              </w:rPr>
              <w:t>17:00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hint="eastAsia" w:asciiTheme="majorEastAsia" w:hAnsiTheme="majorEastAsia" w:eastAsiaTheme="majorEastAsia"/>
                <w:bCs/>
                <w:sz w:val="18"/>
                <w:szCs w:val="18"/>
                <w:lang w:val="en-US" w:eastAsia="zh-CN"/>
              </w:rPr>
              <w:t>1.00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lang w:val="en-US" w:eastAsia="zh-CN"/>
              </w:rPr>
              <w:t>/</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【以一年期定期存款利率为无风险利率，基于当前对未来市场的判断，根据拟投资债权类资产的信用利差、久期敞口以及流动性溢价，预判组合的波动幅度，设定业绩比较基准。</w:t>
            </w:r>
            <w:r>
              <w:rPr>
                <w:rFonts w:ascii="宋体" w:hAnsi="宋体"/>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hint="eastAsia" w:ascii="宋体" w:hAnsi="宋体"/>
                <w:bCs/>
                <w:sz w:val="18"/>
                <w:szCs w:val="18"/>
                <w:lang w:eastAsia="zh-CN"/>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2.25%-3.05%</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适用【A】类份额</w:t>
            </w:r>
            <w:r>
              <w:rPr>
                <w:rFonts w:hint="eastAsia" w:ascii="宋体" w:hAnsi="宋体"/>
                <w:bCs/>
                <w:sz w:val="18"/>
                <w:szCs w:val="18"/>
                <w:lang w:eastAsia="zh-CN"/>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2.40%-3.20%</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适用【B】类份额</w:t>
            </w:r>
            <w:r>
              <w:rPr>
                <w:rFonts w:hint="eastAsia" w:ascii="宋体" w:hAnsi="宋体"/>
                <w:bCs/>
                <w:sz w:val="18"/>
                <w:szCs w:val="18"/>
                <w:lang w:eastAsia="zh-CN"/>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2.35%-3.15%</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适用【C】类份额</w:t>
            </w:r>
            <w:r>
              <w:rPr>
                <w:rFonts w:hint="eastAsia" w:ascii="宋体" w:hAnsi="宋体"/>
                <w:bCs/>
                <w:sz w:val="18"/>
                <w:szCs w:val="18"/>
                <w:lang w:eastAsia="zh-CN"/>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2.30%-3.10%</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适用【D】类份额</w:t>
            </w:r>
            <w:r>
              <w:rPr>
                <w:rFonts w:hint="eastAsia" w:ascii="宋体" w:hAnsi="宋体"/>
                <w:bCs/>
                <w:sz w:val="18"/>
                <w:szCs w:val="18"/>
                <w:lang w:eastAsia="zh-CN"/>
              </w:rPr>
              <w:t>）；</w:t>
            </w:r>
          </w:p>
          <w:p>
            <w:pPr>
              <w:spacing w:line="360" w:lineRule="auto"/>
              <w:jc w:val="left"/>
              <w:rPr>
                <w:rFonts w:asciiTheme="majorEastAsia" w:hAnsiTheme="majorEastAsia" w:eastAsiaTheme="majorEastAsia"/>
                <w:bCs/>
                <w:sz w:val="18"/>
                <w:szCs w:val="18"/>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2.25%-3.05%</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适用【E】类份额</w:t>
            </w:r>
            <w:r>
              <w:rPr>
                <w:rFonts w:hint="eastAsia" w:ascii="宋体" w:hAnsi="宋体"/>
                <w:bCs/>
                <w:sz w:val="18"/>
                <w:szCs w:val="18"/>
                <w:lang w:eastAsia="zh-CN"/>
              </w:rPr>
              <w:t>）；</w:t>
            </w:r>
          </w:p>
          <w:p>
            <w:pPr>
              <w:spacing w:line="360" w:lineRule="auto"/>
              <w:jc w:val="left"/>
              <w:rPr>
                <w:rFonts w:hint="eastAsia" w:ascii="宋体" w:hAnsi="宋体"/>
                <w:bCs/>
                <w:sz w:val="18"/>
                <w:szCs w:val="18"/>
                <w:lang w:eastAsia="zh-CN"/>
              </w:rPr>
            </w:pPr>
            <w:r>
              <w:rPr>
                <w:rFonts w:hint="eastAsia" w:asciiTheme="majorEastAsia" w:hAnsiTheme="majorEastAsia"/>
                <w:sz w:val="18"/>
                <w:lang w:val="en-US" w:eastAsia="zh-CN"/>
              </w:rPr>
              <w:t>年化</w:t>
            </w:r>
            <w:r>
              <w:rPr>
                <w:rFonts w:hint="eastAsia" w:ascii="宋体" w:hAnsi="宋体"/>
                <w:bCs/>
                <w:sz w:val="18"/>
                <w:szCs w:val="18"/>
              </w:rPr>
              <w:t>【</w:t>
            </w:r>
            <w:r>
              <w:rPr>
                <w:rFonts w:hint="eastAsia" w:ascii="宋体" w:hAnsi="宋体"/>
                <w:bCs/>
                <w:sz w:val="18"/>
                <w:szCs w:val="18"/>
                <w:lang w:val="en-US" w:eastAsia="zh-CN"/>
              </w:rPr>
              <w:t>2.15%-2.95%</w:t>
            </w:r>
            <w:r>
              <w:rPr>
                <w:rFonts w:ascii="宋体" w:hAnsi="宋体"/>
                <w:bCs/>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适用【F】类份额</w:t>
            </w:r>
            <w:r>
              <w:rPr>
                <w:rFonts w:hint="eastAsia" w:ascii="宋体" w:hAnsi="宋体"/>
                <w:bCs/>
                <w:sz w:val="18"/>
                <w:szCs w:val="18"/>
                <w:lang w:eastAsia="zh-CN"/>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w:t>
            </w:r>
            <w:r>
              <w:rPr>
                <w:rFonts w:hint="eastAsia" w:hAnsi="宋体"/>
                <w:bCs/>
                <w:sz w:val="18"/>
                <w:szCs w:val="18"/>
                <w:lang w:eastAsia="zh-CN"/>
              </w:rPr>
              <w:t>适用【A</w:t>
            </w:r>
            <w:r>
              <w:rPr>
                <w:rFonts w:hint="eastAsia" w:hAnsi="宋体"/>
                <w:bCs/>
                <w:sz w:val="18"/>
                <w:szCs w:val="18"/>
                <w:lang w:val="en-US" w:eastAsia="zh-CN"/>
              </w:rPr>
              <w:t>/B/C/D/E/F</w:t>
            </w:r>
            <w:r>
              <w:rPr>
                <w:rFonts w:hint="eastAsia" w:hAnsi="宋体"/>
                <w:bCs/>
                <w:sz w:val="18"/>
                <w:szCs w:val="18"/>
                <w:lang w:eastAsia="zh-CN"/>
              </w:rPr>
              <w:t>】类份额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w:t>
            </w:r>
            <w:r>
              <w:rPr>
                <w:rFonts w:hint="eastAsia" w:ascii="宋体" w:hAnsi="宋体"/>
                <w:bCs/>
                <w:sz w:val="18"/>
                <w:szCs w:val="18"/>
                <w:lang w:val="en-US" w:eastAsia="zh-CN"/>
              </w:rPr>
              <w:t>年化</w:t>
            </w:r>
            <w:r>
              <w:rPr>
                <w:rFonts w:hint="eastAsia" w:ascii="宋体" w:hAnsi="宋体"/>
                <w:bCs/>
                <w:sz w:val="18"/>
                <w:szCs w:val="18"/>
              </w:rPr>
              <w:t>【</w:t>
            </w:r>
            <w:r>
              <w:rPr>
                <w:rFonts w:hint="eastAsia" w:ascii="宋体" w:hAnsi="宋体"/>
                <w:bCs/>
                <w:sz w:val="18"/>
                <w:szCs w:val="18"/>
                <w:lang w:val="en-US" w:eastAsia="zh-CN"/>
              </w:rPr>
              <w:t>业绩比较基准中枢</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lang w:val="en-US" w:eastAsia="zh-CN"/>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宋体" w:hAnsi="宋体"/>
                <w:bCs/>
                <w:sz w:val="18"/>
                <w:szCs w:val="18"/>
                <w:lang w:eastAsia="zh-CN"/>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0.20%</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适用【A】类份额</w:t>
            </w:r>
            <w:r>
              <w:rPr>
                <w:rFonts w:hint="eastAsia" w:ascii="宋体" w:hAnsi="宋体"/>
                <w:bCs/>
                <w:sz w:val="18"/>
                <w:szCs w:val="18"/>
                <w:lang w:eastAsia="zh-CN"/>
              </w:rPr>
              <w:t>）；</w:t>
            </w:r>
          </w:p>
          <w:p>
            <w:pPr>
              <w:spacing w:line="360" w:lineRule="auto"/>
              <w:ind w:firstLine="1620" w:firstLineChars="900"/>
              <w:rPr>
                <w:rFonts w:hint="eastAsia" w:ascii="宋体" w:hAnsi="宋体"/>
                <w:bCs/>
                <w:sz w:val="18"/>
                <w:szCs w:val="18"/>
                <w:lang w:eastAsia="zh-CN"/>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0.05%</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适用【B】类份额</w:t>
            </w:r>
            <w:r>
              <w:rPr>
                <w:rFonts w:hint="eastAsia" w:ascii="宋体" w:hAnsi="宋体"/>
                <w:bCs/>
                <w:sz w:val="18"/>
                <w:szCs w:val="18"/>
                <w:lang w:eastAsia="zh-CN"/>
              </w:rPr>
              <w:t>）；</w:t>
            </w:r>
          </w:p>
          <w:p>
            <w:pPr>
              <w:spacing w:line="360" w:lineRule="auto"/>
              <w:ind w:firstLine="1620" w:firstLineChars="900"/>
              <w:rPr>
                <w:rFonts w:hint="eastAsia" w:ascii="宋体" w:hAnsi="宋体"/>
                <w:bCs/>
                <w:sz w:val="18"/>
                <w:szCs w:val="18"/>
                <w:lang w:eastAsia="zh-CN"/>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0.10%</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适用【C】类份额</w:t>
            </w:r>
            <w:r>
              <w:rPr>
                <w:rFonts w:hint="eastAsia" w:ascii="宋体" w:hAnsi="宋体"/>
                <w:bCs/>
                <w:sz w:val="18"/>
                <w:szCs w:val="18"/>
                <w:lang w:eastAsia="zh-CN"/>
              </w:rPr>
              <w:t>）；</w:t>
            </w:r>
          </w:p>
          <w:p>
            <w:pPr>
              <w:spacing w:line="360" w:lineRule="auto"/>
              <w:ind w:firstLine="1620" w:firstLineChars="900"/>
              <w:rPr>
                <w:rFonts w:hint="eastAsia" w:ascii="宋体" w:hAnsi="宋体"/>
                <w:bCs/>
                <w:sz w:val="18"/>
                <w:szCs w:val="18"/>
                <w:lang w:eastAsia="zh-CN"/>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0.15%</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适用【D】类份额</w:t>
            </w:r>
            <w:r>
              <w:rPr>
                <w:rFonts w:hint="eastAsia" w:ascii="宋体" w:hAnsi="宋体"/>
                <w:bCs/>
                <w:sz w:val="18"/>
                <w:szCs w:val="18"/>
                <w:lang w:eastAsia="zh-CN"/>
              </w:rPr>
              <w:t>）；</w:t>
            </w:r>
          </w:p>
          <w:p>
            <w:pPr>
              <w:spacing w:line="360" w:lineRule="auto"/>
              <w:ind w:firstLine="1620" w:firstLineChars="900"/>
              <w:rPr>
                <w:rFonts w:hint="eastAsia" w:ascii="宋体" w:hAnsi="宋体"/>
                <w:bCs/>
                <w:sz w:val="18"/>
                <w:szCs w:val="18"/>
                <w:lang w:eastAsia="zh-CN"/>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0.20%</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适用【E】类份额</w:t>
            </w:r>
            <w:r>
              <w:rPr>
                <w:rFonts w:hint="eastAsia" w:ascii="宋体" w:hAnsi="宋体"/>
                <w:bCs/>
                <w:sz w:val="18"/>
                <w:szCs w:val="18"/>
                <w:lang w:eastAsia="zh-CN"/>
              </w:rPr>
              <w:t>）；</w:t>
            </w:r>
          </w:p>
          <w:p>
            <w:pPr>
              <w:spacing w:line="360" w:lineRule="auto"/>
              <w:ind w:firstLine="1620" w:firstLineChars="900"/>
              <w:rPr>
                <w:rFonts w:hint="default" w:ascii="宋体" w:hAnsi="宋体"/>
                <w:bCs/>
                <w:sz w:val="18"/>
                <w:szCs w:val="18"/>
                <w:lang w:val="en-US" w:eastAsia="zh-CN"/>
              </w:rPr>
            </w:pP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0.30</w:t>
            </w:r>
            <w:bookmarkStart w:id="156" w:name="_GoBack"/>
            <w:bookmarkEnd w:id="156"/>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黑体" w:hAnsi="黑体" w:eastAsia="黑体"/>
                <w:sz w:val="18"/>
                <w:szCs w:val="18"/>
              </w:rPr>
              <w:t>】</w:t>
            </w:r>
            <w:r>
              <w:rPr>
                <w:rFonts w:hint="eastAsia" w:ascii="宋体" w:hAnsi="宋体"/>
                <w:bCs/>
                <w:sz w:val="18"/>
                <w:szCs w:val="18"/>
                <w:lang w:eastAsia="zh-CN"/>
              </w:rPr>
              <w:t>（</w:t>
            </w:r>
            <w:r>
              <w:rPr>
                <w:rFonts w:hint="eastAsia" w:ascii="宋体" w:hAnsi="宋体"/>
                <w:bCs/>
                <w:sz w:val="18"/>
                <w:szCs w:val="18"/>
                <w:lang w:val="en-US" w:eastAsia="zh-CN"/>
              </w:rPr>
              <w:t>适用【F】类份额</w:t>
            </w:r>
            <w:r>
              <w:rPr>
                <w:rFonts w:hint="eastAsia" w:ascii="宋体" w:hAnsi="宋体"/>
                <w:bCs/>
                <w:sz w:val="18"/>
                <w:szCs w:val="18"/>
                <w:lang w:eastAsia="zh-CN"/>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0.05%</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0.01%</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w:t>
            </w:r>
            <w:r>
              <w:rPr>
                <w:rFonts w:hint="eastAsia" w:ascii="宋体" w:hAnsi="宋体"/>
                <w:sz w:val="18"/>
                <w:szCs w:val="18"/>
                <w:lang w:val="en-US" w:eastAsia="zh-CN"/>
              </w:rPr>
              <w:t>50%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74065741"/>
      <w:bookmarkStart w:id="12" w:name="_Toc27226"/>
      <w:bookmarkStart w:id="13" w:name="_Toc7151"/>
      <w:bookmarkStart w:id="14" w:name="_Toc15203"/>
      <w:bookmarkStart w:id="15" w:name="_Toc22074"/>
      <w:bookmarkStart w:id="16" w:name="_Toc90742390"/>
      <w:bookmarkStart w:id="17" w:name="_Toc27189"/>
      <w:bookmarkStart w:id="18" w:name="_Toc3266"/>
      <w:bookmarkStart w:id="19" w:name="_Toc29784"/>
      <w:bookmarkStart w:id="20" w:name="_Toc29948"/>
      <w:bookmarkStart w:id="21" w:name="_Toc6714"/>
      <w:bookmarkStart w:id="22" w:name="_Toc90742321"/>
      <w:bookmarkStart w:id="23" w:name="_Toc16265"/>
      <w:bookmarkStart w:id="24" w:name="_Toc79154668"/>
      <w:bookmarkStart w:id="25" w:name="_Toc9074268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sz w:val="18"/>
          <w:szCs w:val="18"/>
        </w:rPr>
      </w:pPr>
      <w:permStart w:id="14" w:edGrp="everyone"/>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pStyle w:val="34"/>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（4）以套期保值为目的的国债期货、利率互换、信用风险缓释工具、债券借贷。</w:t>
      </w:r>
    </w:p>
    <w:p>
      <w:pPr>
        <w:pStyle w:val="34"/>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540" w:firstLineChars="300"/>
        <w:jc w:val="left"/>
        <w:rPr>
          <w:rFonts w:hint="eastAsia" w:asciiTheme="majorEastAsia" w:hAnsiTheme="majorEastAsia" w:eastAsiaTheme="majorEastAsia"/>
          <w:bCs/>
          <w:kern w:val="0"/>
          <w:sz w:val="18"/>
          <w:szCs w:val="18"/>
        </w:rPr>
      </w:pPr>
      <w:permStart w:id="16" w:edGrp="everyone"/>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540" w:firstLineChars="3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（2）符合监管要求的非标准化债权类资产低于产品净资产的50%。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r>
        <w:rPr>
          <w:rFonts w:hint="eastAsia" w:asciiTheme="majorEastAsia" w:hAnsiTheme="majorEastAsia" w:eastAsiaTheme="majorEastAsia"/>
          <w:bCs/>
          <w:kern w:val="0"/>
          <w:sz w:val="18"/>
          <w:szCs w:val="18"/>
        </w:rPr>
        <w:t>】</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permStart w:id="18" w:edGrp="everyone"/>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【通过对经济基本面、企业盈利、无风险利率水平、资金面等因素进行定性和定量分析，根据产品的业绩目标和回撤目标制定各个阶段产品资产投资比例。】</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39991735"/>
      <w:bookmarkStart w:id="29" w:name="_Toc4741"/>
      <w:bookmarkStart w:id="30" w:name="_Toc26986"/>
      <w:bookmarkStart w:id="31" w:name="_Toc14893"/>
      <w:bookmarkStart w:id="32" w:name="_Toc17912"/>
      <w:bookmarkStart w:id="33" w:name="_Toc79154669"/>
      <w:bookmarkStart w:id="34" w:name="_Toc18526"/>
      <w:bookmarkStart w:id="35" w:name="_Toc18797"/>
      <w:bookmarkStart w:id="36" w:name="_Toc176189758"/>
      <w:bookmarkStart w:id="37" w:name="_Toc7848"/>
      <w:bookmarkStart w:id="38" w:name="_Toc18329"/>
      <w:bookmarkStart w:id="39" w:name="_Toc21988"/>
      <w:bookmarkStart w:id="40" w:name="_Toc74065742"/>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0463"/>
      <w:bookmarkStart w:id="44" w:name="_Toc1270"/>
      <w:bookmarkStart w:id="45" w:name="_Toc20733"/>
      <w:bookmarkStart w:id="46" w:name="_Toc74065743"/>
      <w:bookmarkStart w:id="47" w:name="_Toc17244"/>
      <w:bookmarkStart w:id="48" w:name="_Toc4003"/>
      <w:bookmarkStart w:id="49" w:name="_Toc79154670"/>
      <w:bookmarkStart w:id="50" w:name="_Toc98560352"/>
      <w:bookmarkStart w:id="51" w:name="_Toc79392606"/>
      <w:bookmarkStart w:id="52" w:name="_Toc48649707"/>
      <w:bookmarkStart w:id="53" w:name="_Toc139991736"/>
      <w:bookmarkStart w:id="54" w:name="_Toc7920"/>
      <w:bookmarkStart w:id="55" w:name="_Toc176189759"/>
      <w:bookmarkStart w:id="56" w:name="_Toc23261"/>
      <w:bookmarkStart w:id="57" w:name="_Toc123051452"/>
      <w:bookmarkStart w:id="58" w:name="_Toc23822"/>
      <w:bookmarkStart w:id="59" w:name="_Toc1427"/>
      <w:bookmarkStart w:id="60" w:name="_Toc123112234"/>
      <w:bookmarkStart w:id="61" w:name="_Toc610"/>
      <w:bookmarkStart w:id="62" w:name="_Toc141703886"/>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w:t>
      </w:r>
      <w:r>
        <w:rPr>
          <w:rFonts w:hint="eastAsia" w:hAnsi="宋体"/>
          <w:sz w:val="18"/>
          <w:szCs w:val="18"/>
          <w:lang w:val="en-US" w:eastAsia="zh-CN"/>
        </w:rPr>
        <w:t>周</w:t>
      </w:r>
      <w:r>
        <w:rPr>
          <w:rFonts w:hint="eastAsia" w:hAnsi="宋体"/>
          <w:sz w:val="18"/>
          <w:szCs w:val="18"/>
        </w:rPr>
        <w:t>】进行一次估值。如遇产品到期日、季度末、半年度末、年度末等时间节点管理人将增加估值日。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（1）投资以收取合同现金流量为目的并持有到期的标准化债权类资产，可使用摊余成本计量。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3</w:t>
      </w:r>
      <w:r>
        <w:rPr>
          <w:rFonts w:hint="eastAsia" w:hAnsi="宋体"/>
          <w:sz w:val="18"/>
          <w:szCs w:val="18"/>
        </w:rPr>
        <w:t>）对已发行但未上市流通，且第三方估值机构未提供估值数据的标准化债权类资产，</w:t>
      </w:r>
      <w:r>
        <w:rPr>
          <w:rFonts w:hint="eastAsia" w:asciiTheme="majorEastAsia" w:hAnsiTheme="majorEastAsia" w:eastAsiaTheme="majorEastAsia"/>
          <w:bCs/>
          <w:color w:val="auto"/>
          <w:sz w:val="18"/>
          <w:szCs w:val="18"/>
        </w:rPr>
        <w:t>采用当前情况下适用并且有足够可利用数据和其他信息支持的估值技术确定其公允价值。</w:t>
      </w:r>
    </w:p>
    <w:p>
      <w:pPr>
        <w:pStyle w:val="34"/>
        <w:spacing w:line="360" w:lineRule="auto"/>
        <w:ind w:firstLine="360" w:firstLineChars="200"/>
        <w:rPr>
          <w:rFonts w:hAnsi="宋体"/>
          <w:sz w:val="18"/>
          <w:szCs w:val="18"/>
        </w:rPr>
      </w:pPr>
      <w:r>
        <w:rPr>
          <w:rFonts w:hint="eastAsia" w:hAnsi="宋体"/>
          <w:sz w:val="18"/>
          <w:szCs w:val="18"/>
        </w:rPr>
        <w:t>（</w:t>
      </w:r>
      <w:r>
        <w:rPr>
          <w:rFonts w:hAnsi="宋体"/>
          <w:sz w:val="18"/>
          <w:szCs w:val="18"/>
        </w:rPr>
        <w:t>4</w:t>
      </w:r>
      <w:r>
        <w:rPr>
          <w:rFonts w:hint="eastAsia" w:hAnsi="宋体"/>
          <w:sz w:val="18"/>
          <w:szCs w:val="18"/>
        </w:rPr>
        <w:t>）</w:t>
      </w:r>
      <w:r>
        <w:rPr>
          <w:rFonts w:hint="eastAsia" w:asciiTheme="majorEastAsia" w:hAnsiTheme="majorEastAsia" w:eastAsiaTheme="majorEastAsia"/>
          <w:bCs/>
          <w:color w:val="auto"/>
          <w:sz w:val="18"/>
          <w:szCs w:val="18"/>
        </w:rPr>
        <w:t>对于</w:t>
      </w:r>
      <w:r>
        <w:rPr>
          <w:rFonts w:asciiTheme="majorEastAsia" w:hAnsiTheme="majorEastAsia" w:eastAsiaTheme="majorEastAsia"/>
          <w:bCs/>
          <w:color w:val="auto"/>
          <w:sz w:val="18"/>
          <w:szCs w:val="18"/>
        </w:rPr>
        <w:t>同时在多个不同市场交易的标准化债权类资产，</w:t>
      </w:r>
      <w:r>
        <w:rPr>
          <w:rFonts w:hint="eastAsia" w:asciiTheme="majorEastAsia" w:hAnsiTheme="majorEastAsia" w:eastAsiaTheme="majorEastAsia"/>
          <w:bCs/>
          <w:color w:val="auto"/>
          <w:sz w:val="18"/>
          <w:szCs w:val="18"/>
        </w:rPr>
        <w:t>按照其</w:t>
      </w:r>
      <w:r>
        <w:rPr>
          <w:rFonts w:hint="eastAsia" w:hAnsi="宋体"/>
          <w:sz w:val="18"/>
          <w:szCs w:val="18"/>
        </w:rPr>
        <w:t>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符合监管机构规定的，可按照企业会计准则以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r>
        <w:rPr>
          <w:rFonts w:hAnsi="宋体"/>
          <w:sz w:val="18"/>
          <w:szCs w:val="18"/>
        </w:rPr>
        <w:t>；或采用第三方估值机构提供的价格数据确认公允价值</w:t>
      </w:r>
      <w:r>
        <w:rPr>
          <w:rFonts w:hint="eastAsia" w:hAnsi="宋体"/>
          <w:sz w:val="18"/>
          <w:szCs w:val="18"/>
        </w:rPr>
        <w:t>。</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r>
        <w:rPr>
          <w:rFonts w:hint="eastAsia" w:asciiTheme="minorEastAsia" w:hAnsiTheme="minorEastAsia" w:eastAsiaTheme="minorEastAsia"/>
          <w:color w:val="auto"/>
          <w:sz w:val="18"/>
          <w:szCs w:val="18"/>
        </w:rPr>
        <w:t>若前一估值日后至估值日期间（含节假日）基金万份收益未公布的，以基金管理人公布的最近一个估值日基金万份收益计算。</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2)本产品投资的境内上市开放式基金（LOF），按所投资基金估值日的基金份额净值估值；估值日基金净值未公布的，以基金管理人最近公布的基金份额净值计算。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若估值日基金份额净值未公布的，以基金管理人最近公布的基金份额净值计算</w:t>
      </w:r>
      <w:r>
        <w:rPr>
          <w:rFonts w:hint="eastAsia" w:hAnsi="宋体"/>
          <w:sz w:val="18"/>
          <w:szCs w:val="18"/>
        </w:rPr>
        <w:t>；如所投资基金披露万份（百份）收益，则按所投资基金前一估值日后至估值日期间（含节假日）的万份（百份）收益计提估值日基金收益，</w:t>
      </w:r>
      <w:r>
        <w:rPr>
          <w:rFonts w:hint="eastAsia" w:asciiTheme="minorEastAsia" w:hAnsiTheme="minorEastAsia" w:eastAsiaTheme="minorEastAsia"/>
          <w:color w:val="auto"/>
          <w:sz w:val="18"/>
          <w:szCs w:val="18"/>
        </w:rPr>
        <w:t>若前一估值日后至估值日期间（含节假日）的万份（百份）收益未公布的，则按最新万份（百份）收益计提估值日基金收益。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w:t>
      </w:r>
      <w:r>
        <w:rPr>
          <w:rFonts w:hint="eastAsia" w:asciiTheme="minorEastAsia" w:hAnsiTheme="minorEastAsia" w:eastAsiaTheme="minorEastAsia"/>
          <w:bCs/>
          <w:sz w:val="18"/>
          <w:szCs w:val="18"/>
        </w:rPr>
        <w:t>估值日资产管理人未提供净值，且从最近净值提供日到估值日整体市场环境及投资标的未发生重大变化的，可参考最近可获取的单位净值确定公允价值；若有充足证据表明最近可获取的净值不能真实反映公允价值的，可采用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1</w:t>
      </w:r>
      <w:r>
        <w:rPr>
          <w:rFonts w:hint="eastAsia" w:asciiTheme="minorEastAsia" w:hAnsiTheme="minorEastAsia" w:eastAsiaTheme="minorEastAsia"/>
          <w:bCs/>
          <w:sz w:val="18"/>
          <w:szCs w:val="18"/>
        </w:rPr>
        <w:t>）对于交易所交易的衍生金融工具，一般以估值日交易所公布的当日结算价估值；估值日无交易且最近交易日后未发生影响公允价值计量的重大事件的，按最近交易日的结算价估值；如最近交易日后发生影响公允价值计量的重大事件的，应采取估值技术确定公允价值。</w:t>
      </w:r>
    </w:p>
    <w:p>
      <w:pPr>
        <w:pStyle w:val="34"/>
        <w:spacing w:line="360" w:lineRule="auto"/>
        <w:ind w:firstLine="360" w:firstLineChars="200"/>
        <w:rPr>
          <w:rFonts w:hAnsi="宋体"/>
          <w:sz w:val="18"/>
          <w:szCs w:val="18"/>
        </w:rPr>
      </w:pPr>
      <w:r>
        <w:rPr>
          <w:rFonts w:hint="eastAsia" w:asciiTheme="minorEastAsia" w:hAnsiTheme="minorEastAsia" w:eastAsiaTheme="minorEastAsia"/>
          <w:bCs/>
          <w:sz w:val="18"/>
          <w:szCs w:val="18"/>
        </w:rPr>
        <w:t>（</w:t>
      </w:r>
      <w:r>
        <w:rPr>
          <w:rFonts w:asciiTheme="minorEastAsia" w:hAnsiTheme="minorEastAsia" w:eastAsiaTheme="minorEastAsia"/>
          <w:bCs/>
          <w:sz w:val="18"/>
          <w:szCs w:val="18"/>
        </w:rPr>
        <w:t>2</w:t>
      </w:r>
      <w:r>
        <w:rPr>
          <w:rFonts w:hint="eastAsia" w:asciiTheme="minorEastAsia" w:hAnsiTheme="minorEastAsia" w:eastAsiaTheme="minorEastAsia"/>
          <w:bCs/>
          <w:sz w:val="18"/>
          <w:szCs w:val="18"/>
        </w:rPr>
        <w:t>）对于非交易所交易的衍生金融工具，可依据第三方机构提供的价格数据或采取相应衍生金融工具估值模型确定公允价值。</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139991737"/>
      <w:bookmarkStart w:id="67" w:name="_Toc6405"/>
      <w:bookmarkStart w:id="68" w:name="_Toc3601"/>
      <w:bookmarkStart w:id="69" w:name="_Toc98560353"/>
      <w:bookmarkStart w:id="70" w:name="_Toc29251"/>
      <w:bookmarkStart w:id="71" w:name="_Toc15143"/>
      <w:bookmarkStart w:id="72" w:name="_Toc26207"/>
      <w:bookmarkStart w:id="73" w:name="_Toc74065744"/>
      <w:bookmarkStart w:id="74" w:name="_Toc31653"/>
      <w:bookmarkStart w:id="75" w:name="_Toc12245"/>
      <w:bookmarkStart w:id="76" w:name="_Toc31235"/>
      <w:bookmarkStart w:id="77" w:name="_Toc176189760"/>
      <w:bookmarkStart w:id="78" w:name="_Toc123051453"/>
      <w:bookmarkStart w:id="79" w:name="_Toc31644"/>
      <w:bookmarkStart w:id="80" w:name="_Toc123102454"/>
      <w:bookmarkStart w:id="81" w:name="_Toc14835"/>
      <w:bookmarkStart w:id="82" w:name="_Toc79154671"/>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76189761"/>
      <w:bookmarkStart w:id="92" w:name="_Toc123102455"/>
      <w:bookmarkStart w:id="93" w:name="_Toc79392583"/>
      <w:bookmarkStart w:id="94" w:name="_Toc74065745"/>
      <w:bookmarkStart w:id="95" w:name="_Toc18567"/>
      <w:bookmarkStart w:id="96" w:name="_Toc79154672"/>
      <w:bookmarkStart w:id="97" w:name="_Toc141703888"/>
      <w:bookmarkStart w:id="98" w:name="_Toc7058"/>
      <w:bookmarkStart w:id="99" w:name="_Toc98560354"/>
      <w:bookmarkStart w:id="100" w:name="_Toc123051454"/>
      <w:bookmarkStart w:id="101" w:name="_Toc4559"/>
      <w:bookmarkStart w:id="102" w:name="_Toc9706"/>
      <w:bookmarkStart w:id="103" w:name="_Toc6447"/>
      <w:bookmarkStart w:id="104" w:name="_Toc3771"/>
      <w:bookmarkStart w:id="105" w:name="_Toc11030"/>
      <w:bookmarkStart w:id="106" w:name="_Toc123112236"/>
      <w:bookmarkStart w:id="107" w:name="_Toc3321"/>
      <w:bookmarkStart w:id="108" w:name="_Toc10650"/>
      <w:bookmarkStart w:id="109" w:name="_Toc139991738"/>
      <w:bookmarkStart w:id="110"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permStart w:id="23" w:edGrp="everyone"/>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1821"/>
      <w:bookmarkStart w:id="114" w:name="_Toc79154673"/>
      <w:bookmarkStart w:id="115" w:name="_Toc3080"/>
      <w:bookmarkStart w:id="116" w:name="_Toc18206"/>
      <w:bookmarkStart w:id="117" w:name="_Toc74065746"/>
      <w:bookmarkStart w:id="118" w:name="_Toc21735"/>
      <w:bookmarkStart w:id="119" w:name="_Toc139991739"/>
      <w:bookmarkStart w:id="120" w:name="_Toc123102456"/>
      <w:bookmarkStart w:id="121" w:name="_Toc123112237"/>
      <w:bookmarkStart w:id="122" w:name="_Toc3572"/>
      <w:bookmarkStart w:id="123" w:name="_Toc98560355"/>
      <w:bookmarkStart w:id="124" w:name="_Toc16164"/>
      <w:bookmarkStart w:id="125" w:name="_Toc10398"/>
      <w:bookmarkStart w:id="126" w:name="_Toc123051455"/>
      <w:bookmarkStart w:id="127" w:name="_Toc725"/>
      <w:bookmarkStart w:id="128" w:name="_Toc141703889"/>
      <w:bookmarkStart w:id="129" w:name="_Toc17618976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8791"/>
      <w:bookmarkStart w:id="134" w:name="_Toc123112238"/>
      <w:bookmarkStart w:id="135" w:name="_Toc29408"/>
      <w:bookmarkStart w:id="136" w:name="_Toc21237"/>
      <w:bookmarkStart w:id="137" w:name="_Toc17920"/>
      <w:bookmarkStart w:id="138" w:name="_Toc176189763"/>
      <w:bookmarkStart w:id="139" w:name="_Toc74065747"/>
      <w:bookmarkStart w:id="140" w:name="_Toc48649708"/>
      <w:bookmarkStart w:id="141" w:name="_Toc32584"/>
      <w:bookmarkStart w:id="142" w:name="_Toc79154674"/>
      <w:bookmarkStart w:id="143" w:name="_Toc3329"/>
      <w:bookmarkStart w:id="144" w:name="_Toc123102457"/>
      <w:bookmarkStart w:id="145" w:name="_Toc5170"/>
      <w:bookmarkStart w:id="146" w:name="_Toc139991740"/>
      <w:bookmarkStart w:id="147" w:name="_Toc123051456"/>
      <w:bookmarkStart w:id="148" w:name="_Toc739"/>
      <w:bookmarkStart w:id="149" w:name="_Toc79392622"/>
      <w:bookmarkStart w:id="150" w:name="_Toc98560356"/>
      <w:bookmarkStart w:id="151" w:name="_Toc17198"/>
      <w:bookmarkStart w:id="152" w:name="_Toc141703890"/>
      <w:bookmarkStart w:id="153"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ascii="宋体" w:hAnsi="宋体"/>
          <w:bCs/>
          <w:sz w:val="18"/>
          <w:szCs w:val="18"/>
          <w:lang w:val="en-US" w:eastAsia="zh-CN"/>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permStart w:id="26" w:edGrp="everyone"/>
      <w:r>
        <w:rPr>
          <w:rFonts w:hint="eastAsia" w:ascii="宋体" w:hAnsi="宋体"/>
          <w:sz w:val="18"/>
          <w:szCs w:val="18"/>
        </w:rPr>
        <w:t>【</w:t>
      </w: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sz w:val="18"/>
          <w:szCs w:val="18"/>
        </w:rPr>
      </w:pP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AES" w:cryptAlgorithmClass="hash" w:cryptAlgorithmType="typeAny" w:cryptAlgorithmSid="14" w:cryptSpinCount="100000" w:hash="mfb1nq3uxpir52HiOg5tuWEWBcq5gP++FQs5Aydt9cE6NMoCz0kkqs0r9EiP+jsYTvueEjhAbHYb9/JVRjlKaA==" w:salt="0Xq7BYtjNMlgYlG1ZbAXIA=="/>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8DA"/>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7CF"/>
    <w:rsid w:val="00266037"/>
    <w:rsid w:val="00266978"/>
    <w:rsid w:val="00266DAB"/>
    <w:rsid w:val="00271878"/>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006"/>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B7E"/>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4020E"/>
    <w:rsid w:val="0064087A"/>
    <w:rsid w:val="00644970"/>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5C08"/>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137C"/>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4E70"/>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376B"/>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3C85"/>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11FE"/>
    <w:rsid w:val="00E925A6"/>
    <w:rsid w:val="00E945AC"/>
    <w:rsid w:val="00E94859"/>
    <w:rsid w:val="00E94C30"/>
    <w:rsid w:val="00E95A4A"/>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5C6551"/>
    <w:rsid w:val="034537E6"/>
    <w:rsid w:val="0356786B"/>
    <w:rsid w:val="03935544"/>
    <w:rsid w:val="046E31C1"/>
    <w:rsid w:val="056C4F65"/>
    <w:rsid w:val="066B031D"/>
    <w:rsid w:val="06F4696E"/>
    <w:rsid w:val="07245E56"/>
    <w:rsid w:val="072779FF"/>
    <w:rsid w:val="0A5373BA"/>
    <w:rsid w:val="0AB34A96"/>
    <w:rsid w:val="0B4570B1"/>
    <w:rsid w:val="0C023D8C"/>
    <w:rsid w:val="0C6F3034"/>
    <w:rsid w:val="0D826FF0"/>
    <w:rsid w:val="0DC97F51"/>
    <w:rsid w:val="0E94232E"/>
    <w:rsid w:val="0F1306D5"/>
    <w:rsid w:val="0F575851"/>
    <w:rsid w:val="102179A4"/>
    <w:rsid w:val="11295396"/>
    <w:rsid w:val="15A252EC"/>
    <w:rsid w:val="15DC3426"/>
    <w:rsid w:val="163E2FB7"/>
    <w:rsid w:val="173A1269"/>
    <w:rsid w:val="1A48157B"/>
    <w:rsid w:val="1A666AF5"/>
    <w:rsid w:val="1ABE2ED9"/>
    <w:rsid w:val="1B792633"/>
    <w:rsid w:val="1BD511F9"/>
    <w:rsid w:val="1BD70953"/>
    <w:rsid w:val="1BF87698"/>
    <w:rsid w:val="1C4B45E1"/>
    <w:rsid w:val="1C78144D"/>
    <w:rsid w:val="1E585AB7"/>
    <w:rsid w:val="1EB160C2"/>
    <w:rsid w:val="1F713302"/>
    <w:rsid w:val="1FF145B9"/>
    <w:rsid w:val="209575E0"/>
    <w:rsid w:val="20D1785A"/>
    <w:rsid w:val="2193546F"/>
    <w:rsid w:val="23083986"/>
    <w:rsid w:val="23190733"/>
    <w:rsid w:val="23AF29A3"/>
    <w:rsid w:val="26123FD6"/>
    <w:rsid w:val="26614F22"/>
    <w:rsid w:val="26F50BA9"/>
    <w:rsid w:val="27B35EEA"/>
    <w:rsid w:val="282B1CA8"/>
    <w:rsid w:val="29026D00"/>
    <w:rsid w:val="2A642791"/>
    <w:rsid w:val="2B153788"/>
    <w:rsid w:val="2BE152BA"/>
    <w:rsid w:val="2CCE6EDC"/>
    <w:rsid w:val="2E340BB4"/>
    <w:rsid w:val="2E5D3AA0"/>
    <w:rsid w:val="2EA644DF"/>
    <w:rsid w:val="2F321A82"/>
    <w:rsid w:val="2FB532A0"/>
    <w:rsid w:val="2FF33A83"/>
    <w:rsid w:val="319C4BEA"/>
    <w:rsid w:val="32960B46"/>
    <w:rsid w:val="33DA2E89"/>
    <w:rsid w:val="34C829B2"/>
    <w:rsid w:val="35381804"/>
    <w:rsid w:val="3613404D"/>
    <w:rsid w:val="386A3F56"/>
    <w:rsid w:val="3A810EF7"/>
    <w:rsid w:val="3B8F680F"/>
    <w:rsid w:val="3C131540"/>
    <w:rsid w:val="3C3802E9"/>
    <w:rsid w:val="3D213021"/>
    <w:rsid w:val="3E0C1771"/>
    <w:rsid w:val="3E586AB8"/>
    <w:rsid w:val="3E5C1B1D"/>
    <w:rsid w:val="3EAE14E9"/>
    <w:rsid w:val="3FD261A6"/>
    <w:rsid w:val="404D69AE"/>
    <w:rsid w:val="420F4395"/>
    <w:rsid w:val="42EB2F9C"/>
    <w:rsid w:val="44044270"/>
    <w:rsid w:val="44CC4676"/>
    <w:rsid w:val="45226963"/>
    <w:rsid w:val="457D5824"/>
    <w:rsid w:val="45A2262A"/>
    <w:rsid w:val="45DF5261"/>
    <w:rsid w:val="46935C39"/>
    <w:rsid w:val="469F5C49"/>
    <w:rsid w:val="46D03EE5"/>
    <w:rsid w:val="477579F6"/>
    <w:rsid w:val="480949FA"/>
    <w:rsid w:val="4A1E3C56"/>
    <w:rsid w:val="4A575002"/>
    <w:rsid w:val="4D39606F"/>
    <w:rsid w:val="4E311D67"/>
    <w:rsid w:val="4E9D79E5"/>
    <w:rsid w:val="4F8E3D4D"/>
    <w:rsid w:val="4FA308F4"/>
    <w:rsid w:val="532E7954"/>
    <w:rsid w:val="53852255"/>
    <w:rsid w:val="53B3493A"/>
    <w:rsid w:val="53D547F5"/>
    <w:rsid w:val="543B7000"/>
    <w:rsid w:val="551D7584"/>
    <w:rsid w:val="5537323C"/>
    <w:rsid w:val="557A05C1"/>
    <w:rsid w:val="55855837"/>
    <w:rsid w:val="55D4039D"/>
    <w:rsid w:val="55DD0DE4"/>
    <w:rsid w:val="56503211"/>
    <w:rsid w:val="56945AA8"/>
    <w:rsid w:val="56AC38C9"/>
    <w:rsid w:val="56C50CE6"/>
    <w:rsid w:val="56D312B6"/>
    <w:rsid w:val="57BD5DAE"/>
    <w:rsid w:val="58861A09"/>
    <w:rsid w:val="58C5771C"/>
    <w:rsid w:val="598B567E"/>
    <w:rsid w:val="5A7C3892"/>
    <w:rsid w:val="5ADD4D16"/>
    <w:rsid w:val="5B10394B"/>
    <w:rsid w:val="5B6655C5"/>
    <w:rsid w:val="5BA577EB"/>
    <w:rsid w:val="5C624734"/>
    <w:rsid w:val="5DFA16AB"/>
    <w:rsid w:val="5FCB5810"/>
    <w:rsid w:val="5FE91ABC"/>
    <w:rsid w:val="60A805AA"/>
    <w:rsid w:val="60A968BB"/>
    <w:rsid w:val="60D42826"/>
    <w:rsid w:val="628E734C"/>
    <w:rsid w:val="6580603B"/>
    <w:rsid w:val="6584625B"/>
    <w:rsid w:val="669A2071"/>
    <w:rsid w:val="66E24392"/>
    <w:rsid w:val="689E1B10"/>
    <w:rsid w:val="68B96EA7"/>
    <w:rsid w:val="68C57805"/>
    <w:rsid w:val="68C7223A"/>
    <w:rsid w:val="68EF6886"/>
    <w:rsid w:val="694A7300"/>
    <w:rsid w:val="699457CF"/>
    <w:rsid w:val="6A735FA8"/>
    <w:rsid w:val="6AD05048"/>
    <w:rsid w:val="6C894139"/>
    <w:rsid w:val="6E882C52"/>
    <w:rsid w:val="6EFF33ED"/>
    <w:rsid w:val="6FDD1093"/>
    <w:rsid w:val="70167F30"/>
    <w:rsid w:val="709C0126"/>
    <w:rsid w:val="70A63359"/>
    <w:rsid w:val="710E5E35"/>
    <w:rsid w:val="71F451EF"/>
    <w:rsid w:val="72F00583"/>
    <w:rsid w:val="73487180"/>
    <w:rsid w:val="73EB7F47"/>
    <w:rsid w:val="75902FEE"/>
    <w:rsid w:val="75A81BFD"/>
    <w:rsid w:val="76022652"/>
    <w:rsid w:val="768501BE"/>
    <w:rsid w:val="76C8601E"/>
    <w:rsid w:val="76E93A76"/>
    <w:rsid w:val="7778235D"/>
    <w:rsid w:val="780532CA"/>
    <w:rsid w:val="78651BF7"/>
    <w:rsid w:val="78F7565D"/>
    <w:rsid w:val="795215B5"/>
    <w:rsid w:val="7D2768A0"/>
    <w:rsid w:val="7D80556D"/>
    <w:rsid w:val="7ED86E63"/>
    <w:rsid w:val="7F821C23"/>
    <w:rsid w:val="7F9C2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9B37214-9E52-4241-8DD2-9E9CD9442006}">
  <ds:schemaRefs/>
</ds:datastoreItem>
</file>

<file path=customXml/itemProps11.xml><?xml version="1.0" encoding="utf-8"?>
<ds:datastoreItem xmlns:ds="http://schemas.openxmlformats.org/officeDocument/2006/customXml" ds:itemID="{1EEDD527-97BA-47F6-B37E-95B51416FA3B}">
  <ds:schemaRefs/>
</ds:datastoreItem>
</file>

<file path=customXml/itemProps12.xml><?xml version="1.0" encoding="utf-8"?>
<ds:datastoreItem xmlns:ds="http://schemas.openxmlformats.org/officeDocument/2006/customXml" ds:itemID="{9114D43D-ED98-4C7B-A3AE-26D78B80CA82}">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A06CD169-7F5C-4082-81B2-6ECAA9AF6149}">
  <ds:schemaRefs/>
</ds:datastoreItem>
</file>

<file path=customXml/itemProps15.xml><?xml version="1.0" encoding="utf-8"?>
<ds:datastoreItem xmlns:ds="http://schemas.openxmlformats.org/officeDocument/2006/customXml" ds:itemID="{3A3C3A8D-C5E4-45AF-8B48-C3BF528808AD}">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D902962D-C8CC-43BF-804A-CD60AE6D7475}">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509BA638-9D3A-4AA3-A169-FF78BC0E4BE9}">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1A3BDF38-4832-4575-A8AB-7A1679738229}">
  <ds:schemaRefs/>
</ds:datastoreItem>
</file>

<file path=customXml/itemProps5.xml><?xml version="1.0" encoding="utf-8"?>
<ds:datastoreItem xmlns:ds="http://schemas.openxmlformats.org/officeDocument/2006/customXml" ds:itemID="{BEEE0313-55EB-45FA-BBBD-C0232D367255}">
  <ds:schemaRefs/>
</ds:datastoreItem>
</file>

<file path=customXml/itemProps6.xml><?xml version="1.0" encoding="utf-8"?>
<ds:datastoreItem xmlns:ds="http://schemas.openxmlformats.org/officeDocument/2006/customXml" ds:itemID="{EC45DDBE-A426-47CA-BC62-D025DE29F1BC}">
  <ds:schemaRefs/>
</ds:datastoreItem>
</file>

<file path=customXml/itemProps7.xml><?xml version="1.0" encoding="utf-8"?>
<ds:datastoreItem xmlns:ds="http://schemas.openxmlformats.org/officeDocument/2006/customXml" ds:itemID="{E6D3D55C-3DD8-4C31-8069-E5508DD844FB}">
  <ds:schemaRefs/>
</ds:datastoreItem>
</file>

<file path=customXml/itemProps8.xml><?xml version="1.0" encoding="utf-8"?>
<ds:datastoreItem xmlns:ds="http://schemas.openxmlformats.org/officeDocument/2006/customXml" ds:itemID="{2108FF18-8EC8-4170-A536-1AA8E39CC797}">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3557</Words>
  <Characters>20276</Characters>
  <Lines>168</Lines>
  <Paragraphs>47</Paragraphs>
  <TotalTime>2</TotalTime>
  <ScaleCrop>false</ScaleCrop>
  <LinksUpToDate>false</LinksUpToDate>
  <CharactersWithSpaces>23786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2024-03-04T02:34:00Z</dcterms:created>
  <dc:creator>张淼雯</dc:creator>
  <cp:lastModifiedBy>cib</cp:lastModifiedBy>
  <cp:lastPrinted>2020-09-21T06:35:00Z</cp:lastPrinted>
  <dcterms:modified xsi:type="dcterms:W3CDTF">2025-04-17T09:58:57Z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