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jc w:val="center"/>
        <w:rPr>
          <w:rFonts w:hint="eastAsia" w:ascii="楷体" w:hAnsi="楷体" w:eastAsia="楷体"/>
          <w:b/>
          <w:sz w:val="36"/>
          <w:szCs w:val="28"/>
        </w:rPr>
      </w:pPr>
      <w:bookmarkStart w:id="0" w:name="_GoBack"/>
      <w:bookmarkEnd w:id="0"/>
      <w:r>
        <w:rPr>
          <w:rFonts w:hint="eastAsia" w:ascii="楷体" w:hAnsi="楷体" w:eastAsia="楷体"/>
          <w:b/>
          <w:sz w:val="36"/>
          <w:szCs w:val="28"/>
        </w:rPr>
        <w:t>苏银理财有限责任公司投资者权益须知</w:t>
      </w:r>
    </w:p>
    <w:p>
      <w:pPr>
        <w:pStyle w:val="13"/>
        <w:spacing w:before="0" w:beforeAutospacing="0" w:after="0" w:afterAutospacing="0"/>
        <w:jc w:val="center"/>
        <w:rPr>
          <w:rFonts w:hint="eastAsia" w:ascii="楷体" w:hAnsi="楷体" w:eastAsia="楷体"/>
          <w:b/>
          <w:sz w:val="32"/>
          <w:szCs w:val="28"/>
        </w:rPr>
      </w:pPr>
      <w:r>
        <w:rPr>
          <w:rFonts w:hint="eastAsia" w:ascii="楷体" w:hAnsi="楷体" w:eastAsia="楷体"/>
          <w:b/>
          <w:sz w:val="32"/>
          <w:szCs w:val="28"/>
        </w:rPr>
        <w:t>理财非存款、产品有风险、投资须谨慎</w:t>
      </w:r>
    </w:p>
    <w:p>
      <w:pPr>
        <w:pStyle w:val="13"/>
        <w:spacing w:before="0" w:beforeAutospacing="0" w:after="0" w:afterAutospacing="0"/>
        <w:jc w:val="center"/>
        <w:rPr>
          <w:rFonts w:ascii="楷体" w:hAnsi="楷体" w:eastAsia="楷体" w:cs="浠垮畫"/>
        </w:rPr>
      </w:pPr>
      <w:r>
        <w:rPr>
          <w:rFonts w:hint="eastAsia" w:ascii="楷体" w:hAnsi="楷体" w:eastAsia="楷体" w:cs="浠垮畫"/>
        </w:rPr>
        <w:t>（适用于代销渠道）</w:t>
      </w:r>
    </w:p>
    <w:p>
      <w:pPr>
        <w:autoSpaceDE w:val="0"/>
        <w:autoSpaceDN w:val="0"/>
        <w:adjustRightInd w:val="0"/>
        <w:jc w:val="left"/>
        <w:rPr>
          <w:rFonts w:hint="eastAsia" w:ascii="楷体" w:hAnsi="楷体" w:eastAsia="楷体" w:cs="浠垮畫"/>
          <w:kern w:val="0"/>
          <w:sz w:val="24"/>
          <w:szCs w:val="24"/>
        </w:rPr>
      </w:pPr>
      <w:r>
        <w:rPr>
          <w:rFonts w:hint="eastAsia" w:ascii="楷体" w:hAnsi="楷体" w:eastAsia="楷体" w:cs="浠垮畫"/>
          <w:kern w:val="0"/>
          <w:sz w:val="24"/>
          <w:szCs w:val="24"/>
        </w:rPr>
        <w:t>尊敬的投资者：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感谢您购买苏银理财有限责任公司(以下简称“苏银理财”)发行管理的理财产品，</w:t>
      </w:r>
      <w:r>
        <w:rPr>
          <w:rFonts w:ascii="楷体" w:hAnsi="楷体" w:eastAsia="楷体" w:cs="浠垮畫"/>
          <w:b/>
          <w:kern w:val="0"/>
          <w:sz w:val="24"/>
          <w:szCs w:val="24"/>
          <w:u w:val="single"/>
        </w:rPr>
        <w:t>理财非存款、产品有风险、投资须谨慎</w:t>
      </w:r>
      <w:r>
        <w:rPr>
          <w:rFonts w:hint="eastAsia" w:ascii="楷体" w:hAnsi="楷体" w:eastAsia="楷体" w:cs="浠垮畫"/>
          <w:b/>
          <w:kern w:val="0"/>
          <w:sz w:val="24"/>
          <w:szCs w:val="24"/>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82" w:firstLineChars="200"/>
        <w:rPr>
          <w:rFonts w:hint="eastAsia" w:ascii="楷体" w:hAnsi="楷体" w:eastAsia="楷体" w:cs="浠垮畫"/>
          <w:kern w:val="0"/>
          <w:sz w:val="24"/>
          <w:szCs w:val="24"/>
        </w:rPr>
      </w:pPr>
      <w:r>
        <w:rPr>
          <w:rFonts w:hint="eastAsia" w:ascii="楷体" w:hAnsi="楷体" w:eastAsia="楷体" w:cs="浠垮畫"/>
          <w:b/>
          <w:kern w:val="0"/>
          <w:sz w:val="24"/>
          <w:szCs w:val="24"/>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4"/>
          <w:szCs w:val="24"/>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562" w:firstLineChars="200"/>
        <w:rPr>
          <w:rFonts w:hint="eastAsia" w:ascii="楷体" w:hAnsi="楷体" w:eastAsia="楷体" w:cs="浠垮畫"/>
          <w:b/>
          <w:kern w:val="0"/>
          <w:sz w:val="28"/>
          <w:szCs w:val="28"/>
        </w:rPr>
      </w:pPr>
      <w:r>
        <w:rPr>
          <w:rFonts w:ascii="楷体" w:hAnsi="楷体" w:eastAsia="楷体" w:cs="浠垮畫"/>
          <w:b/>
          <w:kern w:val="0"/>
          <w:sz w:val="28"/>
          <w:szCs w:val="28"/>
        </w:rPr>
        <w:t>一、代销机构代理销售苏银理财产品的流程</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w:t>
      </w:r>
      <w:r>
        <w:rPr>
          <w:rFonts w:hint="eastAsia" w:ascii="楷体" w:hAnsi="楷体" w:eastAsia="楷体" w:cs="浠垮畫"/>
          <w:kern w:val="0"/>
          <w:sz w:val="24"/>
          <w:szCs w:val="24"/>
        </w:rPr>
        <w:t>个人投资者</w:t>
      </w:r>
    </w:p>
    <w:p>
      <w:pPr>
        <w:autoSpaceDE w:val="0"/>
        <w:autoSpaceDN w:val="0"/>
        <w:adjustRightInd w:val="0"/>
        <w:jc w:val="center"/>
        <w:rPr>
          <w:rFonts w:hint="eastAsia" w:ascii="楷体" w:hAnsi="楷体" w:eastAsia="楷体" w:cs="浠垮畫"/>
          <w:kern w:val="0"/>
          <w:sz w:val="24"/>
          <w:szCs w:val="24"/>
        </w:rPr>
      </w:pPr>
      <w:r>
        <w:object>
          <v:shape id="_x0000_i1025" o:spt="75" alt="" type="#_x0000_t75" style="height:314.15pt;width:415.1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二</w:t>
      </w:r>
      <w:r>
        <w:rPr>
          <w:rFonts w:ascii="楷体" w:hAnsi="楷体" w:eastAsia="楷体" w:cs="浠垮畫"/>
          <w:kern w:val="0"/>
          <w:sz w:val="24"/>
          <w:szCs w:val="24"/>
        </w:rPr>
        <w:t>）</w:t>
      </w:r>
      <w:r>
        <w:rPr>
          <w:rFonts w:hint="eastAsia" w:ascii="楷体" w:hAnsi="楷体" w:eastAsia="楷体" w:cs="浠垮畫"/>
          <w:kern w:val="0"/>
          <w:sz w:val="24"/>
          <w:szCs w:val="24"/>
        </w:rPr>
        <w:t>机构投资者</w:t>
      </w:r>
    </w:p>
    <w:p>
      <w:pPr>
        <w:autoSpaceDE w:val="0"/>
        <w:autoSpaceDN w:val="0"/>
        <w:adjustRightInd w:val="0"/>
        <w:ind w:firstLine="420"/>
        <w:jc w:val="center"/>
        <w:rPr>
          <w:rFonts w:hint="eastAsia" w:ascii="楷体" w:hAnsi="楷体" w:eastAsia="楷体" w:cs="浠垮畫"/>
          <w:kern w:val="0"/>
          <w:sz w:val="24"/>
          <w:szCs w:val="24"/>
        </w:rPr>
      </w:pPr>
      <w:r>
        <w:t xml:space="preserve"> </w:t>
      </w:r>
      <w:r>
        <w:object>
          <v:shape id="_x0000_i1026" o:spt="75" type="#_x0000_t75" style="height:340.15pt;width:385.45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424" w:firstLineChars="151"/>
        <w:rPr>
          <w:rFonts w:ascii="楷体" w:hAnsi="楷体" w:eastAsia="楷体" w:cs="浠垮畫"/>
          <w:b/>
          <w:kern w:val="0"/>
          <w:sz w:val="28"/>
          <w:szCs w:val="28"/>
        </w:rPr>
      </w:pPr>
      <w:r>
        <w:rPr>
          <w:rFonts w:hint="eastAsia" w:ascii="楷体" w:hAnsi="楷体" w:eastAsia="楷体" w:cs="浠垮畫"/>
          <w:b/>
          <w:kern w:val="0"/>
          <w:sz w:val="28"/>
          <w:szCs w:val="28"/>
        </w:rPr>
        <w:t>二、苏银理财产品内部风险评级</w:t>
      </w:r>
    </w:p>
    <w:p>
      <w:pPr>
        <w:autoSpaceDE w:val="0"/>
        <w:autoSpaceDN w:val="0"/>
        <w:adjustRightInd w:val="0"/>
        <w:ind w:firstLine="480" w:firstLineChars="200"/>
        <w:rPr>
          <w:rFonts w:ascii="楷体" w:hAnsi="楷体" w:eastAsia="楷体" w:cs="浠垮畫"/>
          <w:kern w:val="0"/>
          <w:sz w:val="24"/>
          <w:szCs w:val="24"/>
        </w:rPr>
      </w:pPr>
      <w:r>
        <w:rPr>
          <w:rFonts w:ascii="楷体" w:hAnsi="楷体" w:eastAsia="楷体" w:cs="浠垮畫"/>
          <w:kern w:val="0"/>
          <w:sz w:val="24"/>
          <w:szCs w:val="24"/>
        </w:rPr>
        <w:t>苏银理财发行的理财产品内部风险评级共分为五级：</w:t>
      </w:r>
      <w:r>
        <w:rPr>
          <w:rFonts w:hint="eastAsia" w:ascii="楷体" w:hAnsi="楷体" w:eastAsia="楷体" w:cs="浠垮畫"/>
          <w:kern w:val="0"/>
          <w:sz w:val="24"/>
          <w:szCs w:val="24"/>
        </w:rPr>
        <w:t>★一级（PR1）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r>
        <w:rPr>
          <w:rFonts w:ascii="楷体" w:hAnsi="楷体" w:eastAsia="楷体" w:cs="浠垮畫"/>
          <w:kern w:val="0"/>
          <w:sz w:val="24"/>
          <w:szCs w:val="24"/>
        </w:rPr>
        <w:t>、</w:t>
      </w:r>
      <w:r>
        <w:rPr>
          <w:rFonts w:hint="eastAsia" w:ascii="楷体" w:hAnsi="楷体" w:eastAsia="楷体" w:cs="浠垮畫"/>
          <w:kern w:val="0"/>
          <w:sz w:val="24"/>
          <w:szCs w:val="24"/>
        </w:rPr>
        <w:t>★★★★★五级（PR5）</w:t>
      </w:r>
      <w:r>
        <w:rPr>
          <w:rFonts w:ascii="楷体" w:hAnsi="楷体" w:eastAsia="楷体" w:cs="浠垮畫"/>
          <w:kern w:val="0"/>
          <w:sz w:val="24"/>
          <w:szCs w:val="24"/>
        </w:rPr>
        <w:t>。具体分类见下表：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autoSpaceDE w:val="0"/>
        <w:autoSpaceDN w:val="0"/>
        <w:adjustRightInd w:val="0"/>
        <w:ind w:firstLine="424" w:firstLineChars="177"/>
        <w:rPr>
          <w:rFonts w:hint="eastAsia" w:ascii="楷体" w:hAnsi="楷体" w:eastAsia="楷体" w:cs="浠垮畫"/>
          <w:kern w:val="0"/>
          <w:sz w:val="24"/>
          <w:szCs w:val="24"/>
        </w:rPr>
      </w:pPr>
      <w:r>
        <w:rPr>
          <w:rFonts w:ascii="楷体" w:hAnsi="楷体" w:eastAsia="楷体" w:cs="浠垮畫"/>
          <w:kern w:val="0"/>
          <w:sz w:val="24"/>
          <w:szCs w:val="24"/>
        </w:rPr>
        <w:t>（一）</w:t>
      </w:r>
      <w:r>
        <w:rPr>
          <w:rFonts w:hint="eastAsia" w:ascii="楷体" w:hAnsi="楷体" w:eastAsia="楷体" w:cs="浠垮畫"/>
          <w:kern w:val="0"/>
          <w:sz w:val="24"/>
          <w:szCs w:val="24"/>
        </w:rPr>
        <w:t>低风险投资者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二</w:t>
      </w:r>
      <w:r>
        <w:rPr>
          <w:rFonts w:ascii="楷体" w:hAnsi="楷体" w:eastAsia="楷体" w:cs="浠垮畫"/>
          <w:kern w:val="0"/>
          <w:sz w:val="24"/>
          <w:szCs w:val="24"/>
        </w:rPr>
        <w:t>）</w:t>
      </w:r>
      <w:r>
        <w:rPr>
          <w:rFonts w:hint="eastAsia" w:ascii="楷体" w:hAnsi="楷体" w:eastAsia="楷体" w:cs="浠垮畫"/>
          <w:kern w:val="0"/>
          <w:sz w:val="24"/>
          <w:szCs w:val="24"/>
        </w:rPr>
        <w:t>中低风险投资者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投资者特征：在任何投资中，承担较小的风险取得相对稳定的收益是客户的主要目标，通常愿意承受略低于市场平均水平的风险。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三</w:t>
      </w:r>
      <w:r>
        <w:rPr>
          <w:rFonts w:ascii="楷体" w:hAnsi="楷体" w:eastAsia="楷体" w:cs="浠垮畫"/>
          <w:kern w:val="0"/>
          <w:sz w:val="24"/>
          <w:szCs w:val="24"/>
        </w:rPr>
        <w:t>）</w:t>
      </w:r>
      <w:r>
        <w:rPr>
          <w:rFonts w:hint="eastAsia" w:ascii="楷体" w:hAnsi="楷体" w:eastAsia="楷体" w:cs="浠垮畫"/>
          <w:kern w:val="0"/>
          <w:sz w:val="24"/>
          <w:szCs w:val="24"/>
        </w:rPr>
        <w:t>中风险投资者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四</w:t>
      </w:r>
      <w:r>
        <w:rPr>
          <w:rFonts w:ascii="楷体" w:hAnsi="楷体" w:eastAsia="楷体" w:cs="浠垮畫"/>
          <w:kern w:val="0"/>
          <w:sz w:val="24"/>
          <w:szCs w:val="24"/>
        </w:rPr>
        <w:t>）</w:t>
      </w:r>
      <w:r>
        <w:rPr>
          <w:rFonts w:hint="eastAsia" w:ascii="楷体" w:hAnsi="楷体" w:eastAsia="楷体" w:cs="浠垮畫"/>
          <w:kern w:val="0"/>
          <w:sz w:val="24"/>
          <w:szCs w:val="24"/>
        </w:rPr>
        <w:t>中高风险投资者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五</w:t>
      </w:r>
      <w:r>
        <w:rPr>
          <w:rFonts w:ascii="楷体" w:hAnsi="楷体" w:eastAsia="楷体" w:cs="浠垮畫"/>
          <w:kern w:val="0"/>
          <w:sz w:val="24"/>
          <w:szCs w:val="24"/>
        </w:rPr>
        <w:t>）</w:t>
      </w:r>
      <w:r>
        <w:rPr>
          <w:rFonts w:hint="eastAsia" w:ascii="楷体" w:hAnsi="楷体" w:eastAsia="楷体" w:cs="浠垮畫"/>
          <w:kern w:val="0"/>
          <w:sz w:val="24"/>
          <w:szCs w:val="24"/>
        </w:rPr>
        <w:t>高风险投资者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r>
        <w:rPr>
          <w:rFonts w:ascii="楷体" w:hAnsi="楷体" w:eastAsia="楷体" w:cs="浠垮畫"/>
          <w:kern w:val="0"/>
          <w:sz w:val="24"/>
          <w:szCs w:val="24"/>
        </w:rPr>
        <w:t>、</w:t>
      </w:r>
      <w:r>
        <w:rPr>
          <w:rFonts w:hint="eastAsia" w:ascii="楷体" w:hAnsi="楷体" w:eastAsia="楷体" w:cs="浠垮畫"/>
          <w:kern w:val="0"/>
          <w:sz w:val="24"/>
          <w:szCs w:val="24"/>
        </w:rPr>
        <w:t>★★★★★五级（PR5）</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三、投资者风险承受能力评估</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（一）代销机构负责</w:t>
      </w:r>
      <w:r>
        <w:rPr>
          <w:rFonts w:hint="eastAsia" w:ascii="楷体" w:hAnsi="楷体" w:eastAsia="楷体" w:cs="浠垮畫"/>
          <w:kern w:val="0"/>
          <w:sz w:val="24"/>
          <w:szCs w:val="24"/>
        </w:rPr>
        <w:t>代理</w:t>
      </w:r>
      <w:r>
        <w:rPr>
          <w:rFonts w:ascii="楷体" w:hAnsi="楷体" w:eastAsia="楷体" w:cs="浠垮畫"/>
          <w:kern w:val="0"/>
          <w:sz w:val="24"/>
          <w:szCs w:val="24"/>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80" w:firstLineChars="200"/>
        <w:rPr>
          <w:rFonts w:hint="eastAsia"/>
        </w:rPr>
      </w:pPr>
      <w:r>
        <w:rPr>
          <w:rFonts w:ascii="楷体" w:hAnsi="楷体" w:eastAsia="楷体" w:cs="浠垮畫"/>
          <w:kern w:val="0"/>
          <w:sz w:val="24"/>
          <w:szCs w:val="24"/>
        </w:rPr>
        <w:t>（三）个人投资者风险承受能力评估流程</w:t>
      </w:r>
    </w:p>
    <w:p>
      <w:pPr>
        <w:autoSpaceDE w:val="0"/>
        <w:autoSpaceDN w:val="0"/>
        <w:adjustRightInd w:val="0"/>
        <w:jc w:val="center"/>
        <w:rPr>
          <w:rFonts w:hint="eastAsia" w:ascii="楷体" w:hAnsi="楷体" w:eastAsia="楷体" w:cs="浠垮畫"/>
          <w:kern w:val="0"/>
          <w:sz w:val="24"/>
          <w:szCs w:val="24"/>
        </w:rPr>
      </w:pPr>
      <w:r>
        <w:object>
          <v:shape id="_x0000_i1027" o:spt="75" type="#_x0000_t75" style="height:181.55pt;width:378.3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（五）代销机构在代销过程中，可参考苏银理财的产品风险评级结果，自行判断确定本产品的风险评级，</w:t>
      </w:r>
      <w:r>
        <w:rPr>
          <w:rFonts w:hint="eastAsia" w:ascii="楷体" w:hAnsi="楷体" w:eastAsia="楷体" w:cs="浠垮畫"/>
          <w:kern w:val="0"/>
          <w:sz w:val="24"/>
          <w:szCs w:val="24"/>
        </w:rPr>
        <w:t>但代销机构自行确定的产品风险评级不得低于苏银理财的产品风险评级。</w:t>
      </w:r>
      <w:r>
        <w:rPr>
          <w:rFonts w:hint="eastAsia" w:ascii="楷体" w:hAnsi="楷体" w:eastAsia="楷体" w:cs="宋体"/>
          <w:b/>
          <w:spacing w:val="-2"/>
          <w:sz w:val="24"/>
          <w:szCs w:val="21"/>
          <w:u w:val="single"/>
        </w:rPr>
        <w:t>该产品</w:t>
      </w:r>
      <w:r>
        <w:rPr>
          <w:rFonts w:ascii="楷体" w:hAnsi="楷体" w:eastAsia="楷体" w:cs="宋体"/>
          <w:b/>
          <w:spacing w:val="-2"/>
          <w:sz w:val="24"/>
          <w:szCs w:val="21"/>
          <w:u w:val="single"/>
        </w:rPr>
        <w:t>通过代理销售机构渠道销售的，理财产品评级应当</w:t>
      </w:r>
      <w:r>
        <w:rPr>
          <w:rFonts w:hint="eastAsia" w:ascii="楷体" w:hAnsi="楷体" w:eastAsia="楷体" w:cs="宋体"/>
          <w:b/>
          <w:spacing w:val="-2"/>
          <w:sz w:val="24"/>
          <w:szCs w:val="21"/>
          <w:u w:val="single"/>
        </w:rPr>
        <w:t>以</w:t>
      </w:r>
      <w:r>
        <w:rPr>
          <w:rFonts w:ascii="楷体" w:hAnsi="楷体" w:eastAsia="楷体" w:cs="宋体"/>
          <w:b/>
          <w:spacing w:val="-2"/>
          <w:sz w:val="24"/>
          <w:szCs w:val="21"/>
          <w:u w:val="single"/>
        </w:rPr>
        <w:t>代理销售机构最终披露的评级结果为准</w:t>
      </w:r>
      <w:r>
        <w:rPr>
          <w:rFonts w:hint="eastAsia" w:ascii="楷体" w:hAnsi="楷体" w:eastAsia="楷体" w:cs="宋体"/>
          <w:b/>
          <w:spacing w:val="-2"/>
          <w:sz w:val="24"/>
          <w:szCs w:val="21"/>
          <w:u w:val="single"/>
        </w:rPr>
        <w:t>。</w:t>
      </w:r>
      <w:r>
        <w:rPr>
          <w:rFonts w:hint="eastAsia" w:ascii="楷体" w:hAnsi="楷体" w:eastAsia="楷体" w:cs="浠垮畫"/>
          <w:kern w:val="0"/>
          <w:sz w:val="24"/>
          <w:szCs w:val="24"/>
        </w:rPr>
        <w:t>代销商在销售过程中</w:t>
      </w:r>
      <w:r>
        <w:rPr>
          <w:rFonts w:ascii="楷体" w:hAnsi="楷体" w:eastAsia="楷体" w:cs="浠垮畫"/>
          <w:kern w:val="0"/>
          <w:sz w:val="24"/>
          <w:szCs w:val="24"/>
        </w:rPr>
        <w:t>应确保个人投资者的风险承受能力等级不低于本产品风险评级。</w:t>
      </w:r>
    </w:p>
    <w:p>
      <w:pPr>
        <w:autoSpaceDE w:val="0"/>
        <w:autoSpaceDN w:val="0"/>
        <w:adjustRightInd w:val="0"/>
        <w:ind w:firstLine="480" w:firstLineChars="200"/>
        <w:rPr>
          <w:rFonts w:ascii="楷体" w:hAnsi="楷体" w:eastAsia="楷体" w:cs="浠垮畫"/>
          <w:kern w:val="0"/>
          <w:sz w:val="24"/>
          <w:szCs w:val="24"/>
        </w:rPr>
      </w:pPr>
      <w:r>
        <w:rPr>
          <w:rFonts w:ascii="楷体" w:hAnsi="楷体" w:eastAsia="楷体" w:cs="浠垮畫"/>
          <w:kern w:val="0"/>
          <w:sz w:val="24"/>
          <w:szCs w:val="24"/>
        </w:rPr>
        <w:t>（六）机构投资者购买理财产品前无需进行风险评估能力测试。</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四、理财产品信息披露</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（一）信息披露内容：</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1.产品类型、募集信息、产品净值、产品规模、托管安排、投资账户信息；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2.产品投向、投资比例、持仓情况、杠杆水平以及主要投资风险；</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3.产品收益分配、各项费用情况；</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4.产品涉及关联交易；</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5.其他影响本产品投资运作的重大事项、临时性信息披露等。</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（二）信息披露频率（适用于公募理财产品）：</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1.发行公告：管理人在产品成立后</w:t>
      </w:r>
      <w:r>
        <w:rPr>
          <w:rFonts w:ascii="楷体" w:hAnsi="楷体" w:eastAsia="楷体" w:cs="浠垮畫"/>
          <w:kern w:val="0"/>
          <w:sz w:val="24"/>
          <w:szCs w:val="24"/>
        </w:rPr>
        <w:t>5</w:t>
      </w:r>
      <w:r>
        <w:rPr>
          <w:rFonts w:hint="eastAsia" w:ascii="楷体" w:hAnsi="楷体" w:eastAsia="楷体" w:cs="浠垮畫"/>
          <w:kern w:val="0"/>
          <w:sz w:val="24"/>
          <w:szCs w:val="24"/>
        </w:rPr>
        <w:t>个工作日内，披露产品成立公告，内容包括理财产品成立日期和募集规模等信息。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2.定期公告：管理人在每个季度结束之日起</w:t>
      </w:r>
      <w:r>
        <w:rPr>
          <w:rFonts w:ascii="楷体" w:hAnsi="楷体" w:eastAsia="楷体" w:cs="浠垮畫"/>
          <w:kern w:val="0"/>
          <w:sz w:val="24"/>
          <w:szCs w:val="24"/>
        </w:rPr>
        <w:t>15</w:t>
      </w:r>
      <w:r>
        <w:rPr>
          <w:rFonts w:hint="eastAsia" w:ascii="楷体" w:hAnsi="楷体" w:eastAsia="楷体" w:cs="浠垮畫"/>
          <w:kern w:val="0"/>
          <w:sz w:val="24"/>
          <w:szCs w:val="24"/>
        </w:rPr>
        <w:t>个工作日内、上半年结束之日起</w:t>
      </w:r>
      <w:r>
        <w:rPr>
          <w:rFonts w:ascii="楷体" w:hAnsi="楷体" w:eastAsia="楷体" w:cs="浠垮畫"/>
          <w:kern w:val="0"/>
          <w:sz w:val="24"/>
          <w:szCs w:val="24"/>
        </w:rPr>
        <w:t>60</w:t>
      </w:r>
      <w:r>
        <w:rPr>
          <w:rFonts w:hint="eastAsia" w:ascii="楷体" w:hAnsi="楷体" w:eastAsia="楷体" w:cs="浠垮畫"/>
          <w:kern w:val="0"/>
          <w:sz w:val="24"/>
          <w:szCs w:val="24"/>
        </w:rPr>
        <w:t>个工作日内、每年结束之日起</w:t>
      </w:r>
      <w:r>
        <w:rPr>
          <w:rFonts w:ascii="楷体" w:hAnsi="楷体" w:eastAsia="楷体" w:cs="浠垮畫"/>
          <w:kern w:val="0"/>
          <w:sz w:val="24"/>
          <w:szCs w:val="24"/>
        </w:rPr>
        <w:t>90</w:t>
      </w:r>
      <w:r>
        <w:rPr>
          <w:rFonts w:hint="eastAsia" w:ascii="楷体" w:hAnsi="楷体" w:eastAsia="楷体" w:cs="浠垮畫"/>
          <w:kern w:val="0"/>
          <w:sz w:val="24"/>
          <w:szCs w:val="24"/>
        </w:rPr>
        <w:t>个工作日内，披露产品季度、半年和年度报告等定期报告；产品成立不足</w:t>
      </w:r>
      <w:r>
        <w:rPr>
          <w:rFonts w:ascii="楷体" w:hAnsi="楷体" w:eastAsia="楷体" w:cs="浠垮畫"/>
          <w:kern w:val="0"/>
          <w:sz w:val="24"/>
          <w:szCs w:val="24"/>
        </w:rPr>
        <w:t>90</w:t>
      </w:r>
      <w:r>
        <w:rPr>
          <w:rFonts w:hint="eastAsia" w:ascii="楷体" w:hAnsi="楷体" w:eastAsia="楷体" w:cs="浠垮畫"/>
          <w:kern w:val="0"/>
          <w:sz w:val="24"/>
          <w:szCs w:val="24"/>
        </w:rPr>
        <w:t>个工作日或者剩余存续期不超过</w:t>
      </w:r>
      <w:r>
        <w:rPr>
          <w:rFonts w:ascii="楷体" w:hAnsi="楷体" w:eastAsia="楷体" w:cs="浠垮畫"/>
          <w:kern w:val="0"/>
          <w:sz w:val="24"/>
          <w:szCs w:val="24"/>
        </w:rPr>
        <w:t>90</w:t>
      </w:r>
      <w:r>
        <w:rPr>
          <w:rFonts w:hint="eastAsia" w:ascii="楷体" w:hAnsi="楷体" w:eastAsia="楷体" w:cs="浠垮畫"/>
          <w:kern w:val="0"/>
          <w:sz w:val="24"/>
          <w:szCs w:val="24"/>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3.到期公告：管理人在产品终止后</w:t>
      </w:r>
      <w:r>
        <w:rPr>
          <w:rFonts w:ascii="楷体" w:hAnsi="楷体" w:eastAsia="楷体" w:cs="浠垮畫"/>
          <w:kern w:val="0"/>
          <w:sz w:val="24"/>
          <w:szCs w:val="24"/>
        </w:rPr>
        <w:t>5</w:t>
      </w:r>
      <w:r>
        <w:rPr>
          <w:rFonts w:hint="eastAsia" w:ascii="楷体" w:hAnsi="楷体" w:eastAsia="楷体" w:cs="浠垮畫"/>
          <w:kern w:val="0"/>
          <w:sz w:val="24"/>
          <w:szCs w:val="24"/>
        </w:rPr>
        <w:t>个工作日内，披露产品到期公告，内容包括理财产品的存续期限、终止日期、收费情况和收益分配情况等信息。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4.重大事项公告：管理人在发生可能对理财产品投资者或者理财产品收益产生重大事项的事件后</w:t>
      </w:r>
      <w:r>
        <w:rPr>
          <w:rFonts w:ascii="楷体" w:hAnsi="楷体" w:eastAsia="楷体" w:cs="浠垮畫"/>
          <w:kern w:val="0"/>
          <w:sz w:val="24"/>
          <w:szCs w:val="24"/>
        </w:rPr>
        <w:t>2</w:t>
      </w:r>
      <w:r>
        <w:rPr>
          <w:rFonts w:hint="eastAsia" w:ascii="楷体" w:hAnsi="楷体" w:eastAsia="楷体" w:cs="浠垮畫"/>
          <w:kern w:val="0"/>
          <w:sz w:val="24"/>
          <w:szCs w:val="24"/>
        </w:rPr>
        <w:t>个工作日内发布重大事项公告。</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5.产品净值披露：开放式公募理财产品将于每个开放日结束后2个工作日内披露开放日的份额净值、份额累计净值、认/申购价格和赎回价格；封闭式公募理财产品将每周向投资者披露一次产品的资产净值和份额净值。</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6.临时性信息披露：管理人将及时披露国务院银行业监督管理机构规定的其他信息或除重大事项事件以外的其他信息。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7.半年度整体报告：每半年披露从事理财业务活动的有关信息。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（三）信息披露方式：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苏银理财将信息披露内容发送代销机构，由代销机构通过短信及代销机构电子渠道和营业网点等方式进行信息披露。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相关信息在发布或发出之日视为通知已送达投资者并生效，请您及时登陆苏银理财有限责任公司官方网站或者向代销机构查询获取披露信息。</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五、投资者对理财产品的投诉方式和程序</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（一）投诉方式</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您</w:t>
      </w:r>
      <w:r>
        <w:rPr>
          <w:rFonts w:ascii="楷体" w:hAnsi="楷体" w:eastAsia="楷体" w:cs="浠垮畫"/>
          <w:kern w:val="0"/>
          <w:sz w:val="24"/>
          <w:szCs w:val="24"/>
        </w:rPr>
        <w:t>如认为代销机构推介、销售产品时有不实或未尽风险告知职责或其它疑义事项，或对代销机构服务有任何意见或建议，</w:t>
      </w:r>
      <w:r>
        <w:rPr>
          <w:rFonts w:hint="eastAsia" w:ascii="楷体" w:hAnsi="楷体" w:eastAsia="楷体" w:cs="浠垮畫"/>
          <w:kern w:val="0"/>
          <w:sz w:val="24"/>
          <w:szCs w:val="24"/>
        </w:rPr>
        <w:t>您</w:t>
      </w:r>
      <w:r>
        <w:rPr>
          <w:rFonts w:ascii="楷体" w:hAnsi="楷体" w:eastAsia="楷体" w:cs="浠垮畫"/>
          <w:kern w:val="0"/>
          <w:sz w:val="24"/>
          <w:szCs w:val="24"/>
        </w:rPr>
        <w:t>可通过拨打代销机构客服</w:t>
      </w:r>
      <w:r>
        <w:rPr>
          <w:rFonts w:hint="eastAsia" w:ascii="楷体" w:hAnsi="楷体" w:eastAsia="楷体" w:cs="浠垮畫"/>
          <w:kern w:val="0"/>
          <w:sz w:val="24"/>
          <w:szCs w:val="24"/>
        </w:rPr>
        <w:t>电话</w:t>
      </w:r>
      <w:r>
        <w:rPr>
          <w:rFonts w:ascii="楷体" w:hAnsi="楷体" w:eastAsia="楷体" w:cs="浠垮畫"/>
          <w:kern w:val="0"/>
          <w:sz w:val="24"/>
          <w:szCs w:val="24"/>
        </w:rPr>
        <w:t>进行反馈。代销机构将由专人接听、记录您的意见或建议，并</w:t>
      </w:r>
      <w:r>
        <w:rPr>
          <w:rFonts w:hint="eastAsia" w:ascii="楷体" w:hAnsi="楷体" w:eastAsia="楷体" w:cs="浠垮畫"/>
          <w:kern w:val="0"/>
          <w:sz w:val="24"/>
          <w:szCs w:val="24"/>
        </w:rPr>
        <w:t>向您反馈</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您如认为对理财产品设计、投资管理、风险控制、信息披露等事项有任何意见或建议，您</w:t>
      </w:r>
      <w:r>
        <w:rPr>
          <w:rFonts w:ascii="楷体" w:hAnsi="楷体" w:eastAsia="楷体" w:cs="浠垮畫"/>
          <w:kern w:val="0"/>
          <w:sz w:val="24"/>
          <w:szCs w:val="24"/>
        </w:rPr>
        <w:t>可通过管理人客服</w:t>
      </w:r>
      <w:r>
        <w:rPr>
          <w:rFonts w:hint="eastAsia" w:ascii="楷体" w:hAnsi="楷体" w:eastAsia="楷体" w:cs="浠垮畫"/>
          <w:kern w:val="0"/>
          <w:sz w:val="24"/>
          <w:szCs w:val="24"/>
        </w:rPr>
        <w:t>电话或电子邮箱</w:t>
      </w:r>
      <w:r>
        <w:rPr>
          <w:rFonts w:ascii="楷体" w:hAnsi="楷体" w:eastAsia="楷体" w:cs="浠垮畫"/>
          <w:kern w:val="0"/>
          <w:sz w:val="24"/>
          <w:szCs w:val="24"/>
        </w:rPr>
        <w:t>进行反馈。产品管理人将由专人接听、记录您的意见或建议，并</w:t>
      </w:r>
      <w:r>
        <w:rPr>
          <w:rFonts w:hint="eastAsia" w:ascii="楷体" w:hAnsi="楷体" w:eastAsia="楷体" w:cs="浠垮畫"/>
          <w:kern w:val="0"/>
          <w:sz w:val="24"/>
          <w:szCs w:val="24"/>
        </w:rPr>
        <w:t>向您反馈</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（二）投诉处理流程</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1.苏银理财投诉处理流程</w:t>
      </w:r>
    </w:p>
    <w:p>
      <w:pPr>
        <w:autoSpaceDE w:val="0"/>
        <w:autoSpaceDN w:val="0"/>
        <w:adjustRightInd w:val="0"/>
        <w:jc w:val="center"/>
        <w:rPr>
          <w:rFonts w:hint="eastAsia" w:ascii="楷体" w:hAnsi="楷体" w:eastAsia="楷体" w:cs="浠垮畫"/>
          <w:kern w:val="0"/>
          <w:sz w:val="24"/>
          <w:szCs w:val="24"/>
        </w:rPr>
      </w:pPr>
      <w:r>
        <w:object>
          <v:shape id="_x0000_i1028" o:spt="75" type="#_x0000_t75" style="height:404.7pt;width:415.05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2.</w:t>
      </w:r>
      <w:r>
        <w:rPr>
          <w:rFonts w:ascii="楷体" w:hAnsi="楷体" w:eastAsia="楷体" w:cs="浠垮畫"/>
          <w:kern w:val="0"/>
          <w:sz w:val="24"/>
          <w:szCs w:val="24"/>
        </w:rPr>
        <w:t>代销机构</w:t>
      </w:r>
      <w:r>
        <w:rPr>
          <w:rFonts w:hint="eastAsia" w:ascii="楷体" w:hAnsi="楷体" w:eastAsia="楷体" w:cs="浠垮畫"/>
          <w:kern w:val="0"/>
          <w:sz w:val="24"/>
          <w:szCs w:val="24"/>
        </w:rPr>
        <w:t>投诉处理流程见</w:t>
      </w:r>
      <w:r>
        <w:rPr>
          <w:rFonts w:ascii="楷体" w:hAnsi="楷体" w:eastAsia="楷体" w:cs="浠垮畫"/>
          <w:kern w:val="0"/>
          <w:sz w:val="24"/>
          <w:szCs w:val="24"/>
        </w:rPr>
        <w:t>代销机构提供的</w:t>
      </w:r>
      <w:r>
        <w:rPr>
          <w:rFonts w:hint="eastAsia" w:ascii="楷体" w:hAnsi="楷体" w:eastAsia="楷体" w:cs="浠垮畫"/>
          <w:kern w:val="0"/>
          <w:sz w:val="24"/>
          <w:szCs w:val="24"/>
        </w:rPr>
        <w:t>代销</w:t>
      </w:r>
      <w:r>
        <w:rPr>
          <w:rFonts w:ascii="楷体" w:hAnsi="楷体" w:eastAsia="楷体" w:cs="浠垮畫"/>
          <w:kern w:val="0"/>
          <w:sz w:val="24"/>
          <w:szCs w:val="24"/>
        </w:rPr>
        <w:t>协议</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六、联络方式</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（一）苏银理财有限责任公司</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1.官方网站：www.suyinwealth.com</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2.电子邮箱：service@suyinwealth.com</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3.客户服务热线：95319-8-2</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4.地址：南京市建邺区江山大街70号国际博览中心三期B幢11-13层</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若上述联系方式变更，苏银理财将提前发布公告及时告知投资者。</w:t>
      </w:r>
    </w:p>
    <w:p>
      <w:pPr>
        <w:autoSpaceDE w:val="0"/>
        <w:autoSpaceDN w:val="0"/>
        <w:adjustRightInd w:val="0"/>
        <w:ind w:firstLine="480" w:firstLineChars="200"/>
        <w:rPr>
          <w:rFonts w:hint="eastAsia" w:ascii="楷体" w:hAnsi="楷体" w:eastAsia="楷体" w:cs="浠垮畫"/>
          <w:b/>
          <w:kern w:val="0"/>
          <w:sz w:val="24"/>
          <w:szCs w:val="24"/>
        </w:rPr>
      </w:pPr>
      <w:r>
        <w:rPr>
          <w:rFonts w:ascii="楷体" w:hAnsi="楷体" w:eastAsia="楷体" w:cs="浠垮畫"/>
          <w:kern w:val="0"/>
          <w:sz w:val="24"/>
          <w:szCs w:val="24"/>
        </w:rPr>
        <w:t>（二）代销机构联络方式详见代销机构提供的</w:t>
      </w:r>
      <w:r>
        <w:rPr>
          <w:rFonts w:hint="eastAsia" w:ascii="楷体" w:hAnsi="楷体" w:eastAsia="楷体" w:cs="浠垮畫"/>
          <w:kern w:val="0"/>
          <w:sz w:val="24"/>
          <w:szCs w:val="24"/>
        </w:rPr>
        <w:t>代销</w:t>
      </w:r>
      <w:r>
        <w:rPr>
          <w:rFonts w:ascii="楷体" w:hAnsi="楷体" w:eastAsia="楷体" w:cs="浠垮畫"/>
          <w:kern w:val="0"/>
          <w:sz w:val="24"/>
          <w:szCs w:val="24"/>
        </w:rPr>
        <w:t>协议</w:t>
      </w:r>
    </w:p>
    <w:p>
      <w:pPr>
        <w:autoSpaceDE w:val="0"/>
        <w:autoSpaceDN w:val="0"/>
        <w:adjustRightInd w:val="0"/>
        <w:ind w:firstLine="482" w:firstLineChars="200"/>
        <w:rPr>
          <w:rFonts w:hint="eastAsia" w:ascii="楷体" w:hAnsi="楷体" w:eastAsia="楷体" w:cs="浠垮畫"/>
          <w:b/>
          <w:kern w:val="0"/>
          <w:sz w:val="24"/>
          <w:szCs w:val="24"/>
          <w:u w:val="single"/>
        </w:rPr>
      </w:pPr>
      <w:r>
        <w:rPr>
          <w:rFonts w:hint="eastAsia" w:ascii="楷体" w:hAnsi="楷体" w:eastAsia="楷体" w:cs="浠垮畫"/>
          <w:b/>
          <w:kern w:val="0"/>
          <w:sz w:val="24"/>
          <w:szCs w:val="24"/>
          <w:u w:val="single"/>
        </w:rPr>
        <w:t>声明：本人/本机构知悉本理财产品合同由对应的《理财产品说明书》、《风险揭示书》、《投资者权益须知》、《理财产品（代理）销售协议书》和《产品投资协议书》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理财产品（代理）销售协议书等销售文件后，划款时无需通过任何方式与本人/本机构进行最后确认，可以直接划款。</w:t>
      </w:r>
    </w:p>
    <w:p>
      <w:pPr>
        <w:jc w:val="center"/>
        <w:rPr>
          <w:rFonts w:hint="eastAsia" w:ascii="楷体" w:hAnsi="楷体" w:eastAsia="楷体" w:cs="浠垮畫"/>
          <w:b/>
          <w:kern w:val="0"/>
          <w:sz w:val="24"/>
          <w:szCs w:val="24"/>
          <w:u w:val="single"/>
        </w:rPr>
      </w:pPr>
    </w:p>
    <w:p>
      <w:pPr>
        <w:pStyle w:val="13"/>
        <w:spacing w:before="0" w:beforeAutospacing="0" w:after="0" w:afterAutospacing="0"/>
        <w:rPr>
          <w:rFonts w:hint="eastAsia" w:ascii="楷体" w:hAnsi="楷体" w:eastAsia="楷体"/>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80423"/>
    <w:rsid w:val="00080C2C"/>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FDC"/>
    <w:rsid w:val="00151CC7"/>
    <w:rsid w:val="00152B36"/>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3A85"/>
    <w:rsid w:val="00194395"/>
    <w:rsid w:val="00194963"/>
    <w:rsid w:val="00194E69"/>
    <w:rsid w:val="001950DD"/>
    <w:rsid w:val="00195FF0"/>
    <w:rsid w:val="00197344"/>
    <w:rsid w:val="00197DD9"/>
    <w:rsid w:val="001A05F5"/>
    <w:rsid w:val="001A1C12"/>
    <w:rsid w:val="001A1D51"/>
    <w:rsid w:val="001A57DB"/>
    <w:rsid w:val="001A586B"/>
    <w:rsid w:val="001A5CF0"/>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3147"/>
    <w:rsid w:val="003039E4"/>
    <w:rsid w:val="00304D18"/>
    <w:rsid w:val="00304E55"/>
    <w:rsid w:val="0030551A"/>
    <w:rsid w:val="00305A15"/>
    <w:rsid w:val="00305B9A"/>
    <w:rsid w:val="00306353"/>
    <w:rsid w:val="00306D41"/>
    <w:rsid w:val="00307094"/>
    <w:rsid w:val="00307342"/>
    <w:rsid w:val="00307DE3"/>
    <w:rsid w:val="00310470"/>
    <w:rsid w:val="00310A72"/>
    <w:rsid w:val="00311C18"/>
    <w:rsid w:val="0031298C"/>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E88"/>
    <w:rsid w:val="003821F9"/>
    <w:rsid w:val="00382503"/>
    <w:rsid w:val="003827CD"/>
    <w:rsid w:val="00382C88"/>
    <w:rsid w:val="00383A99"/>
    <w:rsid w:val="00383D6D"/>
    <w:rsid w:val="003852EF"/>
    <w:rsid w:val="003859B5"/>
    <w:rsid w:val="003870EE"/>
    <w:rsid w:val="00387204"/>
    <w:rsid w:val="00393452"/>
    <w:rsid w:val="00393CF7"/>
    <w:rsid w:val="00394C2C"/>
    <w:rsid w:val="0039544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444E"/>
    <w:rsid w:val="0053510C"/>
    <w:rsid w:val="00535F46"/>
    <w:rsid w:val="005362B4"/>
    <w:rsid w:val="0053633A"/>
    <w:rsid w:val="00536CE0"/>
    <w:rsid w:val="00536E3A"/>
    <w:rsid w:val="00537241"/>
    <w:rsid w:val="0053778C"/>
    <w:rsid w:val="005400DC"/>
    <w:rsid w:val="00540409"/>
    <w:rsid w:val="00542CCA"/>
    <w:rsid w:val="00542F97"/>
    <w:rsid w:val="0054309D"/>
    <w:rsid w:val="005436F3"/>
    <w:rsid w:val="00544451"/>
    <w:rsid w:val="005449D5"/>
    <w:rsid w:val="00544A6C"/>
    <w:rsid w:val="00551149"/>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9B5"/>
    <w:rsid w:val="00581D0F"/>
    <w:rsid w:val="005822DA"/>
    <w:rsid w:val="00583A5E"/>
    <w:rsid w:val="0058412B"/>
    <w:rsid w:val="00590CD8"/>
    <w:rsid w:val="00591D64"/>
    <w:rsid w:val="00591E65"/>
    <w:rsid w:val="00592105"/>
    <w:rsid w:val="00593310"/>
    <w:rsid w:val="0059593D"/>
    <w:rsid w:val="00595C4D"/>
    <w:rsid w:val="00597498"/>
    <w:rsid w:val="0059767A"/>
    <w:rsid w:val="005A0462"/>
    <w:rsid w:val="005A0D71"/>
    <w:rsid w:val="005A1903"/>
    <w:rsid w:val="005A43FC"/>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33754"/>
    <w:rsid w:val="00633AD9"/>
    <w:rsid w:val="00635E85"/>
    <w:rsid w:val="0063693B"/>
    <w:rsid w:val="006371FF"/>
    <w:rsid w:val="00640F88"/>
    <w:rsid w:val="00642BAA"/>
    <w:rsid w:val="006436A7"/>
    <w:rsid w:val="00643DD9"/>
    <w:rsid w:val="00644A75"/>
    <w:rsid w:val="00645DCE"/>
    <w:rsid w:val="006472A0"/>
    <w:rsid w:val="00651512"/>
    <w:rsid w:val="00653500"/>
    <w:rsid w:val="00654956"/>
    <w:rsid w:val="00654DE7"/>
    <w:rsid w:val="00655049"/>
    <w:rsid w:val="0065533C"/>
    <w:rsid w:val="00656A9D"/>
    <w:rsid w:val="00656F5E"/>
    <w:rsid w:val="00662CBC"/>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2CFC"/>
    <w:rsid w:val="00682F1D"/>
    <w:rsid w:val="00683B13"/>
    <w:rsid w:val="00685264"/>
    <w:rsid w:val="00686216"/>
    <w:rsid w:val="00686325"/>
    <w:rsid w:val="0068649F"/>
    <w:rsid w:val="00686EC4"/>
    <w:rsid w:val="00687063"/>
    <w:rsid w:val="00691425"/>
    <w:rsid w:val="0069185B"/>
    <w:rsid w:val="00691F37"/>
    <w:rsid w:val="006922A1"/>
    <w:rsid w:val="00694A8D"/>
    <w:rsid w:val="00695E17"/>
    <w:rsid w:val="00696763"/>
    <w:rsid w:val="00696D1D"/>
    <w:rsid w:val="00696DEC"/>
    <w:rsid w:val="0069734A"/>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4B5C"/>
    <w:rsid w:val="00796669"/>
    <w:rsid w:val="00796A9E"/>
    <w:rsid w:val="00796D05"/>
    <w:rsid w:val="00797687"/>
    <w:rsid w:val="007979C3"/>
    <w:rsid w:val="00797F44"/>
    <w:rsid w:val="007A0BE3"/>
    <w:rsid w:val="007A20FE"/>
    <w:rsid w:val="007A25AF"/>
    <w:rsid w:val="007A30A5"/>
    <w:rsid w:val="007A4EEC"/>
    <w:rsid w:val="007A5FB9"/>
    <w:rsid w:val="007A664A"/>
    <w:rsid w:val="007A6FC4"/>
    <w:rsid w:val="007A70C6"/>
    <w:rsid w:val="007B11D0"/>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6711"/>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40F68"/>
    <w:rsid w:val="00843178"/>
    <w:rsid w:val="00843EBB"/>
    <w:rsid w:val="008443EB"/>
    <w:rsid w:val="00844E1C"/>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4E8"/>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3A8B"/>
    <w:rsid w:val="008946C7"/>
    <w:rsid w:val="008962E9"/>
    <w:rsid w:val="0089653C"/>
    <w:rsid w:val="00896CA9"/>
    <w:rsid w:val="00897158"/>
    <w:rsid w:val="00897AEF"/>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755"/>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3086"/>
    <w:rsid w:val="00934A0F"/>
    <w:rsid w:val="00935CA2"/>
    <w:rsid w:val="00935EE2"/>
    <w:rsid w:val="0093700C"/>
    <w:rsid w:val="009375B0"/>
    <w:rsid w:val="00937ED6"/>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3229"/>
    <w:rsid w:val="009632EA"/>
    <w:rsid w:val="0096515A"/>
    <w:rsid w:val="00965C79"/>
    <w:rsid w:val="00966601"/>
    <w:rsid w:val="00967094"/>
    <w:rsid w:val="00970079"/>
    <w:rsid w:val="009700A9"/>
    <w:rsid w:val="00970A79"/>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FD5"/>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AF6B99"/>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67C"/>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BD3"/>
    <w:rsid w:val="00C27D03"/>
    <w:rsid w:val="00C27DE4"/>
    <w:rsid w:val="00C303DE"/>
    <w:rsid w:val="00C3081E"/>
    <w:rsid w:val="00C31095"/>
    <w:rsid w:val="00C31607"/>
    <w:rsid w:val="00C31645"/>
    <w:rsid w:val="00C32321"/>
    <w:rsid w:val="00C32332"/>
    <w:rsid w:val="00C3241E"/>
    <w:rsid w:val="00C349F0"/>
    <w:rsid w:val="00C34A1E"/>
    <w:rsid w:val="00C34BEB"/>
    <w:rsid w:val="00C35828"/>
    <w:rsid w:val="00C35C9E"/>
    <w:rsid w:val="00C36509"/>
    <w:rsid w:val="00C3720B"/>
    <w:rsid w:val="00C37B93"/>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40C07"/>
    <w:rsid w:val="00D40C75"/>
    <w:rsid w:val="00D40F22"/>
    <w:rsid w:val="00D4142C"/>
    <w:rsid w:val="00D4229B"/>
    <w:rsid w:val="00D42325"/>
    <w:rsid w:val="00D42F0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4AFA"/>
    <w:rsid w:val="00DE5417"/>
    <w:rsid w:val="00DE5630"/>
    <w:rsid w:val="00DE7227"/>
    <w:rsid w:val="00DE7312"/>
    <w:rsid w:val="00DE76FC"/>
    <w:rsid w:val="00DF0E35"/>
    <w:rsid w:val="00DF2C48"/>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B62"/>
    <w:rsid w:val="00E47E0A"/>
    <w:rsid w:val="00E51517"/>
    <w:rsid w:val="00E51F74"/>
    <w:rsid w:val="00E54533"/>
    <w:rsid w:val="00E54924"/>
    <w:rsid w:val="00E55868"/>
    <w:rsid w:val="00E569B2"/>
    <w:rsid w:val="00E60C14"/>
    <w:rsid w:val="00E61815"/>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DF7"/>
    <w:rsid w:val="00E763CD"/>
    <w:rsid w:val="00E76A0F"/>
    <w:rsid w:val="00E76F44"/>
    <w:rsid w:val="00E7711B"/>
    <w:rsid w:val="00E807D4"/>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23FA"/>
    <w:rsid w:val="00EC3466"/>
    <w:rsid w:val="00EC37C6"/>
    <w:rsid w:val="00EC3CEA"/>
    <w:rsid w:val="00EC4F27"/>
    <w:rsid w:val="00EC548A"/>
    <w:rsid w:val="00EC5A47"/>
    <w:rsid w:val="00EC6DAC"/>
    <w:rsid w:val="00EC744B"/>
    <w:rsid w:val="00EC778D"/>
    <w:rsid w:val="00EC7B5A"/>
    <w:rsid w:val="00ED1573"/>
    <w:rsid w:val="00ED1966"/>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60171"/>
    <w:rsid w:val="00F6086F"/>
    <w:rsid w:val="00F613FA"/>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1320"/>
    <w:rsid w:val="00F81620"/>
    <w:rsid w:val="00F8217F"/>
    <w:rsid w:val="00F83113"/>
    <w:rsid w:val="00F83C22"/>
    <w:rsid w:val="00F84521"/>
    <w:rsid w:val="00F86093"/>
    <w:rsid w:val="00F86C89"/>
    <w:rsid w:val="00F86FFD"/>
    <w:rsid w:val="00F87451"/>
    <w:rsid w:val="00F906AB"/>
    <w:rsid w:val="00F91766"/>
    <w:rsid w:val="00F91A6E"/>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53462C"/>
    <w:rsid w:val="018876DC"/>
    <w:rsid w:val="01EC4381"/>
    <w:rsid w:val="027912A9"/>
    <w:rsid w:val="02C60907"/>
    <w:rsid w:val="02CE64B1"/>
    <w:rsid w:val="033262D9"/>
    <w:rsid w:val="03764036"/>
    <w:rsid w:val="038D4257"/>
    <w:rsid w:val="03A2232B"/>
    <w:rsid w:val="03A63E9D"/>
    <w:rsid w:val="03CA3582"/>
    <w:rsid w:val="03DA2B87"/>
    <w:rsid w:val="03DD122A"/>
    <w:rsid w:val="04066B99"/>
    <w:rsid w:val="04A741FF"/>
    <w:rsid w:val="04FE2E9B"/>
    <w:rsid w:val="052757BE"/>
    <w:rsid w:val="053416F2"/>
    <w:rsid w:val="05346DD7"/>
    <w:rsid w:val="057C18E2"/>
    <w:rsid w:val="05C24554"/>
    <w:rsid w:val="05DF38B7"/>
    <w:rsid w:val="0637498B"/>
    <w:rsid w:val="07543E36"/>
    <w:rsid w:val="07731EDA"/>
    <w:rsid w:val="07B2585B"/>
    <w:rsid w:val="08F8134C"/>
    <w:rsid w:val="09270DE8"/>
    <w:rsid w:val="094F1804"/>
    <w:rsid w:val="09546425"/>
    <w:rsid w:val="09F25085"/>
    <w:rsid w:val="0A13797F"/>
    <w:rsid w:val="0A2A49C7"/>
    <w:rsid w:val="0A9636B5"/>
    <w:rsid w:val="0B371A2F"/>
    <w:rsid w:val="0B400D9A"/>
    <w:rsid w:val="0B8762D6"/>
    <w:rsid w:val="0BBC31C2"/>
    <w:rsid w:val="0BC17C1C"/>
    <w:rsid w:val="0C751B3D"/>
    <w:rsid w:val="0C8C6097"/>
    <w:rsid w:val="0C914D49"/>
    <w:rsid w:val="0CB630EB"/>
    <w:rsid w:val="0CD41033"/>
    <w:rsid w:val="0CE17A4D"/>
    <w:rsid w:val="0D2A6377"/>
    <w:rsid w:val="0D3856CB"/>
    <w:rsid w:val="0D9F6992"/>
    <w:rsid w:val="0DA85975"/>
    <w:rsid w:val="0DAF4280"/>
    <w:rsid w:val="0DC04D85"/>
    <w:rsid w:val="0DE92C28"/>
    <w:rsid w:val="0DF010E0"/>
    <w:rsid w:val="0E6334B9"/>
    <w:rsid w:val="0E7A4CE2"/>
    <w:rsid w:val="0F203C55"/>
    <w:rsid w:val="0F2E692D"/>
    <w:rsid w:val="0F607F0E"/>
    <w:rsid w:val="0FB757C2"/>
    <w:rsid w:val="0FC04798"/>
    <w:rsid w:val="100B3B4A"/>
    <w:rsid w:val="100E3A77"/>
    <w:rsid w:val="108166F7"/>
    <w:rsid w:val="108F4B64"/>
    <w:rsid w:val="10A654B6"/>
    <w:rsid w:val="10C664A7"/>
    <w:rsid w:val="10E55ACF"/>
    <w:rsid w:val="110C25A3"/>
    <w:rsid w:val="114C1CCD"/>
    <w:rsid w:val="11580FA1"/>
    <w:rsid w:val="11AE50AD"/>
    <w:rsid w:val="12A173C6"/>
    <w:rsid w:val="12FF3FAC"/>
    <w:rsid w:val="135C54E2"/>
    <w:rsid w:val="13F628A9"/>
    <w:rsid w:val="143E1E92"/>
    <w:rsid w:val="149F349B"/>
    <w:rsid w:val="14A43C64"/>
    <w:rsid w:val="14F1597F"/>
    <w:rsid w:val="150C2883"/>
    <w:rsid w:val="150C4E11"/>
    <w:rsid w:val="15CB6368"/>
    <w:rsid w:val="15CF287D"/>
    <w:rsid w:val="160A56C6"/>
    <w:rsid w:val="17DB41FD"/>
    <w:rsid w:val="180C16BE"/>
    <w:rsid w:val="183423A1"/>
    <w:rsid w:val="18FD0A35"/>
    <w:rsid w:val="1915052B"/>
    <w:rsid w:val="196C4D5C"/>
    <w:rsid w:val="197A1330"/>
    <w:rsid w:val="19CA6EB2"/>
    <w:rsid w:val="19DF3D8E"/>
    <w:rsid w:val="1A075651"/>
    <w:rsid w:val="1A2C7A02"/>
    <w:rsid w:val="1AE47673"/>
    <w:rsid w:val="1BE54402"/>
    <w:rsid w:val="1C067C67"/>
    <w:rsid w:val="1C48310E"/>
    <w:rsid w:val="1C7E51D8"/>
    <w:rsid w:val="1C815811"/>
    <w:rsid w:val="1C9B14B0"/>
    <w:rsid w:val="1CB81D96"/>
    <w:rsid w:val="1CE26D9F"/>
    <w:rsid w:val="1D1C51E9"/>
    <w:rsid w:val="1D366EE8"/>
    <w:rsid w:val="1D3F04E6"/>
    <w:rsid w:val="1D4B5569"/>
    <w:rsid w:val="1D622FF7"/>
    <w:rsid w:val="1DB97D04"/>
    <w:rsid w:val="1E120BA4"/>
    <w:rsid w:val="1E277F02"/>
    <w:rsid w:val="1E3C4E01"/>
    <w:rsid w:val="1E593CF9"/>
    <w:rsid w:val="1E7926B6"/>
    <w:rsid w:val="1E9C27FC"/>
    <w:rsid w:val="1EDE53E2"/>
    <w:rsid w:val="1EFB559C"/>
    <w:rsid w:val="1F3D3C30"/>
    <w:rsid w:val="1F51767D"/>
    <w:rsid w:val="1F594420"/>
    <w:rsid w:val="1F705077"/>
    <w:rsid w:val="209D22B4"/>
    <w:rsid w:val="20AE53E1"/>
    <w:rsid w:val="21041ECB"/>
    <w:rsid w:val="212B5888"/>
    <w:rsid w:val="212C68D7"/>
    <w:rsid w:val="217312AC"/>
    <w:rsid w:val="21824410"/>
    <w:rsid w:val="219042DA"/>
    <w:rsid w:val="22894F6C"/>
    <w:rsid w:val="229E5EF6"/>
    <w:rsid w:val="229F2CD8"/>
    <w:rsid w:val="22C93320"/>
    <w:rsid w:val="22F42780"/>
    <w:rsid w:val="230D44B2"/>
    <w:rsid w:val="23153D73"/>
    <w:rsid w:val="236C4C45"/>
    <w:rsid w:val="239D00EF"/>
    <w:rsid w:val="251C72FE"/>
    <w:rsid w:val="258348C9"/>
    <w:rsid w:val="25A24227"/>
    <w:rsid w:val="25E41429"/>
    <w:rsid w:val="260F0FCC"/>
    <w:rsid w:val="262E0F7F"/>
    <w:rsid w:val="268846E6"/>
    <w:rsid w:val="26A128F1"/>
    <w:rsid w:val="26A31B69"/>
    <w:rsid w:val="26C25308"/>
    <w:rsid w:val="27427939"/>
    <w:rsid w:val="276D67BF"/>
    <w:rsid w:val="27740206"/>
    <w:rsid w:val="27B51553"/>
    <w:rsid w:val="289E1ADE"/>
    <w:rsid w:val="28B12E5F"/>
    <w:rsid w:val="28B93229"/>
    <w:rsid w:val="291B55B8"/>
    <w:rsid w:val="29BE62A7"/>
    <w:rsid w:val="2A253865"/>
    <w:rsid w:val="2A4A2B40"/>
    <w:rsid w:val="2A7B5501"/>
    <w:rsid w:val="2A7C4DFA"/>
    <w:rsid w:val="2BFA626C"/>
    <w:rsid w:val="2C3823E4"/>
    <w:rsid w:val="2C75110C"/>
    <w:rsid w:val="2C7D1DD2"/>
    <w:rsid w:val="2C9C0292"/>
    <w:rsid w:val="2CB41485"/>
    <w:rsid w:val="2CD43F01"/>
    <w:rsid w:val="2CFE716B"/>
    <w:rsid w:val="2D152281"/>
    <w:rsid w:val="2D755061"/>
    <w:rsid w:val="2DA9069F"/>
    <w:rsid w:val="2DBB4C84"/>
    <w:rsid w:val="2DDB7DFA"/>
    <w:rsid w:val="2E1835B1"/>
    <w:rsid w:val="2E5F2A80"/>
    <w:rsid w:val="2EFE2F95"/>
    <w:rsid w:val="2FC9496C"/>
    <w:rsid w:val="2FE61CEF"/>
    <w:rsid w:val="2FED3BC4"/>
    <w:rsid w:val="3007482D"/>
    <w:rsid w:val="305C2635"/>
    <w:rsid w:val="307658EC"/>
    <w:rsid w:val="311B4D8D"/>
    <w:rsid w:val="313057FA"/>
    <w:rsid w:val="319F4D9F"/>
    <w:rsid w:val="31E57610"/>
    <w:rsid w:val="31F92A6F"/>
    <w:rsid w:val="320104A3"/>
    <w:rsid w:val="32173206"/>
    <w:rsid w:val="326A21EF"/>
    <w:rsid w:val="328A6DAE"/>
    <w:rsid w:val="32B8574F"/>
    <w:rsid w:val="336045CB"/>
    <w:rsid w:val="337A39BA"/>
    <w:rsid w:val="337B0E24"/>
    <w:rsid w:val="33A336EF"/>
    <w:rsid w:val="34042E97"/>
    <w:rsid w:val="34602A06"/>
    <w:rsid w:val="35AE7017"/>
    <w:rsid w:val="35B03F34"/>
    <w:rsid w:val="36111D3B"/>
    <w:rsid w:val="363D5BC2"/>
    <w:rsid w:val="363E4C6B"/>
    <w:rsid w:val="36411BD2"/>
    <w:rsid w:val="365E5B6A"/>
    <w:rsid w:val="36C162B9"/>
    <w:rsid w:val="376F58CE"/>
    <w:rsid w:val="37AD4028"/>
    <w:rsid w:val="37F23C93"/>
    <w:rsid w:val="387F4B81"/>
    <w:rsid w:val="38C05568"/>
    <w:rsid w:val="38C54391"/>
    <w:rsid w:val="397216AB"/>
    <w:rsid w:val="39B77B25"/>
    <w:rsid w:val="3A110698"/>
    <w:rsid w:val="3A303BAB"/>
    <w:rsid w:val="3A4856FD"/>
    <w:rsid w:val="3A4D7C0C"/>
    <w:rsid w:val="3BBA761D"/>
    <w:rsid w:val="3C714BB7"/>
    <w:rsid w:val="3CA21CD1"/>
    <w:rsid w:val="3CB42C60"/>
    <w:rsid w:val="3D150CF9"/>
    <w:rsid w:val="3D29796C"/>
    <w:rsid w:val="3D2F15D1"/>
    <w:rsid w:val="3E1E53F4"/>
    <w:rsid w:val="3E393A8F"/>
    <w:rsid w:val="3ECD5B0B"/>
    <w:rsid w:val="3F0668BA"/>
    <w:rsid w:val="3F2D0F53"/>
    <w:rsid w:val="3F557759"/>
    <w:rsid w:val="3F651F36"/>
    <w:rsid w:val="3F740212"/>
    <w:rsid w:val="3F7A4333"/>
    <w:rsid w:val="3FE3566B"/>
    <w:rsid w:val="3FE63A4B"/>
    <w:rsid w:val="401D0966"/>
    <w:rsid w:val="404E7546"/>
    <w:rsid w:val="40DA556D"/>
    <w:rsid w:val="40FD5CA4"/>
    <w:rsid w:val="4132640F"/>
    <w:rsid w:val="41420D45"/>
    <w:rsid w:val="414B3BD2"/>
    <w:rsid w:val="41B954E3"/>
    <w:rsid w:val="42B22E38"/>
    <w:rsid w:val="42EF6C7F"/>
    <w:rsid w:val="433D4F49"/>
    <w:rsid w:val="434C12B5"/>
    <w:rsid w:val="438363A1"/>
    <w:rsid w:val="439E5BFC"/>
    <w:rsid w:val="43DD7F35"/>
    <w:rsid w:val="44642EA4"/>
    <w:rsid w:val="44A83F10"/>
    <w:rsid w:val="44DD587C"/>
    <w:rsid w:val="452F2225"/>
    <w:rsid w:val="45631EC8"/>
    <w:rsid w:val="45706131"/>
    <w:rsid w:val="457775B5"/>
    <w:rsid w:val="46167E08"/>
    <w:rsid w:val="461809E9"/>
    <w:rsid w:val="46193213"/>
    <w:rsid w:val="466552FA"/>
    <w:rsid w:val="4782235B"/>
    <w:rsid w:val="48881C7A"/>
    <w:rsid w:val="48986ACB"/>
    <w:rsid w:val="489B4B80"/>
    <w:rsid w:val="48D35880"/>
    <w:rsid w:val="48D6719B"/>
    <w:rsid w:val="49283F30"/>
    <w:rsid w:val="49EA5198"/>
    <w:rsid w:val="4A1D6D18"/>
    <w:rsid w:val="4A483701"/>
    <w:rsid w:val="4A591D2A"/>
    <w:rsid w:val="4AF8272A"/>
    <w:rsid w:val="4B9250D4"/>
    <w:rsid w:val="4BCE4304"/>
    <w:rsid w:val="4C1C0FA5"/>
    <w:rsid w:val="4C400D3A"/>
    <w:rsid w:val="4C5B6AA9"/>
    <w:rsid w:val="4CA4326E"/>
    <w:rsid w:val="4CC56D25"/>
    <w:rsid w:val="4CD324B4"/>
    <w:rsid w:val="4CEA0297"/>
    <w:rsid w:val="4D7D7073"/>
    <w:rsid w:val="4D8372F3"/>
    <w:rsid w:val="4DA0113A"/>
    <w:rsid w:val="4EA37909"/>
    <w:rsid w:val="4EDC5312"/>
    <w:rsid w:val="4EFE6183"/>
    <w:rsid w:val="4F592604"/>
    <w:rsid w:val="4FD36BF8"/>
    <w:rsid w:val="4FE917B6"/>
    <w:rsid w:val="4FF83B5E"/>
    <w:rsid w:val="50033932"/>
    <w:rsid w:val="500B2A88"/>
    <w:rsid w:val="503E7BC3"/>
    <w:rsid w:val="510541BF"/>
    <w:rsid w:val="510B5ED5"/>
    <w:rsid w:val="511C62F1"/>
    <w:rsid w:val="51342B4E"/>
    <w:rsid w:val="516C08E4"/>
    <w:rsid w:val="51AD0B89"/>
    <w:rsid w:val="51F77A4B"/>
    <w:rsid w:val="52C52A87"/>
    <w:rsid w:val="52E46607"/>
    <w:rsid w:val="532C039B"/>
    <w:rsid w:val="534E27F4"/>
    <w:rsid w:val="53844723"/>
    <w:rsid w:val="53D94D31"/>
    <w:rsid w:val="541A46C5"/>
    <w:rsid w:val="54F528B8"/>
    <w:rsid w:val="550161A7"/>
    <w:rsid w:val="55723134"/>
    <w:rsid w:val="557F26FB"/>
    <w:rsid w:val="55EE762F"/>
    <w:rsid w:val="56242F51"/>
    <w:rsid w:val="563071ED"/>
    <w:rsid w:val="5680063E"/>
    <w:rsid w:val="56895B6C"/>
    <w:rsid w:val="56AA5523"/>
    <w:rsid w:val="56B305D6"/>
    <w:rsid w:val="57634243"/>
    <w:rsid w:val="578F7440"/>
    <w:rsid w:val="58D012A0"/>
    <w:rsid w:val="58FE34CE"/>
    <w:rsid w:val="591E7756"/>
    <w:rsid w:val="59597EA9"/>
    <w:rsid w:val="5A1E393D"/>
    <w:rsid w:val="5A235805"/>
    <w:rsid w:val="5A3B6E8B"/>
    <w:rsid w:val="5A4E3CF8"/>
    <w:rsid w:val="5A6603B8"/>
    <w:rsid w:val="5A7D0F3C"/>
    <w:rsid w:val="5A851156"/>
    <w:rsid w:val="5A9A6E15"/>
    <w:rsid w:val="5AAA738F"/>
    <w:rsid w:val="5C2F4D65"/>
    <w:rsid w:val="5C616700"/>
    <w:rsid w:val="5CBD5788"/>
    <w:rsid w:val="5D302779"/>
    <w:rsid w:val="5DB241D5"/>
    <w:rsid w:val="5E404CEC"/>
    <w:rsid w:val="5EE808AE"/>
    <w:rsid w:val="5EFE38FC"/>
    <w:rsid w:val="5F9C39D1"/>
    <w:rsid w:val="5FA0271F"/>
    <w:rsid w:val="5FC1013E"/>
    <w:rsid w:val="605A79EE"/>
    <w:rsid w:val="60D567E5"/>
    <w:rsid w:val="60DF12F6"/>
    <w:rsid w:val="616403C9"/>
    <w:rsid w:val="61937DE6"/>
    <w:rsid w:val="61B372F7"/>
    <w:rsid w:val="61E66335"/>
    <w:rsid w:val="623A5F12"/>
    <w:rsid w:val="62A43F2F"/>
    <w:rsid w:val="62C467A7"/>
    <w:rsid w:val="62DC4E1A"/>
    <w:rsid w:val="630F0237"/>
    <w:rsid w:val="63834036"/>
    <w:rsid w:val="639B23B6"/>
    <w:rsid w:val="63A67A01"/>
    <w:rsid w:val="63AA6096"/>
    <w:rsid w:val="649B324A"/>
    <w:rsid w:val="64A67BE1"/>
    <w:rsid w:val="64F165A9"/>
    <w:rsid w:val="65456463"/>
    <w:rsid w:val="662F093E"/>
    <w:rsid w:val="663C168D"/>
    <w:rsid w:val="669D704F"/>
    <w:rsid w:val="66AE11BA"/>
    <w:rsid w:val="670F7EFF"/>
    <w:rsid w:val="67332C13"/>
    <w:rsid w:val="67486EC1"/>
    <w:rsid w:val="67866E1E"/>
    <w:rsid w:val="680157FA"/>
    <w:rsid w:val="681569AD"/>
    <w:rsid w:val="68B93D1C"/>
    <w:rsid w:val="68DF13C1"/>
    <w:rsid w:val="694C3FAA"/>
    <w:rsid w:val="69C04ABB"/>
    <w:rsid w:val="6ACE4D37"/>
    <w:rsid w:val="6AF87F2E"/>
    <w:rsid w:val="6B180F2E"/>
    <w:rsid w:val="6B311935"/>
    <w:rsid w:val="6BDC2AAF"/>
    <w:rsid w:val="6C0A563E"/>
    <w:rsid w:val="6C2814C5"/>
    <w:rsid w:val="6C5A4886"/>
    <w:rsid w:val="6C787CB5"/>
    <w:rsid w:val="6C7D4C99"/>
    <w:rsid w:val="6CA529D9"/>
    <w:rsid w:val="6CDC65BA"/>
    <w:rsid w:val="6CEC60B2"/>
    <w:rsid w:val="6CF8003C"/>
    <w:rsid w:val="6D346F1D"/>
    <w:rsid w:val="6D5645C6"/>
    <w:rsid w:val="6DD41E64"/>
    <w:rsid w:val="6DE5597F"/>
    <w:rsid w:val="6E0B3D67"/>
    <w:rsid w:val="6E3621C3"/>
    <w:rsid w:val="6F063E1D"/>
    <w:rsid w:val="6F9D213C"/>
    <w:rsid w:val="6FF9508C"/>
    <w:rsid w:val="70134404"/>
    <w:rsid w:val="70CA5526"/>
    <w:rsid w:val="710C4A55"/>
    <w:rsid w:val="71702E1C"/>
    <w:rsid w:val="71753F72"/>
    <w:rsid w:val="718364FC"/>
    <w:rsid w:val="71FD3949"/>
    <w:rsid w:val="72416C20"/>
    <w:rsid w:val="727B60E0"/>
    <w:rsid w:val="72B5333B"/>
    <w:rsid w:val="72D7051A"/>
    <w:rsid w:val="72F25470"/>
    <w:rsid w:val="73505624"/>
    <w:rsid w:val="7358133C"/>
    <w:rsid w:val="735925A6"/>
    <w:rsid w:val="7396760B"/>
    <w:rsid w:val="73B20910"/>
    <w:rsid w:val="73E814A3"/>
    <w:rsid w:val="743177FA"/>
    <w:rsid w:val="74764121"/>
    <w:rsid w:val="74966354"/>
    <w:rsid w:val="753C525D"/>
    <w:rsid w:val="754325DD"/>
    <w:rsid w:val="755842E4"/>
    <w:rsid w:val="76232811"/>
    <w:rsid w:val="762413AC"/>
    <w:rsid w:val="762A7030"/>
    <w:rsid w:val="76954AB3"/>
    <w:rsid w:val="76AA3816"/>
    <w:rsid w:val="77667C2A"/>
    <w:rsid w:val="77856B57"/>
    <w:rsid w:val="77A82052"/>
    <w:rsid w:val="780D5BA7"/>
    <w:rsid w:val="78592AE1"/>
    <w:rsid w:val="786C1502"/>
    <w:rsid w:val="79905F4F"/>
    <w:rsid w:val="79933F0B"/>
    <w:rsid w:val="7B0217E6"/>
    <w:rsid w:val="7B1A1FD7"/>
    <w:rsid w:val="7B850568"/>
    <w:rsid w:val="7BC01697"/>
    <w:rsid w:val="7BE84E85"/>
    <w:rsid w:val="7C964439"/>
    <w:rsid w:val="7CB0081C"/>
    <w:rsid w:val="7CD87D80"/>
    <w:rsid w:val="7D7944BD"/>
    <w:rsid w:val="7DE9582C"/>
    <w:rsid w:val="7E4F093D"/>
    <w:rsid w:val="7E757799"/>
    <w:rsid w:val="7F015A64"/>
    <w:rsid w:val="7F3C09A1"/>
    <w:rsid w:val="7F5A63A1"/>
    <w:rsid w:val="7F7B4D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3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9"/>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2"/>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4"/>
    <w:unhideWhenUsed/>
    <w:uiPriority w:val="99"/>
    <w:pPr>
      <w:tabs>
        <w:tab w:val="center" w:pos="4153"/>
        <w:tab w:val="right" w:pos="8306"/>
      </w:tabs>
      <w:snapToGrid w:val="0"/>
      <w:jc w:val="left"/>
    </w:pPr>
    <w:rPr>
      <w:kern w:val="0"/>
      <w:sz w:val="18"/>
      <w:szCs w:val="18"/>
    </w:rPr>
  </w:style>
  <w:style w:type="paragraph" w:styleId="10">
    <w:name w:val="header"/>
    <w:basedOn w:val="1"/>
    <w:link w:val="28"/>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23"/>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2 字符"/>
    <w:link w:val="3"/>
    <w:uiPriority w:val="9"/>
    <w:rPr>
      <w:rFonts w:ascii="Cambria" w:hAnsi="Cambria" w:eastAsia="宋体" w:cs="Times New Roman"/>
      <w:b/>
      <w:bCs/>
      <w:sz w:val="32"/>
      <w:szCs w:val="32"/>
    </w:rPr>
  </w:style>
  <w:style w:type="character" w:customStyle="1" w:styleId="22">
    <w:name w:val="日期 字符"/>
    <w:basedOn w:val="16"/>
    <w:link w:val="7"/>
    <w:semiHidden/>
    <w:uiPriority w:val="99"/>
  </w:style>
  <w:style w:type="character" w:customStyle="1" w:styleId="23">
    <w:name w:val="批注主题 字符"/>
    <w:link w:val="14"/>
    <w:semiHidden/>
    <w:uiPriority w:val="99"/>
    <w:rPr>
      <w:b/>
      <w:bCs/>
      <w:kern w:val="2"/>
      <w:sz w:val="21"/>
      <w:szCs w:val="22"/>
    </w:rPr>
  </w:style>
  <w:style w:type="character" w:customStyle="1" w:styleId="24">
    <w:name w:val="页脚 字符"/>
    <w:link w:val="9"/>
    <w:uiPriority w:val="99"/>
    <w:rPr>
      <w:sz w:val="18"/>
      <w:szCs w:val="18"/>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标题 3 字符"/>
    <w:link w:val="4"/>
    <w:uiPriority w:val="1"/>
    <w:rPr>
      <w:rFonts w:ascii="宋体" w:hAnsi="Times New Roman" w:eastAsia="宋体" w:cs="宋体"/>
      <w:b/>
      <w:bCs/>
      <w:kern w:val="0"/>
      <w:szCs w:val="21"/>
    </w:rPr>
  </w:style>
  <w:style w:type="character" w:customStyle="1" w:styleId="27">
    <w:name w:val="批注框文本 字符"/>
    <w:link w:val="8"/>
    <w:semiHidden/>
    <w:uiPriority w:val="99"/>
    <w:rPr>
      <w:sz w:val="18"/>
      <w:szCs w:val="18"/>
    </w:rPr>
  </w:style>
  <w:style w:type="character" w:customStyle="1" w:styleId="28">
    <w:name w:val="页眉 字符"/>
    <w:link w:val="10"/>
    <w:uiPriority w:val="99"/>
    <w:rPr>
      <w:sz w:val="18"/>
      <w:szCs w:val="18"/>
    </w:rPr>
  </w:style>
  <w:style w:type="character" w:customStyle="1" w:styleId="29">
    <w:name w:val="批注文字 字符"/>
    <w:link w:val="5"/>
    <w:uiPriority w:val="99"/>
    <w:rPr>
      <w:kern w:val="2"/>
      <w:sz w:val="21"/>
      <w:szCs w:val="22"/>
    </w:rPr>
  </w:style>
  <w:style w:type="character" w:customStyle="1" w:styleId="30">
    <w:name w:val="脚注文本 字符"/>
    <w:semiHidden/>
    <w:uiPriority w:val="99"/>
    <w:rPr>
      <w:kern w:val="2"/>
      <w:sz w:val="18"/>
      <w:szCs w:val="18"/>
    </w:rPr>
  </w:style>
  <w:style w:type="character" w:customStyle="1" w:styleId="31">
    <w:name w:val="脚注文本 字符1"/>
    <w:link w:val="11"/>
    <w:semiHidden/>
    <w:uiPriority w:val="99"/>
    <w:rPr>
      <w:kern w:val="2"/>
      <w:sz w:val="18"/>
      <w:szCs w:val="18"/>
    </w:rPr>
  </w:style>
  <w:style w:type="character" w:customStyle="1" w:styleId="32">
    <w:name w:val="标题 1 字符"/>
    <w:link w:val="2"/>
    <w:uiPriority w:val="1"/>
    <w:rPr>
      <w:rFonts w:ascii="黑体" w:hAnsi="Times New Roman" w:eastAsia="黑体" w:cs="黑体"/>
      <w:b/>
      <w:bCs/>
      <w:kern w:val="0"/>
      <w:sz w:val="36"/>
      <w:szCs w:val="36"/>
    </w:r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
    <w:semiHidden/>
    <w:uiPriority w:val="99"/>
    <w:rPr>
      <w:kern w:val="2"/>
      <w:sz w:val="21"/>
      <w:szCs w:val="22"/>
      <w:lang w:val="en-US" w:eastAsia="zh-CN" w:bidi="ar-SA"/>
    </w:rPr>
  </w:style>
  <w:style w:type="paragraph" w:styleId="3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3198</Characters>
  <Lines>26</Lines>
  <Paragraphs>7</Paragraphs>
  <TotalTime>0</TotalTime>
  <ScaleCrop>false</ScaleCrop>
  <LinksUpToDate>false</LinksUpToDate>
  <CharactersWithSpaces>3751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2024-06-17T06:38:00Z</cp:lastPrinted>
  <dcterms:modified xsi:type="dcterms:W3CDTF">2025-04-24T00:42:25Z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