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626846" w14:textId="77777777" w:rsidR="005E5F89" w:rsidRDefault="009F1589">
      <w:pPr>
        <w:pStyle w:val="1"/>
        <w:keepNext w:val="0"/>
        <w:keepLines w:val="0"/>
        <w:spacing w:before="0" w:after="0" w:line="560" w:lineRule="exact"/>
        <w:contextualSpacing/>
        <w:jc w:val="center"/>
        <w:rPr>
          <w:rFonts w:eastAsia="方正小标宋_GBK"/>
          <w:b w:val="0"/>
        </w:rPr>
      </w:pPr>
      <w:r>
        <w:rPr>
          <w:rFonts w:eastAsia="方正小标宋_GBK"/>
          <w:b w:val="0"/>
        </w:rPr>
        <w:t>新昌农商银行</w:t>
      </w:r>
      <w:r>
        <w:rPr>
          <w:rFonts w:eastAsia="方正小标宋_GBK"/>
          <w:b w:val="0"/>
        </w:rPr>
        <w:t>2024</w:t>
      </w:r>
      <w:r>
        <w:rPr>
          <w:rFonts w:eastAsia="方正小标宋_GBK"/>
          <w:b w:val="0"/>
        </w:rPr>
        <w:t>年度董事会</w:t>
      </w:r>
    </w:p>
    <w:p w14:paraId="02CBE98D" w14:textId="77777777" w:rsidR="005E5F89" w:rsidRDefault="009F1589">
      <w:pPr>
        <w:pStyle w:val="1"/>
        <w:keepNext w:val="0"/>
        <w:keepLines w:val="0"/>
        <w:spacing w:before="0" w:after="0" w:line="560" w:lineRule="exact"/>
        <w:contextualSpacing/>
        <w:jc w:val="center"/>
        <w:rPr>
          <w:rFonts w:eastAsia="方正小标宋_GBK"/>
          <w:b w:val="0"/>
        </w:rPr>
      </w:pPr>
      <w:r>
        <w:rPr>
          <w:rFonts w:eastAsia="方正小标宋_GBK"/>
          <w:b w:val="0"/>
        </w:rPr>
        <w:t>工作报告（草案）</w:t>
      </w:r>
    </w:p>
    <w:p w14:paraId="42751E9E" w14:textId="77777777" w:rsidR="005E5F89" w:rsidRDefault="005E5F89">
      <w:pPr>
        <w:pStyle w:val="a6"/>
        <w:widowControl w:val="0"/>
        <w:spacing w:before="0" w:beforeAutospacing="0" w:after="0" w:afterAutospacing="0" w:line="560" w:lineRule="exact"/>
        <w:ind w:firstLineChars="200" w:firstLine="640"/>
        <w:contextualSpacing/>
        <w:jc w:val="both"/>
        <w:rPr>
          <w:rFonts w:ascii="Times New Roman" w:eastAsia="仿宋_GB2312" w:hAnsi="Times New Roman"/>
          <w:sz w:val="32"/>
          <w:szCs w:val="32"/>
        </w:rPr>
      </w:pPr>
    </w:p>
    <w:p w14:paraId="7C0EE89A" w14:textId="77777777" w:rsidR="005E5F89" w:rsidRDefault="009F1589">
      <w:pPr>
        <w:pStyle w:val="a6"/>
        <w:widowControl w:val="0"/>
        <w:spacing w:before="0" w:beforeAutospacing="0" w:after="0" w:afterAutospacing="0" w:line="560" w:lineRule="exact"/>
        <w:ind w:firstLine="200"/>
        <w:contextualSpacing/>
        <w:jc w:val="both"/>
        <w:rPr>
          <w:rFonts w:ascii="Times New Roman" w:eastAsia="仿宋_GB2312" w:hAnsi="Times New Roman"/>
          <w:sz w:val="32"/>
          <w:szCs w:val="32"/>
        </w:rPr>
      </w:pPr>
      <w:r>
        <w:rPr>
          <w:rFonts w:ascii="Times New Roman" w:eastAsia="仿宋_GB2312" w:hAnsi="Times New Roman"/>
          <w:sz w:val="32"/>
          <w:szCs w:val="32"/>
        </w:rPr>
        <w:t>各位董事：</w:t>
      </w:r>
    </w:p>
    <w:p w14:paraId="22FE8A6C" w14:textId="77777777" w:rsidR="005E5F89" w:rsidRDefault="009F1589">
      <w:pPr>
        <w:pStyle w:val="GB2312"/>
        <w:widowControl w:val="0"/>
        <w:spacing w:line="560" w:lineRule="exact"/>
        <w:ind w:firstLine="640"/>
        <w:jc w:val="both"/>
        <w:rPr>
          <w:rFonts w:ascii="Times New Roman" w:hAnsi="Times New Roman" w:cs="Times New Roman"/>
          <w:color w:val="auto"/>
          <w:sz w:val="32"/>
          <w:szCs w:val="32"/>
        </w:rPr>
      </w:pPr>
      <w:r>
        <w:rPr>
          <w:rFonts w:ascii="Times New Roman" w:hAnsi="Times New Roman" w:cs="Times New Roman"/>
          <w:sz w:val="32"/>
          <w:szCs w:val="32"/>
        </w:rPr>
        <w:t>2024</w:t>
      </w:r>
      <w:r>
        <w:rPr>
          <w:rFonts w:ascii="Times New Roman" w:hAnsi="Times New Roman" w:cs="Times New Roman"/>
          <w:sz w:val="32"/>
          <w:szCs w:val="32"/>
        </w:rPr>
        <w:t>年是本行全面贯彻党的二十大精神、深化普惠金融改革的关键一年。面对复杂多变的经济环境和激烈的行业竞争，本行董事会带领全行员工锐意进取，积极应对挑战，坚持</w:t>
      </w:r>
      <w:r>
        <w:rPr>
          <w:rFonts w:ascii="Times New Roman" w:hAnsi="Times New Roman" w:cs="Times New Roman"/>
          <w:sz w:val="32"/>
          <w:szCs w:val="32"/>
        </w:rPr>
        <w:t>“</w:t>
      </w:r>
      <w:r>
        <w:rPr>
          <w:rFonts w:ascii="Times New Roman" w:hAnsi="Times New Roman" w:cs="Times New Roman"/>
          <w:sz w:val="32"/>
          <w:szCs w:val="32"/>
        </w:rPr>
        <w:t>稳字当头、稳中求进、进中提质</w:t>
      </w:r>
      <w:r>
        <w:rPr>
          <w:rFonts w:ascii="Times New Roman" w:hAnsi="Times New Roman" w:cs="Times New Roman"/>
          <w:sz w:val="32"/>
          <w:szCs w:val="32"/>
        </w:rPr>
        <w:t>”</w:t>
      </w:r>
      <w:r>
        <w:rPr>
          <w:rFonts w:ascii="Times New Roman" w:hAnsi="Times New Roman" w:cs="Times New Roman"/>
          <w:sz w:val="32"/>
          <w:szCs w:val="32"/>
        </w:rPr>
        <w:t>的总基调，以高质量发展为主线，聚焦助力经济稳进提质，统筹推进风险防控、数字化转型和业务创新，实现规模、效益、质量、服务能力协调发展，引领全行在稳定经营和健康可持续发展的道路上行稳致远。</w:t>
      </w:r>
    </w:p>
    <w:p w14:paraId="3F21D40C" w14:textId="77777777" w:rsidR="005E5F89" w:rsidRDefault="009F1589">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w:t>
      </w:r>
      <w:r>
        <w:rPr>
          <w:rFonts w:ascii="Times New Roman" w:eastAsia="黑体" w:hAnsi="Times New Roman" w:cs="Times New Roman"/>
          <w:sz w:val="32"/>
          <w:szCs w:val="32"/>
        </w:rPr>
        <w:t>2024</w:t>
      </w:r>
      <w:r>
        <w:rPr>
          <w:rFonts w:ascii="Times New Roman" w:eastAsia="黑体" w:hAnsi="Times New Roman" w:cs="Times New Roman"/>
          <w:sz w:val="32"/>
          <w:szCs w:val="32"/>
        </w:rPr>
        <w:t>年主要发展成果</w:t>
      </w:r>
    </w:p>
    <w:p w14:paraId="0583044A"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至</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年末，全行资产总额</w:t>
      </w:r>
      <w:r>
        <w:rPr>
          <w:rFonts w:ascii="Times New Roman" w:eastAsia="仿宋_GB2312" w:hAnsi="Times New Roman" w:cs="Times New Roman"/>
          <w:sz w:val="32"/>
          <w:szCs w:val="32"/>
        </w:rPr>
        <w:t>389.39</w:t>
      </w:r>
      <w:r>
        <w:rPr>
          <w:rFonts w:ascii="Times New Roman" w:eastAsia="仿宋_GB2312" w:hAnsi="Times New Roman" w:cs="Times New Roman"/>
          <w:sz w:val="32"/>
          <w:szCs w:val="32"/>
        </w:rPr>
        <w:t>亿元，比年初上升</w:t>
      </w:r>
      <w:r>
        <w:rPr>
          <w:rFonts w:ascii="Times New Roman" w:eastAsia="仿宋_GB2312" w:hAnsi="Times New Roman" w:cs="Times New Roman"/>
          <w:sz w:val="32"/>
          <w:szCs w:val="32"/>
        </w:rPr>
        <w:t>44.89</w:t>
      </w:r>
      <w:r>
        <w:rPr>
          <w:rFonts w:ascii="Times New Roman" w:eastAsia="仿宋_GB2312" w:hAnsi="Times New Roman" w:cs="Times New Roman"/>
          <w:sz w:val="32"/>
          <w:szCs w:val="32"/>
        </w:rPr>
        <w:t>亿元，增幅</w:t>
      </w:r>
      <w:r>
        <w:rPr>
          <w:rFonts w:ascii="Times New Roman" w:eastAsia="仿宋_GB2312" w:hAnsi="Times New Roman" w:cs="Times New Roman"/>
          <w:sz w:val="32"/>
          <w:szCs w:val="32"/>
        </w:rPr>
        <w:t>13.03%</w:t>
      </w:r>
      <w:r>
        <w:rPr>
          <w:rFonts w:ascii="Times New Roman" w:eastAsia="仿宋_GB2312" w:hAnsi="Times New Roman" w:cs="Times New Roman"/>
          <w:sz w:val="32"/>
          <w:szCs w:val="32"/>
        </w:rPr>
        <w:t>；全行各项存款余额</w:t>
      </w:r>
      <w:r>
        <w:rPr>
          <w:rFonts w:ascii="Times New Roman" w:eastAsia="仿宋_GB2312" w:hAnsi="Times New Roman" w:cs="Times New Roman"/>
          <w:sz w:val="32"/>
          <w:szCs w:val="32"/>
        </w:rPr>
        <w:t>330.50</w:t>
      </w:r>
      <w:r>
        <w:rPr>
          <w:rFonts w:ascii="Times New Roman" w:eastAsia="仿宋_GB2312" w:hAnsi="Times New Roman" w:cs="Times New Roman"/>
          <w:sz w:val="32"/>
          <w:szCs w:val="32"/>
        </w:rPr>
        <w:t>亿元，较年初上升</w:t>
      </w:r>
      <w:r>
        <w:rPr>
          <w:rFonts w:ascii="Times New Roman" w:eastAsia="仿宋_GB2312" w:hAnsi="Times New Roman" w:cs="Times New Roman"/>
          <w:sz w:val="32"/>
          <w:szCs w:val="32"/>
        </w:rPr>
        <w:t>40.99</w:t>
      </w:r>
      <w:r>
        <w:rPr>
          <w:rFonts w:ascii="Times New Roman" w:eastAsia="仿宋_GB2312" w:hAnsi="Times New Roman" w:cs="Times New Roman"/>
          <w:sz w:val="32"/>
          <w:szCs w:val="32"/>
        </w:rPr>
        <w:t>亿元，增幅</w:t>
      </w:r>
      <w:r>
        <w:rPr>
          <w:rFonts w:ascii="Times New Roman" w:eastAsia="仿宋_GB2312" w:hAnsi="Times New Roman" w:cs="Times New Roman"/>
          <w:sz w:val="32"/>
          <w:szCs w:val="32"/>
        </w:rPr>
        <w:t>14.16%</w:t>
      </w:r>
      <w:r>
        <w:rPr>
          <w:rFonts w:ascii="Times New Roman" w:eastAsia="仿宋_GB2312" w:hAnsi="Times New Roman" w:cs="Times New Roman"/>
          <w:sz w:val="32"/>
          <w:szCs w:val="32"/>
        </w:rPr>
        <w:t>；各项贷款余额</w:t>
      </w:r>
      <w:r>
        <w:rPr>
          <w:rFonts w:ascii="Times New Roman" w:eastAsia="仿宋_GB2312" w:hAnsi="Times New Roman" w:cs="Times New Roman"/>
          <w:sz w:val="32"/>
          <w:szCs w:val="32"/>
        </w:rPr>
        <w:t>223.10</w:t>
      </w:r>
      <w:r>
        <w:rPr>
          <w:rFonts w:ascii="Times New Roman" w:eastAsia="仿宋_GB2312" w:hAnsi="Times New Roman" w:cs="Times New Roman"/>
          <w:sz w:val="32"/>
          <w:szCs w:val="32"/>
        </w:rPr>
        <w:t>亿元，较年初上升</w:t>
      </w:r>
      <w:r>
        <w:rPr>
          <w:rFonts w:ascii="Times New Roman" w:eastAsia="仿宋_GB2312" w:hAnsi="Times New Roman" w:cs="Times New Roman"/>
          <w:sz w:val="32"/>
          <w:szCs w:val="32"/>
        </w:rPr>
        <w:t>18.26</w:t>
      </w:r>
      <w:r>
        <w:rPr>
          <w:rFonts w:ascii="Times New Roman" w:eastAsia="仿宋_GB2312" w:hAnsi="Times New Roman" w:cs="Times New Roman"/>
          <w:sz w:val="32"/>
          <w:szCs w:val="32"/>
        </w:rPr>
        <w:t>亿元，增幅</w:t>
      </w:r>
      <w:r>
        <w:rPr>
          <w:rFonts w:ascii="Times New Roman" w:eastAsia="仿宋_GB2312" w:hAnsi="Times New Roman" w:cs="Times New Roman"/>
          <w:sz w:val="32"/>
          <w:szCs w:val="32"/>
        </w:rPr>
        <w:t>8.91%</w:t>
      </w:r>
      <w:r>
        <w:rPr>
          <w:rFonts w:ascii="Times New Roman" w:eastAsia="仿宋_GB2312" w:hAnsi="Times New Roman" w:cs="Times New Roman"/>
          <w:sz w:val="32"/>
          <w:szCs w:val="32"/>
        </w:rPr>
        <w:t>；实现利润总额</w:t>
      </w:r>
      <w:r>
        <w:rPr>
          <w:rFonts w:ascii="Times New Roman" w:eastAsia="仿宋_GB2312" w:hAnsi="Times New Roman" w:cs="Times New Roman"/>
          <w:sz w:val="32"/>
          <w:szCs w:val="32"/>
        </w:rPr>
        <w:t>2.77</w:t>
      </w:r>
      <w:r>
        <w:rPr>
          <w:rFonts w:ascii="Times New Roman" w:eastAsia="仿宋_GB2312" w:hAnsi="Times New Roman" w:cs="Times New Roman"/>
          <w:sz w:val="32"/>
          <w:szCs w:val="32"/>
        </w:rPr>
        <w:t>亿元，同比增加</w:t>
      </w:r>
      <w:r>
        <w:rPr>
          <w:rFonts w:ascii="Times New Roman" w:eastAsia="仿宋_GB2312" w:hAnsi="Times New Roman" w:cs="Times New Roman"/>
          <w:sz w:val="32"/>
          <w:szCs w:val="32"/>
        </w:rPr>
        <w:t>0.32</w:t>
      </w:r>
      <w:r>
        <w:rPr>
          <w:rFonts w:ascii="Times New Roman" w:eastAsia="仿宋_GB2312" w:hAnsi="Times New Roman" w:cs="Times New Roman"/>
          <w:sz w:val="32"/>
          <w:szCs w:val="32"/>
        </w:rPr>
        <w:t>亿元。不良贷款率</w:t>
      </w:r>
      <w:r>
        <w:rPr>
          <w:rFonts w:ascii="Times New Roman" w:eastAsia="仿宋_GB2312" w:hAnsi="Times New Roman" w:cs="Times New Roman"/>
          <w:sz w:val="32"/>
          <w:szCs w:val="32"/>
        </w:rPr>
        <w:t>0.77%</w:t>
      </w:r>
      <w:r>
        <w:rPr>
          <w:rFonts w:ascii="Times New Roman" w:eastAsia="仿宋_GB2312" w:hAnsi="Times New Roman" w:cs="Times New Roman"/>
          <w:sz w:val="32"/>
          <w:szCs w:val="32"/>
        </w:rPr>
        <w:t>，拨备覆盖率</w:t>
      </w:r>
      <w:r>
        <w:rPr>
          <w:rFonts w:ascii="Times New Roman" w:eastAsia="仿宋_GB2312" w:hAnsi="Times New Roman" w:cs="Times New Roman"/>
          <w:sz w:val="32"/>
          <w:szCs w:val="32"/>
        </w:rPr>
        <w:t>461.85%</w:t>
      </w:r>
      <w:r>
        <w:rPr>
          <w:rFonts w:ascii="Times New Roman" w:eastAsia="仿宋_GB2312" w:hAnsi="Times New Roman" w:cs="Times New Roman"/>
          <w:sz w:val="32"/>
          <w:szCs w:val="32"/>
        </w:rPr>
        <w:t>，资本充足率</w:t>
      </w:r>
      <w:r>
        <w:rPr>
          <w:rFonts w:ascii="Times New Roman" w:eastAsia="仿宋_GB2312" w:hAnsi="Times New Roman" w:cs="Times New Roman"/>
          <w:sz w:val="32"/>
          <w:szCs w:val="32"/>
        </w:rPr>
        <w:t>15.67%</w:t>
      </w:r>
      <w:r>
        <w:rPr>
          <w:rFonts w:ascii="Times New Roman" w:eastAsia="仿宋_GB2312" w:hAnsi="Times New Roman" w:cs="Times New Roman"/>
          <w:sz w:val="32"/>
          <w:szCs w:val="32"/>
        </w:rPr>
        <w:t>。存贷款市场份额分别为</w:t>
      </w:r>
      <w:r>
        <w:rPr>
          <w:rFonts w:ascii="Times New Roman" w:eastAsia="仿宋_GB2312" w:hAnsi="Times New Roman" w:cs="Times New Roman"/>
          <w:sz w:val="32"/>
          <w:szCs w:val="32"/>
        </w:rPr>
        <w:t>29.3%</w:t>
      </w:r>
      <w:r>
        <w:rPr>
          <w:rFonts w:ascii="Times New Roman" w:eastAsia="仿宋_GB2312" w:hAnsi="Times New Roman" w:cs="Times New Roman"/>
          <w:sz w:val="32"/>
          <w:szCs w:val="32"/>
        </w:rPr>
        <w:t>和</w:t>
      </w:r>
      <w:r>
        <w:rPr>
          <w:rFonts w:ascii="Times New Roman" w:eastAsia="仿宋_GB2312" w:hAnsi="Times New Roman" w:cs="Times New Roman"/>
          <w:sz w:val="32"/>
          <w:szCs w:val="32"/>
        </w:rPr>
        <w:t>17.2%</w:t>
      </w:r>
      <w:r>
        <w:rPr>
          <w:rFonts w:ascii="Times New Roman" w:eastAsia="仿宋_GB2312" w:hAnsi="Times New Roman" w:cs="Times New Roman"/>
          <w:sz w:val="32"/>
          <w:szCs w:val="32"/>
        </w:rPr>
        <w:t>，存贷款规模和增量稳居全县银行业首位。</w:t>
      </w:r>
    </w:p>
    <w:p w14:paraId="0A208DF5" w14:textId="2D17D509" w:rsidR="005E5F89" w:rsidRDefault="009F1589">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sz w:val="32"/>
          <w:szCs w:val="32"/>
        </w:rPr>
        <w:t>全年缴纳税收总额</w:t>
      </w:r>
      <w:r>
        <w:rPr>
          <w:rFonts w:ascii="Times New Roman" w:eastAsia="仿宋_GB2312" w:hAnsi="Times New Roman" w:cs="Times New Roman" w:hint="eastAsia"/>
          <w:sz w:val="32"/>
          <w:szCs w:val="32"/>
        </w:rPr>
        <w:t>1.06</w:t>
      </w:r>
      <w:r>
        <w:rPr>
          <w:rFonts w:ascii="Times New Roman" w:eastAsia="仿宋_GB2312" w:hAnsi="Times New Roman" w:cs="Times New Roman"/>
          <w:sz w:val="32"/>
          <w:szCs w:val="32"/>
        </w:rPr>
        <w:t>亿元，是全县对地方税收贡献最大的金融机构。荣获</w:t>
      </w:r>
      <w:r>
        <w:rPr>
          <w:rFonts w:ascii="Times New Roman" w:eastAsia="仿宋_GB2312" w:hAnsi="Times New Roman" w:cs="Times New Roman"/>
          <w:sz w:val="32"/>
          <w:szCs w:val="32"/>
        </w:rPr>
        <w:t>全省优秀档案室、全省青年文明号、系统财富管理条线丰收理财</w:t>
      </w:r>
      <w:bookmarkStart w:id="0" w:name="_GoBack"/>
      <w:bookmarkEnd w:id="0"/>
      <w:r>
        <w:rPr>
          <w:rFonts w:ascii="Times New Roman" w:eastAsia="仿宋_GB2312" w:hAnsi="Times New Roman" w:cs="Times New Roman"/>
          <w:sz w:val="32"/>
          <w:szCs w:val="32"/>
        </w:rPr>
        <w:t>业务优秀奖和理财代销业务优秀奖、全市小微企业信贷政策导向效果评估良好单位、高质量</w:t>
      </w:r>
      <w:r>
        <w:rPr>
          <w:rFonts w:ascii="Times New Roman" w:eastAsia="仿宋_GB2312" w:hAnsi="Times New Roman" w:cs="Times New Roman"/>
          <w:sz w:val="32"/>
          <w:szCs w:val="32"/>
        </w:rPr>
        <w:lastRenderedPageBreak/>
        <w:t>发展领航功臣奖、全县机关部门综合考核第一等次奖等诸多荣誉；</w:t>
      </w:r>
      <w:r>
        <w:rPr>
          <w:rFonts w:ascii="Times New Roman" w:eastAsia="仿宋_GB2312" w:hAnsi="Times New Roman" w:cs="Times New Roman"/>
          <w:sz w:val="32"/>
          <w:szCs w:val="32"/>
        </w:rPr>
        <w:t>“</w:t>
      </w:r>
      <w:r>
        <w:rPr>
          <w:rFonts w:ascii="Times New Roman" w:eastAsia="仿宋_GB2312" w:hAnsi="Times New Roman" w:cs="Times New Roman"/>
          <w:sz w:val="32"/>
          <w:szCs w:val="32"/>
        </w:rPr>
        <w:t>科创指数贷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被央视新闻联播作为落实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小微企业融资协调机制</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经典案例；在服务地方经济、助力民营企业高质量发展等工作多次获县委县政府主要领导批示肯定。</w:t>
      </w:r>
    </w:p>
    <w:p w14:paraId="0C13E5F0" w14:textId="77777777" w:rsidR="005E5F89" w:rsidRDefault="009F1589">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w:t>
      </w:r>
      <w:r>
        <w:rPr>
          <w:rFonts w:ascii="Times New Roman" w:eastAsia="黑体" w:hAnsi="Times New Roman" w:cs="Times New Roman"/>
          <w:sz w:val="32"/>
          <w:szCs w:val="32"/>
        </w:rPr>
        <w:t>2024</w:t>
      </w:r>
      <w:r>
        <w:rPr>
          <w:rFonts w:ascii="Times New Roman" w:eastAsia="黑体" w:hAnsi="Times New Roman" w:cs="Times New Roman"/>
          <w:sz w:val="32"/>
          <w:szCs w:val="32"/>
        </w:rPr>
        <w:t>年董事会主要工作情况</w:t>
      </w:r>
    </w:p>
    <w:p w14:paraId="48EB3231"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（一）聚焦主责主业，服务实体经济成效显著。</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普惠金融精准滴灌。开展</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大走访</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大调研</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大服务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大解题</w:t>
      </w:r>
      <w:r>
        <w:rPr>
          <w:rFonts w:ascii="Times New Roman" w:eastAsia="仿宋_GB2312" w:hAnsi="Times New Roman" w:cs="Times New Roman"/>
          <w:sz w:val="32"/>
          <w:szCs w:val="32"/>
        </w:rPr>
        <w:t>”“</w:t>
      </w:r>
      <w:r>
        <w:rPr>
          <w:rFonts w:ascii="Times New Roman" w:eastAsia="仿宋_GB2312" w:hAnsi="Times New Roman" w:cs="Times New Roman"/>
          <w:sz w:val="32"/>
          <w:szCs w:val="32"/>
        </w:rPr>
        <w:t>红犁</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强基</w:t>
      </w:r>
      <w:r>
        <w:rPr>
          <w:rFonts w:ascii="Times New Roman" w:eastAsia="仿宋_GB2312" w:hAnsi="Times New Roman" w:cs="Times New Roman"/>
          <w:sz w:val="32"/>
          <w:szCs w:val="32"/>
        </w:rPr>
        <w:t>”</w:t>
      </w:r>
      <w:r>
        <w:rPr>
          <w:rFonts w:ascii="Times New Roman" w:eastAsia="仿宋_GB2312" w:hAnsi="Times New Roman" w:cs="Times New Roman"/>
          <w:sz w:val="32"/>
          <w:szCs w:val="32"/>
        </w:rPr>
        <w:t>百日攻坚等专项活动</w:t>
      </w:r>
      <w:r>
        <w:rPr>
          <w:rFonts w:ascii="Times New Roman" w:eastAsia="仿宋_GB2312" w:hAnsi="Times New Roman" w:cs="Times New Roman"/>
          <w:sz w:val="32"/>
          <w:szCs w:val="32"/>
        </w:rPr>
        <w:t>，深耕</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五篇大文章</w:t>
      </w:r>
      <w:r>
        <w:rPr>
          <w:rFonts w:ascii="Times New Roman" w:eastAsia="仿宋_GB2312" w:hAnsi="Times New Roman" w:cs="Times New Roman"/>
          <w:sz w:val="32"/>
          <w:szCs w:val="32"/>
        </w:rPr>
        <w:t>”</w:t>
      </w:r>
      <w:r>
        <w:rPr>
          <w:rFonts w:ascii="Times New Roman" w:eastAsia="仿宋_GB2312" w:hAnsi="Times New Roman" w:cs="Times New Roman"/>
          <w:sz w:val="32"/>
          <w:szCs w:val="32"/>
        </w:rPr>
        <w:t>，加大对绿色低碳、科技创新、专精特新、传统产业改造升级、普惠小微等重点领域的金融支持力度。截至</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年末，普惠领域贷款增长</w:t>
      </w:r>
      <w:r>
        <w:rPr>
          <w:rFonts w:ascii="Times New Roman" w:eastAsia="仿宋_GB2312" w:hAnsi="Times New Roman" w:cs="Times New Roman"/>
          <w:sz w:val="32"/>
          <w:szCs w:val="32"/>
        </w:rPr>
        <w:t>7.44%</w:t>
      </w:r>
      <w:r>
        <w:rPr>
          <w:rFonts w:ascii="Times New Roman" w:eastAsia="仿宋_GB2312" w:hAnsi="Times New Roman" w:cs="Times New Roman"/>
          <w:sz w:val="32"/>
          <w:szCs w:val="32"/>
        </w:rPr>
        <w:t>、绿色贷款增长</w:t>
      </w:r>
      <w:r>
        <w:rPr>
          <w:rFonts w:ascii="Times New Roman" w:eastAsia="仿宋_GB2312" w:hAnsi="Times New Roman" w:cs="Times New Roman"/>
          <w:sz w:val="32"/>
          <w:szCs w:val="32"/>
        </w:rPr>
        <w:t>80.53%</w:t>
      </w:r>
      <w:r>
        <w:rPr>
          <w:rFonts w:ascii="Times New Roman" w:eastAsia="仿宋_GB2312" w:hAnsi="Times New Roman" w:cs="Times New Roman"/>
          <w:sz w:val="32"/>
          <w:szCs w:val="32"/>
        </w:rPr>
        <w:t>、科技企业贷款增长</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。推出全市首个</w:t>
      </w:r>
      <w:r>
        <w:rPr>
          <w:rFonts w:ascii="Times New Roman" w:eastAsia="仿宋_GB2312" w:hAnsi="Times New Roman" w:cs="Times New Roman"/>
          <w:sz w:val="32"/>
          <w:szCs w:val="32"/>
        </w:rPr>
        <w:t>“</w:t>
      </w:r>
      <w:r>
        <w:rPr>
          <w:rFonts w:ascii="Times New Roman" w:eastAsia="仿宋_GB2312" w:hAnsi="Times New Roman" w:cs="Times New Roman"/>
          <w:sz w:val="32"/>
          <w:szCs w:val="32"/>
        </w:rPr>
        <w:t>技能共富贷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，精准支持县内技能人才、劳模、技能型企业等创业创新，目前已向</w:t>
      </w:r>
      <w:r>
        <w:rPr>
          <w:rFonts w:ascii="Times New Roman" w:eastAsia="仿宋_GB2312" w:hAnsi="Times New Roman" w:cs="Times New Roman"/>
          <w:sz w:val="32"/>
          <w:szCs w:val="32"/>
        </w:rPr>
        <w:t>3.7</w:t>
      </w:r>
      <w:r>
        <w:rPr>
          <w:rFonts w:ascii="Times New Roman" w:eastAsia="仿宋_GB2312" w:hAnsi="Times New Roman" w:cs="Times New Roman"/>
          <w:sz w:val="32"/>
          <w:szCs w:val="32"/>
        </w:rPr>
        <w:t>万户技能型人才授信</w:t>
      </w:r>
      <w:r>
        <w:rPr>
          <w:rFonts w:ascii="Times New Roman" w:eastAsia="仿宋_GB2312" w:hAnsi="Times New Roman" w:cs="Times New Roman"/>
          <w:sz w:val="32"/>
          <w:szCs w:val="32"/>
        </w:rPr>
        <w:t>25</w:t>
      </w:r>
      <w:r>
        <w:rPr>
          <w:rFonts w:ascii="Times New Roman" w:eastAsia="仿宋_GB2312" w:hAnsi="Times New Roman" w:cs="Times New Roman"/>
          <w:sz w:val="32"/>
          <w:szCs w:val="32"/>
        </w:rPr>
        <w:t>亿元，用信</w:t>
      </w:r>
      <w:r>
        <w:rPr>
          <w:rFonts w:ascii="Times New Roman" w:eastAsia="仿宋_GB2312" w:hAnsi="Times New Roman" w:cs="Times New Roman"/>
          <w:sz w:val="32"/>
          <w:szCs w:val="32"/>
        </w:rPr>
        <w:t>16</w:t>
      </w:r>
      <w:r>
        <w:rPr>
          <w:rFonts w:ascii="Times New Roman" w:eastAsia="仿宋_GB2312" w:hAnsi="Times New Roman" w:cs="Times New Roman"/>
          <w:sz w:val="32"/>
          <w:szCs w:val="32"/>
        </w:rPr>
        <w:t>亿元；紧跟国家政策推出焕新消费贷和焕新经营贷，发放焕新贷</w:t>
      </w:r>
      <w:r>
        <w:rPr>
          <w:rFonts w:ascii="Times New Roman" w:eastAsia="仿宋_GB2312" w:hAnsi="Times New Roman" w:cs="Times New Roman"/>
          <w:sz w:val="32"/>
          <w:szCs w:val="32"/>
        </w:rPr>
        <w:t>230.6</w:t>
      </w:r>
      <w:r>
        <w:rPr>
          <w:rFonts w:ascii="Times New Roman" w:eastAsia="仿宋_GB2312" w:hAnsi="Times New Roman" w:cs="Times New Roman"/>
          <w:sz w:val="32"/>
          <w:szCs w:val="32"/>
        </w:rPr>
        <w:t>万元，助力全县消费再升级。</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政银企合作全面深化。利用省行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总对总</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战略合作大平台，对接工商联签订战略合作协议，</w:t>
      </w:r>
      <w:r>
        <w:rPr>
          <w:rFonts w:ascii="Times New Roman" w:eastAsia="仿宋_GB2312" w:hAnsi="Times New Roman" w:cs="Times New Roman"/>
          <w:sz w:val="32"/>
          <w:szCs w:val="32"/>
        </w:rPr>
        <w:t>打造</w:t>
      </w:r>
      <w:r>
        <w:rPr>
          <w:rFonts w:ascii="Times New Roman" w:eastAsia="仿宋_GB2312" w:hAnsi="Times New Roman" w:cs="Times New Roman"/>
          <w:sz w:val="32"/>
          <w:szCs w:val="32"/>
        </w:rPr>
        <w:t>“</w:t>
      </w:r>
      <w:r>
        <w:rPr>
          <w:rFonts w:ascii="Times New Roman" w:eastAsia="仿宋_GB2312" w:hAnsi="Times New Roman" w:cs="Times New Roman"/>
          <w:sz w:val="32"/>
          <w:szCs w:val="32"/>
        </w:rPr>
        <w:t>银行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商会</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企业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合作模式，深化一对一对接服务，建立沟通走访机制，提升批量获客能力，强化信息共享和政策协同，推动银企合作持续发展。对接县财政局、县商务局、县</w:t>
      </w:r>
      <w:r>
        <w:rPr>
          <w:rFonts w:ascii="Times New Roman" w:eastAsia="仿宋_GB2312" w:hAnsi="Times New Roman" w:cs="Times New Roman" w:hint="eastAsia"/>
          <w:sz w:val="32"/>
          <w:szCs w:val="32"/>
        </w:rPr>
        <w:t>退役</w:t>
      </w:r>
      <w:r>
        <w:rPr>
          <w:rFonts w:ascii="Times New Roman" w:eastAsia="仿宋_GB2312" w:hAnsi="Times New Roman" w:cs="Times New Roman"/>
          <w:sz w:val="32"/>
          <w:szCs w:val="32"/>
        </w:rPr>
        <w:t>军人事务局等部门，与县医保局联动全市首推医保</w:t>
      </w:r>
      <w:r>
        <w:rPr>
          <w:rFonts w:ascii="Times New Roman" w:eastAsia="仿宋_GB2312" w:hAnsi="Times New Roman" w:cs="Times New Roman"/>
          <w:sz w:val="32"/>
          <w:szCs w:val="32"/>
        </w:rPr>
        <w:t>“</w:t>
      </w:r>
      <w:r>
        <w:rPr>
          <w:rFonts w:ascii="Times New Roman" w:eastAsia="仿宋_GB2312" w:hAnsi="Times New Roman" w:cs="Times New Roman"/>
          <w:sz w:val="32"/>
          <w:szCs w:val="32"/>
        </w:rPr>
        <w:t>刷脸</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支付，并在全市首试养老金融；与县科技局联合推出</w:t>
      </w:r>
      <w:r>
        <w:rPr>
          <w:rFonts w:ascii="Times New Roman" w:eastAsia="仿宋_GB2312" w:hAnsi="Times New Roman" w:cs="Times New Roman"/>
          <w:sz w:val="32"/>
          <w:szCs w:val="32"/>
        </w:rPr>
        <w:t>“</w:t>
      </w:r>
      <w:r>
        <w:rPr>
          <w:rFonts w:ascii="Times New Roman" w:eastAsia="仿宋_GB2312" w:hAnsi="Times New Roman" w:cs="Times New Roman"/>
          <w:sz w:val="32"/>
          <w:szCs w:val="32"/>
        </w:rPr>
        <w:t>科创指数贷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贷款产品，通过扩大金融朋友圈，推动贷款增量扩面及结构优化。升级便民服务站为丰收驿站</w:t>
      </w:r>
      <w:r>
        <w:rPr>
          <w:rFonts w:ascii="Times New Roman" w:eastAsia="仿宋_GB2312" w:hAnsi="Times New Roman" w:cs="Times New Roman"/>
          <w:sz w:val="32"/>
          <w:szCs w:val="32"/>
        </w:rPr>
        <w:t>·</w:t>
      </w:r>
      <w:r>
        <w:rPr>
          <w:rFonts w:ascii="Times New Roman" w:eastAsia="仿宋_GB2312" w:hAnsi="Times New Roman" w:cs="Times New Roman"/>
          <w:sz w:val="32"/>
          <w:szCs w:val="32"/>
        </w:rPr>
        <w:t>金融大管家，以</w:t>
      </w:r>
      <w:r>
        <w:rPr>
          <w:rFonts w:ascii="Times New Roman" w:eastAsia="仿宋_GB2312" w:hAnsi="Times New Roman" w:cs="Times New Roman"/>
          <w:sz w:val="32"/>
          <w:szCs w:val="32"/>
        </w:rPr>
        <w:t>“</w:t>
      </w:r>
      <w:r>
        <w:rPr>
          <w:rFonts w:ascii="Times New Roman" w:eastAsia="仿宋_GB2312" w:hAnsi="Times New Roman" w:cs="Times New Roman"/>
          <w:sz w:val="32"/>
          <w:szCs w:val="32"/>
        </w:rPr>
        <w:t>村级便</w:t>
      </w:r>
      <w:r>
        <w:rPr>
          <w:rFonts w:ascii="Times New Roman" w:eastAsia="仿宋_GB2312" w:hAnsi="Times New Roman" w:cs="Times New Roman"/>
          <w:sz w:val="32"/>
          <w:szCs w:val="32"/>
        </w:rPr>
        <w:lastRenderedPageBreak/>
        <w:t>民服务中心</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丰收驿站</w:t>
      </w:r>
      <w:r>
        <w:rPr>
          <w:rFonts w:ascii="Times New Roman" w:eastAsia="仿宋_GB2312" w:hAnsi="Times New Roman" w:cs="Times New Roman"/>
          <w:sz w:val="32"/>
          <w:szCs w:val="32"/>
        </w:rPr>
        <w:t>”</w:t>
      </w:r>
      <w:r>
        <w:rPr>
          <w:rFonts w:ascii="Times New Roman" w:eastAsia="仿宋_GB2312" w:hAnsi="Times New Roman" w:cs="Times New Roman"/>
          <w:sz w:val="32"/>
          <w:szCs w:val="32"/>
        </w:rPr>
        <w:t>模式，将</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资金流、信息流、实物流</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三合一，提升综合性金融服务能力，满足农村农民多层次的金融需求。</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共</w:t>
      </w:r>
      <w:r>
        <w:rPr>
          <w:rFonts w:ascii="Times New Roman" w:eastAsia="仿宋_GB2312" w:hAnsi="Times New Roman" w:cs="Times New Roman"/>
          <w:sz w:val="32"/>
          <w:szCs w:val="32"/>
        </w:rPr>
        <w:t>同富裕持续加力。围绕农业现代化工程、特色农业强镇、富民消薄工程，全力推进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农村更美、农业更强、农民更富</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的乡村振兴发展。开展链条式集群型金融服务，打造茶产业链专属金融产品，向茗茶协会授信</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亿元，向茶农、茶商、茶企等发放贷款</w:t>
      </w:r>
      <w:r>
        <w:rPr>
          <w:rFonts w:ascii="Times New Roman" w:eastAsia="仿宋_GB2312" w:hAnsi="Times New Roman" w:cs="Times New Roman"/>
          <w:sz w:val="32"/>
          <w:szCs w:val="32"/>
        </w:rPr>
        <w:t>5.3</w:t>
      </w:r>
      <w:r>
        <w:rPr>
          <w:rFonts w:ascii="Times New Roman" w:eastAsia="仿宋_GB2312" w:hAnsi="Times New Roman" w:cs="Times New Roman"/>
          <w:sz w:val="32"/>
          <w:szCs w:val="32"/>
        </w:rPr>
        <w:t>亿元。成为县</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挂单奔中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帮扶服务团唯一银行，从产业帮扶、创业帮扶、养老照护、慈善关爱等各个方面，建立和完善低收入群体</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挂单奔中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长效帮扶机制，</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年向东茗乡、小将镇等乡镇奔中共富共计授信</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亿元。推进财金助力扩中家庭项目，通过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财政</w:t>
      </w:r>
      <w:r>
        <w:rPr>
          <w:rFonts w:ascii="Times New Roman" w:eastAsia="仿宋_GB2312" w:hAnsi="Times New Roman" w:cs="Times New Roman"/>
          <w:sz w:val="32"/>
          <w:szCs w:val="32"/>
        </w:rPr>
        <w:t>+</w:t>
      </w:r>
      <w:r>
        <w:rPr>
          <w:rFonts w:ascii="Times New Roman" w:eastAsia="仿宋_GB2312" w:hAnsi="Times New Roman" w:cs="Times New Roman"/>
          <w:sz w:val="32"/>
          <w:szCs w:val="32"/>
        </w:rPr>
        <w:t>金融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双向助力，以</w:t>
      </w:r>
      <w:r>
        <w:rPr>
          <w:rFonts w:ascii="Times New Roman" w:eastAsia="仿宋_GB2312" w:hAnsi="Times New Roman" w:cs="Times New Roman"/>
          <w:sz w:val="32"/>
          <w:szCs w:val="32"/>
        </w:rPr>
        <w:t>“</w:t>
      </w:r>
      <w:r>
        <w:rPr>
          <w:rFonts w:ascii="Times New Roman" w:eastAsia="仿宋_GB2312" w:hAnsi="Times New Roman" w:cs="Times New Roman"/>
          <w:sz w:val="32"/>
          <w:szCs w:val="32"/>
        </w:rPr>
        <w:t>补贴</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让利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实现贷款利率优</w:t>
      </w:r>
      <w:r>
        <w:rPr>
          <w:rFonts w:ascii="Times New Roman" w:eastAsia="仿宋_GB2312" w:hAnsi="Times New Roman" w:cs="Times New Roman"/>
          <w:sz w:val="32"/>
          <w:szCs w:val="32"/>
        </w:rPr>
        <w:t>惠。创新推出共富贷、社工贷等系列贷款产品，走访扩中家庭</w:t>
      </w:r>
      <w:r>
        <w:rPr>
          <w:rFonts w:ascii="Times New Roman" w:eastAsia="仿宋_GB2312" w:hAnsi="Times New Roman" w:cs="Times New Roman"/>
          <w:sz w:val="32"/>
          <w:szCs w:val="32"/>
        </w:rPr>
        <w:t>2100</w:t>
      </w:r>
      <w:r>
        <w:rPr>
          <w:rFonts w:ascii="Times New Roman" w:eastAsia="仿宋_GB2312" w:hAnsi="Times New Roman" w:cs="Times New Roman"/>
          <w:sz w:val="32"/>
          <w:szCs w:val="32"/>
        </w:rPr>
        <w:t>余户，授信</w:t>
      </w:r>
      <w:r>
        <w:rPr>
          <w:rFonts w:ascii="Times New Roman" w:eastAsia="仿宋_GB2312" w:hAnsi="Times New Roman" w:cs="Times New Roman"/>
          <w:sz w:val="32"/>
          <w:szCs w:val="32"/>
        </w:rPr>
        <w:t>1700</w:t>
      </w:r>
      <w:r>
        <w:rPr>
          <w:rFonts w:ascii="Times New Roman" w:eastAsia="仿宋_GB2312" w:hAnsi="Times New Roman" w:cs="Times New Roman"/>
          <w:sz w:val="32"/>
          <w:szCs w:val="32"/>
        </w:rPr>
        <w:t>余万元，全面助力强村富民，推动共同富裕。</w:t>
      </w:r>
      <w:r>
        <w:rPr>
          <w:rFonts w:ascii="Times New Roman" w:eastAsia="仿宋_GB2312" w:hAnsi="Times New Roman" w:cs="Times New Roman"/>
          <w:b/>
          <w:sz w:val="32"/>
          <w:szCs w:val="32"/>
        </w:rPr>
        <w:t>四是</w:t>
      </w:r>
      <w:r>
        <w:rPr>
          <w:rFonts w:ascii="Times New Roman" w:eastAsia="仿宋_GB2312" w:hAnsi="Times New Roman" w:cs="Times New Roman"/>
          <w:sz w:val="32"/>
          <w:szCs w:val="32"/>
        </w:rPr>
        <w:t>数字化转型稳步加速。聚焦</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数智新昌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建设，大力推广智慧场景建设，提升惠民服务效能。依托丰收互联平台，升级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智慧交通</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智慧校园</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等优势项目。通过数字化云端管理系统，深化南街碳水王国智慧场景建设，落地新昌宾馆、世贸广场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智慧收单</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项目，打造上线农村饮用水水费智慧收缴项目，解决了</w:t>
      </w:r>
      <w:r>
        <w:rPr>
          <w:rFonts w:ascii="Times New Roman" w:eastAsia="仿宋_GB2312" w:hAnsi="Times New Roman" w:cs="Times New Roman"/>
          <w:sz w:val="32"/>
          <w:szCs w:val="32"/>
        </w:rPr>
        <w:t>“</w:t>
      </w:r>
      <w:r>
        <w:rPr>
          <w:rFonts w:ascii="Times New Roman" w:eastAsia="仿宋_GB2312" w:hAnsi="Times New Roman" w:cs="Times New Roman"/>
          <w:sz w:val="32"/>
          <w:szCs w:val="32"/>
        </w:rPr>
        <w:t>缺人管</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收费难</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等问题，惠及</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个乡镇街道、</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个行政村，切实提升了农民的便捷性、舒适性。</w:t>
      </w:r>
    </w:p>
    <w:p w14:paraId="4E46E708"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（二）完善公司治理结构，优化</w:t>
      </w:r>
      <w:r>
        <w:rPr>
          <w:rFonts w:ascii="Times New Roman" w:eastAsia="楷体_GB2312" w:hAnsi="Times New Roman" w:cs="Times New Roman"/>
          <w:sz w:val="32"/>
          <w:szCs w:val="32"/>
        </w:rPr>
        <w:t>“</w:t>
      </w:r>
      <w:r>
        <w:rPr>
          <w:rFonts w:ascii="Times New Roman" w:eastAsia="楷体_GB2312" w:hAnsi="Times New Roman" w:cs="Times New Roman"/>
          <w:sz w:val="32"/>
          <w:szCs w:val="32"/>
        </w:rPr>
        <w:t>两会一层</w:t>
      </w:r>
      <w:r>
        <w:rPr>
          <w:rFonts w:ascii="Times New Roman" w:eastAsia="楷体_GB2312" w:hAnsi="Times New Roman" w:cs="Times New Roman"/>
          <w:sz w:val="32"/>
          <w:szCs w:val="32"/>
        </w:rPr>
        <w:t>”</w:t>
      </w:r>
      <w:r>
        <w:rPr>
          <w:rFonts w:ascii="Times New Roman" w:eastAsia="楷体_GB2312" w:hAnsi="Times New Roman" w:cs="Times New Roman"/>
          <w:sz w:val="32"/>
          <w:szCs w:val="32"/>
        </w:rPr>
        <w:t>运作机制。</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两会一层</w:t>
      </w:r>
      <w:r>
        <w:rPr>
          <w:rFonts w:ascii="Times New Roman" w:eastAsia="仿宋_GB2312" w:hAnsi="Times New Roman" w:cs="Times New Roman"/>
          <w:sz w:val="32"/>
          <w:szCs w:val="32"/>
        </w:rPr>
        <w:t>”</w:t>
      </w:r>
      <w:r>
        <w:rPr>
          <w:rFonts w:ascii="Times New Roman" w:eastAsia="仿宋_GB2312" w:hAnsi="Times New Roman" w:cs="Times New Roman"/>
          <w:sz w:val="32"/>
          <w:szCs w:val="32"/>
        </w:rPr>
        <w:t>规范运作。根据公司章程与相关议事规则规定，依法合规召开股东大会、董事会及各专门委员会会议。</w:t>
      </w:r>
      <w:r>
        <w:rPr>
          <w:rFonts w:ascii="Times New Roman" w:eastAsia="仿宋_GB2312" w:hAnsi="Times New Roman" w:cs="Times New Roman"/>
          <w:sz w:val="32"/>
          <w:szCs w:val="32"/>
        </w:rPr>
        <w:lastRenderedPageBreak/>
        <w:t>2024</w:t>
      </w:r>
      <w:r>
        <w:rPr>
          <w:rFonts w:ascii="Times New Roman" w:eastAsia="仿宋_GB2312" w:hAnsi="Times New Roman" w:cs="Times New Roman"/>
          <w:sz w:val="32"/>
          <w:szCs w:val="32"/>
        </w:rPr>
        <w:t>年，本行召开股东大会</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次，形成决议</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项；召开董事会会议</w:t>
      </w:r>
      <w:r>
        <w:rPr>
          <w:rFonts w:ascii="Times New Roman" w:eastAsia="仿宋_GB2312" w:hAnsi="Times New Roman" w:cs="Times New Roman"/>
          <w:sz w:val="32"/>
          <w:szCs w:val="32"/>
        </w:rPr>
        <w:t>5</w:t>
      </w:r>
      <w:r>
        <w:rPr>
          <w:rFonts w:ascii="Times New Roman" w:eastAsia="仿宋_GB2312" w:hAnsi="Times New Roman" w:cs="Times New Roman"/>
          <w:sz w:val="32"/>
          <w:szCs w:val="32"/>
        </w:rPr>
        <w:t>次，审议议案</w:t>
      </w:r>
      <w:r>
        <w:rPr>
          <w:rFonts w:ascii="Times New Roman" w:eastAsia="仿宋_GB2312" w:hAnsi="Times New Roman" w:cs="Times New Roman"/>
          <w:sz w:val="32"/>
          <w:szCs w:val="32"/>
        </w:rPr>
        <w:t>80</w:t>
      </w:r>
      <w:r>
        <w:rPr>
          <w:rFonts w:ascii="Times New Roman" w:eastAsia="仿宋_GB2312" w:hAnsi="Times New Roman" w:cs="Times New Roman"/>
          <w:sz w:val="32"/>
          <w:szCs w:val="32"/>
        </w:rPr>
        <w:t>项，涵盖战略规划、经营管理、利润分配、风险管理、资本管理、内部审计等重要事项；六个专门委员会召开会议</w:t>
      </w:r>
      <w:r>
        <w:rPr>
          <w:rFonts w:ascii="Times New Roman" w:eastAsia="仿宋_GB2312" w:hAnsi="Times New Roman" w:cs="Times New Roman" w:hint="eastAsia"/>
          <w:sz w:val="32"/>
          <w:szCs w:val="32"/>
        </w:rPr>
        <w:t>42</w:t>
      </w:r>
      <w:r>
        <w:rPr>
          <w:rFonts w:ascii="Times New Roman" w:eastAsia="仿宋_GB2312" w:hAnsi="Times New Roman" w:cs="Times New Roman"/>
          <w:sz w:val="32"/>
          <w:szCs w:val="32"/>
        </w:rPr>
        <w:t>次，审议议案</w:t>
      </w:r>
      <w:r>
        <w:rPr>
          <w:rFonts w:ascii="Times New Roman" w:eastAsia="仿宋_GB2312" w:hAnsi="Times New Roman" w:cs="Times New Roman" w:hint="eastAsia"/>
          <w:sz w:val="32"/>
          <w:szCs w:val="32"/>
        </w:rPr>
        <w:t>421</w:t>
      </w:r>
      <w:r>
        <w:rPr>
          <w:rFonts w:ascii="Times New Roman" w:eastAsia="仿宋_GB2312" w:hAnsi="Times New Roman" w:cs="Times New Roman"/>
          <w:sz w:val="32"/>
          <w:szCs w:val="32"/>
        </w:rPr>
        <w:t>项，各项决策严格按照《章程》规定，决策程序公开透明，依法合规，对形成的决议和确定的事项，董事会进一步周密安排，精心部署，逐项落实，确保各项决议执行到位，</w:t>
      </w:r>
      <w:r>
        <w:rPr>
          <w:rFonts w:ascii="Times New Roman" w:eastAsia="仿宋_GB2312" w:hAnsi="Times New Roman" w:cs="Times New Roman"/>
          <w:sz w:val="32"/>
          <w:szCs w:val="32"/>
        </w:rPr>
        <w:t>促进本行健康稳步发展。认真执行信息披露等相关规定，按时披露年度报告和各类公告，保障公众知情权。</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公司治理架构再升级。</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董监事换届顺利完成，并根据公司法及监管要求，完善了独立董事和外部监事的比例，增加了职工董事，董监事成员配置实现了优化互补，为本行战略决策提供全方位支持。新设立了董事会消费者权益保护委员会，董事会专门委员会架构更加全面和科学，并进一步强化了消费者权益保护职能，构建了和谐稳定的金融消费关系。</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规章制度不断完善。结合最新监管政策和本行工作需求变化，完成本行《股东大会议事规则》《股权管理</w:t>
      </w:r>
      <w:r>
        <w:rPr>
          <w:rFonts w:ascii="Times New Roman" w:eastAsia="仿宋_GB2312" w:hAnsi="Times New Roman" w:cs="Times New Roman"/>
          <w:sz w:val="32"/>
          <w:szCs w:val="32"/>
        </w:rPr>
        <w:t>办法》《战略发展委员会议事规则》等一系列制度的修订，并制定了《消费者权益保护委员会议事规则》。</w:t>
      </w:r>
      <w:r>
        <w:rPr>
          <w:rFonts w:ascii="Times New Roman" w:eastAsia="仿宋_GB2312" w:hAnsi="Times New Roman" w:cs="Times New Roman"/>
          <w:b/>
          <w:sz w:val="32"/>
          <w:szCs w:val="32"/>
        </w:rPr>
        <w:t>四是</w:t>
      </w:r>
      <w:r>
        <w:rPr>
          <w:rFonts w:ascii="Times New Roman" w:eastAsia="仿宋_GB2312" w:hAnsi="Times New Roman" w:cs="Times New Roman"/>
          <w:sz w:val="32"/>
          <w:szCs w:val="32"/>
        </w:rPr>
        <w:t>公司治理自评估顺利完成。</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年，本行根据监管要求，着眼合规性、有效性、重大事项调降评级</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个维度，围绕</w:t>
      </w:r>
      <w:r>
        <w:rPr>
          <w:rFonts w:ascii="Times New Roman" w:eastAsia="仿宋_GB2312" w:hAnsi="Times New Roman" w:cs="Times New Roman"/>
          <w:sz w:val="32"/>
          <w:szCs w:val="32"/>
        </w:rPr>
        <w:t>8</w:t>
      </w:r>
      <w:r>
        <w:rPr>
          <w:rFonts w:ascii="Times New Roman" w:eastAsia="仿宋_GB2312" w:hAnsi="Times New Roman" w:cs="Times New Roman"/>
          <w:sz w:val="32"/>
          <w:szCs w:val="32"/>
        </w:rPr>
        <w:t>大方面</w:t>
      </w:r>
      <w:r>
        <w:rPr>
          <w:rFonts w:ascii="Times New Roman" w:eastAsia="仿宋_GB2312" w:hAnsi="Times New Roman" w:cs="Times New Roman"/>
          <w:sz w:val="32"/>
          <w:szCs w:val="32"/>
        </w:rPr>
        <w:t>216</w:t>
      </w:r>
      <w:r>
        <w:rPr>
          <w:rFonts w:ascii="Times New Roman" w:eastAsia="仿宋_GB2312" w:hAnsi="Times New Roman" w:cs="Times New Roman"/>
          <w:sz w:val="32"/>
          <w:szCs w:val="32"/>
        </w:rPr>
        <w:t>个子项开展公司治理自评估工作，逐条自评，查找差距，并对自评估以及监管发现、外部检查发现的关于股东治理、关联交易治理、董事会治理、激励约束、风险内控等</w:t>
      </w:r>
      <w:r>
        <w:rPr>
          <w:rFonts w:ascii="Times New Roman" w:eastAsia="仿宋_GB2312" w:hAnsi="Times New Roman" w:cs="Times New Roman"/>
          <w:sz w:val="32"/>
          <w:szCs w:val="32"/>
        </w:rPr>
        <w:t>28</w:t>
      </w:r>
      <w:r>
        <w:rPr>
          <w:rFonts w:ascii="Times New Roman" w:eastAsia="仿宋_GB2312" w:hAnsi="Times New Roman" w:cs="Times New Roman"/>
          <w:sz w:val="32"/>
          <w:szCs w:val="32"/>
        </w:rPr>
        <w:t>个问题进行积极整改，认真落实，除高</w:t>
      </w:r>
      <w:r>
        <w:rPr>
          <w:rFonts w:ascii="Times New Roman" w:eastAsia="仿宋_GB2312" w:hAnsi="Times New Roman" w:cs="Times New Roman"/>
          <w:sz w:val="32"/>
          <w:szCs w:val="32"/>
        </w:rPr>
        <w:lastRenderedPageBreak/>
        <w:t>级管理层配置等个别问题，其余全部整改完成。通过自查整改，进一步提升本行公司治理能力。</w:t>
      </w:r>
    </w:p>
    <w:p w14:paraId="030A5EEF"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（三）深化风险管控，筑牢</w:t>
      </w:r>
      <w:r>
        <w:rPr>
          <w:rFonts w:ascii="Times New Roman" w:eastAsia="楷体_GB2312" w:hAnsi="Times New Roman" w:cs="Times New Roman"/>
          <w:sz w:val="32"/>
          <w:szCs w:val="32"/>
        </w:rPr>
        <w:t>发展防线。</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压降信用风险，加大不良资产处置效率。建立风险分类治理架构，加强常态监测预警，通过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建议暂停</w:t>
      </w:r>
      <w:r>
        <w:rPr>
          <w:rFonts w:ascii="Times New Roman" w:eastAsia="仿宋_GB2312" w:hAnsi="Times New Roman" w:cs="Times New Roman"/>
          <w:sz w:val="32"/>
          <w:szCs w:val="32"/>
        </w:rPr>
        <w:t>”“</w:t>
      </w:r>
      <w:r>
        <w:rPr>
          <w:rFonts w:ascii="Times New Roman" w:eastAsia="仿宋_GB2312" w:hAnsi="Times New Roman" w:cs="Times New Roman"/>
          <w:sz w:val="32"/>
          <w:szCs w:val="32"/>
        </w:rPr>
        <w:t>工资式</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等预警模型，强化客户排查力度，排查出风险贷款</w:t>
      </w:r>
      <w:r>
        <w:rPr>
          <w:rFonts w:ascii="Times New Roman" w:eastAsia="仿宋_GB2312" w:hAnsi="Times New Roman" w:cs="Times New Roman"/>
          <w:sz w:val="32"/>
          <w:szCs w:val="32"/>
        </w:rPr>
        <w:t>722</w:t>
      </w:r>
      <w:r>
        <w:rPr>
          <w:rFonts w:ascii="Times New Roman" w:eastAsia="仿宋_GB2312" w:hAnsi="Times New Roman" w:cs="Times New Roman"/>
          <w:sz w:val="32"/>
          <w:szCs w:val="32"/>
        </w:rPr>
        <w:t>户。落实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应核尽核、应处尽处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，开展信贷资产质量保卫战活动，通过与司法部门积极联动，推进诉前调解、不良化解处置，全年共处置不良贷款</w:t>
      </w:r>
      <w:r>
        <w:rPr>
          <w:rFonts w:ascii="Times New Roman" w:eastAsia="仿宋_GB2312" w:hAnsi="Times New Roman" w:cs="Times New Roman"/>
          <w:sz w:val="32"/>
          <w:szCs w:val="32"/>
        </w:rPr>
        <w:t>10175.29</w:t>
      </w:r>
      <w:r>
        <w:rPr>
          <w:rFonts w:ascii="Times New Roman" w:eastAsia="仿宋_GB2312" w:hAnsi="Times New Roman" w:cs="Times New Roman"/>
          <w:sz w:val="32"/>
          <w:szCs w:val="32"/>
        </w:rPr>
        <w:t>万元，不良余额下降</w:t>
      </w:r>
      <w:r>
        <w:rPr>
          <w:rFonts w:ascii="Times New Roman" w:eastAsia="仿宋_GB2312" w:hAnsi="Times New Roman" w:cs="Times New Roman"/>
          <w:sz w:val="32"/>
          <w:szCs w:val="32"/>
        </w:rPr>
        <w:t>843.88</w:t>
      </w:r>
      <w:r>
        <w:rPr>
          <w:rFonts w:ascii="Times New Roman" w:eastAsia="仿宋_GB2312" w:hAnsi="Times New Roman" w:cs="Times New Roman"/>
          <w:sz w:val="32"/>
          <w:szCs w:val="32"/>
        </w:rPr>
        <w:t>万元，不良率较年初下降</w:t>
      </w:r>
      <w:r>
        <w:rPr>
          <w:rFonts w:ascii="Times New Roman" w:eastAsia="仿宋_GB2312" w:hAnsi="Times New Roman" w:cs="Times New Roman"/>
          <w:sz w:val="32"/>
          <w:szCs w:val="32"/>
        </w:rPr>
        <w:t>0.11</w:t>
      </w:r>
      <w:r>
        <w:rPr>
          <w:rFonts w:ascii="Times New Roman" w:eastAsia="仿宋_GB2312" w:hAnsi="Times New Roman" w:cs="Times New Roman"/>
          <w:sz w:val="32"/>
          <w:szCs w:val="32"/>
        </w:rPr>
        <w:t>个百分点，实现额率双降。</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严防合规风险，推进全行合规文化建设。落实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合规宣贯年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活动，狠抓各层级反洗钱、反诈骗、案件防控和员工网格化管理，</w:t>
      </w:r>
      <w:r>
        <w:rPr>
          <w:rFonts w:ascii="Times New Roman" w:eastAsia="仿宋_GB2312" w:hAnsi="Times New Roman" w:cs="Times New Roman"/>
          <w:sz w:val="32"/>
          <w:szCs w:val="32"/>
        </w:rPr>
        <w:t>完善制度、落实责任、规范行为，加强问责，重视宣传，形成多部门齐抓共管的内控管理格局。持续推进审计机制建设、审计队伍培养和数字化审计运用，重点关注审计发现问题的整改情况和问责力度，不断提升审计监督质效。全年完成审计项目</w:t>
      </w:r>
      <w:r>
        <w:rPr>
          <w:rFonts w:ascii="Times New Roman" w:eastAsia="仿宋_GB2312" w:hAnsi="Times New Roman" w:cs="Times New Roman"/>
          <w:sz w:val="32"/>
          <w:szCs w:val="32"/>
        </w:rPr>
        <w:t>56</w:t>
      </w:r>
      <w:r>
        <w:rPr>
          <w:rFonts w:ascii="Times New Roman" w:eastAsia="仿宋_GB2312" w:hAnsi="Times New Roman" w:cs="Times New Roman"/>
          <w:sz w:val="32"/>
          <w:szCs w:val="32"/>
        </w:rPr>
        <w:t>个，提出整改意见</w:t>
      </w:r>
      <w:r>
        <w:rPr>
          <w:rFonts w:ascii="Times New Roman" w:eastAsia="仿宋_GB2312" w:hAnsi="Times New Roman" w:cs="Times New Roman"/>
          <w:sz w:val="32"/>
          <w:szCs w:val="32"/>
        </w:rPr>
        <w:t>315</w:t>
      </w:r>
      <w:r>
        <w:rPr>
          <w:rFonts w:ascii="Times New Roman" w:eastAsia="仿宋_GB2312" w:hAnsi="Times New Roman" w:cs="Times New Roman"/>
          <w:sz w:val="32"/>
          <w:szCs w:val="32"/>
        </w:rPr>
        <w:t>条，经济处罚责任人</w:t>
      </w:r>
      <w:r>
        <w:rPr>
          <w:rFonts w:ascii="Times New Roman" w:eastAsia="仿宋_GB2312" w:hAnsi="Times New Roman" w:cs="Times New Roman"/>
          <w:sz w:val="32"/>
          <w:szCs w:val="32"/>
        </w:rPr>
        <w:t>385</w:t>
      </w:r>
      <w:r>
        <w:rPr>
          <w:rFonts w:ascii="Times New Roman" w:eastAsia="仿宋_GB2312" w:hAnsi="Times New Roman" w:cs="Times New Roman"/>
          <w:sz w:val="32"/>
          <w:szCs w:val="32"/>
        </w:rPr>
        <w:t>人次金额</w:t>
      </w:r>
      <w:r>
        <w:rPr>
          <w:rFonts w:ascii="Times New Roman" w:eastAsia="仿宋_GB2312" w:hAnsi="Times New Roman" w:cs="Times New Roman"/>
          <w:sz w:val="32"/>
          <w:szCs w:val="32"/>
        </w:rPr>
        <w:t>15.17</w:t>
      </w:r>
      <w:r>
        <w:rPr>
          <w:rFonts w:ascii="Times New Roman" w:eastAsia="仿宋_GB2312" w:hAnsi="Times New Roman" w:cs="Times New Roman"/>
          <w:sz w:val="32"/>
          <w:szCs w:val="32"/>
        </w:rPr>
        <w:t>万元。</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严控资金风险，优化资金业务结构。坚持重利率，轻信用的投资原则，顺应市场变化，全面分析国内外宏观经济数据，准确判断央行货币政策走向，前瞻性的制定资金业务投资策略，优化投资组合结构，加大存放同业、利率债等低风险债券投资，严</w:t>
      </w:r>
      <w:r>
        <w:rPr>
          <w:rFonts w:ascii="Times New Roman" w:eastAsia="仿宋_GB2312" w:hAnsi="Times New Roman" w:cs="Times New Roman"/>
          <w:sz w:val="32"/>
          <w:szCs w:val="32"/>
        </w:rPr>
        <w:t>格控制信用债投资，强化资金投前、投中、投后全流程管理。</w:t>
      </w:r>
    </w:p>
    <w:p w14:paraId="1068913A"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（四）强化科学管理，持续激发干事创业活力。</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全</w:t>
      </w:r>
      <w:r>
        <w:rPr>
          <w:rFonts w:ascii="Times New Roman" w:eastAsia="仿宋_GB2312" w:hAnsi="Times New Roman" w:cs="Times New Roman"/>
          <w:sz w:val="32"/>
          <w:szCs w:val="32"/>
        </w:rPr>
        <w:lastRenderedPageBreak/>
        <w:t>面加强从严治党。加强党组织建设，发挥党组织的领导核心作用，明确</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五张责任清单</w:t>
      </w:r>
      <w:r>
        <w:rPr>
          <w:rFonts w:ascii="Times New Roman" w:eastAsia="仿宋_GB2312" w:hAnsi="Times New Roman" w:cs="Times New Roman"/>
          <w:sz w:val="32"/>
          <w:szCs w:val="32"/>
        </w:rPr>
        <w:t>”</w:t>
      </w:r>
      <w:r>
        <w:rPr>
          <w:rFonts w:ascii="Times New Roman" w:eastAsia="仿宋_GB2312" w:hAnsi="Times New Roman" w:cs="Times New Roman"/>
          <w:sz w:val="32"/>
          <w:szCs w:val="32"/>
        </w:rPr>
        <w:t>，以流程化形式强化扁平化管理。创新发布</w:t>
      </w:r>
      <w:r>
        <w:rPr>
          <w:rFonts w:ascii="Times New Roman" w:eastAsia="仿宋_GB2312" w:hAnsi="Times New Roman" w:cs="Times New Roman"/>
          <w:sz w:val="32"/>
          <w:szCs w:val="32"/>
        </w:rPr>
        <w:t>“</w:t>
      </w:r>
      <w:r>
        <w:rPr>
          <w:rFonts w:ascii="Times New Roman" w:eastAsia="仿宋_GB2312" w:hAnsi="Times New Roman" w:cs="Times New Roman"/>
          <w:sz w:val="32"/>
          <w:szCs w:val="32"/>
        </w:rPr>
        <w:t>红犁</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党建品牌，扩大党建品牌社会影响力。有序推进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网格化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党建联建，增强红色动能，新增联建单位</w:t>
      </w:r>
      <w:r>
        <w:rPr>
          <w:rFonts w:ascii="Times New Roman" w:eastAsia="仿宋_GB2312" w:hAnsi="Times New Roman" w:cs="Times New Roman"/>
          <w:sz w:val="32"/>
          <w:szCs w:val="32"/>
        </w:rPr>
        <w:t>47</w:t>
      </w:r>
      <w:r>
        <w:rPr>
          <w:rFonts w:ascii="Times New Roman" w:eastAsia="仿宋_GB2312" w:hAnsi="Times New Roman" w:cs="Times New Roman"/>
          <w:sz w:val="32"/>
          <w:szCs w:val="32"/>
        </w:rPr>
        <w:t>家，开展联建活动</w:t>
      </w:r>
      <w:r>
        <w:rPr>
          <w:rFonts w:ascii="Times New Roman" w:eastAsia="仿宋_GB2312" w:hAnsi="Times New Roman" w:cs="Times New Roman"/>
          <w:sz w:val="32"/>
          <w:szCs w:val="32"/>
        </w:rPr>
        <w:t>47</w:t>
      </w:r>
      <w:r>
        <w:rPr>
          <w:rFonts w:ascii="Times New Roman" w:eastAsia="仿宋_GB2312" w:hAnsi="Times New Roman" w:cs="Times New Roman"/>
          <w:sz w:val="32"/>
          <w:szCs w:val="32"/>
        </w:rPr>
        <w:t>次，推动党建与业务的深度融合。</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扎实推进财务精细化。深化管理会计和业财融合，认真推进资产负债管理及管理会计深化应用，梳理增收节支措施</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条，实现增收</w:t>
      </w:r>
      <w:r>
        <w:rPr>
          <w:rFonts w:ascii="Times New Roman" w:eastAsia="仿宋_GB2312" w:hAnsi="Times New Roman" w:cs="Times New Roman"/>
          <w:sz w:val="32"/>
          <w:szCs w:val="32"/>
        </w:rPr>
        <w:t>0.25</w:t>
      </w:r>
      <w:r>
        <w:rPr>
          <w:rFonts w:ascii="Times New Roman" w:eastAsia="仿宋_GB2312" w:hAnsi="Times New Roman" w:cs="Times New Roman"/>
          <w:sz w:val="32"/>
          <w:szCs w:val="32"/>
        </w:rPr>
        <w:t>亿元，业务及管</w:t>
      </w:r>
      <w:r>
        <w:rPr>
          <w:rFonts w:ascii="Times New Roman" w:eastAsia="仿宋_GB2312" w:hAnsi="Times New Roman" w:cs="Times New Roman"/>
          <w:sz w:val="32"/>
          <w:szCs w:val="32"/>
        </w:rPr>
        <w:t>理费下降</w:t>
      </w:r>
      <w:r>
        <w:rPr>
          <w:rFonts w:ascii="Times New Roman" w:eastAsia="仿宋_GB2312" w:hAnsi="Times New Roman" w:cs="Times New Roman"/>
          <w:sz w:val="32"/>
          <w:szCs w:val="32"/>
        </w:rPr>
        <w:t>0.16%</w:t>
      </w:r>
      <w:r>
        <w:rPr>
          <w:rFonts w:ascii="Times New Roman" w:eastAsia="仿宋_GB2312" w:hAnsi="Times New Roman" w:cs="Times New Roman"/>
          <w:sz w:val="32"/>
          <w:szCs w:val="32"/>
        </w:rPr>
        <w:t>。建设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四类库</w:t>
      </w:r>
      <w:r>
        <w:rPr>
          <w:rFonts w:ascii="Times New Roman" w:eastAsia="仿宋_GB2312" w:hAnsi="Times New Roman" w:cs="Times New Roman"/>
          <w:sz w:val="32"/>
          <w:szCs w:val="32"/>
        </w:rPr>
        <w:t>”4</w:t>
      </w:r>
      <w:r>
        <w:rPr>
          <w:rFonts w:ascii="Times New Roman" w:eastAsia="仿宋_GB2312" w:hAnsi="Times New Roman" w:cs="Times New Roman"/>
          <w:sz w:val="32"/>
          <w:szCs w:val="32"/>
        </w:rPr>
        <w:t>个减少押运线路</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条，节约费用</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万元。</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加快提升组织敏捷性。推进集约化建设，成立全市首个集中作业中心，集中作业覆盖率</w:t>
      </w:r>
      <w:r>
        <w:rPr>
          <w:rFonts w:ascii="Times New Roman" w:eastAsia="仿宋_GB2312" w:hAnsi="Times New Roman" w:cs="Times New Roman"/>
          <w:sz w:val="32"/>
          <w:szCs w:val="32"/>
        </w:rPr>
        <w:t>92.64%</w:t>
      </w:r>
      <w:r>
        <w:rPr>
          <w:rFonts w:ascii="Times New Roman" w:eastAsia="仿宋_GB2312" w:hAnsi="Times New Roman" w:cs="Times New Roman"/>
          <w:sz w:val="32"/>
          <w:szCs w:val="32"/>
        </w:rPr>
        <w:t>，释放人力资源，提高服务效能。推动网点轻量转型，分类分点优化网点运营调整。提升智柜替代率，实施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一人一机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无高柜网点转型，丰富智能柜员机的业务应用，智柜现金功能网点布放超过</w:t>
      </w:r>
      <w:r>
        <w:rPr>
          <w:rFonts w:ascii="Times New Roman" w:eastAsia="仿宋_GB2312" w:hAnsi="Times New Roman" w:cs="Times New Roman"/>
          <w:sz w:val="32"/>
          <w:szCs w:val="32"/>
        </w:rPr>
        <w:t>95%</w:t>
      </w:r>
      <w:r>
        <w:rPr>
          <w:rFonts w:ascii="Times New Roman" w:eastAsia="仿宋_GB2312" w:hAnsi="Times New Roman" w:cs="Times New Roman"/>
          <w:sz w:val="32"/>
          <w:szCs w:val="32"/>
        </w:rPr>
        <w:t>，智柜分流率提升</w:t>
      </w:r>
      <w:r>
        <w:rPr>
          <w:rFonts w:ascii="Times New Roman" w:eastAsia="仿宋_GB2312" w:hAnsi="Times New Roman" w:cs="Times New Roman"/>
          <w:sz w:val="32"/>
          <w:szCs w:val="32"/>
        </w:rPr>
        <w:t>15.02</w:t>
      </w:r>
      <w:r>
        <w:rPr>
          <w:rFonts w:ascii="Times New Roman" w:eastAsia="仿宋_GB2312" w:hAnsi="Times New Roman" w:cs="Times New Roman"/>
          <w:sz w:val="32"/>
          <w:szCs w:val="32"/>
        </w:rPr>
        <w:t>个百分点，全市排名第一，以网点转型带动效能提升。</w:t>
      </w:r>
      <w:r>
        <w:rPr>
          <w:rFonts w:ascii="Times New Roman" w:eastAsia="仿宋_GB2312" w:hAnsi="Times New Roman" w:cs="Times New Roman"/>
          <w:b/>
          <w:sz w:val="32"/>
          <w:szCs w:val="32"/>
        </w:rPr>
        <w:t>四是</w:t>
      </w:r>
      <w:r>
        <w:rPr>
          <w:rFonts w:ascii="Times New Roman" w:eastAsia="仿宋_GB2312" w:hAnsi="Times New Roman" w:cs="Times New Roman"/>
          <w:sz w:val="32"/>
          <w:szCs w:val="32"/>
        </w:rPr>
        <w:t>有力推动队伍系统重塑。围绕</w:t>
      </w:r>
      <w:r>
        <w:rPr>
          <w:rFonts w:ascii="Times New Roman" w:eastAsia="仿宋_GB2312" w:hAnsi="Times New Roman" w:cs="Times New Roman"/>
          <w:sz w:val="32"/>
          <w:szCs w:val="32"/>
        </w:rPr>
        <w:t>“</w:t>
      </w:r>
      <w:r>
        <w:rPr>
          <w:rFonts w:ascii="Times New Roman" w:eastAsia="仿宋_GB2312" w:hAnsi="Times New Roman" w:cs="Times New Roman"/>
          <w:sz w:val="32"/>
          <w:szCs w:val="32"/>
        </w:rPr>
        <w:t>控总量、调结构、提素质、激活力、共成长</w:t>
      </w:r>
      <w:r>
        <w:rPr>
          <w:rFonts w:ascii="Times New Roman" w:eastAsia="仿宋_GB2312" w:hAnsi="Times New Roman" w:cs="Times New Roman"/>
          <w:sz w:val="32"/>
          <w:szCs w:val="32"/>
        </w:rPr>
        <w:t>”</w:t>
      </w:r>
      <w:r>
        <w:rPr>
          <w:rFonts w:ascii="Times New Roman" w:eastAsia="仿宋_GB2312" w:hAnsi="Times New Roman" w:cs="Times New Roman"/>
          <w:sz w:val="32"/>
          <w:szCs w:val="32"/>
        </w:rPr>
        <w:t>目标，优化薪酬绩效，</w:t>
      </w:r>
      <w:r>
        <w:rPr>
          <w:rFonts w:ascii="Times New Roman" w:eastAsia="仿宋_GB2312" w:hAnsi="Times New Roman" w:cs="Times New Roman"/>
          <w:sz w:val="32"/>
          <w:szCs w:val="32"/>
        </w:rPr>
        <w:t>聚焦市场化考核机制，强化三支队伍建设，深化中层干部</w:t>
      </w:r>
      <w:r>
        <w:rPr>
          <w:rFonts w:ascii="Times New Roman" w:eastAsia="仿宋_GB2312" w:hAnsi="Times New Roman" w:cs="Times New Roman"/>
          <w:sz w:val="32"/>
          <w:szCs w:val="32"/>
        </w:rPr>
        <w:t>“</w:t>
      </w:r>
      <w:r>
        <w:rPr>
          <w:rFonts w:ascii="Times New Roman" w:eastAsia="仿宋_GB2312" w:hAnsi="Times New Roman" w:cs="Times New Roman"/>
          <w:sz w:val="32"/>
          <w:szCs w:val="32"/>
        </w:rPr>
        <w:t>能上能下</w:t>
      </w:r>
      <w:r>
        <w:rPr>
          <w:rFonts w:ascii="Times New Roman" w:eastAsia="仿宋_GB2312" w:hAnsi="Times New Roman" w:cs="Times New Roman"/>
          <w:sz w:val="32"/>
          <w:szCs w:val="32"/>
        </w:rPr>
        <w:t>”</w:t>
      </w:r>
      <w:r>
        <w:rPr>
          <w:rFonts w:ascii="Times New Roman" w:eastAsia="仿宋_GB2312" w:hAnsi="Times New Roman" w:cs="Times New Roman"/>
          <w:sz w:val="32"/>
          <w:szCs w:val="32"/>
        </w:rPr>
        <w:t>机制。组织青年干部德鲁克培训</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人，选拔内训师</w:t>
      </w:r>
      <w:r>
        <w:rPr>
          <w:rFonts w:ascii="Times New Roman" w:eastAsia="仿宋_GB2312" w:hAnsi="Times New Roman" w:cs="Times New Roman"/>
          <w:sz w:val="32"/>
          <w:szCs w:val="32"/>
        </w:rPr>
        <w:t>16</w:t>
      </w:r>
      <w:r>
        <w:rPr>
          <w:rFonts w:ascii="Times New Roman" w:eastAsia="仿宋_GB2312" w:hAnsi="Times New Roman" w:cs="Times New Roman"/>
          <w:sz w:val="32"/>
          <w:szCs w:val="32"/>
        </w:rPr>
        <w:t>名，参加员工职业化培养</w:t>
      </w:r>
      <w:r>
        <w:rPr>
          <w:rFonts w:ascii="Times New Roman" w:eastAsia="仿宋_GB2312" w:hAnsi="Times New Roman" w:cs="Times New Roman"/>
          <w:sz w:val="32"/>
          <w:szCs w:val="32"/>
        </w:rPr>
        <w:t>39</w:t>
      </w:r>
      <w:r>
        <w:rPr>
          <w:rFonts w:ascii="Times New Roman" w:eastAsia="仿宋_GB2312" w:hAnsi="Times New Roman" w:cs="Times New Roman"/>
          <w:sz w:val="32"/>
          <w:szCs w:val="32"/>
        </w:rPr>
        <w:t>人，实现组织效能进一步提升。至年末，提拔助理级以上年轻干部</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人，淘汰或降级中层</w:t>
      </w:r>
      <w:r>
        <w:rPr>
          <w:rFonts w:ascii="Times New Roman" w:eastAsia="仿宋_GB2312" w:hAnsi="Times New Roman" w:cs="Times New Roman"/>
          <w:sz w:val="32"/>
          <w:szCs w:val="32"/>
        </w:rPr>
        <w:t>7</w:t>
      </w:r>
      <w:r>
        <w:rPr>
          <w:rFonts w:ascii="Times New Roman" w:eastAsia="仿宋_GB2312" w:hAnsi="Times New Roman" w:cs="Times New Roman"/>
          <w:sz w:val="32"/>
          <w:szCs w:val="32"/>
        </w:rPr>
        <w:t>人，中层平均年龄下降</w:t>
      </w:r>
      <w:r>
        <w:rPr>
          <w:rFonts w:ascii="Times New Roman" w:eastAsia="仿宋_GB2312" w:hAnsi="Times New Roman" w:cs="Times New Roman"/>
          <w:sz w:val="32"/>
          <w:szCs w:val="32"/>
        </w:rPr>
        <w:t>1.89</w:t>
      </w:r>
      <w:r>
        <w:rPr>
          <w:rFonts w:ascii="Times New Roman" w:eastAsia="仿宋_GB2312" w:hAnsi="Times New Roman" w:cs="Times New Roman"/>
          <w:sz w:val="32"/>
          <w:szCs w:val="32"/>
        </w:rPr>
        <w:t>岁，选拔后备管理</w:t>
      </w:r>
      <w:r>
        <w:rPr>
          <w:rFonts w:ascii="Times New Roman" w:eastAsia="仿宋_GB2312" w:hAnsi="Times New Roman" w:cs="Times New Roman"/>
          <w:sz w:val="32"/>
          <w:szCs w:val="32"/>
        </w:rPr>
        <w:t>42</w:t>
      </w:r>
      <w:r>
        <w:rPr>
          <w:rFonts w:ascii="Times New Roman" w:eastAsia="仿宋_GB2312" w:hAnsi="Times New Roman" w:cs="Times New Roman"/>
          <w:sz w:val="32"/>
          <w:szCs w:val="32"/>
        </w:rPr>
        <w:t>人，营销人员占比提升</w:t>
      </w:r>
      <w:r>
        <w:rPr>
          <w:rFonts w:ascii="Times New Roman" w:eastAsia="仿宋_GB2312" w:hAnsi="Times New Roman" w:cs="Times New Roman"/>
          <w:sz w:val="32"/>
          <w:szCs w:val="32"/>
        </w:rPr>
        <w:t>5.36%</w:t>
      </w:r>
      <w:r>
        <w:rPr>
          <w:rFonts w:ascii="Times New Roman" w:eastAsia="仿宋_GB2312" w:hAnsi="Times New Roman" w:cs="Times New Roman"/>
          <w:sz w:val="32"/>
          <w:szCs w:val="32"/>
        </w:rPr>
        <w:t>。</w:t>
      </w:r>
    </w:p>
    <w:p w14:paraId="55E4DE26"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各位董事，一年来，全行各项工作稳步推进。这些成绩</w:t>
      </w:r>
      <w:r>
        <w:rPr>
          <w:rFonts w:ascii="Times New Roman" w:eastAsia="仿宋_GB2312" w:hAnsi="Times New Roman" w:cs="Times New Roman"/>
          <w:sz w:val="32"/>
          <w:szCs w:val="32"/>
        </w:rPr>
        <w:lastRenderedPageBreak/>
        <w:t>得益于上级政府和监管部门的正确领导，得益于全体股东的关心支持，得益于广大员工的努力奋斗。在此，我谨代表董事会向关心支持我行发展的各级领导、全体股东、农商银行广大干</w:t>
      </w:r>
      <w:r>
        <w:rPr>
          <w:rFonts w:ascii="Times New Roman" w:eastAsia="仿宋_GB2312" w:hAnsi="Times New Roman" w:cs="Times New Roman"/>
          <w:sz w:val="32"/>
          <w:szCs w:val="32"/>
        </w:rPr>
        <w:t>部员工以及社会各界人士表示衷心的感谢！</w:t>
      </w:r>
    </w:p>
    <w:p w14:paraId="505FB3AB"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肯定成绩的同时，我们也清醒地认识到，在我们的发展过程中，还不同程度地存在着一些问题，如区域同业竞争不断加剧、风险防控需进一步加强、增收创利需进一步提升，人才队伍建设需进一步优化等，对于这些问题，我们必须高度重视，采取有力措施，切实加以解决。</w:t>
      </w:r>
    </w:p>
    <w:p w14:paraId="62A3FCD1" w14:textId="77777777" w:rsidR="005E5F89" w:rsidRDefault="009F1589">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w:t>
      </w:r>
      <w:r>
        <w:rPr>
          <w:rFonts w:ascii="Times New Roman" w:eastAsia="黑体" w:hAnsi="Times New Roman" w:cs="Times New Roman"/>
          <w:sz w:val="32"/>
          <w:szCs w:val="32"/>
        </w:rPr>
        <w:t>2025</w:t>
      </w:r>
      <w:r>
        <w:rPr>
          <w:rFonts w:ascii="Times New Roman" w:eastAsia="黑体" w:hAnsi="Times New Roman" w:cs="Times New Roman"/>
          <w:sz w:val="32"/>
          <w:szCs w:val="32"/>
        </w:rPr>
        <w:t>年工作计划</w:t>
      </w:r>
    </w:p>
    <w:p w14:paraId="70E25181" w14:textId="77777777" w:rsidR="005E5F89" w:rsidRDefault="009F1589">
      <w:pPr>
        <w:pStyle w:val="a6"/>
        <w:widowControl w:val="0"/>
        <w:adjustRightInd w:val="0"/>
        <w:spacing w:before="0" w:beforeAutospacing="0" w:after="0" w:afterAutospacing="0" w:line="560" w:lineRule="exact"/>
        <w:ind w:firstLineChars="200" w:firstLine="640"/>
        <w:contextualSpacing/>
        <w:jc w:val="both"/>
        <w:rPr>
          <w:rFonts w:ascii="Times New Roman" w:eastAsia="仿宋_GB2312" w:hAnsi="Times New Roman"/>
          <w:kern w:val="2"/>
          <w:sz w:val="32"/>
          <w:szCs w:val="32"/>
        </w:rPr>
      </w:pPr>
      <w:r>
        <w:rPr>
          <w:rFonts w:ascii="Times New Roman" w:eastAsia="仿宋_GB2312" w:hAnsi="Times New Roman"/>
          <w:sz w:val="32"/>
          <w:szCs w:val="32"/>
        </w:rPr>
        <w:t>2025</w:t>
      </w:r>
      <w:r>
        <w:rPr>
          <w:rFonts w:ascii="Times New Roman" w:eastAsia="仿宋_GB2312" w:hAnsi="Times New Roman"/>
          <w:sz w:val="32"/>
          <w:szCs w:val="32"/>
        </w:rPr>
        <w:t>年是</w:t>
      </w:r>
      <w:r>
        <w:rPr>
          <w:rFonts w:ascii="Times New Roman" w:eastAsia="仿宋_GB2312" w:hAnsi="Times New Roman"/>
          <w:sz w:val="32"/>
          <w:szCs w:val="32"/>
        </w:rPr>
        <w:t>“</w:t>
      </w:r>
      <w:r>
        <w:rPr>
          <w:rFonts w:ascii="Times New Roman" w:eastAsia="仿宋_GB2312" w:hAnsi="Times New Roman"/>
          <w:sz w:val="32"/>
          <w:szCs w:val="32"/>
        </w:rPr>
        <w:t>十四五</w:t>
      </w:r>
      <w:r>
        <w:rPr>
          <w:rFonts w:ascii="Times New Roman" w:eastAsia="仿宋_GB2312" w:hAnsi="Times New Roman"/>
          <w:sz w:val="32"/>
          <w:szCs w:val="32"/>
        </w:rPr>
        <w:t>”</w:t>
      </w:r>
      <w:r>
        <w:rPr>
          <w:rFonts w:ascii="Times New Roman" w:eastAsia="仿宋_GB2312" w:hAnsi="Times New Roman"/>
          <w:sz w:val="32"/>
          <w:szCs w:val="32"/>
        </w:rPr>
        <w:t>规划的收官之年，也是全行推进高质量发展的关键一年。</w:t>
      </w:r>
      <w:r>
        <w:rPr>
          <w:rFonts w:ascii="Times New Roman" w:eastAsia="仿宋_GB2312" w:hAnsi="Times New Roman"/>
          <w:kern w:val="2"/>
          <w:sz w:val="32"/>
          <w:szCs w:val="32"/>
        </w:rPr>
        <w:t>新昌农商银行以习近平新时代中国特色社会主义思想为指导，全面贯彻落实党的二十届三中全会、省委十五届五次、六次全会精神和浙江农商联合银行工作会议精神，忠实践行</w:t>
      </w:r>
      <w:r>
        <w:rPr>
          <w:rFonts w:ascii="Times New Roman" w:eastAsia="仿宋_GB2312" w:hAnsi="Times New Roman"/>
          <w:kern w:val="2"/>
          <w:sz w:val="32"/>
          <w:szCs w:val="32"/>
        </w:rPr>
        <w:t>“</w:t>
      </w:r>
      <w:r>
        <w:rPr>
          <w:rFonts w:ascii="Times New Roman" w:eastAsia="仿宋_GB2312" w:hAnsi="Times New Roman"/>
          <w:kern w:val="2"/>
          <w:sz w:val="32"/>
          <w:szCs w:val="32"/>
        </w:rPr>
        <w:t>八八战略</w:t>
      </w:r>
      <w:r>
        <w:rPr>
          <w:rFonts w:ascii="Times New Roman" w:eastAsia="仿宋_GB2312" w:hAnsi="Times New Roman"/>
          <w:kern w:val="2"/>
          <w:sz w:val="32"/>
          <w:szCs w:val="32"/>
        </w:rPr>
        <w:t>”</w:t>
      </w:r>
      <w:r>
        <w:rPr>
          <w:rFonts w:ascii="Times New Roman" w:eastAsia="仿宋_GB2312" w:hAnsi="Times New Roman"/>
          <w:kern w:val="2"/>
          <w:sz w:val="32"/>
          <w:szCs w:val="32"/>
        </w:rPr>
        <w:t>，深入践行金融工作的政治性、人民性，按照县委县政府的部署要求，</w:t>
      </w:r>
      <w:r>
        <w:rPr>
          <w:rFonts w:ascii="Times New Roman" w:eastAsia="仿宋_GB2312" w:hAnsi="Times New Roman"/>
          <w:sz w:val="32"/>
          <w:szCs w:val="32"/>
        </w:rPr>
        <w:t>坚持</w:t>
      </w:r>
      <w:r>
        <w:rPr>
          <w:rFonts w:ascii="Times New Roman" w:eastAsia="仿宋_GB2312" w:hAnsi="Times New Roman"/>
          <w:sz w:val="32"/>
          <w:szCs w:val="32"/>
        </w:rPr>
        <w:t>“</w:t>
      </w:r>
      <w:r>
        <w:rPr>
          <w:rFonts w:ascii="Times New Roman" w:eastAsia="仿宋_GB2312" w:hAnsi="Times New Roman"/>
          <w:sz w:val="32"/>
          <w:szCs w:val="32"/>
        </w:rPr>
        <w:t>稳中求进，进中提质、先立后破</w:t>
      </w:r>
      <w:r>
        <w:rPr>
          <w:rFonts w:ascii="Times New Roman" w:eastAsia="仿宋_GB2312" w:hAnsi="Times New Roman"/>
          <w:sz w:val="32"/>
          <w:szCs w:val="32"/>
        </w:rPr>
        <w:t>”</w:t>
      </w:r>
      <w:r>
        <w:rPr>
          <w:rFonts w:ascii="Times New Roman" w:eastAsia="仿宋_GB2312" w:hAnsi="Times New Roman"/>
          <w:sz w:val="32"/>
          <w:szCs w:val="32"/>
        </w:rPr>
        <w:t>的总基调，紧紧围绕乡村振兴和共同富裕，坚定市场定位，夯实发展基础，深化普惠金融，调优业务结构，做实精细管理，在服务</w:t>
      </w:r>
      <w:r>
        <w:rPr>
          <w:rFonts w:ascii="Times New Roman" w:eastAsia="仿宋_GB2312" w:hAnsi="Times New Roman"/>
          <w:sz w:val="32"/>
          <w:szCs w:val="32"/>
        </w:rPr>
        <w:t>“</w:t>
      </w:r>
      <w:r>
        <w:rPr>
          <w:rFonts w:ascii="Times New Roman" w:eastAsia="仿宋_GB2312" w:hAnsi="Times New Roman"/>
          <w:sz w:val="32"/>
          <w:szCs w:val="32"/>
        </w:rPr>
        <w:t>三农</w:t>
      </w:r>
      <w:r>
        <w:rPr>
          <w:rFonts w:ascii="Times New Roman" w:eastAsia="仿宋_GB2312" w:hAnsi="Times New Roman"/>
          <w:sz w:val="32"/>
          <w:szCs w:val="32"/>
        </w:rPr>
        <w:t>”</w:t>
      </w:r>
      <w:r>
        <w:rPr>
          <w:rFonts w:ascii="Times New Roman" w:eastAsia="仿宋_GB2312" w:hAnsi="Times New Roman"/>
          <w:sz w:val="32"/>
          <w:szCs w:val="32"/>
        </w:rPr>
        <w:t>、服务民营小微和服务实体经济上有更大作为，在防控风险上有更大成效，为我县争当高质量发展建设共同富裕示范区县域标杆贡献更大的农商</w:t>
      </w:r>
      <w:r>
        <w:rPr>
          <w:rFonts w:ascii="Times New Roman" w:eastAsia="仿宋_GB2312" w:hAnsi="Times New Roman"/>
          <w:sz w:val="32"/>
          <w:szCs w:val="32"/>
        </w:rPr>
        <w:t>力量。</w:t>
      </w:r>
    </w:p>
    <w:p w14:paraId="2AFD1398" w14:textId="77777777" w:rsidR="005E5F89" w:rsidRDefault="009F1589">
      <w:pPr>
        <w:pStyle w:val="a6"/>
        <w:widowControl w:val="0"/>
        <w:adjustRightInd w:val="0"/>
        <w:spacing w:before="0" w:beforeAutospacing="0" w:after="0" w:afterAutospacing="0" w:line="560" w:lineRule="exact"/>
        <w:ind w:firstLineChars="200" w:firstLine="643"/>
        <w:contextualSpacing/>
        <w:jc w:val="both"/>
        <w:rPr>
          <w:rFonts w:ascii="Times New Roman" w:eastAsia="仿宋_GB2312" w:hAnsi="Times New Roman"/>
          <w:b/>
          <w:kern w:val="2"/>
          <w:sz w:val="32"/>
          <w:szCs w:val="32"/>
        </w:rPr>
      </w:pPr>
      <w:r>
        <w:rPr>
          <w:rFonts w:ascii="Times New Roman" w:eastAsia="仿宋_GB2312" w:hAnsi="Times New Roman"/>
          <w:b/>
          <w:kern w:val="2"/>
          <w:sz w:val="32"/>
          <w:szCs w:val="32"/>
        </w:rPr>
        <w:t>2025</w:t>
      </w:r>
      <w:r>
        <w:rPr>
          <w:rFonts w:ascii="Times New Roman" w:eastAsia="仿宋_GB2312" w:hAnsi="Times New Roman"/>
          <w:b/>
          <w:kern w:val="2"/>
          <w:sz w:val="32"/>
          <w:szCs w:val="32"/>
        </w:rPr>
        <w:t>年度主要工作目标：</w:t>
      </w:r>
    </w:p>
    <w:p w14:paraId="47F1938B" w14:textId="77777777" w:rsidR="005E5F89" w:rsidRDefault="009F1589">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FF0000"/>
          <w:sz w:val="32"/>
          <w:szCs w:val="32"/>
        </w:rPr>
        <w:t>1.</w:t>
      </w:r>
      <w:r>
        <w:rPr>
          <w:rFonts w:ascii="Times New Roman" w:eastAsia="仿宋_GB2312" w:hAnsi="Times New Roman" w:cs="Times New Roman"/>
          <w:color w:val="FF0000"/>
          <w:sz w:val="32"/>
          <w:szCs w:val="32"/>
        </w:rPr>
        <w:t>各项存款余额增加</w:t>
      </w:r>
      <w:r>
        <w:rPr>
          <w:rFonts w:ascii="Times New Roman" w:eastAsia="仿宋_GB2312" w:hAnsi="Times New Roman" w:cs="Times New Roman"/>
          <w:color w:val="FF0000"/>
          <w:sz w:val="32"/>
          <w:szCs w:val="32"/>
        </w:rPr>
        <w:t>20</w:t>
      </w:r>
      <w:r>
        <w:rPr>
          <w:rFonts w:ascii="Times New Roman" w:eastAsia="仿宋_GB2312" w:hAnsi="Times New Roman" w:cs="Times New Roman"/>
          <w:color w:val="FF0000"/>
          <w:sz w:val="32"/>
          <w:szCs w:val="32"/>
        </w:rPr>
        <w:t>亿元。</w:t>
      </w:r>
    </w:p>
    <w:p w14:paraId="6FB9C809" w14:textId="77777777" w:rsidR="005E5F89" w:rsidRDefault="009F1589">
      <w:pPr>
        <w:tabs>
          <w:tab w:val="left" w:pos="720"/>
          <w:tab w:val="left" w:pos="1134"/>
          <w:tab w:val="left" w:pos="1276"/>
        </w:tabs>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FF0000"/>
          <w:sz w:val="32"/>
          <w:szCs w:val="32"/>
        </w:rPr>
        <w:lastRenderedPageBreak/>
        <w:t>2.</w:t>
      </w:r>
      <w:r>
        <w:rPr>
          <w:rFonts w:ascii="Times New Roman" w:eastAsia="仿宋_GB2312" w:hAnsi="Times New Roman" w:cs="Times New Roman"/>
          <w:color w:val="FF0000"/>
          <w:sz w:val="32"/>
          <w:szCs w:val="32"/>
        </w:rPr>
        <w:t>各项贷款余额增加</w:t>
      </w:r>
      <w:r>
        <w:rPr>
          <w:rFonts w:ascii="Times New Roman" w:eastAsia="仿宋_GB2312" w:hAnsi="Times New Roman" w:cs="Times New Roman"/>
          <w:color w:val="FF0000"/>
          <w:sz w:val="32"/>
          <w:szCs w:val="32"/>
        </w:rPr>
        <w:t>14</w:t>
      </w:r>
      <w:r>
        <w:rPr>
          <w:rFonts w:ascii="Times New Roman" w:eastAsia="仿宋_GB2312" w:hAnsi="Times New Roman" w:cs="Times New Roman"/>
          <w:color w:val="FF0000"/>
          <w:sz w:val="32"/>
          <w:szCs w:val="32"/>
        </w:rPr>
        <w:t>亿元。</w:t>
      </w:r>
    </w:p>
    <w:p w14:paraId="6DFD090C" w14:textId="77777777" w:rsidR="005E5F89" w:rsidRDefault="009F1589">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FF0000"/>
          <w:sz w:val="32"/>
          <w:szCs w:val="32"/>
        </w:rPr>
        <w:t>3.</w:t>
      </w:r>
      <w:r>
        <w:rPr>
          <w:rFonts w:ascii="Times New Roman" w:eastAsia="仿宋_GB2312" w:hAnsi="Times New Roman" w:cs="Times New Roman"/>
          <w:color w:val="FF0000"/>
          <w:sz w:val="32"/>
          <w:szCs w:val="32"/>
        </w:rPr>
        <w:t>不良贷款率控制在</w:t>
      </w:r>
      <w:r>
        <w:rPr>
          <w:rFonts w:ascii="Times New Roman" w:eastAsia="仿宋_GB2312" w:hAnsi="Times New Roman" w:cs="Times New Roman"/>
          <w:color w:val="FF0000"/>
          <w:sz w:val="32"/>
          <w:szCs w:val="32"/>
        </w:rPr>
        <w:t>0.95%</w:t>
      </w:r>
      <w:r>
        <w:rPr>
          <w:rFonts w:ascii="Times New Roman" w:eastAsia="仿宋_GB2312" w:hAnsi="Times New Roman" w:cs="Times New Roman"/>
          <w:color w:val="FF0000"/>
          <w:sz w:val="32"/>
          <w:szCs w:val="32"/>
        </w:rPr>
        <w:t>以内。</w:t>
      </w:r>
    </w:p>
    <w:p w14:paraId="26EB2F75" w14:textId="77777777" w:rsidR="005E5F89" w:rsidRDefault="009F1589">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FF0000"/>
          <w:sz w:val="32"/>
          <w:szCs w:val="32"/>
        </w:rPr>
        <w:t>4.</w:t>
      </w:r>
      <w:r>
        <w:rPr>
          <w:rFonts w:ascii="Times New Roman" w:eastAsia="仿宋_GB2312" w:hAnsi="Times New Roman" w:cs="Times New Roman"/>
          <w:color w:val="FF0000"/>
          <w:sz w:val="32"/>
          <w:szCs w:val="32"/>
        </w:rPr>
        <w:t>实现利润总额超</w:t>
      </w:r>
      <w:r>
        <w:rPr>
          <w:rFonts w:ascii="Times New Roman" w:eastAsia="仿宋_GB2312" w:hAnsi="Times New Roman" w:cs="Times New Roman"/>
          <w:color w:val="FF0000"/>
          <w:sz w:val="32"/>
          <w:szCs w:val="32"/>
        </w:rPr>
        <w:t>2.55</w:t>
      </w:r>
      <w:r>
        <w:rPr>
          <w:rFonts w:ascii="Times New Roman" w:eastAsia="仿宋_GB2312" w:hAnsi="Times New Roman" w:cs="Times New Roman"/>
          <w:color w:val="FF0000"/>
          <w:sz w:val="32"/>
          <w:szCs w:val="32"/>
        </w:rPr>
        <w:t>亿元。</w:t>
      </w:r>
    </w:p>
    <w:p w14:paraId="18F71867"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确保安全经营，无重大责任事故。</w:t>
      </w:r>
    </w:p>
    <w:p w14:paraId="3861327D"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为实现上述目标，我们将重点做好以下五大工作：</w:t>
      </w:r>
    </w:p>
    <w:p w14:paraId="7F0A110B"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（一）夯实发展基础，更好服务地方经济发展大局。</w:t>
      </w:r>
      <w:r>
        <w:rPr>
          <w:rFonts w:ascii="Times New Roman" w:eastAsia="仿宋_GB2312" w:hAnsi="Times New Roman" w:cs="Times New Roman"/>
          <w:sz w:val="32"/>
          <w:szCs w:val="32"/>
        </w:rPr>
        <w:t>坚守</w:t>
      </w:r>
      <w:r>
        <w:rPr>
          <w:rFonts w:ascii="Times New Roman" w:eastAsia="仿宋_GB2312" w:hAnsi="Times New Roman" w:cs="Times New Roman"/>
          <w:sz w:val="32"/>
          <w:szCs w:val="32"/>
        </w:rPr>
        <w:t>“</w:t>
      </w:r>
      <w:r>
        <w:rPr>
          <w:rFonts w:ascii="Times New Roman" w:eastAsia="仿宋_GB2312" w:hAnsi="Times New Roman" w:cs="Times New Roman"/>
          <w:sz w:val="32"/>
          <w:szCs w:val="32"/>
        </w:rPr>
        <w:t>姓农、姓小、姓土</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的初心使命，服务三农、服务小微、服务实体，主动融入地方党委政府中心工作，践行地方金融主力军使命，扛起金融标兵之责。</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全力以赴服务实体经济。深入推进金融服务实体经济融资畅通工程，优化信贷结构，增强信贷投放供给。全面推广</w:t>
      </w:r>
      <w:r>
        <w:rPr>
          <w:rFonts w:ascii="Times New Roman" w:eastAsia="仿宋_GB2312" w:hAnsi="Times New Roman" w:cs="Times New Roman"/>
          <w:sz w:val="32"/>
          <w:szCs w:val="32"/>
        </w:rPr>
        <w:t>“</w:t>
      </w:r>
      <w:r>
        <w:rPr>
          <w:rFonts w:ascii="Times New Roman" w:eastAsia="仿宋_GB2312" w:hAnsi="Times New Roman" w:cs="Times New Roman"/>
          <w:sz w:val="32"/>
          <w:szCs w:val="32"/>
        </w:rPr>
        <w:t>小微速贷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科创指数贷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关贸易贷</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等特色产品，提升信保类贷款占比。盯紧重大产业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风向标</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，持续做好</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专精特新</w:t>
      </w:r>
      <w:r>
        <w:rPr>
          <w:rFonts w:ascii="Times New Roman" w:eastAsia="仿宋_GB2312" w:hAnsi="Times New Roman" w:cs="Times New Roman"/>
          <w:sz w:val="32"/>
          <w:szCs w:val="32"/>
        </w:rPr>
        <w:t>”“</w:t>
      </w:r>
      <w:r>
        <w:rPr>
          <w:rFonts w:ascii="Times New Roman" w:eastAsia="仿宋_GB2312" w:hAnsi="Times New Roman" w:cs="Times New Roman"/>
          <w:sz w:val="32"/>
          <w:szCs w:val="32"/>
        </w:rPr>
        <w:t>技能人才</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等的金融支持。推进供应链金融纵深发展，加强竞争性客群、流失客群、交易高频客群等客群运营及综合营销，精准对接金融需求。</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全面助力乡村振兴。立足三农经济，大力支持新型农业经营主体，通过特色信贷产品，助力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水墨山城</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梦游天姥</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等样板项目，全方位推进全域旅游发展及文旅品牌建设。重点对接县</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土特产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全产业链发展体系，加大现代</w:t>
      </w:r>
      <w:r>
        <w:rPr>
          <w:rFonts w:ascii="Times New Roman" w:eastAsia="仿宋_GB2312" w:hAnsi="Times New Roman" w:cs="Times New Roman"/>
          <w:sz w:val="32"/>
          <w:szCs w:val="32"/>
        </w:rPr>
        <w:t>“</w:t>
      </w:r>
      <w:r>
        <w:rPr>
          <w:rFonts w:ascii="Times New Roman" w:eastAsia="仿宋_GB2312" w:hAnsi="Times New Roman" w:cs="Times New Roman"/>
          <w:sz w:val="32"/>
          <w:szCs w:val="32"/>
        </w:rPr>
        <w:t>新农人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、农创客金融支持力度，服务好</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兴村</w:t>
      </w:r>
      <w:r>
        <w:rPr>
          <w:rFonts w:ascii="Times New Roman" w:eastAsia="仿宋_GB2312" w:hAnsi="Times New Roman" w:cs="Times New Roman"/>
          <w:sz w:val="32"/>
          <w:szCs w:val="32"/>
        </w:rPr>
        <w:t>”“</w:t>
      </w:r>
      <w:r>
        <w:rPr>
          <w:rFonts w:ascii="Times New Roman" w:eastAsia="仿宋_GB2312" w:hAnsi="Times New Roman" w:cs="Times New Roman"/>
          <w:sz w:val="32"/>
          <w:szCs w:val="32"/>
        </w:rPr>
        <w:t>融合</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三篇文章。</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推进可持续富民模式。践行县</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挂单奔中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帮扶团成员职责，持续完善低收入群体</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挂单奔中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长效帮扶机制。通过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慈善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共富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可持续富民模式，对城乡社区发展治理、道德模范慰问、助学助困助医等公益项目给予大力支持。持续推广财</w:t>
      </w:r>
      <w:r>
        <w:rPr>
          <w:rFonts w:ascii="Times New Roman" w:eastAsia="仿宋_GB2312" w:hAnsi="Times New Roman" w:cs="Times New Roman"/>
          <w:sz w:val="32"/>
          <w:szCs w:val="32"/>
        </w:rPr>
        <w:lastRenderedPageBreak/>
        <w:t>金助力扩中家庭项目，丰富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共富</w:t>
      </w:r>
      <w:r>
        <w:rPr>
          <w:rFonts w:ascii="Times New Roman" w:eastAsia="仿宋_GB2312" w:hAnsi="Times New Roman" w:cs="Times New Roman"/>
          <w:sz w:val="32"/>
          <w:szCs w:val="32"/>
        </w:rPr>
        <w:t>”</w:t>
      </w:r>
      <w:r>
        <w:rPr>
          <w:rFonts w:ascii="Times New Roman" w:eastAsia="仿宋_GB2312" w:hAnsi="Times New Roman" w:cs="Times New Roman"/>
          <w:sz w:val="32"/>
          <w:szCs w:val="32"/>
        </w:rPr>
        <w:t>系列信贷产品，帮助扩中家庭增收致富。深化共富联合体建设，整合多方资源，强化供需对接，促进乡村产业发展，带动农民增收。</w:t>
      </w:r>
    </w:p>
    <w:p w14:paraId="033BD968"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（二）做深做实普惠金融，推动全行业务发</w:t>
      </w:r>
      <w:r>
        <w:rPr>
          <w:rFonts w:ascii="Times New Roman" w:eastAsia="楷体_GB2312" w:hAnsi="Times New Roman" w:cs="Times New Roman"/>
          <w:sz w:val="32"/>
          <w:szCs w:val="32"/>
        </w:rPr>
        <w:t>展提质。</w:t>
      </w:r>
      <w:r>
        <w:rPr>
          <w:rFonts w:ascii="Times New Roman" w:eastAsia="仿宋_GB2312" w:hAnsi="Times New Roman" w:cs="Times New Roman"/>
          <w:sz w:val="32"/>
          <w:szCs w:val="32"/>
        </w:rPr>
        <w:t>推动普惠金融从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增量扩面</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向</w:t>
      </w:r>
      <w:r>
        <w:rPr>
          <w:rFonts w:ascii="Times New Roman" w:eastAsia="仿宋_GB2312" w:hAnsi="Times New Roman" w:cs="Times New Roman"/>
          <w:sz w:val="32"/>
          <w:szCs w:val="32"/>
        </w:rPr>
        <w:t>“</w:t>
      </w:r>
      <w:r>
        <w:rPr>
          <w:rFonts w:ascii="Times New Roman" w:eastAsia="仿宋_GB2312" w:hAnsi="Times New Roman" w:cs="Times New Roman"/>
          <w:sz w:val="32"/>
          <w:szCs w:val="32"/>
        </w:rPr>
        <w:t>提质增效</w:t>
      </w:r>
      <w:r>
        <w:rPr>
          <w:rFonts w:ascii="Times New Roman" w:eastAsia="仿宋_GB2312" w:hAnsi="Times New Roman" w:cs="Times New Roman"/>
          <w:sz w:val="32"/>
          <w:szCs w:val="32"/>
        </w:rPr>
        <w:t>”</w:t>
      </w:r>
      <w:r>
        <w:rPr>
          <w:rFonts w:ascii="Times New Roman" w:eastAsia="仿宋_GB2312" w:hAnsi="Times New Roman" w:cs="Times New Roman"/>
          <w:sz w:val="32"/>
          <w:szCs w:val="32"/>
        </w:rPr>
        <w:t>转变，以普惠金融的扎实成效助力业务结构优化、发展动能升级。</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固存挖潜提升零售业务。深入实施大零售转型战略，聚焦养老金融，重点做好</w:t>
      </w:r>
      <w:r>
        <w:rPr>
          <w:rFonts w:ascii="Times New Roman" w:eastAsia="仿宋_GB2312" w:hAnsi="Times New Roman" w:cs="Times New Roman"/>
          <w:sz w:val="32"/>
          <w:szCs w:val="32"/>
        </w:rPr>
        <w:t>“</w:t>
      </w:r>
      <w:r>
        <w:rPr>
          <w:rFonts w:ascii="Times New Roman" w:eastAsia="仿宋_GB2312" w:hAnsi="Times New Roman" w:cs="Times New Roman"/>
          <w:sz w:val="32"/>
          <w:szCs w:val="32"/>
        </w:rPr>
        <w:t>退休一件事</w:t>
      </w:r>
      <w:r>
        <w:rPr>
          <w:rFonts w:ascii="Times New Roman" w:eastAsia="仿宋_GB2312" w:hAnsi="Times New Roman" w:cs="Times New Roman"/>
          <w:sz w:val="32"/>
          <w:szCs w:val="32"/>
        </w:rPr>
        <w:t>”“</w:t>
      </w:r>
      <w:r>
        <w:rPr>
          <w:rFonts w:ascii="Times New Roman" w:eastAsia="仿宋_GB2312" w:hAnsi="Times New Roman" w:cs="Times New Roman"/>
          <w:sz w:val="32"/>
          <w:szCs w:val="32"/>
        </w:rPr>
        <w:t>爱心卡</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等项目落地。深挖财富客群，上线财富管理平台，增加获客活客渠道，完善客户分层分类管理，深化产品和服务创新，推动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做大户数、做小客户</w:t>
      </w:r>
      <w:r>
        <w:rPr>
          <w:rFonts w:ascii="Times New Roman" w:eastAsia="仿宋_GB2312" w:hAnsi="Times New Roman" w:cs="Times New Roman"/>
          <w:sz w:val="32"/>
          <w:szCs w:val="32"/>
        </w:rPr>
        <w:t>”</w:t>
      </w:r>
      <w:r>
        <w:rPr>
          <w:rFonts w:ascii="Times New Roman" w:eastAsia="仿宋_GB2312" w:hAnsi="Times New Roman" w:cs="Times New Roman"/>
          <w:sz w:val="32"/>
          <w:szCs w:val="32"/>
        </w:rPr>
        <w:t>，形成特色化、差异化的错位竞争优势。</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精准发力拓展公司业务。持续深化政银企合作，深入对接经信、招商、科技等局办部门，整合政策、数据、资金、信息等优势资源，增强小微企业金融服务合力</w:t>
      </w:r>
      <w:r>
        <w:rPr>
          <w:rFonts w:ascii="Times New Roman" w:eastAsia="仿宋_GB2312" w:hAnsi="Times New Roman" w:cs="Times New Roman"/>
          <w:sz w:val="32"/>
          <w:szCs w:val="32"/>
        </w:rPr>
        <w:t>。完善</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数据分析</w:t>
      </w:r>
      <w:r>
        <w:rPr>
          <w:rFonts w:ascii="Times New Roman" w:eastAsia="仿宋_GB2312" w:hAnsi="Times New Roman" w:cs="Times New Roman"/>
          <w:sz w:val="32"/>
          <w:szCs w:val="32"/>
        </w:rPr>
        <w:t>+</w:t>
      </w:r>
      <w:r>
        <w:rPr>
          <w:rFonts w:ascii="Times New Roman" w:eastAsia="仿宋_GB2312" w:hAnsi="Times New Roman" w:cs="Times New Roman"/>
          <w:sz w:val="32"/>
          <w:szCs w:val="32"/>
        </w:rPr>
        <w:t>精准名单</w:t>
      </w:r>
      <w:r>
        <w:rPr>
          <w:rFonts w:ascii="Times New Roman" w:eastAsia="仿宋_GB2312" w:hAnsi="Times New Roman" w:cs="Times New Roman"/>
          <w:sz w:val="32"/>
          <w:szCs w:val="32"/>
        </w:rPr>
        <w:t>+</w:t>
      </w:r>
      <w:r>
        <w:rPr>
          <w:rFonts w:ascii="Times New Roman" w:eastAsia="仿宋_GB2312" w:hAnsi="Times New Roman" w:cs="Times New Roman"/>
          <w:sz w:val="32"/>
          <w:szCs w:val="32"/>
        </w:rPr>
        <w:t>网格走访</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的营销走访模式，促进存客挖潜和潜客扩面，提升对公结算及综合贡献。加强对公客户精细化运营，夯实对公基础业务，创新</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单位定活通</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等存款产品，借力企业互联渠道及六宝一生态产品，引流低成本存款，提高企业客户粘性，提升对公核心客户覆盖率，促进对公存款有效增长。</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深耕细作强化场景运营。依托</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智慧交通</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智慧校园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智慧收单</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等场景建设，全面构建多层次、广覆盖的农商特色商户场景体系，推动场景品牌年轻化。持续强化医疗、旅游、农村水电费收缴等行业场景运营，新增</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我爱新昌</w:t>
      </w:r>
      <w:r>
        <w:rPr>
          <w:rFonts w:ascii="Times New Roman" w:eastAsia="仿宋_GB2312" w:hAnsi="Times New Roman" w:cs="Times New Roman"/>
          <w:sz w:val="32"/>
          <w:szCs w:val="32"/>
        </w:rPr>
        <w:t>APP</w:t>
      </w:r>
      <w:r>
        <w:rPr>
          <w:rFonts w:ascii="Times New Roman" w:eastAsia="仿宋_GB2312" w:hAnsi="Times New Roman" w:cs="Times New Roman"/>
          <w:sz w:val="32"/>
          <w:szCs w:val="32"/>
        </w:rPr>
        <w:t>惠生活</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w:t>
      </w:r>
      <w:r>
        <w:rPr>
          <w:rFonts w:ascii="Times New Roman" w:eastAsia="仿宋_GB2312" w:hAnsi="Times New Roman" w:cs="Times New Roman"/>
          <w:sz w:val="32"/>
          <w:szCs w:val="32"/>
        </w:rPr>
        <w:t>场景建设，为全县居民提供更优质、更便捷、更贴心的金融</w:t>
      </w:r>
      <w:r>
        <w:rPr>
          <w:rFonts w:ascii="Times New Roman" w:eastAsia="仿宋_GB2312" w:hAnsi="Times New Roman" w:cs="Times New Roman"/>
          <w:sz w:val="32"/>
          <w:szCs w:val="32"/>
        </w:rPr>
        <w:t>+</w:t>
      </w:r>
      <w:r>
        <w:rPr>
          <w:rFonts w:ascii="Times New Roman" w:eastAsia="仿宋_GB2312" w:hAnsi="Times New Roman" w:cs="Times New Roman"/>
          <w:sz w:val="32"/>
          <w:szCs w:val="32"/>
        </w:rPr>
        <w:lastRenderedPageBreak/>
        <w:t>场景的服务。</w:t>
      </w:r>
    </w:p>
    <w:p w14:paraId="444368ED"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（三）强化公司治理能力，实现管理效能再升级。</w:t>
      </w:r>
      <w:r>
        <w:rPr>
          <w:rFonts w:ascii="Times New Roman" w:eastAsia="仿宋_GB2312" w:hAnsi="Times New Roman" w:cs="Times New Roman"/>
          <w:sz w:val="32"/>
          <w:szCs w:val="32"/>
        </w:rPr>
        <w:t>优化完善党委领导下的公司治理结构，强化内部和外部监督制衡，形成职责清晰、运行规范、制衡有效、运转高效的公司治理运行机制。</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完善规章制度建设。根据新颁布的《公司法》，修订本行《章程》《股东大会议事规则》《董事会议事规则》等制度，制定《高级管理层履职问责办法》，以制度建设为核心加强公司治理，保证治理的有效性，狠抓制度执行与落实。</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完善董事会运行机制。加大履职方式创新，通过优化决策机制、丰富会议形式</w:t>
      </w:r>
      <w:r>
        <w:rPr>
          <w:rFonts w:ascii="Times New Roman" w:eastAsia="仿宋_GB2312" w:hAnsi="Times New Roman" w:cs="Times New Roman"/>
          <w:sz w:val="32"/>
          <w:szCs w:val="32"/>
        </w:rPr>
        <w:t>、畅通信息渠道、强化决议执行，重点加强董事会决策能力建设，实现董事会决策效率与科学性的同步提升。</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加强股东股权与关联交易管理。加强股东资质规范管理，依法规范主要股东行为，积极保护中小股东合法权益，有效保障和平衡所有股东利益。不断提高关联交易管理精细化和数字化水平，促进关联交易合法合规。</w:t>
      </w:r>
      <w:r>
        <w:rPr>
          <w:rFonts w:ascii="Times New Roman" w:eastAsia="仿宋_GB2312" w:hAnsi="Times New Roman" w:cs="Times New Roman"/>
          <w:b/>
          <w:sz w:val="32"/>
          <w:szCs w:val="32"/>
        </w:rPr>
        <w:t>四是</w:t>
      </w:r>
      <w:r>
        <w:rPr>
          <w:rFonts w:ascii="Times New Roman" w:eastAsia="仿宋_GB2312" w:hAnsi="Times New Roman" w:cs="Times New Roman"/>
          <w:sz w:val="32"/>
          <w:szCs w:val="32"/>
        </w:rPr>
        <w:t>深化精细管理赋能。优化财务管理，提升业财融合水平，调整存款结构，持续释放利润空间。加强主动资本管理，实现降本增效。推动网点营销化、总部集约化转型，优化人力资源，实现网点现金柜全覆盖，提升网点人均服务效能。</w:t>
      </w:r>
    </w:p>
    <w:p w14:paraId="21944BC4"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（四）严守风险</w:t>
      </w:r>
      <w:r>
        <w:rPr>
          <w:rFonts w:ascii="Times New Roman" w:eastAsia="楷体_GB2312" w:hAnsi="Times New Roman" w:cs="Times New Roman"/>
          <w:sz w:val="32"/>
          <w:szCs w:val="32"/>
        </w:rPr>
        <w:t>防控底线，合规经营稳健发展。</w:t>
      </w:r>
      <w:r>
        <w:rPr>
          <w:rFonts w:ascii="Times New Roman" w:eastAsia="仿宋_GB2312" w:hAnsi="Times New Roman" w:cs="Times New Roman"/>
          <w:sz w:val="32"/>
          <w:szCs w:val="32"/>
        </w:rPr>
        <w:t>始终把风控合规放在首位，切实管控好各类风险，守住不发生重大风险底线。</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深化全面风险管理。围绕各类别风险，推动业务端、风控端、内控端各项防控举措全面落实。用好省行数智风控系统，提升风险识别和应对能力。加强内外部数据</w:t>
      </w:r>
      <w:r>
        <w:rPr>
          <w:rFonts w:ascii="Times New Roman" w:eastAsia="仿宋_GB2312" w:hAnsi="Times New Roman" w:cs="Times New Roman"/>
          <w:sz w:val="32"/>
          <w:szCs w:val="32"/>
        </w:rPr>
        <w:lastRenderedPageBreak/>
        <w:t>积累，强化数据加工、整合、分析、应用能力，为政策制定、风险决策、风险管理提供科学依据。</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建强信贷全链条管理机制。扎实推进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贷前、贷中、贷后、处置、问责</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等信贷全流程管控。前移关口加大贷前风险识别，做实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穿透式</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审查，严把贷款准入关。健全贷后检查监测和信贷风险排查机制，</w:t>
      </w:r>
      <w:r>
        <w:rPr>
          <w:rFonts w:ascii="Times New Roman" w:eastAsia="仿宋_GB2312" w:hAnsi="Times New Roman" w:cs="Times New Roman"/>
          <w:sz w:val="32"/>
          <w:szCs w:val="32"/>
        </w:rPr>
        <w:t>做实贷后管理。优化催收诉讼程序，开展清核增效，推进市场化处置、招标清收、债权转让等，加大不良清收处置。</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深化合规管理和审计监督。持续完善内控、合规、操作风险管理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三位一体</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全覆盖的合规管理体系，加强员工行为管理和道德风险防控。强化内部审计垂直管理，紧盯柜面业务、大额贷款、资金理财、费用效益等关键风险、重点业务、重要资产，提升审计管理质效。</w:t>
      </w:r>
    </w:p>
    <w:p w14:paraId="75D7FFCB" w14:textId="77777777" w:rsidR="005E5F89" w:rsidRDefault="009F1589">
      <w:pPr>
        <w:spacing w:line="56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sz w:val="32"/>
          <w:szCs w:val="32"/>
        </w:rPr>
        <w:t>（五）提升队伍能力，不断深化党建引领高质量发展。</w:t>
      </w:r>
      <w:r>
        <w:rPr>
          <w:rFonts w:ascii="Times New Roman" w:eastAsia="仿宋_GB2312" w:hAnsi="Times New Roman" w:cs="Times New Roman"/>
          <w:sz w:val="32"/>
          <w:szCs w:val="32"/>
        </w:rPr>
        <w:t>聚焦队伍能力提升，强化思想淬炼、专业训练、实践锻炼，着力锻造高素质专业化人才队伍。</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全面加强党的建设。严格落实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第一议题</w:t>
      </w:r>
      <w:r>
        <w:rPr>
          <w:rFonts w:ascii="Times New Roman" w:eastAsia="仿宋_GB2312" w:hAnsi="Times New Roman" w:cs="Times New Roman"/>
          <w:sz w:val="32"/>
          <w:szCs w:val="32"/>
        </w:rPr>
        <w:t>”</w:t>
      </w:r>
      <w:r>
        <w:rPr>
          <w:rFonts w:ascii="Times New Roman" w:eastAsia="仿宋_GB2312" w:hAnsi="Times New Roman" w:cs="Times New Roman"/>
          <w:sz w:val="32"/>
          <w:szCs w:val="32"/>
        </w:rPr>
        <w:t>制度，健全以学铸魂、以学增智、以学正风、以学促干长效机制。建立党支部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标准</w:t>
      </w:r>
      <w:r>
        <w:rPr>
          <w:rFonts w:ascii="Times New Roman" w:eastAsia="仿宋_GB2312" w:hAnsi="Times New Roman" w:cs="Times New Roman"/>
          <w:sz w:val="32"/>
          <w:szCs w:val="32"/>
        </w:rPr>
        <w:t>+</w:t>
      </w:r>
      <w:r>
        <w:rPr>
          <w:rFonts w:ascii="Times New Roman" w:eastAsia="仿宋_GB2312" w:hAnsi="Times New Roman" w:cs="Times New Roman"/>
          <w:sz w:val="32"/>
          <w:szCs w:val="32"/>
        </w:rPr>
        <w:t>特色</w:t>
      </w:r>
      <w:r>
        <w:rPr>
          <w:rFonts w:ascii="Times New Roman" w:eastAsia="仿宋_GB2312" w:hAnsi="Times New Roman" w:cs="Times New Roman"/>
          <w:sz w:val="32"/>
          <w:szCs w:val="32"/>
        </w:rPr>
        <w:t>+</w:t>
      </w:r>
      <w:r>
        <w:rPr>
          <w:rFonts w:ascii="Times New Roman" w:eastAsia="仿宋_GB2312" w:hAnsi="Times New Roman" w:cs="Times New Roman"/>
          <w:sz w:val="32"/>
          <w:szCs w:val="32"/>
        </w:rPr>
        <w:t>重点任务</w:t>
      </w:r>
      <w:r>
        <w:rPr>
          <w:rFonts w:ascii="Times New Roman" w:eastAsia="仿宋_GB2312" w:hAnsi="Times New Roman" w:cs="Times New Roman"/>
          <w:sz w:val="32"/>
          <w:szCs w:val="32"/>
        </w:rPr>
        <w:t>”</w:t>
      </w:r>
      <w:r>
        <w:rPr>
          <w:rFonts w:ascii="Times New Roman" w:eastAsia="仿宋_GB2312" w:hAnsi="Times New Roman" w:cs="Times New Roman"/>
          <w:sz w:val="32"/>
          <w:szCs w:val="32"/>
        </w:rPr>
        <w:t>工作体系，推进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一支部一特色一品牌</w:t>
      </w:r>
      <w:r>
        <w:rPr>
          <w:rFonts w:ascii="Times New Roman" w:eastAsia="仿宋_GB2312" w:hAnsi="Times New Roman" w:cs="Times New Roman"/>
          <w:sz w:val="32"/>
          <w:szCs w:val="32"/>
        </w:rPr>
        <w:t>”</w:t>
      </w:r>
      <w:r>
        <w:rPr>
          <w:rFonts w:ascii="Times New Roman" w:eastAsia="仿宋_GB2312" w:hAnsi="Times New Roman" w:cs="Times New Roman"/>
          <w:sz w:val="32"/>
          <w:szCs w:val="32"/>
        </w:rPr>
        <w:t>建设，全面提升基层党建工作规范化水平。推动党建与业务深度融合，巩固深化政银、银企合作，打造党建联建共同体，以</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党建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赋能高质量发展。</w:t>
      </w:r>
      <w:r>
        <w:rPr>
          <w:rFonts w:ascii="Times New Roman" w:eastAsia="仿宋_GB2312" w:hAnsi="Times New Roman" w:cs="Times New Roman"/>
          <w:b/>
          <w:sz w:val="32"/>
          <w:szCs w:val="32"/>
        </w:rPr>
        <w:t>二是</w:t>
      </w:r>
      <w:r>
        <w:rPr>
          <w:rFonts w:ascii="Times New Roman" w:eastAsia="仿宋_GB2312" w:hAnsi="Times New Roman" w:cs="Times New Roman"/>
          <w:sz w:val="32"/>
          <w:szCs w:val="32"/>
        </w:rPr>
        <w:t>深入推进人才队伍建设。坚持干部能上能下，员工能进能出，盘活和优化队伍结构，加大专业领域人才培养，完善干部管理制度，建立健全后备干部管理机制。严控总部人员数量，加大人才引进力度，建立青年员工职业成长</w:t>
      </w:r>
      <w:r>
        <w:rPr>
          <w:rFonts w:ascii="Times New Roman" w:eastAsia="仿宋_GB2312" w:hAnsi="Times New Roman" w:cs="Times New Roman"/>
          <w:sz w:val="32"/>
          <w:szCs w:val="32"/>
        </w:rPr>
        <w:lastRenderedPageBreak/>
        <w:t>库。上线省行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绩效云</w:t>
      </w:r>
      <w:r>
        <w:rPr>
          <w:rFonts w:ascii="Times New Roman" w:eastAsia="仿宋_GB2312" w:hAnsi="Times New Roman" w:cs="Times New Roman"/>
          <w:sz w:val="32"/>
          <w:szCs w:val="32"/>
        </w:rPr>
        <w:t>”</w:t>
      </w:r>
      <w:r>
        <w:rPr>
          <w:rFonts w:ascii="Times New Roman" w:eastAsia="仿宋_GB2312" w:hAnsi="Times New Roman" w:cs="Times New Roman"/>
          <w:sz w:val="32"/>
          <w:szCs w:val="32"/>
        </w:rPr>
        <w:t>系统，优化绩效考核体系，完善岗位序列评级与晋升通道，通过落实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一岗多级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一级多档</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并行，实现员工薪酬提升双通道，激发员工队伍能动性。建立学习积分管理机制。明确积分规则，丰富积分管理方式，形成比学赶超氛围，进一步激发员工学习主动性，让员工向内生长，形成自驱成长生态。</w:t>
      </w:r>
      <w:r>
        <w:rPr>
          <w:rFonts w:ascii="Times New Roman" w:eastAsia="仿宋_GB2312" w:hAnsi="Times New Roman" w:cs="Times New Roman"/>
          <w:b/>
          <w:sz w:val="32"/>
          <w:szCs w:val="32"/>
        </w:rPr>
        <w:t>三是</w:t>
      </w:r>
      <w:r>
        <w:rPr>
          <w:rFonts w:ascii="Times New Roman" w:eastAsia="仿宋_GB2312" w:hAnsi="Times New Roman" w:cs="Times New Roman"/>
          <w:sz w:val="32"/>
          <w:szCs w:val="32"/>
        </w:rPr>
        <w:t>着力提升品牌文化建设。持续推进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红犁</w:t>
      </w:r>
      <w:r>
        <w:rPr>
          <w:rFonts w:ascii="Times New Roman" w:eastAsia="仿宋_GB2312" w:hAnsi="Times New Roman" w:cs="Times New Roman"/>
          <w:sz w:val="32"/>
          <w:szCs w:val="32"/>
        </w:rPr>
        <w:t>”</w:t>
      </w:r>
      <w:r>
        <w:rPr>
          <w:rFonts w:ascii="Times New Roman" w:eastAsia="仿宋_GB2312" w:hAnsi="Times New Roman" w:cs="Times New Roman"/>
          <w:sz w:val="32"/>
          <w:szCs w:val="32"/>
        </w:rPr>
        <w:t>品牌宣贯，设置红犁文化四大板块，通过线上线下多渠道，让</w:t>
      </w:r>
      <w:r>
        <w:rPr>
          <w:rFonts w:ascii="Times New Roman" w:eastAsia="仿宋_GB2312" w:hAnsi="Times New Roman" w:cs="Times New Roman"/>
          <w:sz w:val="32"/>
          <w:szCs w:val="32"/>
        </w:rPr>
        <w:t>“</w:t>
      </w:r>
      <w:r>
        <w:rPr>
          <w:rFonts w:ascii="Times New Roman" w:eastAsia="仿宋_GB2312" w:hAnsi="Times New Roman" w:cs="Times New Roman"/>
          <w:sz w:val="32"/>
          <w:szCs w:val="32"/>
        </w:rPr>
        <w:t>红犁</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所承载的服务</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三农</w:t>
      </w:r>
      <w:r>
        <w:rPr>
          <w:rFonts w:ascii="Times New Roman" w:eastAsia="仿宋_GB2312" w:hAnsi="Times New Roman" w:cs="Times New Roman"/>
          <w:sz w:val="32"/>
          <w:szCs w:val="32"/>
        </w:rPr>
        <w:t>”</w:t>
      </w:r>
      <w:r>
        <w:rPr>
          <w:rFonts w:ascii="Times New Roman" w:eastAsia="仿宋_GB2312" w:hAnsi="Times New Roman" w:cs="Times New Roman"/>
          <w:sz w:val="32"/>
          <w:szCs w:val="32"/>
        </w:rPr>
        <w:t>初心与乡村振兴使命紧密相连，与金融服务深度融合，使品牌在服务实体经济中换发出强大的生命力，塑造独具特色的农商品牌</w:t>
      </w:r>
      <w:r>
        <w:rPr>
          <w:rFonts w:ascii="Times New Roman" w:eastAsia="仿宋_GB2312" w:hAnsi="Times New Roman" w:cs="Times New Roman"/>
          <w:sz w:val="32"/>
          <w:szCs w:val="32"/>
        </w:rPr>
        <w:t>文化新范式。</w:t>
      </w:r>
    </w:p>
    <w:p w14:paraId="01F3CA1E" w14:textId="77777777" w:rsidR="005E5F89" w:rsidRDefault="009F1589">
      <w:pPr>
        <w:ind w:firstLineChars="200" w:firstLine="640"/>
        <w:rPr>
          <w:rFonts w:ascii="Times New Roman" w:hAnsi="Times New Roman" w:cs="Times New Roman"/>
        </w:rPr>
      </w:pP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董事会与管理层、全体员工紧密协作，与监管部门、客户及合作伙伴保持良好互动，共同推动业务稳健增长，为地方经济发展注入强劲动力。新的一年，我们将持续优化治理机制，深化协同合作，凝聚各方力量，在服务乡村振兴、支持实体经济的伟大征程中，创造更大价值，奋力书写新昌农商银行高质量发展的崭新篇章。</w:t>
      </w:r>
    </w:p>
    <w:sectPr w:rsidR="005E5F8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84829" w14:textId="77777777" w:rsidR="00000000" w:rsidRDefault="009F1589">
      <w:r>
        <w:separator/>
      </w:r>
    </w:p>
  </w:endnote>
  <w:endnote w:type="continuationSeparator" w:id="0">
    <w:p w14:paraId="50CFC25F" w14:textId="77777777" w:rsidR="00000000" w:rsidRDefault="009F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494617"/>
      <w:docPartObj>
        <w:docPartGallery w:val="AutoText"/>
      </w:docPartObj>
    </w:sdtPr>
    <w:sdtEndPr/>
    <w:sdtContent>
      <w:p w14:paraId="387ACCDA" w14:textId="77777777" w:rsidR="005E5F89" w:rsidRDefault="009F1589">
        <w:pPr>
          <w:pStyle w:val="a4"/>
          <w:jc w:val="center"/>
        </w:pPr>
        <w:r>
          <w:fldChar w:fldCharType="begin"/>
        </w:r>
        <w:r>
          <w:instrText>PAGE   \* MERGEFORMAT</w:instrText>
        </w:r>
        <w:r>
          <w:fldChar w:fldCharType="separate"/>
        </w:r>
        <w:r w:rsidRPr="009F1589">
          <w:rPr>
            <w:noProof/>
            <w:lang w:val="zh-CN"/>
          </w:rPr>
          <w:t>2</w:t>
        </w:r>
        <w:r>
          <w:fldChar w:fldCharType="end"/>
        </w:r>
      </w:p>
    </w:sdtContent>
  </w:sdt>
  <w:p w14:paraId="4C206964" w14:textId="77777777" w:rsidR="005E5F89" w:rsidRDefault="005E5F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21BC9" w14:textId="77777777" w:rsidR="00000000" w:rsidRDefault="009F1589">
      <w:r>
        <w:separator/>
      </w:r>
    </w:p>
  </w:footnote>
  <w:footnote w:type="continuationSeparator" w:id="0">
    <w:p w14:paraId="42101BF3" w14:textId="77777777" w:rsidR="00000000" w:rsidRDefault="009F15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145"/>
    <w:rsid w:val="000017E0"/>
    <w:rsid w:val="0000359F"/>
    <w:rsid w:val="00010D1B"/>
    <w:rsid w:val="0001529E"/>
    <w:rsid w:val="00015C8D"/>
    <w:rsid w:val="00016BEA"/>
    <w:rsid w:val="00020C96"/>
    <w:rsid w:val="00024891"/>
    <w:rsid w:val="000260B2"/>
    <w:rsid w:val="000263FA"/>
    <w:rsid w:val="0002780C"/>
    <w:rsid w:val="00027A4C"/>
    <w:rsid w:val="00030F98"/>
    <w:rsid w:val="00037015"/>
    <w:rsid w:val="00041AAB"/>
    <w:rsid w:val="00041D47"/>
    <w:rsid w:val="000506C4"/>
    <w:rsid w:val="00051B37"/>
    <w:rsid w:val="00052049"/>
    <w:rsid w:val="00053888"/>
    <w:rsid w:val="00053F2F"/>
    <w:rsid w:val="0005742D"/>
    <w:rsid w:val="00060F06"/>
    <w:rsid w:val="00061EB4"/>
    <w:rsid w:val="00070AB8"/>
    <w:rsid w:val="00073182"/>
    <w:rsid w:val="000771BC"/>
    <w:rsid w:val="00081EB1"/>
    <w:rsid w:val="00092A7C"/>
    <w:rsid w:val="0009423D"/>
    <w:rsid w:val="00097FC4"/>
    <w:rsid w:val="000A09D7"/>
    <w:rsid w:val="000A288B"/>
    <w:rsid w:val="000A2AA2"/>
    <w:rsid w:val="000A4517"/>
    <w:rsid w:val="000A6ACB"/>
    <w:rsid w:val="000B18BE"/>
    <w:rsid w:val="000B5E0B"/>
    <w:rsid w:val="000B7D4A"/>
    <w:rsid w:val="000C0574"/>
    <w:rsid w:val="000D1D36"/>
    <w:rsid w:val="000D36D9"/>
    <w:rsid w:val="000D3E09"/>
    <w:rsid w:val="000D6B86"/>
    <w:rsid w:val="000D6DE2"/>
    <w:rsid w:val="000E10BC"/>
    <w:rsid w:val="000E1E13"/>
    <w:rsid w:val="000E2270"/>
    <w:rsid w:val="000E5CF1"/>
    <w:rsid w:val="000F0371"/>
    <w:rsid w:val="000F2CBE"/>
    <w:rsid w:val="000F6BEE"/>
    <w:rsid w:val="00100781"/>
    <w:rsid w:val="00100881"/>
    <w:rsid w:val="00102668"/>
    <w:rsid w:val="001028D6"/>
    <w:rsid w:val="001125AE"/>
    <w:rsid w:val="001168C7"/>
    <w:rsid w:val="00121F5B"/>
    <w:rsid w:val="00122124"/>
    <w:rsid w:val="00124714"/>
    <w:rsid w:val="001267F0"/>
    <w:rsid w:val="001330C3"/>
    <w:rsid w:val="0013733C"/>
    <w:rsid w:val="001412CF"/>
    <w:rsid w:val="00142BF4"/>
    <w:rsid w:val="0014407A"/>
    <w:rsid w:val="00150A0C"/>
    <w:rsid w:val="001511A4"/>
    <w:rsid w:val="0015186D"/>
    <w:rsid w:val="00153BF0"/>
    <w:rsid w:val="0015456D"/>
    <w:rsid w:val="00156D28"/>
    <w:rsid w:val="001573EC"/>
    <w:rsid w:val="00160596"/>
    <w:rsid w:val="00162F57"/>
    <w:rsid w:val="0016393F"/>
    <w:rsid w:val="00164E1D"/>
    <w:rsid w:val="00165510"/>
    <w:rsid w:val="001703A9"/>
    <w:rsid w:val="00170918"/>
    <w:rsid w:val="00172B40"/>
    <w:rsid w:val="00172FC5"/>
    <w:rsid w:val="00176E89"/>
    <w:rsid w:val="001809E9"/>
    <w:rsid w:val="0018373D"/>
    <w:rsid w:val="00184261"/>
    <w:rsid w:val="00187217"/>
    <w:rsid w:val="00187BAD"/>
    <w:rsid w:val="00193B01"/>
    <w:rsid w:val="00194735"/>
    <w:rsid w:val="001A11F4"/>
    <w:rsid w:val="001A42DD"/>
    <w:rsid w:val="001A4E59"/>
    <w:rsid w:val="001A6C60"/>
    <w:rsid w:val="001A7891"/>
    <w:rsid w:val="001A7BCC"/>
    <w:rsid w:val="001B03EE"/>
    <w:rsid w:val="001B0C75"/>
    <w:rsid w:val="001B3756"/>
    <w:rsid w:val="001B6CB2"/>
    <w:rsid w:val="001B7A57"/>
    <w:rsid w:val="001C4E90"/>
    <w:rsid w:val="001C656A"/>
    <w:rsid w:val="001D138E"/>
    <w:rsid w:val="001D2F9E"/>
    <w:rsid w:val="001D3961"/>
    <w:rsid w:val="001D474B"/>
    <w:rsid w:val="001D4FFF"/>
    <w:rsid w:val="001E26E6"/>
    <w:rsid w:val="001E6236"/>
    <w:rsid w:val="001F3BA2"/>
    <w:rsid w:val="001F5A0F"/>
    <w:rsid w:val="00203AEA"/>
    <w:rsid w:val="0020446C"/>
    <w:rsid w:val="002059E8"/>
    <w:rsid w:val="00210BB1"/>
    <w:rsid w:val="002136D5"/>
    <w:rsid w:val="00215DCE"/>
    <w:rsid w:val="00225940"/>
    <w:rsid w:val="0022601D"/>
    <w:rsid w:val="00226D57"/>
    <w:rsid w:val="002359C8"/>
    <w:rsid w:val="00237E40"/>
    <w:rsid w:val="002413B4"/>
    <w:rsid w:val="00243909"/>
    <w:rsid w:val="00246BD2"/>
    <w:rsid w:val="00246F08"/>
    <w:rsid w:val="00251FE5"/>
    <w:rsid w:val="00252777"/>
    <w:rsid w:val="00254CC3"/>
    <w:rsid w:val="00254F87"/>
    <w:rsid w:val="00256AA0"/>
    <w:rsid w:val="002665C2"/>
    <w:rsid w:val="00275162"/>
    <w:rsid w:val="00275C5F"/>
    <w:rsid w:val="0027731C"/>
    <w:rsid w:val="00286890"/>
    <w:rsid w:val="002923BD"/>
    <w:rsid w:val="0029317D"/>
    <w:rsid w:val="00293EBE"/>
    <w:rsid w:val="00294B27"/>
    <w:rsid w:val="00295145"/>
    <w:rsid w:val="00297D6A"/>
    <w:rsid w:val="002A2939"/>
    <w:rsid w:val="002A3F4D"/>
    <w:rsid w:val="002A4F14"/>
    <w:rsid w:val="002A53D5"/>
    <w:rsid w:val="002B3BC5"/>
    <w:rsid w:val="002B5A4B"/>
    <w:rsid w:val="002B7B67"/>
    <w:rsid w:val="002C1D22"/>
    <w:rsid w:val="002C1D2E"/>
    <w:rsid w:val="002C550D"/>
    <w:rsid w:val="002D3991"/>
    <w:rsid w:val="002D3FD7"/>
    <w:rsid w:val="002D7F3D"/>
    <w:rsid w:val="002E0238"/>
    <w:rsid w:val="002E148B"/>
    <w:rsid w:val="002E2A1C"/>
    <w:rsid w:val="002E4D15"/>
    <w:rsid w:val="002E57A6"/>
    <w:rsid w:val="002F5B27"/>
    <w:rsid w:val="002F6266"/>
    <w:rsid w:val="00305878"/>
    <w:rsid w:val="003110F7"/>
    <w:rsid w:val="00311A3D"/>
    <w:rsid w:val="003139F2"/>
    <w:rsid w:val="00314F75"/>
    <w:rsid w:val="00316B76"/>
    <w:rsid w:val="00317699"/>
    <w:rsid w:val="00317FB1"/>
    <w:rsid w:val="0032448A"/>
    <w:rsid w:val="00324779"/>
    <w:rsid w:val="003252C0"/>
    <w:rsid w:val="00325D59"/>
    <w:rsid w:val="003265C2"/>
    <w:rsid w:val="0033108D"/>
    <w:rsid w:val="003369B3"/>
    <w:rsid w:val="003412CE"/>
    <w:rsid w:val="003414AE"/>
    <w:rsid w:val="00343B56"/>
    <w:rsid w:val="0034425F"/>
    <w:rsid w:val="00360615"/>
    <w:rsid w:val="003650B8"/>
    <w:rsid w:val="0036610B"/>
    <w:rsid w:val="00383120"/>
    <w:rsid w:val="00385F20"/>
    <w:rsid w:val="00390D9C"/>
    <w:rsid w:val="00390E15"/>
    <w:rsid w:val="0039552D"/>
    <w:rsid w:val="0039737E"/>
    <w:rsid w:val="003973FF"/>
    <w:rsid w:val="003A032A"/>
    <w:rsid w:val="003B042B"/>
    <w:rsid w:val="003B6940"/>
    <w:rsid w:val="003B7DDC"/>
    <w:rsid w:val="003C135A"/>
    <w:rsid w:val="003C13D7"/>
    <w:rsid w:val="003C2C29"/>
    <w:rsid w:val="003C2D5E"/>
    <w:rsid w:val="003C6D66"/>
    <w:rsid w:val="003C74B1"/>
    <w:rsid w:val="003D176B"/>
    <w:rsid w:val="003D24D7"/>
    <w:rsid w:val="003D372F"/>
    <w:rsid w:val="003D3A42"/>
    <w:rsid w:val="003D3D94"/>
    <w:rsid w:val="003D4375"/>
    <w:rsid w:val="003D4707"/>
    <w:rsid w:val="003E09A4"/>
    <w:rsid w:val="003E0CF2"/>
    <w:rsid w:val="003E0D9B"/>
    <w:rsid w:val="003F0328"/>
    <w:rsid w:val="003F1185"/>
    <w:rsid w:val="00404F23"/>
    <w:rsid w:val="0040694D"/>
    <w:rsid w:val="004073AC"/>
    <w:rsid w:val="00410D78"/>
    <w:rsid w:val="004115DB"/>
    <w:rsid w:val="00413F3B"/>
    <w:rsid w:val="004148A1"/>
    <w:rsid w:val="00414FD9"/>
    <w:rsid w:val="004165AF"/>
    <w:rsid w:val="00422320"/>
    <w:rsid w:val="004233AB"/>
    <w:rsid w:val="004273D7"/>
    <w:rsid w:val="00427F84"/>
    <w:rsid w:val="00435CCC"/>
    <w:rsid w:val="00440B04"/>
    <w:rsid w:val="004410A2"/>
    <w:rsid w:val="00447D4E"/>
    <w:rsid w:val="0045339B"/>
    <w:rsid w:val="00454580"/>
    <w:rsid w:val="00456A7E"/>
    <w:rsid w:val="00460ACD"/>
    <w:rsid w:val="00461CF3"/>
    <w:rsid w:val="00465B08"/>
    <w:rsid w:val="004674B5"/>
    <w:rsid w:val="00472FE8"/>
    <w:rsid w:val="00473462"/>
    <w:rsid w:val="00473AF9"/>
    <w:rsid w:val="00476A11"/>
    <w:rsid w:val="004861B5"/>
    <w:rsid w:val="00486509"/>
    <w:rsid w:val="00486D4E"/>
    <w:rsid w:val="00486FA5"/>
    <w:rsid w:val="004A2CEA"/>
    <w:rsid w:val="004A5E14"/>
    <w:rsid w:val="004B67CB"/>
    <w:rsid w:val="004B73F7"/>
    <w:rsid w:val="004C4963"/>
    <w:rsid w:val="004C4CE4"/>
    <w:rsid w:val="004D094B"/>
    <w:rsid w:val="004D4A85"/>
    <w:rsid w:val="004D6CDD"/>
    <w:rsid w:val="004E34DB"/>
    <w:rsid w:val="004E4502"/>
    <w:rsid w:val="004E517F"/>
    <w:rsid w:val="004F7407"/>
    <w:rsid w:val="004F7669"/>
    <w:rsid w:val="004F7DB4"/>
    <w:rsid w:val="00500544"/>
    <w:rsid w:val="005016A0"/>
    <w:rsid w:val="00502765"/>
    <w:rsid w:val="00506E54"/>
    <w:rsid w:val="00510D33"/>
    <w:rsid w:val="005141AD"/>
    <w:rsid w:val="00515F68"/>
    <w:rsid w:val="00521AF5"/>
    <w:rsid w:val="00522CAF"/>
    <w:rsid w:val="00530EE8"/>
    <w:rsid w:val="005332F6"/>
    <w:rsid w:val="00534DB2"/>
    <w:rsid w:val="00534DD9"/>
    <w:rsid w:val="0054053F"/>
    <w:rsid w:val="00542044"/>
    <w:rsid w:val="00546217"/>
    <w:rsid w:val="005477EB"/>
    <w:rsid w:val="005507AA"/>
    <w:rsid w:val="00555A73"/>
    <w:rsid w:val="005579C9"/>
    <w:rsid w:val="005617E2"/>
    <w:rsid w:val="00562D83"/>
    <w:rsid w:val="00563012"/>
    <w:rsid w:val="00563C7D"/>
    <w:rsid w:val="00564A83"/>
    <w:rsid w:val="00566B80"/>
    <w:rsid w:val="0057033C"/>
    <w:rsid w:val="005732B4"/>
    <w:rsid w:val="0057402B"/>
    <w:rsid w:val="0057438A"/>
    <w:rsid w:val="00575415"/>
    <w:rsid w:val="00576306"/>
    <w:rsid w:val="005876B6"/>
    <w:rsid w:val="0058773C"/>
    <w:rsid w:val="00590CBA"/>
    <w:rsid w:val="0059294D"/>
    <w:rsid w:val="00593C8C"/>
    <w:rsid w:val="005A079E"/>
    <w:rsid w:val="005A15FF"/>
    <w:rsid w:val="005A3BBA"/>
    <w:rsid w:val="005A3F1C"/>
    <w:rsid w:val="005A7DA2"/>
    <w:rsid w:val="005B754F"/>
    <w:rsid w:val="005C19AA"/>
    <w:rsid w:val="005C298C"/>
    <w:rsid w:val="005C494F"/>
    <w:rsid w:val="005C7A8D"/>
    <w:rsid w:val="005D0CEF"/>
    <w:rsid w:val="005D1FCB"/>
    <w:rsid w:val="005D28B3"/>
    <w:rsid w:val="005D2C69"/>
    <w:rsid w:val="005D35C8"/>
    <w:rsid w:val="005D756B"/>
    <w:rsid w:val="005E341F"/>
    <w:rsid w:val="005E5F89"/>
    <w:rsid w:val="005E60D7"/>
    <w:rsid w:val="005E6D1B"/>
    <w:rsid w:val="005F112F"/>
    <w:rsid w:val="005F2425"/>
    <w:rsid w:val="005F2AAB"/>
    <w:rsid w:val="005F437F"/>
    <w:rsid w:val="006008F3"/>
    <w:rsid w:val="00600A35"/>
    <w:rsid w:val="006010D0"/>
    <w:rsid w:val="00603B8B"/>
    <w:rsid w:val="006056CA"/>
    <w:rsid w:val="00605FC1"/>
    <w:rsid w:val="0061058F"/>
    <w:rsid w:val="00610AC3"/>
    <w:rsid w:val="00611BED"/>
    <w:rsid w:val="00612EDB"/>
    <w:rsid w:val="00621965"/>
    <w:rsid w:val="00632534"/>
    <w:rsid w:val="00633618"/>
    <w:rsid w:val="00635B49"/>
    <w:rsid w:val="0063646F"/>
    <w:rsid w:val="00644263"/>
    <w:rsid w:val="0064745B"/>
    <w:rsid w:val="00653F54"/>
    <w:rsid w:val="0065668A"/>
    <w:rsid w:val="00662AE6"/>
    <w:rsid w:val="006728E6"/>
    <w:rsid w:val="0067483C"/>
    <w:rsid w:val="00674BAD"/>
    <w:rsid w:val="0067639F"/>
    <w:rsid w:val="006820A4"/>
    <w:rsid w:val="00687490"/>
    <w:rsid w:val="00687F4A"/>
    <w:rsid w:val="006906B1"/>
    <w:rsid w:val="006920DA"/>
    <w:rsid w:val="00693663"/>
    <w:rsid w:val="006A58CA"/>
    <w:rsid w:val="006A75B2"/>
    <w:rsid w:val="006B0908"/>
    <w:rsid w:val="006B3ADA"/>
    <w:rsid w:val="006C3C00"/>
    <w:rsid w:val="006C4349"/>
    <w:rsid w:val="006D451B"/>
    <w:rsid w:val="006D4C83"/>
    <w:rsid w:val="006E0DF1"/>
    <w:rsid w:val="006E11B6"/>
    <w:rsid w:val="006E1F1C"/>
    <w:rsid w:val="006E4EC9"/>
    <w:rsid w:val="006E7C3E"/>
    <w:rsid w:val="006F09D0"/>
    <w:rsid w:val="006F5D13"/>
    <w:rsid w:val="00702485"/>
    <w:rsid w:val="00715D57"/>
    <w:rsid w:val="00717E6F"/>
    <w:rsid w:val="00720A2E"/>
    <w:rsid w:val="00723493"/>
    <w:rsid w:val="00724E42"/>
    <w:rsid w:val="00725E8A"/>
    <w:rsid w:val="00726033"/>
    <w:rsid w:val="0072668B"/>
    <w:rsid w:val="00732447"/>
    <w:rsid w:val="00733BF3"/>
    <w:rsid w:val="00735E6C"/>
    <w:rsid w:val="007418E8"/>
    <w:rsid w:val="0074337C"/>
    <w:rsid w:val="007456A9"/>
    <w:rsid w:val="00745F6E"/>
    <w:rsid w:val="0074669F"/>
    <w:rsid w:val="007551A2"/>
    <w:rsid w:val="0075786E"/>
    <w:rsid w:val="007606CC"/>
    <w:rsid w:val="00761472"/>
    <w:rsid w:val="007617C5"/>
    <w:rsid w:val="00764978"/>
    <w:rsid w:val="007649FC"/>
    <w:rsid w:val="00764DC2"/>
    <w:rsid w:val="007664C0"/>
    <w:rsid w:val="00771A61"/>
    <w:rsid w:val="00775679"/>
    <w:rsid w:val="007757E2"/>
    <w:rsid w:val="00783C70"/>
    <w:rsid w:val="00785148"/>
    <w:rsid w:val="007867DA"/>
    <w:rsid w:val="0079271C"/>
    <w:rsid w:val="00792C45"/>
    <w:rsid w:val="0079538F"/>
    <w:rsid w:val="00796295"/>
    <w:rsid w:val="00797877"/>
    <w:rsid w:val="007A7486"/>
    <w:rsid w:val="007A7FF9"/>
    <w:rsid w:val="007B0E0E"/>
    <w:rsid w:val="007B1E82"/>
    <w:rsid w:val="007B4B98"/>
    <w:rsid w:val="007B4E82"/>
    <w:rsid w:val="007B6AB3"/>
    <w:rsid w:val="007C3B3C"/>
    <w:rsid w:val="007C3C83"/>
    <w:rsid w:val="007C4005"/>
    <w:rsid w:val="007C4653"/>
    <w:rsid w:val="007C502B"/>
    <w:rsid w:val="007C5BE4"/>
    <w:rsid w:val="007D1B56"/>
    <w:rsid w:val="007D2AE9"/>
    <w:rsid w:val="007D4493"/>
    <w:rsid w:val="007D505F"/>
    <w:rsid w:val="007E0A1C"/>
    <w:rsid w:val="007E1867"/>
    <w:rsid w:val="007E4838"/>
    <w:rsid w:val="007E5D3C"/>
    <w:rsid w:val="007F071E"/>
    <w:rsid w:val="007F2731"/>
    <w:rsid w:val="007F33AA"/>
    <w:rsid w:val="007F4775"/>
    <w:rsid w:val="00805391"/>
    <w:rsid w:val="00813B6D"/>
    <w:rsid w:val="00813E50"/>
    <w:rsid w:val="00813F1F"/>
    <w:rsid w:val="0082048E"/>
    <w:rsid w:val="008211E7"/>
    <w:rsid w:val="00822BDD"/>
    <w:rsid w:val="00822FEE"/>
    <w:rsid w:val="00823845"/>
    <w:rsid w:val="0082447B"/>
    <w:rsid w:val="0085061C"/>
    <w:rsid w:val="008536F0"/>
    <w:rsid w:val="00861522"/>
    <w:rsid w:val="008619A8"/>
    <w:rsid w:val="008621E6"/>
    <w:rsid w:val="00864F9C"/>
    <w:rsid w:val="00865DDF"/>
    <w:rsid w:val="0086681C"/>
    <w:rsid w:val="00871279"/>
    <w:rsid w:val="0087362D"/>
    <w:rsid w:val="00874304"/>
    <w:rsid w:val="00877FE1"/>
    <w:rsid w:val="00880171"/>
    <w:rsid w:val="008801B8"/>
    <w:rsid w:val="00882367"/>
    <w:rsid w:val="008824CE"/>
    <w:rsid w:val="00886563"/>
    <w:rsid w:val="00886AD7"/>
    <w:rsid w:val="00886FA7"/>
    <w:rsid w:val="00890017"/>
    <w:rsid w:val="008954A3"/>
    <w:rsid w:val="00895CE5"/>
    <w:rsid w:val="008A0503"/>
    <w:rsid w:val="008A1261"/>
    <w:rsid w:val="008A3647"/>
    <w:rsid w:val="008B1CAD"/>
    <w:rsid w:val="008B1D77"/>
    <w:rsid w:val="008C101A"/>
    <w:rsid w:val="008C65C9"/>
    <w:rsid w:val="008D275F"/>
    <w:rsid w:val="008E0EDF"/>
    <w:rsid w:val="008E348D"/>
    <w:rsid w:val="008E63B7"/>
    <w:rsid w:val="008E7697"/>
    <w:rsid w:val="008F098D"/>
    <w:rsid w:val="008F0C83"/>
    <w:rsid w:val="009002D2"/>
    <w:rsid w:val="00902998"/>
    <w:rsid w:val="009052CC"/>
    <w:rsid w:val="00905A34"/>
    <w:rsid w:val="00907EF3"/>
    <w:rsid w:val="00914480"/>
    <w:rsid w:val="00923355"/>
    <w:rsid w:val="00924DAF"/>
    <w:rsid w:val="0092555E"/>
    <w:rsid w:val="0093173A"/>
    <w:rsid w:val="00933DD6"/>
    <w:rsid w:val="009340EA"/>
    <w:rsid w:val="009342A9"/>
    <w:rsid w:val="0094415E"/>
    <w:rsid w:val="009449A3"/>
    <w:rsid w:val="0094534B"/>
    <w:rsid w:val="00946C82"/>
    <w:rsid w:val="00953405"/>
    <w:rsid w:val="00954412"/>
    <w:rsid w:val="009559EF"/>
    <w:rsid w:val="00960C42"/>
    <w:rsid w:val="00971116"/>
    <w:rsid w:val="00974710"/>
    <w:rsid w:val="00980E5D"/>
    <w:rsid w:val="0098670B"/>
    <w:rsid w:val="00991553"/>
    <w:rsid w:val="009919DF"/>
    <w:rsid w:val="009923AA"/>
    <w:rsid w:val="00992DDA"/>
    <w:rsid w:val="009A2CEA"/>
    <w:rsid w:val="009A3099"/>
    <w:rsid w:val="009A3734"/>
    <w:rsid w:val="009A724C"/>
    <w:rsid w:val="009A78C4"/>
    <w:rsid w:val="009B07DF"/>
    <w:rsid w:val="009B29C0"/>
    <w:rsid w:val="009B59C4"/>
    <w:rsid w:val="009C49E7"/>
    <w:rsid w:val="009C79AA"/>
    <w:rsid w:val="009D01A7"/>
    <w:rsid w:val="009D0722"/>
    <w:rsid w:val="009D1EB3"/>
    <w:rsid w:val="009D4350"/>
    <w:rsid w:val="009D607F"/>
    <w:rsid w:val="009E6593"/>
    <w:rsid w:val="009F1589"/>
    <w:rsid w:val="009F42F6"/>
    <w:rsid w:val="00A0454E"/>
    <w:rsid w:val="00A05E89"/>
    <w:rsid w:val="00A145C1"/>
    <w:rsid w:val="00A1629E"/>
    <w:rsid w:val="00A16FD8"/>
    <w:rsid w:val="00A1717E"/>
    <w:rsid w:val="00A20B4D"/>
    <w:rsid w:val="00A21A47"/>
    <w:rsid w:val="00A2333D"/>
    <w:rsid w:val="00A3161A"/>
    <w:rsid w:val="00A316C1"/>
    <w:rsid w:val="00A42A3C"/>
    <w:rsid w:val="00A4464B"/>
    <w:rsid w:val="00A51A86"/>
    <w:rsid w:val="00A51F1C"/>
    <w:rsid w:val="00A6685B"/>
    <w:rsid w:val="00A72443"/>
    <w:rsid w:val="00A85F24"/>
    <w:rsid w:val="00A937EB"/>
    <w:rsid w:val="00AA1F4D"/>
    <w:rsid w:val="00AA49CE"/>
    <w:rsid w:val="00AA5A0C"/>
    <w:rsid w:val="00AA6276"/>
    <w:rsid w:val="00AB1B3D"/>
    <w:rsid w:val="00AB1BBF"/>
    <w:rsid w:val="00AB2185"/>
    <w:rsid w:val="00AB445B"/>
    <w:rsid w:val="00AB48AE"/>
    <w:rsid w:val="00AB5A5A"/>
    <w:rsid w:val="00AC3806"/>
    <w:rsid w:val="00AC4562"/>
    <w:rsid w:val="00AC53F2"/>
    <w:rsid w:val="00AC770E"/>
    <w:rsid w:val="00AD1ACC"/>
    <w:rsid w:val="00AD2AA1"/>
    <w:rsid w:val="00AD539D"/>
    <w:rsid w:val="00AD56BD"/>
    <w:rsid w:val="00AE0DC9"/>
    <w:rsid w:val="00AE2229"/>
    <w:rsid w:val="00AE23AF"/>
    <w:rsid w:val="00AE3F2C"/>
    <w:rsid w:val="00AE6851"/>
    <w:rsid w:val="00AF2615"/>
    <w:rsid w:val="00AF4115"/>
    <w:rsid w:val="00AF4D42"/>
    <w:rsid w:val="00AF514F"/>
    <w:rsid w:val="00B018A6"/>
    <w:rsid w:val="00B03DCA"/>
    <w:rsid w:val="00B06826"/>
    <w:rsid w:val="00B069C2"/>
    <w:rsid w:val="00B10636"/>
    <w:rsid w:val="00B13F77"/>
    <w:rsid w:val="00B17D65"/>
    <w:rsid w:val="00B2003D"/>
    <w:rsid w:val="00B21533"/>
    <w:rsid w:val="00B25238"/>
    <w:rsid w:val="00B27661"/>
    <w:rsid w:val="00B31203"/>
    <w:rsid w:val="00B33C11"/>
    <w:rsid w:val="00B36820"/>
    <w:rsid w:val="00B4109F"/>
    <w:rsid w:val="00B41DBF"/>
    <w:rsid w:val="00B427AC"/>
    <w:rsid w:val="00B428D2"/>
    <w:rsid w:val="00B42ED4"/>
    <w:rsid w:val="00B508EF"/>
    <w:rsid w:val="00B513B0"/>
    <w:rsid w:val="00B51747"/>
    <w:rsid w:val="00B5498B"/>
    <w:rsid w:val="00B61631"/>
    <w:rsid w:val="00B66455"/>
    <w:rsid w:val="00B66B58"/>
    <w:rsid w:val="00B72BC7"/>
    <w:rsid w:val="00B769EC"/>
    <w:rsid w:val="00B779B1"/>
    <w:rsid w:val="00B852C9"/>
    <w:rsid w:val="00B917C7"/>
    <w:rsid w:val="00B9238C"/>
    <w:rsid w:val="00B94684"/>
    <w:rsid w:val="00BA3D6D"/>
    <w:rsid w:val="00BA438A"/>
    <w:rsid w:val="00BA63EC"/>
    <w:rsid w:val="00BA6723"/>
    <w:rsid w:val="00BB03E4"/>
    <w:rsid w:val="00BB5FB1"/>
    <w:rsid w:val="00BC1C30"/>
    <w:rsid w:val="00BD30A8"/>
    <w:rsid w:val="00BD57A3"/>
    <w:rsid w:val="00BE01C0"/>
    <w:rsid w:val="00BE0218"/>
    <w:rsid w:val="00BE189E"/>
    <w:rsid w:val="00BE2E31"/>
    <w:rsid w:val="00BE3B68"/>
    <w:rsid w:val="00BE430C"/>
    <w:rsid w:val="00BE5301"/>
    <w:rsid w:val="00BE55AE"/>
    <w:rsid w:val="00BF39D5"/>
    <w:rsid w:val="00BF7F13"/>
    <w:rsid w:val="00C0186D"/>
    <w:rsid w:val="00C03C8E"/>
    <w:rsid w:val="00C0504D"/>
    <w:rsid w:val="00C062F8"/>
    <w:rsid w:val="00C06D96"/>
    <w:rsid w:val="00C116DB"/>
    <w:rsid w:val="00C1528C"/>
    <w:rsid w:val="00C15896"/>
    <w:rsid w:val="00C15C66"/>
    <w:rsid w:val="00C23EA7"/>
    <w:rsid w:val="00C2595F"/>
    <w:rsid w:val="00C278C9"/>
    <w:rsid w:val="00C30038"/>
    <w:rsid w:val="00C30677"/>
    <w:rsid w:val="00C31910"/>
    <w:rsid w:val="00C31E06"/>
    <w:rsid w:val="00C50FCB"/>
    <w:rsid w:val="00C633D2"/>
    <w:rsid w:val="00C64C59"/>
    <w:rsid w:val="00C73B29"/>
    <w:rsid w:val="00C76F42"/>
    <w:rsid w:val="00C936DC"/>
    <w:rsid w:val="00C93AA3"/>
    <w:rsid w:val="00C9437E"/>
    <w:rsid w:val="00C97FB3"/>
    <w:rsid w:val="00CA35B5"/>
    <w:rsid w:val="00CA4CF7"/>
    <w:rsid w:val="00CA4E8D"/>
    <w:rsid w:val="00CB2D93"/>
    <w:rsid w:val="00CB42A0"/>
    <w:rsid w:val="00CB63BF"/>
    <w:rsid w:val="00CC1CFD"/>
    <w:rsid w:val="00CC6B4E"/>
    <w:rsid w:val="00CD122E"/>
    <w:rsid w:val="00CD3380"/>
    <w:rsid w:val="00CD4F09"/>
    <w:rsid w:val="00CD6A43"/>
    <w:rsid w:val="00CD74DD"/>
    <w:rsid w:val="00CD758B"/>
    <w:rsid w:val="00CE404D"/>
    <w:rsid w:val="00CE6530"/>
    <w:rsid w:val="00CF417F"/>
    <w:rsid w:val="00CF5661"/>
    <w:rsid w:val="00CF5676"/>
    <w:rsid w:val="00CF7288"/>
    <w:rsid w:val="00D049A1"/>
    <w:rsid w:val="00D04D37"/>
    <w:rsid w:val="00D053F7"/>
    <w:rsid w:val="00D120EA"/>
    <w:rsid w:val="00D173FF"/>
    <w:rsid w:val="00D20C6C"/>
    <w:rsid w:val="00D21B4B"/>
    <w:rsid w:val="00D22303"/>
    <w:rsid w:val="00D244DD"/>
    <w:rsid w:val="00D24B14"/>
    <w:rsid w:val="00D279A5"/>
    <w:rsid w:val="00D316CB"/>
    <w:rsid w:val="00D36C4B"/>
    <w:rsid w:val="00D4100F"/>
    <w:rsid w:val="00D4126F"/>
    <w:rsid w:val="00D442B6"/>
    <w:rsid w:val="00D44EFE"/>
    <w:rsid w:val="00D52562"/>
    <w:rsid w:val="00D6092B"/>
    <w:rsid w:val="00D660C1"/>
    <w:rsid w:val="00D71083"/>
    <w:rsid w:val="00D7676F"/>
    <w:rsid w:val="00D76BF5"/>
    <w:rsid w:val="00D853C2"/>
    <w:rsid w:val="00D87E92"/>
    <w:rsid w:val="00D91B52"/>
    <w:rsid w:val="00D91C0B"/>
    <w:rsid w:val="00D97BE8"/>
    <w:rsid w:val="00DA426C"/>
    <w:rsid w:val="00DA4EEB"/>
    <w:rsid w:val="00DA70B6"/>
    <w:rsid w:val="00DB0822"/>
    <w:rsid w:val="00DB094B"/>
    <w:rsid w:val="00DB30BF"/>
    <w:rsid w:val="00DB3A94"/>
    <w:rsid w:val="00DB3B18"/>
    <w:rsid w:val="00DB5B23"/>
    <w:rsid w:val="00DB5DCD"/>
    <w:rsid w:val="00DB6563"/>
    <w:rsid w:val="00DD0532"/>
    <w:rsid w:val="00DD1E23"/>
    <w:rsid w:val="00DD542B"/>
    <w:rsid w:val="00DD6482"/>
    <w:rsid w:val="00DD7835"/>
    <w:rsid w:val="00DF1491"/>
    <w:rsid w:val="00DF1B3C"/>
    <w:rsid w:val="00DF2497"/>
    <w:rsid w:val="00DF3567"/>
    <w:rsid w:val="00DF4DBA"/>
    <w:rsid w:val="00DF5FEA"/>
    <w:rsid w:val="00E02F01"/>
    <w:rsid w:val="00E04E2F"/>
    <w:rsid w:val="00E11507"/>
    <w:rsid w:val="00E1346C"/>
    <w:rsid w:val="00E16015"/>
    <w:rsid w:val="00E17033"/>
    <w:rsid w:val="00E272EA"/>
    <w:rsid w:val="00E31195"/>
    <w:rsid w:val="00E3670B"/>
    <w:rsid w:val="00E40B67"/>
    <w:rsid w:val="00E40DE0"/>
    <w:rsid w:val="00E506E2"/>
    <w:rsid w:val="00E511E0"/>
    <w:rsid w:val="00E5540A"/>
    <w:rsid w:val="00E5626E"/>
    <w:rsid w:val="00E63016"/>
    <w:rsid w:val="00E717B4"/>
    <w:rsid w:val="00E75EEF"/>
    <w:rsid w:val="00E82CD1"/>
    <w:rsid w:val="00E855E1"/>
    <w:rsid w:val="00E86913"/>
    <w:rsid w:val="00E87839"/>
    <w:rsid w:val="00E93CBE"/>
    <w:rsid w:val="00EA374B"/>
    <w:rsid w:val="00EA5842"/>
    <w:rsid w:val="00EA7491"/>
    <w:rsid w:val="00EB0862"/>
    <w:rsid w:val="00EB168F"/>
    <w:rsid w:val="00EC1065"/>
    <w:rsid w:val="00EC62A5"/>
    <w:rsid w:val="00ED16BA"/>
    <w:rsid w:val="00ED2905"/>
    <w:rsid w:val="00ED523A"/>
    <w:rsid w:val="00ED6173"/>
    <w:rsid w:val="00ED7EB0"/>
    <w:rsid w:val="00EE0A3B"/>
    <w:rsid w:val="00EE547C"/>
    <w:rsid w:val="00EF0469"/>
    <w:rsid w:val="00EF23B4"/>
    <w:rsid w:val="00EF2DBD"/>
    <w:rsid w:val="00F11470"/>
    <w:rsid w:val="00F22153"/>
    <w:rsid w:val="00F23C0D"/>
    <w:rsid w:val="00F25404"/>
    <w:rsid w:val="00F25A50"/>
    <w:rsid w:val="00F27B36"/>
    <w:rsid w:val="00F30F1D"/>
    <w:rsid w:val="00F3214C"/>
    <w:rsid w:val="00F3214F"/>
    <w:rsid w:val="00F3248A"/>
    <w:rsid w:val="00F33305"/>
    <w:rsid w:val="00F355EF"/>
    <w:rsid w:val="00F36BAC"/>
    <w:rsid w:val="00F376DF"/>
    <w:rsid w:val="00F42463"/>
    <w:rsid w:val="00F43231"/>
    <w:rsid w:val="00F463F6"/>
    <w:rsid w:val="00F46CF0"/>
    <w:rsid w:val="00F52183"/>
    <w:rsid w:val="00F52C7B"/>
    <w:rsid w:val="00F60A23"/>
    <w:rsid w:val="00F62D36"/>
    <w:rsid w:val="00F63709"/>
    <w:rsid w:val="00F678AC"/>
    <w:rsid w:val="00F72C43"/>
    <w:rsid w:val="00F731B5"/>
    <w:rsid w:val="00F7404B"/>
    <w:rsid w:val="00F87DCB"/>
    <w:rsid w:val="00F938B9"/>
    <w:rsid w:val="00F955AE"/>
    <w:rsid w:val="00F95EE2"/>
    <w:rsid w:val="00FA566A"/>
    <w:rsid w:val="00FA6F1F"/>
    <w:rsid w:val="00FB4650"/>
    <w:rsid w:val="00FC0ABA"/>
    <w:rsid w:val="00FC15FF"/>
    <w:rsid w:val="00FC1B3E"/>
    <w:rsid w:val="00FC287E"/>
    <w:rsid w:val="00FD499A"/>
    <w:rsid w:val="00FD5D2A"/>
    <w:rsid w:val="00FE3913"/>
    <w:rsid w:val="00FE4CAE"/>
    <w:rsid w:val="00FE5288"/>
    <w:rsid w:val="00FF3CCB"/>
    <w:rsid w:val="00FF55BC"/>
    <w:rsid w:val="00FF6747"/>
    <w:rsid w:val="3C4A5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qFormat/>
    <w:pPr>
      <w:widowControl/>
      <w:spacing w:before="100" w:beforeAutospacing="1" w:after="100" w:afterAutospacing="1"/>
      <w:jc w:val="left"/>
    </w:pPr>
    <w:rPr>
      <w:rFonts w:ascii="宋体" w:hAnsi="宋体" w:cs="Times New Roman"/>
      <w:kern w:val="0"/>
      <w:sz w:val="24"/>
      <w:szCs w:val="24"/>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rPr>
      <w:rFonts w:ascii="Times New Roman" w:eastAsia="宋体" w:hAnsi="Times New Roman" w:cs="Times New Roman"/>
      <w:b/>
      <w:bCs/>
      <w:kern w:val="44"/>
      <w:sz w:val="44"/>
      <w:szCs w:val="44"/>
    </w:rPr>
  </w:style>
  <w:style w:type="paragraph" w:customStyle="1" w:styleId="GB2312">
    <w:name w:val="仿宋_GB2312"/>
    <w:basedOn w:val="a6"/>
    <w:qFormat/>
    <w:pPr>
      <w:spacing w:before="0" w:beforeAutospacing="0" w:after="0" w:afterAutospacing="0" w:line="520" w:lineRule="exact"/>
      <w:ind w:firstLineChars="200" w:firstLine="560"/>
    </w:pPr>
    <w:rPr>
      <w:rFonts w:ascii="仿宋_GB2312" w:eastAsia="仿宋_GB2312" w:hAnsi="Arial" w:cs="Arial"/>
      <w:color w:val="000000"/>
      <w:sz w:val="28"/>
      <w:szCs w:val="18"/>
    </w:rPr>
  </w:style>
  <w:style w:type="paragraph" w:customStyle="1" w:styleId="Normal">
    <w:name w:val="[Normal]"/>
    <w:uiPriority w:val="99"/>
    <w:qFormat/>
    <w:pPr>
      <w:widowControl w:val="0"/>
      <w:autoSpaceDE w:val="0"/>
      <w:autoSpaceDN w:val="0"/>
      <w:adjustRightInd w:val="0"/>
    </w:pPr>
    <w:rPr>
      <w:rFonts w:ascii="宋体" w:eastAsia="宋体" w:hAnsi="Calibri" w:cs="宋体"/>
      <w:sz w:val="24"/>
      <w:szCs w:val="24"/>
    </w:rPr>
  </w:style>
  <w:style w:type="paragraph" w:styleId="a7">
    <w:name w:val="List Paragraph"/>
    <w:basedOn w:val="a"/>
    <w:uiPriority w:val="34"/>
    <w:qFormat/>
    <w:pPr>
      <w:ind w:firstLineChars="200" w:firstLine="420"/>
    </w:pPr>
  </w:style>
  <w:style w:type="character" w:customStyle="1" w:styleId="Char">
    <w:name w:val="批注框文本 Char"/>
    <w:basedOn w:val="a0"/>
    <w:link w:val="a3"/>
    <w:uiPriority w:val="99"/>
    <w:semiHidden/>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qFormat/>
    <w:pPr>
      <w:widowControl/>
      <w:spacing w:before="100" w:beforeAutospacing="1" w:after="100" w:afterAutospacing="1"/>
      <w:jc w:val="left"/>
    </w:pPr>
    <w:rPr>
      <w:rFonts w:ascii="宋体" w:hAnsi="宋体" w:cs="Times New Roman"/>
      <w:kern w:val="0"/>
      <w:sz w:val="24"/>
      <w:szCs w:val="24"/>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rPr>
      <w:rFonts w:ascii="Times New Roman" w:eastAsia="宋体" w:hAnsi="Times New Roman" w:cs="Times New Roman"/>
      <w:b/>
      <w:bCs/>
      <w:kern w:val="44"/>
      <w:sz w:val="44"/>
      <w:szCs w:val="44"/>
    </w:rPr>
  </w:style>
  <w:style w:type="paragraph" w:customStyle="1" w:styleId="GB2312">
    <w:name w:val="仿宋_GB2312"/>
    <w:basedOn w:val="a6"/>
    <w:qFormat/>
    <w:pPr>
      <w:spacing w:before="0" w:beforeAutospacing="0" w:after="0" w:afterAutospacing="0" w:line="520" w:lineRule="exact"/>
      <w:ind w:firstLineChars="200" w:firstLine="560"/>
    </w:pPr>
    <w:rPr>
      <w:rFonts w:ascii="仿宋_GB2312" w:eastAsia="仿宋_GB2312" w:hAnsi="Arial" w:cs="Arial"/>
      <w:color w:val="000000"/>
      <w:sz w:val="28"/>
      <w:szCs w:val="18"/>
    </w:rPr>
  </w:style>
  <w:style w:type="paragraph" w:customStyle="1" w:styleId="Normal">
    <w:name w:val="[Normal]"/>
    <w:uiPriority w:val="99"/>
    <w:qFormat/>
    <w:pPr>
      <w:widowControl w:val="0"/>
      <w:autoSpaceDE w:val="0"/>
      <w:autoSpaceDN w:val="0"/>
      <w:adjustRightInd w:val="0"/>
    </w:pPr>
    <w:rPr>
      <w:rFonts w:ascii="宋体" w:eastAsia="宋体" w:hAnsi="Calibri" w:cs="宋体"/>
      <w:sz w:val="24"/>
      <w:szCs w:val="24"/>
    </w:rPr>
  </w:style>
  <w:style w:type="paragraph" w:styleId="a7">
    <w:name w:val="List Paragraph"/>
    <w:basedOn w:val="a"/>
    <w:uiPriority w:val="34"/>
    <w:qFormat/>
    <w:pPr>
      <w:ind w:firstLineChars="200" w:firstLine="420"/>
    </w:pPr>
  </w:style>
  <w:style w:type="character" w:customStyle="1" w:styleId="Char">
    <w:name w:val="批注框文本 Char"/>
    <w:basedOn w:val="a0"/>
    <w:link w:val="a3"/>
    <w:uiPriority w:val="99"/>
    <w:semiHidden/>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38B4-BF66-4DBB-A947-C7AAAF2D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12</Pages>
  <Words>1070</Words>
  <Characters>6105</Characters>
  <Application>Microsoft Office Word</Application>
  <DocSecurity>0</DocSecurity>
  <Lines>50</Lines>
  <Paragraphs>14</Paragraphs>
  <ScaleCrop>false</ScaleCrop>
  <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杨杰</dc:creator>
  <cp:lastModifiedBy>石爽娜</cp:lastModifiedBy>
  <cp:revision>45</cp:revision>
  <cp:lastPrinted>2024-03-21T01:20:00Z</cp:lastPrinted>
  <dcterms:created xsi:type="dcterms:W3CDTF">2024-03-08T01:09:00Z</dcterms:created>
  <dcterms:modified xsi:type="dcterms:W3CDTF">2025-04-29T10:12:00Z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eyJoZGlkIjoiOWZmZjI5ODlkNmJhMjU0M2E2ZWZiOGQ0NzYyYTcyYWIifQ==</vt:lpwstr>
  </property>
  <property fmtid="{D5CDD505-2E9C-101B-9397-08002B2CF9AE}" pid="3" name="KSOProductBuildVer">
    <vt:lpwstr>2052-12.1.0.19770</vt:lpwstr>
  </property>
  <property fmtid="{D5CDD505-2E9C-101B-9397-08002B2CF9AE}" pid="4" name="ICV">
    <vt:lpwstr>D6CEC391EBE44D15B9C1AFA40D85CBA9_12</vt:lpwstr>
  </property>
</Properties>
</file>