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6D0" w:rsidRDefault="00EC2064" w:rsidP="00953B2C">
      <w:pPr>
        <w:spacing w:line="560" w:lineRule="exact"/>
        <w:jc w:val="center"/>
        <w:rPr>
          <w:rFonts w:ascii="方正小标宋_GBK" w:eastAsia="方正小标宋_GBK" w:hAnsi="黑体"/>
          <w:sz w:val="44"/>
          <w:szCs w:val="44"/>
        </w:rPr>
      </w:pPr>
      <w:r w:rsidRPr="004518A6">
        <w:rPr>
          <w:rFonts w:ascii="方正小标宋_GBK" w:eastAsia="方正小标宋_GBK" w:hAnsi="黑体" w:hint="eastAsia"/>
          <w:sz w:val="44"/>
          <w:szCs w:val="44"/>
        </w:rPr>
        <w:t>新昌农商银行</w:t>
      </w:r>
      <w:r w:rsidR="00F72283" w:rsidRPr="00DD587E">
        <w:rPr>
          <w:rFonts w:ascii="方正小标宋_GBK" w:eastAsia="方正小标宋_GBK" w:hAnsi="黑体" w:hint="eastAsia"/>
          <w:sz w:val="44"/>
          <w:szCs w:val="44"/>
        </w:rPr>
        <w:t>202</w:t>
      </w:r>
      <w:r w:rsidR="00A67CED" w:rsidRPr="00DD587E">
        <w:rPr>
          <w:rFonts w:ascii="方正小标宋_GBK" w:eastAsia="方正小标宋_GBK" w:hAnsi="黑体" w:hint="eastAsia"/>
          <w:sz w:val="44"/>
          <w:szCs w:val="44"/>
        </w:rPr>
        <w:t>4</w:t>
      </w:r>
      <w:r w:rsidR="00F152DA" w:rsidRPr="00DD587E">
        <w:rPr>
          <w:rFonts w:ascii="方正小标宋_GBK" w:eastAsia="方正小标宋_GBK" w:hAnsi="黑体" w:hint="eastAsia"/>
          <w:sz w:val="44"/>
          <w:szCs w:val="44"/>
        </w:rPr>
        <w:t>年</w:t>
      </w:r>
      <w:r w:rsidR="0052429B" w:rsidRPr="0052429B">
        <w:rPr>
          <w:rFonts w:ascii="方正小标宋_GBK" w:eastAsia="方正小标宋_GBK" w:hAnsi="黑体" w:hint="eastAsia"/>
          <w:sz w:val="44"/>
          <w:szCs w:val="44"/>
        </w:rPr>
        <w:t>度</w:t>
      </w:r>
      <w:r w:rsidRPr="00DD587E">
        <w:rPr>
          <w:rFonts w:ascii="方正小标宋_GBK" w:eastAsia="方正小标宋_GBK" w:hAnsi="黑体" w:hint="eastAsia"/>
          <w:sz w:val="44"/>
          <w:szCs w:val="44"/>
        </w:rPr>
        <w:t>关联</w:t>
      </w:r>
    </w:p>
    <w:p w:rsidR="00EC2064" w:rsidRPr="00DD587E" w:rsidRDefault="00EC2064" w:rsidP="00953B2C">
      <w:pPr>
        <w:spacing w:line="560" w:lineRule="exact"/>
        <w:jc w:val="center"/>
        <w:rPr>
          <w:rFonts w:ascii="方正小标宋_GBK" w:eastAsia="方正小标宋_GBK" w:hAnsi="黑体"/>
          <w:sz w:val="44"/>
          <w:szCs w:val="44"/>
        </w:rPr>
      </w:pPr>
      <w:r w:rsidRPr="00DD587E">
        <w:rPr>
          <w:rFonts w:ascii="方正小标宋_GBK" w:eastAsia="方正小标宋_GBK" w:hAnsi="黑体" w:hint="eastAsia"/>
          <w:sz w:val="44"/>
          <w:szCs w:val="44"/>
        </w:rPr>
        <w:t>交易报告</w:t>
      </w:r>
      <w:r w:rsidR="005146D0">
        <w:rPr>
          <w:rFonts w:ascii="方正小标宋_GBK" w:eastAsia="方正小标宋_GBK" w:hAnsi="黑体" w:hint="eastAsia"/>
          <w:sz w:val="44"/>
          <w:szCs w:val="44"/>
        </w:rPr>
        <w:t>（草案）</w:t>
      </w:r>
    </w:p>
    <w:p w:rsidR="008C4F4C" w:rsidRPr="00DD587E" w:rsidRDefault="008C4F4C" w:rsidP="003727FF">
      <w:pPr>
        <w:spacing w:line="560" w:lineRule="exact"/>
        <w:rPr>
          <w:rFonts w:ascii="仿宋_GB2312" w:eastAsia="仿宋_GB2312" w:hAnsi="仿宋"/>
          <w:sz w:val="32"/>
          <w:szCs w:val="32"/>
        </w:rPr>
      </w:pPr>
    </w:p>
    <w:p w:rsidR="00EC2064" w:rsidRPr="00DD587E" w:rsidRDefault="00EC2064" w:rsidP="004940A8">
      <w:pPr>
        <w:spacing w:line="560" w:lineRule="exact"/>
        <w:ind w:firstLineChars="200" w:firstLine="640"/>
        <w:rPr>
          <w:rFonts w:ascii="Times New Roman" w:eastAsia="仿宋_GB2312" w:hAnsi="Times New Roman" w:cs="Times New Roman"/>
          <w:sz w:val="32"/>
          <w:szCs w:val="32"/>
        </w:rPr>
      </w:pPr>
      <w:r w:rsidRPr="00DD587E">
        <w:rPr>
          <w:rFonts w:ascii="Times New Roman" w:eastAsia="仿宋_GB2312" w:hAnsi="Times New Roman" w:cs="Times New Roman"/>
          <w:sz w:val="32"/>
          <w:szCs w:val="32"/>
        </w:rPr>
        <w:t>根据银保监会《</w:t>
      </w:r>
      <w:r w:rsidR="00057C19" w:rsidRPr="00DD587E">
        <w:rPr>
          <w:rFonts w:ascii="Times New Roman" w:eastAsia="仿宋_GB2312" w:hAnsi="Times New Roman" w:cs="Times New Roman" w:hint="eastAsia"/>
          <w:sz w:val="32"/>
          <w:szCs w:val="32"/>
        </w:rPr>
        <w:t>银行保险机构关联交易管理办法</w:t>
      </w:r>
      <w:r w:rsidR="00DD587E">
        <w:rPr>
          <w:rFonts w:ascii="Times New Roman" w:eastAsia="仿宋_GB2312" w:hAnsi="Times New Roman" w:cs="Times New Roman"/>
          <w:sz w:val="32"/>
          <w:szCs w:val="32"/>
        </w:rPr>
        <w:t>》以及本行《</w:t>
      </w:r>
      <w:r w:rsidR="00DD587E">
        <w:rPr>
          <w:rFonts w:ascii="Times New Roman" w:eastAsia="仿宋_GB2312" w:hAnsi="Times New Roman" w:cs="Times New Roman" w:hint="eastAsia"/>
          <w:sz w:val="32"/>
          <w:szCs w:val="32"/>
        </w:rPr>
        <w:t>办法</w:t>
      </w:r>
      <w:r w:rsidRPr="00DD587E">
        <w:rPr>
          <w:rFonts w:ascii="Times New Roman" w:eastAsia="仿宋_GB2312" w:hAnsi="Times New Roman" w:cs="Times New Roman"/>
          <w:sz w:val="32"/>
          <w:szCs w:val="32"/>
        </w:rPr>
        <w:t>》等规定要求，现将新昌农商银行</w:t>
      </w:r>
      <w:r w:rsidR="00F72283" w:rsidRPr="00DD587E">
        <w:rPr>
          <w:rFonts w:ascii="Times New Roman" w:eastAsia="仿宋_GB2312" w:hAnsi="Times New Roman" w:cs="Times New Roman"/>
          <w:sz w:val="32"/>
          <w:szCs w:val="32"/>
        </w:rPr>
        <w:t>202</w:t>
      </w:r>
      <w:r w:rsidR="00A67CED" w:rsidRPr="00DD587E">
        <w:rPr>
          <w:rFonts w:ascii="Times New Roman" w:eastAsia="仿宋_GB2312" w:hAnsi="Times New Roman" w:cs="Times New Roman" w:hint="eastAsia"/>
          <w:sz w:val="32"/>
          <w:szCs w:val="32"/>
        </w:rPr>
        <w:t>4</w:t>
      </w:r>
      <w:r w:rsidR="0005012B" w:rsidRPr="00DD587E">
        <w:rPr>
          <w:rFonts w:ascii="Times New Roman" w:eastAsia="仿宋_GB2312" w:hAnsi="Times New Roman" w:cs="Times New Roman" w:hint="eastAsia"/>
          <w:sz w:val="32"/>
          <w:szCs w:val="32"/>
        </w:rPr>
        <w:t>年</w:t>
      </w:r>
      <w:r w:rsidR="0052429B" w:rsidRPr="0052429B">
        <w:rPr>
          <w:rFonts w:ascii="Times New Roman" w:eastAsia="仿宋_GB2312" w:hAnsi="Times New Roman" w:cs="Times New Roman" w:hint="eastAsia"/>
          <w:sz w:val="32"/>
          <w:szCs w:val="32"/>
        </w:rPr>
        <w:t>度</w:t>
      </w:r>
      <w:r w:rsidRPr="00DD587E">
        <w:rPr>
          <w:rFonts w:ascii="Times New Roman" w:eastAsia="仿宋_GB2312" w:hAnsi="Times New Roman" w:cs="Times New Roman"/>
          <w:sz w:val="32"/>
          <w:szCs w:val="32"/>
        </w:rPr>
        <w:t>关联交易情况报告如下：</w:t>
      </w:r>
    </w:p>
    <w:p w:rsidR="00EC2064" w:rsidRPr="00DD587E" w:rsidRDefault="00057C19" w:rsidP="004940A8">
      <w:pPr>
        <w:spacing w:line="560" w:lineRule="exact"/>
        <w:ind w:firstLineChars="200" w:firstLine="640"/>
        <w:rPr>
          <w:rFonts w:ascii="Times New Roman" w:eastAsia="黑体" w:hAnsi="Times New Roman" w:cs="Times New Roman"/>
          <w:sz w:val="32"/>
          <w:szCs w:val="32"/>
        </w:rPr>
      </w:pPr>
      <w:r w:rsidRPr="00DD587E">
        <w:rPr>
          <w:rFonts w:ascii="Times New Roman" w:eastAsia="黑体" w:hAnsi="Times New Roman" w:cs="Times New Roman"/>
          <w:sz w:val="32"/>
          <w:szCs w:val="32"/>
        </w:rPr>
        <w:t>一、审计与关联交易</w:t>
      </w:r>
      <w:r w:rsidRPr="00DD587E">
        <w:rPr>
          <w:rFonts w:ascii="Times New Roman" w:eastAsia="黑体" w:hAnsi="Times New Roman" w:cs="Times New Roman" w:hint="eastAsia"/>
          <w:sz w:val="32"/>
          <w:szCs w:val="32"/>
        </w:rPr>
        <w:t>控制</w:t>
      </w:r>
      <w:r w:rsidR="00EC2064" w:rsidRPr="00DD587E">
        <w:rPr>
          <w:rFonts w:ascii="Times New Roman" w:eastAsia="黑体" w:hAnsi="Times New Roman" w:cs="Times New Roman"/>
          <w:sz w:val="32"/>
          <w:szCs w:val="32"/>
        </w:rPr>
        <w:t>委员会主要工作情况</w:t>
      </w:r>
    </w:p>
    <w:p w:rsidR="0052429B" w:rsidRDefault="0052429B" w:rsidP="0052429B">
      <w:pPr>
        <w:spacing w:line="560" w:lineRule="exact"/>
        <w:ind w:firstLineChars="200" w:firstLine="640"/>
        <w:rPr>
          <w:rFonts w:ascii="Times New Roman" w:eastAsia="仿宋_GB2312" w:hAnsi="Times New Roman" w:cs="Times New Roman"/>
          <w:sz w:val="32"/>
          <w:szCs w:val="32"/>
        </w:rPr>
      </w:pPr>
      <w:r w:rsidRPr="0052429B">
        <w:rPr>
          <w:rFonts w:ascii="Times New Roman" w:eastAsia="仿宋_GB2312" w:hAnsi="Times New Roman" w:cs="Times New Roman" w:hint="eastAsia"/>
          <w:sz w:val="32"/>
          <w:szCs w:val="32"/>
        </w:rPr>
        <w:t>截止</w:t>
      </w:r>
      <w:r w:rsidRPr="0052429B">
        <w:rPr>
          <w:rFonts w:ascii="Times New Roman" w:eastAsia="仿宋_GB2312" w:hAnsi="Times New Roman" w:cs="Times New Roman" w:hint="eastAsia"/>
          <w:sz w:val="32"/>
          <w:szCs w:val="32"/>
        </w:rPr>
        <w:t>2024</w:t>
      </w:r>
      <w:r w:rsidRPr="0052429B">
        <w:rPr>
          <w:rFonts w:ascii="Times New Roman" w:eastAsia="仿宋_GB2312" w:hAnsi="Times New Roman" w:cs="Times New Roman" w:hint="eastAsia"/>
          <w:sz w:val="32"/>
          <w:szCs w:val="32"/>
        </w:rPr>
        <w:t>年</w:t>
      </w:r>
      <w:r w:rsidRPr="0052429B">
        <w:rPr>
          <w:rFonts w:ascii="Times New Roman" w:eastAsia="仿宋_GB2312" w:hAnsi="Times New Roman" w:cs="Times New Roman" w:hint="eastAsia"/>
          <w:sz w:val="32"/>
          <w:szCs w:val="32"/>
        </w:rPr>
        <w:t>12</w:t>
      </w:r>
      <w:r w:rsidRPr="0052429B">
        <w:rPr>
          <w:rFonts w:ascii="Times New Roman" w:eastAsia="仿宋_GB2312" w:hAnsi="Times New Roman" w:cs="Times New Roman" w:hint="eastAsia"/>
          <w:sz w:val="32"/>
          <w:szCs w:val="32"/>
        </w:rPr>
        <w:t>月底，本行董事会审计与关联交易控制委员会共召开会议</w:t>
      </w:r>
      <w:r w:rsidRPr="0052429B">
        <w:rPr>
          <w:rFonts w:ascii="Times New Roman" w:eastAsia="仿宋_GB2312" w:hAnsi="Times New Roman" w:cs="Times New Roman" w:hint="eastAsia"/>
          <w:sz w:val="32"/>
          <w:szCs w:val="32"/>
        </w:rPr>
        <w:t>5</w:t>
      </w:r>
      <w:r w:rsidRPr="0052429B">
        <w:rPr>
          <w:rFonts w:ascii="Times New Roman" w:eastAsia="仿宋_GB2312" w:hAnsi="Times New Roman" w:cs="Times New Roman" w:hint="eastAsia"/>
          <w:sz w:val="32"/>
          <w:szCs w:val="32"/>
        </w:rPr>
        <w:t>次，审议通过了审计综合报告、关联交易报告、</w:t>
      </w:r>
      <w:r w:rsidRPr="0052429B">
        <w:rPr>
          <w:rFonts w:ascii="Times New Roman" w:eastAsia="仿宋_GB2312" w:hAnsi="Times New Roman" w:cs="Times New Roman" w:hint="eastAsia"/>
          <w:sz w:val="32"/>
          <w:szCs w:val="32"/>
        </w:rPr>
        <w:t>2023</w:t>
      </w:r>
      <w:r w:rsidRPr="0052429B">
        <w:rPr>
          <w:rFonts w:ascii="Times New Roman" w:eastAsia="仿宋_GB2312" w:hAnsi="Times New Roman" w:cs="Times New Roman" w:hint="eastAsia"/>
          <w:sz w:val="32"/>
          <w:szCs w:val="32"/>
        </w:rPr>
        <w:t>年度审计项目计划、新昌鹤群大酒店有限公司关联授信、</w:t>
      </w:r>
      <w:r w:rsidRPr="0052429B">
        <w:rPr>
          <w:rFonts w:ascii="Times New Roman" w:eastAsia="仿宋_GB2312" w:hAnsi="Times New Roman" w:cs="Times New Roman" w:hint="eastAsia"/>
          <w:sz w:val="32"/>
          <w:szCs w:val="32"/>
        </w:rPr>
        <w:t>2023</w:t>
      </w:r>
      <w:r w:rsidRPr="0052429B">
        <w:rPr>
          <w:rFonts w:ascii="Times New Roman" w:eastAsia="仿宋_GB2312" w:hAnsi="Times New Roman" w:cs="Times New Roman" w:hint="eastAsia"/>
          <w:sz w:val="32"/>
          <w:szCs w:val="32"/>
        </w:rPr>
        <w:t>年度业务连续性管理情况的专项审计报告、关于新增《浙江新昌农村商业银行股份有限公司内部审计工作规定》等制度以及修订《审计整改管理规定》等制度的议案、《新昌农商银行“审计质效提升”三年行动实施方案（</w:t>
      </w:r>
      <w:r w:rsidRPr="0052429B">
        <w:rPr>
          <w:rFonts w:ascii="Times New Roman" w:eastAsia="仿宋_GB2312" w:hAnsi="Times New Roman" w:cs="Times New Roman" w:hint="eastAsia"/>
          <w:sz w:val="32"/>
          <w:szCs w:val="32"/>
        </w:rPr>
        <w:t>2024-2026</w:t>
      </w:r>
      <w:r w:rsidRPr="0052429B">
        <w:rPr>
          <w:rFonts w:ascii="Times New Roman" w:eastAsia="仿宋_GB2312" w:hAnsi="Times New Roman" w:cs="Times New Roman" w:hint="eastAsia"/>
          <w:sz w:val="32"/>
          <w:szCs w:val="32"/>
        </w:rPr>
        <w:t>年）》、《关于对浙江省新昌县佳艺实业有限公司关联（集团）授信的议案》、《关于对浙江新昌白云山庄有限公司关联（集团）授信的议案》、《关于对浙江新和成股份有限公司关联交易授信的议案》、《关于对京新控股集团有限公司关联（集团）授信的议案》、《关于对浙江五洲新春集团控股有限公司关联（集团）授信的议案》、关联方清单调整等各类议题</w:t>
      </w:r>
      <w:r w:rsidRPr="0052429B">
        <w:rPr>
          <w:rFonts w:ascii="Times New Roman" w:eastAsia="仿宋_GB2312" w:hAnsi="Times New Roman" w:cs="Times New Roman" w:hint="eastAsia"/>
          <w:sz w:val="32"/>
          <w:szCs w:val="32"/>
        </w:rPr>
        <w:t>25</w:t>
      </w:r>
      <w:r w:rsidRPr="0052429B">
        <w:rPr>
          <w:rFonts w:ascii="Times New Roman" w:eastAsia="仿宋_GB2312" w:hAnsi="Times New Roman" w:cs="Times New Roman" w:hint="eastAsia"/>
          <w:sz w:val="32"/>
          <w:szCs w:val="32"/>
        </w:rPr>
        <w:t>项。</w:t>
      </w:r>
    </w:p>
    <w:p w:rsidR="00EC2064" w:rsidRPr="00DD587E" w:rsidRDefault="00EC2064" w:rsidP="0052429B">
      <w:pPr>
        <w:spacing w:line="560" w:lineRule="exact"/>
        <w:ind w:firstLineChars="200" w:firstLine="640"/>
        <w:rPr>
          <w:rFonts w:ascii="Times New Roman" w:eastAsia="黑体" w:hAnsi="Times New Roman" w:cs="Times New Roman"/>
          <w:sz w:val="32"/>
          <w:szCs w:val="32"/>
        </w:rPr>
      </w:pPr>
      <w:r w:rsidRPr="00DD587E">
        <w:rPr>
          <w:rFonts w:ascii="Times New Roman" w:eastAsia="黑体" w:hAnsi="Times New Roman" w:cs="Times New Roman"/>
          <w:sz w:val="32"/>
          <w:szCs w:val="32"/>
        </w:rPr>
        <w:t>二、关联交易管理制度执行情况</w:t>
      </w:r>
    </w:p>
    <w:p w:rsidR="00EC2064" w:rsidRPr="00DD587E" w:rsidRDefault="00EC2064" w:rsidP="004940A8">
      <w:pPr>
        <w:spacing w:line="560" w:lineRule="exact"/>
        <w:ind w:firstLineChars="200" w:firstLine="640"/>
        <w:rPr>
          <w:rFonts w:ascii="Times New Roman" w:eastAsia="仿宋_GB2312" w:hAnsi="Times New Roman" w:cs="Times New Roman"/>
          <w:sz w:val="32"/>
          <w:szCs w:val="32"/>
        </w:rPr>
      </w:pPr>
      <w:r w:rsidRPr="00DD587E">
        <w:rPr>
          <w:rFonts w:ascii="Times New Roman" w:eastAsia="仿宋_GB2312" w:hAnsi="Times New Roman" w:cs="Times New Roman"/>
          <w:sz w:val="32"/>
          <w:szCs w:val="32"/>
        </w:rPr>
        <w:t>1.</w:t>
      </w:r>
      <w:r w:rsidRPr="00DD587E">
        <w:rPr>
          <w:rFonts w:ascii="Times New Roman" w:eastAsia="仿宋_GB2312" w:hAnsi="Times New Roman" w:cs="Times New Roman"/>
          <w:sz w:val="32"/>
          <w:szCs w:val="32"/>
        </w:rPr>
        <w:t>关联交易管理情况</w:t>
      </w:r>
    </w:p>
    <w:p w:rsidR="00EC2064" w:rsidRPr="00DD587E" w:rsidRDefault="00EC2064" w:rsidP="004940A8">
      <w:pPr>
        <w:spacing w:line="560" w:lineRule="exact"/>
        <w:ind w:firstLineChars="200" w:firstLine="640"/>
        <w:rPr>
          <w:rFonts w:ascii="Times New Roman" w:eastAsia="仿宋_GB2312" w:hAnsi="Times New Roman" w:cs="Times New Roman"/>
          <w:sz w:val="32"/>
          <w:szCs w:val="32"/>
        </w:rPr>
      </w:pPr>
      <w:r w:rsidRPr="00DD587E">
        <w:rPr>
          <w:rFonts w:ascii="Times New Roman" w:eastAsia="仿宋_GB2312" w:hAnsi="Times New Roman" w:cs="Times New Roman"/>
          <w:sz w:val="32"/>
          <w:szCs w:val="32"/>
        </w:rPr>
        <w:t>（</w:t>
      </w:r>
      <w:r w:rsidRPr="00DD587E">
        <w:rPr>
          <w:rFonts w:ascii="Times New Roman" w:eastAsia="仿宋_GB2312" w:hAnsi="Times New Roman" w:cs="Times New Roman"/>
          <w:sz w:val="32"/>
          <w:szCs w:val="32"/>
        </w:rPr>
        <w:t>1</w:t>
      </w:r>
      <w:r w:rsidRPr="00DD587E">
        <w:rPr>
          <w:rFonts w:ascii="Times New Roman" w:eastAsia="仿宋_GB2312" w:hAnsi="Times New Roman" w:cs="Times New Roman"/>
          <w:sz w:val="32"/>
          <w:szCs w:val="32"/>
        </w:rPr>
        <w:t>）关联交易审批情况</w:t>
      </w:r>
    </w:p>
    <w:p w:rsidR="0052429B" w:rsidRPr="0052429B" w:rsidRDefault="0052429B" w:rsidP="0052429B">
      <w:pPr>
        <w:spacing w:line="560" w:lineRule="exact"/>
        <w:ind w:firstLineChars="200" w:firstLine="640"/>
        <w:rPr>
          <w:rFonts w:ascii="Times New Roman" w:eastAsia="仿宋_GB2312" w:hAnsi="Times New Roman" w:cs="Times New Roman"/>
          <w:sz w:val="32"/>
          <w:szCs w:val="32"/>
        </w:rPr>
      </w:pPr>
      <w:r w:rsidRPr="0052429B">
        <w:rPr>
          <w:rFonts w:ascii="Times New Roman" w:eastAsia="仿宋_GB2312" w:hAnsi="Times New Roman" w:cs="Times New Roman" w:hint="eastAsia"/>
          <w:sz w:val="32"/>
          <w:szCs w:val="32"/>
        </w:rPr>
        <w:lastRenderedPageBreak/>
        <w:t>截止</w:t>
      </w:r>
      <w:r w:rsidRPr="0052429B">
        <w:rPr>
          <w:rFonts w:ascii="Times New Roman" w:eastAsia="仿宋_GB2312" w:hAnsi="Times New Roman" w:cs="Times New Roman" w:hint="eastAsia"/>
          <w:sz w:val="32"/>
          <w:szCs w:val="32"/>
        </w:rPr>
        <w:t>2024</w:t>
      </w:r>
      <w:r w:rsidRPr="0052429B">
        <w:rPr>
          <w:rFonts w:ascii="Times New Roman" w:eastAsia="仿宋_GB2312" w:hAnsi="Times New Roman" w:cs="Times New Roman" w:hint="eastAsia"/>
          <w:sz w:val="32"/>
          <w:szCs w:val="32"/>
        </w:rPr>
        <w:t>年</w:t>
      </w:r>
      <w:r w:rsidRPr="0052429B">
        <w:rPr>
          <w:rFonts w:ascii="Times New Roman" w:eastAsia="仿宋_GB2312" w:hAnsi="Times New Roman" w:cs="Times New Roman" w:hint="eastAsia"/>
          <w:sz w:val="32"/>
          <w:szCs w:val="32"/>
        </w:rPr>
        <w:t>12</w:t>
      </w:r>
      <w:r w:rsidRPr="0052429B">
        <w:rPr>
          <w:rFonts w:ascii="Times New Roman" w:eastAsia="仿宋_GB2312" w:hAnsi="Times New Roman" w:cs="Times New Roman" w:hint="eastAsia"/>
          <w:sz w:val="32"/>
          <w:szCs w:val="32"/>
        </w:rPr>
        <w:t>月底，董事会审计与关联交易控制委员会审议通过</w:t>
      </w:r>
      <w:r w:rsidRPr="0052429B">
        <w:rPr>
          <w:rFonts w:ascii="Times New Roman" w:eastAsia="仿宋_GB2312" w:hAnsi="Times New Roman" w:cs="Times New Roman" w:hint="eastAsia"/>
          <w:sz w:val="32"/>
          <w:szCs w:val="32"/>
        </w:rPr>
        <w:t>6</w:t>
      </w:r>
      <w:r w:rsidRPr="0052429B">
        <w:rPr>
          <w:rFonts w:ascii="Times New Roman" w:eastAsia="仿宋_GB2312" w:hAnsi="Times New Roman" w:cs="Times New Roman" w:hint="eastAsia"/>
          <w:sz w:val="32"/>
          <w:szCs w:val="32"/>
        </w:rPr>
        <w:t>户关联法人的重大关联交易授信申请：新昌鹤群大酒店有限公司关联交易授信、浙江省新昌县佳艺实业有限公司关联（集团）授信、浙江新昌白云山庄有限公司关联（集团）授信、浙江新和成股份有限公司关联交易授信、京新控股集团有限公司关联（集团）授信、浙江五洲新春集团控股有限公司关联（集团）授信。</w:t>
      </w:r>
    </w:p>
    <w:p w:rsidR="0052429B" w:rsidRDefault="0052429B" w:rsidP="0052429B">
      <w:pPr>
        <w:spacing w:line="560" w:lineRule="exact"/>
        <w:ind w:firstLineChars="200" w:firstLine="640"/>
        <w:rPr>
          <w:rFonts w:ascii="Times New Roman" w:eastAsia="仿宋_GB2312" w:hAnsi="Times New Roman" w:cs="Times New Roman"/>
          <w:sz w:val="32"/>
          <w:szCs w:val="32"/>
        </w:rPr>
      </w:pPr>
      <w:r w:rsidRPr="0052429B">
        <w:rPr>
          <w:rFonts w:ascii="Times New Roman" w:eastAsia="仿宋_GB2312" w:hAnsi="Times New Roman" w:cs="Times New Roman" w:hint="eastAsia"/>
          <w:sz w:val="32"/>
          <w:szCs w:val="32"/>
        </w:rPr>
        <w:t>报告期内，上述重大关联交易关联法人授信业务的审批程序符合监管要求。</w:t>
      </w:r>
    </w:p>
    <w:p w:rsidR="00EC2064" w:rsidRPr="00F84BC9" w:rsidRDefault="00EC2064" w:rsidP="0052429B">
      <w:pPr>
        <w:spacing w:line="560" w:lineRule="exact"/>
        <w:ind w:firstLineChars="200" w:firstLine="640"/>
        <w:rPr>
          <w:rFonts w:ascii="Times New Roman" w:eastAsia="仿宋_GB2312" w:hAnsi="Times New Roman" w:cs="Times New Roman"/>
          <w:sz w:val="32"/>
          <w:szCs w:val="32"/>
        </w:rPr>
      </w:pPr>
      <w:r w:rsidRPr="00F84BC9">
        <w:rPr>
          <w:rFonts w:ascii="Times New Roman" w:eastAsia="仿宋_GB2312" w:hAnsi="Times New Roman" w:cs="Times New Roman"/>
          <w:sz w:val="32"/>
          <w:szCs w:val="32"/>
        </w:rPr>
        <w:t>（</w:t>
      </w:r>
      <w:r w:rsidRPr="00F84BC9">
        <w:rPr>
          <w:rFonts w:ascii="Times New Roman" w:eastAsia="仿宋_GB2312" w:hAnsi="Times New Roman" w:cs="Times New Roman"/>
          <w:sz w:val="32"/>
          <w:szCs w:val="32"/>
        </w:rPr>
        <w:t>2</w:t>
      </w:r>
      <w:r w:rsidRPr="00F84BC9">
        <w:rPr>
          <w:rFonts w:ascii="Times New Roman" w:eastAsia="仿宋_GB2312" w:hAnsi="Times New Roman" w:cs="Times New Roman"/>
          <w:sz w:val="32"/>
          <w:szCs w:val="32"/>
        </w:rPr>
        <w:t>）关联交易监管指标执行情况</w:t>
      </w:r>
    </w:p>
    <w:p w:rsidR="0052429B" w:rsidRPr="0052429B" w:rsidRDefault="0052429B" w:rsidP="0052429B">
      <w:pPr>
        <w:spacing w:line="560" w:lineRule="exact"/>
        <w:ind w:firstLineChars="200" w:firstLine="640"/>
        <w:rPr>
          <w:rFonts w:ascii="Times New Roman" w:eastAsia="仿宋_GB2312" w:hAnsi="Times New Roman" w:cs="Times New Roman"/>
          <w:sz w:val="32"/>
          <w:szCs w:val="32"/>
        </w:rPr>
      </w:pPr>
      <w:r w:rsidRPr="0052429B">
        <w:rPr>
          <w:rFonts w:ascii="Times New Roman" w:eastAsia="仿宋_GB2312" w:hAnsi="Times New Roman" w:cs="Times New Roman" w:hint="eastAsia"/>
          <w:sz w:val="32"/>
          <w:szCs w:val="32"/>
        </w:rPr>
        <w:t>四季度，关联方授信指标均控制在监管要求的范围之内，具体执行情况如下：</w:t>
      </w:r>
    </w:p>
    <w:p w:rsidR="0052429B" w:rsidRPr="0052429B" w:rsidRDefault="0052429B" w:rsidP="0052429B">
      <w:pPr>
        <w:spacing w:line="560" w:lineRule="exact"/>
        <w:ind w:firstLineChars="200" w:firstLine="640"/>
        <w:rPr>
          <w:rFonts w:ascii="Times New Roman" w:eastAsia="仿宋_GB2312" w:hAnsi="Times New Roman" w:cs="Times New Roman"/>
          <w:sz w:val="32"/>
          <w:szCs w:val="32"/>
        </w:rPr>
      </w:pPr>
      <w:r w:rsidRPr="0052429B">
        <w:rPr>
          <w:rFonts w:ascii="Times New Roman" w:eastAsia="仿宋_GB2312" w:hAnsi="Times New Roman" w:cs="Times New Roman" w:hint="eastAsia"/>
          <w:sz w:val="32"/>
          <w:szCs w:val="32"/>
        </w:rPr>
        <w:t>单一关联方授信余额。</w:t>
      </w:r>
      <w:r w:rsidRPr="0052429B">
        <w:rPr>
          <w:rFonts w:ascii="Times New Roman" w:eastAsia="仿宋_GB2312" w:hAnsi="Times New Roman" w:cs="Times New Roman" w:hint="eastAsia"/>
          <w:sz w:val="32"/>
          <w:szCs w:val="32"/>
        </w:rPr>
        <w:t>2024</w:t>
      </w:r>
      <w:r w:rsidRPr="0052429B">
        <w:rPr>
          <w:rFonts w:ascii="Times New Roman" w:eastAsia="仿宋_GB2312" w:hAnsi="Times New Roman" w:cs="Times New Roman" w:hint="eastAsia"/>
          <w:sz w:val="32"/>
          <w:szCs w:val="32"/>
        </w:rPr>
        <w:t>年</w:t>
      </w:r>
      <w:r w:rsidRPr="0052429B">
        <w:rPr>
          <w:rFonts w:ascii="Times New Roman" w:eastAsia="仿宋_GB2312" w:hAnsi="Times New Roman" w:cs="Times New Roman" w:hint="eastAsia"/>
          <w:sz w:val="32"/>
          <w:szCs w:val="32"/>
        </w:rPr>
        <w:t>12</w:t>
      </w:r>
      <w:r w:rsidRPr="0052429B">
        <w:rPr>
          <w:rFonts w:ascii="Times New Roman" w:eastAsia="仿宋_GB2312" w:hAnsi="Times New Roman" w:cs="Times New Roman" w:hint="eastAsia"/>
          <w:sz w:val="32"/>
          <w:szCs w:val="32"/>
        </w:rPr>
        <w:t>月末，本行授信余额最大的单一关联方为浙江新和成股份有限公司，授信余额为</w:t>
      </w:r>
      <w:r w:rsidRPr="0052429B">
        <w:rPr>
          <w:rFonts w:ascii="Times New Roman" w:eastAsia="仿宋_GB2312" w:hAnsi="Times New Roman" w:cs="Times New Roman" w:hint="eastAsia"/>
          <w:sz w:val="32"/>
          <w:szCs w:val="32"/>
        </w:rPr>
        <w:t>0.99</w:t>
      </w:r>
      <w:r w:rsidRPr="0052429B">
        <w:rPr>
          <w:rFonts w:ascii="Times New Roman" w:eastAsia="仿宋_GB2312" w:hAnsi="Times New Roman" w:cs="Times New Roman" w:hint="eastAsia"/>
          <w:sz w:val="32"/>
          <w:szCs w:val="32"/>
        </w:rPr>
        <w:t>亿元，占本行资本净额（</w:t>
      </w:r>
      <w:r w:rsidRPr="0052429B">
        <w:rPr>
          <w:rFonts w:ascii="Times New Roman" w:eastAsia="仿宋_GB2312" w:hAnsi="Times New Roman" w:cs="Times New Roman" w:hint="eastAsia"/>
          <w:sz w:val="32"/>
          <w:szCs w:val="32"/>
        </w:rPr>
        <w:t>31.19</w:t>
      </w:r>
      <w:r w:rsidRPr="0052429B">
        <w:rPr>
          <w:rFonts w:ascii="Times New Roman" w:eastAsia="仿宋_GB2312" w:hAnsi="Times New Roman" w:cs="Times New Roman" w:hint="eastAsia"/>
          <w:sz w:val="32"/>
          <w:szCs w:val="32"/>
        </w:rPr>
        <w:t>亿元）的</w:t>
      </w:r>
      <w:r w:rsidRPr="0052429B">
        <w:rPr>
          <w:rFonts w:ascii="Times New Roman" w:eastAsia="仿宋_GB2312" w:hAnsi="Times New Roman" w:cs="Times New Roman" w:hint="eastAsia"/>
          <w:sz w:val="32"/>
          <w:szCs w:val="32"/>
        </w:rPr>
        <w:t>3.17%</w:t>
      </w:r>
      <w:r w:rsidRPr="0052429B">
        <w:rPr>
          <w:rFonts w:ascii="Times New Roman" w:eastAsia="仿宋_GB2312" w:hAnsi="Times New Roman" w:cs="Times New Roman" w:hint="eastAsia"/>
          <w:sz w:val="32"/>
          <w:szCs w:val="32"/>
        </w:rPr>
        <w:t>，符合监管要求。</w:t>
      </w:r>
    </w:p>
    <w:p w:rsidR="0052429B" w:rsidRPr="0052429B" w:rsidRDefault="0052429B" w:rsidP="0052429B">
      <w:pPr>
        <w:spacing w:line="560" w:lineRule="exact"/>
        <w:ind w:firstLineChars="200" w:firstLine="640"/>
        <w:rPr>
          <w:rFonts w:ascii="Times New Roman" w:eastAsia="仿宋_GB2312" w:hAnsi="Times New Roman" w:cs="Times New Roman"/>
          <w:sz w:val="32"/>
          <w:szCs w:val="32"/>
        </w:rPr>
      </w:pPr>
      <w:r w:rsidRPr="0052429B">
        <w:rPr>
          <w:rFonts w:ascii="Times New Roman" w:eastAsia="仿宋_GB2312" w:hAnsi="Times New Roman" w:cs="Times New Roman" w:hint="eastAsia"/>
          <w:sz w:val="32"/>
          <w:szCs w:val="32"/>
        </w:rPr>
        <w:t>单一关联集团授信余额。</w:t>
      </w:r>
      <w:r w:rsidRPr="0052429B">
        <w:rPr>
          <w:rFonts w:ascii="Times New Roman" w:eastAsia="仿宋_GB2312" w:hAnsi="Times New Roman" w:cs="Times New Roman" w:hint="eastAsia"/>
          <w:sz w:val="32"/>
          <w:szCs w:val="32"/>
        </w:rPr>
        <w:t>2024</w:t>
      </w:r>
      <w:r w:rsidRPr="0052429B">
        <w:rPr>
          <w:rFonts w:ascii="Times New Roman" w:eastAsia="仿宋_GB2312" w:hAnsi="Times New Roman" w:cs="Times New Roman" w:hint="eastAsia"/>
          <w:sz w:val="32"/>
          <w:szCs w:val="32"/>
        </w:rPr>
        <w:t>年</w:t>
      </w:r>
      <w:r w:rsidRPr="0052429B">
        <w:rPr>
          <w:rFonts w:ascii="Times New Roman" w:eastAsia="仿宋_GB2312" w:hAnsi="Times New Roman" w:cs="Times New Roman" w:hint="eastAsia"/>
          <w:sz w:val="32"/>
          <w:szCs w:val="32"/>
        </w:rPr>
        <w:t>12</w:t>
      </w:r>
      <w:r w:rsidRPr="0052429B">
        <w:rPr>
          <w:rFonts w:ascii="Times New Roman" w:eastAsia="仿宋_GB2312" w:hAnsi="Times New Roman" w:cs="Times New Roman" w:hint="eastAsia"/>
          <w:sz w:val="32"/>
          <w:szCs w:val="32"/>
        </w:rPr>
        <w:t>月末，本行授信余额最大的单一关联集团为京新控股集团有限公司及其关联方，关联方所在集团表内外授信余额</w:t>
      </w:r>
      <w:r w:rsidRPr="0052429B">
        <w:rPr>
          <w:rFonts w:ascii="Times New Roman" w:eastAsia="仿宋_GB2312" w:hAnsi="Times New Roman" w:cs="Times New Roman" w:hint="eastAsia"/>
          <w:sz w:val="32"/>
          <w:szCs w:val="32"/>
        </w:rPr>
        <w:t>1.7</w:t>
      </w:r>
      <w:r w:rsidRPr="0052429B">
        <w:rPr>
          <w:rFonts w:ascii="Times New Roman" w:eastAsia="仿宋_GB2312" w:hAnsi="Times New Roman" w:cs="Times New Roman" w:hint="eastAsia"/>
          <w:sz w:val="32"/>
          <w:szCs w:val="32"/>
        </w:rPr>
        <w:t>亿元，占本行资本净额（</w:t>
      </w:r>
      <w:r w:rsidRPr="0052429B">
        <w:rPr>
          <w:rFonts w:ascii="Times New Roman" w:eastAsia="仿宋_GB2312" w:hAnsi="Times New Roman" w:cs="Times New Roman" w:hint="eastAsia"/>
          <w:sz w:val="32"/>
          <w:szCs w:val="32"/>
        </w:rPr>
        <w:t>31.19</w:t>
      </w:r>
      <w:r w:rsidRPr="0052429B">
        <w:rPr>
          <w:rFonts w:ascii="Times New Roman" w:eastAsia="仿宋_GB2312" w:hAnsi="Times New Roman" w:cs="Times New Roman" w:hint="eastAsia"/>
          <w:sz w:val="32"/>
          <w:szCs w:val="32"/>
        </w:rPr>
        <w:t>亿元）的</w:t>
      </w:r>
      <w:r w:rsidR="00642F4A">
        <w:rPr>
          <w:rFonts w:ascii="Times New Roman" w:eastAsia="仿宋_GB2312" w:hAnsi="Times New Roman" w:cs="Times New Roman" w:hint="eastAsia"/>
          <w:sz w:val="32"/>
          <w:szCs w:val="32"/>
        </w:rPr>
        <w:t>5.45</w:t>
      </w:r>
      <w:r w:rsidRPr="0052429B">
        <w:rPr>
          <w:rFonts w:ascii="Times New Roman" w:eastAsia="仿宋_GB2312" w:hAnsi="Times New Roman" w:cs="Times New Roman" w:hint="eastAsia"/>
          <w:sz w:val="32"/>
          <w:szCs w:val="32"/>
        </w:rPr>
        <w:t>%</w:t>
      </w:r>
      <w:r w:rsidRPr="0052429B">
        <w:rPr>
          <w:rFonts w:ascii="Times New Roman" w:eastAsia="仿宋_GB2312" w:hAnsi="Times New Roman" w:cs="Times New Roman" w:hint="eastAsia"/>
          <w:sz w:val="32"/>
          <w:szCs w:val="32"/>
        </w:rPr>
        <w:t>，符合监管要求。</w:t>
      </w:r>
    </w:p>
    <w:p w:rsidR="00F84BC9" w:rsidRPr="00F84BC9" w:rsidRDefault="0052429B" w:rsidP="0052429B">
      <w:pPr>
        <w:spacing w:line="560" w:lineRule="exact"/>
        <w:ind w:firstLineChars="200" w:firstLine="640"/>
        <w:rPr>
          <w:rFonts w:ascii="Times New Roman" w:eastAsia="仿宋_GB2312" w:hAnsi="Times New Roman" w:cs="Times New Roman"/>
          <w:sz w:val="32"/>
          <w:szCs w:val="32"/>
        </w:rPr>
      </w:pPr>
      <w:r w:rsidRPr="0052429B">
        <w:rPr>
          <w:rFonts w:ascii="Times New Roman" w:eastAsia="仿宋_GB2312" w:hAnsi="Times New Roman" w:cs="Times New Roman" w:hint="eastAsia"/>
          <w:sz w:val="32"/>
          <w:szCs w:val="32"/>
        </w:rPr>
        <w:t>全部关联方授信余额。</w:t>
      </w:r>
      <w:r w:rsidRPr="0052429B">
        <w:rPr>
          <w:rFonts w:ascii="Times New Roman" w:eastAsia="仿宋_GB2312" w:hAnsi="Times New Roman" w:cs="Times New Roman" w:hint="eastAsia"/>
          <w:sz w:val="32"/>
          <w:szCs w:val="32"/>
        </w:rPr>
        <w:t>2024</w:t>
      </w:r>
      <w:r w:rsidRPr="0052429B">
        <w:rPr>
          <w:rFonts w:ascii="Times New Roman" w:eastAsia="仿宋_GB2312" w:hAnsi="Times New Roman" w:cs="Times New Roman" w:hint="eastAsia"/>
          <w:sz w:val="32"/>
          <w:szCs w:val="32"/>
        </w:rPr>
        <w:t>年</w:t>
      </w:r>
      <w:r w:rsidRPr="0052429B">
        <w:rPr>
          <w:rFonts w:ascii="Times New Roman" w:eastAsia="仿宋_GB2312" w:hAnsi="Times New Roman" w:cs="Times New Roman" w:hint="eastAsia"/>
          <w:sz w:val="32"/>
          <w:szCs w:val="32"/>
        </w:rPr>
        <w:t>12</w:t>
      </w:r>
      <w:r w:rsidRPr="0052429B">
        <w:rPr>
          <w:rFonts w:ascii="Times New Roman" w:eastAsia="仿宋_GB2312" w:hAnsi="Times New Roman" w:cs="Times New Roman" w:hint="eastAsia"/>
          <w:sz w:val="32"/>
          <w:szCs w:val="32"/>
        </w:rPr>
        <w:t>月末，本行全部关联方表内外授信净额为</w:t>
      </w:r>
      <w:r w:rsidRPr="0052429B">
        <w:rPr>
          <w:rFonts w:ascii="Times New Roman" w:eastAsia="仿宋_GB2312" w:hAnsi="Times New Roman" w:cs="Times New Roman" w:hint="eastAsia"/>
          <w:sz w:val="32"/>
          <w:szCs w:val="32"/>
        </w:rPr>
        <w:t>6.50</w:t>
      </w:r>
      <w:r w:rsidRPr="0052429B">
        <w:rPr>
          <w:rFonts w:ascii="Times New Roman" w:eastAsia="仿宋_GB2312" w:hAnsi="Times New Roman" w:cs="Times New Roman" w:hint="eastAsia"/>
          <w:sz w:val="32"/>
          <w:szCs w:val="32"/>
        </w:rPr>
        <w:t>亿元，占本行资本净额（</w:t>
      </w:r>
      <w:r w:rsidRPr="0052429B">
        <w:rPr>
          <w:rFonts w:ascii="Times New Roman" w:eastAsia="仿宋_GB2312" w:hAnsi="Times New Roman" w:cs="Times New Roman" w:hint="eastAsia"/>
          <w:sz w:val="32"/>
          <w:szCs w:val="32"/>
        </w:rPr>
        <w:t>31.19</w:t>
      </w:r>
      <w:r w:rsidRPr="0052429B">
        <w:rPr>
          <w:rFonts w:ascii="Times New Roman" w:eastAsia="仿宋_GB2312" w:hAnsi="Times New Roman" w:cs="Times New Roman" w:hint="eastAsia"/>
          <w:sz w:val="32"/>
          <w:szCs w:val="32"/>
        </w:rPr>
        <w:t>亿元）的</w:t>
      </w:r>
      <w:r w:rsidRPr="0052429B">
        <w:rPr>
          <w:rFonts w:ascii="Times New Roman" w:eastAsia="仿宋_GB2312" w:hAnsi="Times New Roman" w:cs="Times New Roman" w:hint="eastAsia"/>
          <w:sz w:val="32"/>
          <w:szCs w:val="32"/>
        </w:rPr>
        <w:t>20.83%</w:t>
      </w:r>
      <w:r w:rsidRPr="0052429B">
        <w:rPr>
          <w:rFonts w:ascii="Times New Roman" w:eastAsia="仿宋_GB2312" w:hAnsi="Times New Roman" w:cs="Times New Roman" w:hint="eastAsia"/>
          <w:sz w:val="32"/>
          <w:szCs w:val="32"/>
        </w:rPr>
        <w:t>，符合监管要求。</w:t>
      </w:r>
    </w:p>
    <w:p w:rsidR="00EC2064" w:rsidRPr="00F84BC9" w:rsidRDefault="00EC2064" w:rsidP="004940A8">
      <w:pPr>
        <w:spacing w:line="560" w:lineRule="exact"/>
        <w:ind w:firstLineChars="200" w:firstLine="640"/>
        <w:rPr>
          <w:rFonts w:ascii="Times New Roman" w:eastAsia="仿宋_GB2312" w:hAnsi="Times New Roman" w:cs="Times New Roman"/>
          <w:sz w:val="32"/>
          <w:szCs w:val="32"/>
        </w:rPr>
      </w:pPr>
      <w:r w:rsidRPr="00F84BC9">
        <w:rPr>
          <w:rFonts w:ascii="Times New Roman" w:eastAsia="仿宋_GB2312" w:hAnsi="Times New Roman" w:cs="Times New Roman"/>
          <w:sz w:val="32"/>
          <w:szCs w:val="32"/>
        </w:rPr>
        <w:t>2.</w:t>
      </w:r>
      <w:r w:rsidRPr="00F84BC9">
        <w:rPr>
          <w:rFonts w:ascii="Times New Roman" w:eastAsia="仿宋_GB2312" w:hAnsi="Times New Roman" w:cs="Times New Roman"/>
          <w:sz w:val="32"/>
          <w:szCs w:val="32"/>
        </w:rPr>
        <w:t>关联交易定价情况</w:t>
      </w:r>
    </w:p>
    <w:p w:rsidR="00EC2064" w:rsidRPr="00F84BC9" w:rsidRDefault="00EC2064" w:rsidP="004940A8">
      <w:pPr>
        <w:spacing w:line="560" w:lineRule="exact"/>
        <w:ind w:firstLineChars="200" w:firstLine="640"/>
        <w:rPr>
          <w:rFonts w:ascii="Times New Roman" w:eastAsia="仿宋_GB2312" w:hAnsi="Times New Roman" w:cs="Times New Roman"/>
          <w:sz w:val="32"/>
          <w:szCs w:val="32"/>
        </w:rPr>
      </w:pPr>
      <w:r w:rsidRPr="00F84BC9">
        <w:rPr>
          <w:rFonts w:ascii="Times New Roman" w:eastAsia="仿宋_GB2312" w:hAnsi="Times New Roman" w:cs="Times New Roman"/>
          <w:sz w:val="32"/>
          <w:szCs w:val="32"/>
        </w:rPr>
        <w:lastRenderedPageBreak/>
        <w:t>报告期内，本行与关联方的关联交易坚持遵循一般商业条款和正常业务程序进行，其定价原则与独立第三方交易一致，即以不优于非关联方同类交易的条件进行。</w:t>
      </w:r>
      <w:r w:rsidR="009C05DA" w:rsidRPr="00F84BC9">
        <w:rPr>
          <w:rFonts w:ascii="Times New Roman" w:eastAsia="仿宋_GB2312" w:hAnsi="Times New Roman" w:cs="Times New Roman"/>
          <w:sz w:val="32"/>
          <w:szCs w:val="32"/>
        </w:rPr>
        <w:t xml:space="preserve">  </w:t>
      </w:r>
    </w:p>
    <w:p w:rsidR="00EC2064" w:rsidRPr="00F84BC9" w:rsidRDefault="00EC2064" w:rsidP="004940A8">
      <w:pPr>
        <w:spacing w:line="560" w:lineRule="exact"/>
        <w:ind w:firstLineChars="200" w:firstLine="640"/>
        <w:rPr>
          <w:rFonts w:ascii="Times New Roman" w:eastAsia="黑体" w:hAnsi="Times New Roman" w:cs="Times New Roman"/>
          <w:sz w:val="32"/>
          <w:szCs w:val="32"/>
        </w:rPr>
      </w:pPr>
      <w:r w:rsidRPr="00F84BC9">
        <w:rPr>
          <w:rFonts w:ascii="Times New Roman" w:eastAsia="黑体" w:hAnsi="Times New Roman" w:cs="Times New Roman"/>
          <w:sz w:val="32"/>
          <w:szCs w:val="32"/>
        </w:rPr>
        <w:t>三、</w:t>
      </w:r>
      <w:r w:rsidR="00702DCF" w:rsidRPr="00F84BC9">
        <w:rPr>
          <w:rFonts w:ascii="Times New Roman" w:eastAsia="黑体" w:hAnsi="Times New Roman" w:cs="Times New Roman"/>
          <w:sz w:val="32"/>
          <w:szCs w:val="32"/>
        </w:rPr>
        <w:t>202</w:t>
      </w:r>
      <w:r w:rsidR="00A67CED" w:rsidRPr="00F84BC9">
        <w:rPr>
          <w:rFonts w:ascii="Times New Roman" w:eastAsia="黑体" w:hAnsi="Times New Roman" w:cs="Times New Roman" w:hint="eastAsia"/>
          <w:sz w:val="32"/>
          <w:szCs w:val="32"/>
        </w:rPr>
        <w:t>4</w:t>
      </w:r>
      <w:r w:rsidR="00CE56C0" w:rsidRPr="00F84BC9">
        <w:rPr>
          <w:rFonts w:ascii="Times New Roman" w:eastAsia="黑体" w:hAnsi="Times New Roman" w:cs="Times New Roman"/>
          <w:sz w:val="32"/>
          <w:szCs w:val="32"/>
        </w:rPr>
        <w:t>年</w:t>
      </w:r>
      <w:bookmarkStart w:id="0" w:name="_GoBack"/>
      <w:bookmarkEnd w:id="0"/>
      <w:r w:rsidRPr="00F84BC9">
        <w:rPr>
          <w:rFonts w:ascii="Times New Roman" w:eastAsia="黑体" w:hAnsi="Times New Roman" w:cs="Times New Roman"/>
          <w:sz w:val="32"/>
          <w:szCs w:val="32"/>
        </w:rPr>
        <w:t>度关联交易总体情况</w:t>
      </w:r>
    </w:p>
    <w:p w:rsidR="0052429B" w:rsidRPr="0052429B" w:rsidRDefault="0052429B" w:rsidP="0052429B">
      <w:pPr>
        <w:spacing w:line="560" w:lineRule="exact"/>
        <w:ind w:firstLineChars="200" w:firstLine="640"/>
        <w:rPr>
          <w:rFonts w:ascii="Times New Roman" w:eastAsia="仿宋_GB2312" w:hAnsi="Times New Roman" w:cs="Times New Roman"/>
          <w:sz w:val="32"/>
          <w:szCs w:val="32"/>
        </w:rPr>
      </w:pPr>
      <w:r w:rsidRPr="0052429B">
        <w:rPr>
          <w:rFonts w:ascii="Times New Roman" w:eastAsia="仿宋_GB2312" w:hAnsi="Times New Roman" w:cs="Times New Roman"/>
          <w:sz w:val="32"/>
          <w:szCs w:val="32"/>
        </w:rPr>
        <w:t>报告期内，本行向全部关联方授信</w:t>
      </w:r>
      <w:r w:rsidRPr="0052429B">
        <w:rPr>
          <w:rFonts w:ascii="Times New Roman" w:eastAsia="仿宋_GB2312" w:hAnsi="Times New Roman" w:cs="Times New Roman" w:hint="eastAsia"/>
          <w:sz w:val="32"/>
          <w:szCs w:val="32"/>
        </w:rPr>
        <w:t>6.50</w:t>
      </w:r>
      <w:r w:rsidRPr="0052429B">
        <w:rPr>
          <w:rFonts w:ascii="Times New Roman" w:eastAsia="仿宋_GB2312" w:hAnsi="Times New Roman" w:cs="Times New Roman"/>
          <w:sz w:val="32"/>
          <w:szCs w:val="32"/>
        </w:rPr>
        <w:t>亿元，发放贷款余额</w:t>
      </w:r>
      <w:r w:rsidRPr="0052429B">
        <w:rPr>
          <w:rFonts w:ascii="Times New Roman" w:eastAsia="仿宋_GB2312" w:hAnsi="Times New Roman" w:cs="Times New Roman" w:hint="eastAsia"/>
          <w:sz w:val="32"/>
          <w:szCs w:val="32"/>
        </w:rPr>
        <w:t>4.52</w:t>
      </w:r>
      <w:r w:rsidRPr="0052429B">
        <w:rPr>
          <w:rFonts w:ascii="Times New Roman" w:eastAsia="仿宋_GB2312" w:hAnsi="Times New Roman" w:cs="Times New Roman"/>
          <w:sz w:val="32"/>
          <w:szCs w:val="32"/>
        </w:rPr>
        <w:t>亿元，其中与</w:t>
      </w:r>
      <w:r w:rsidRPr="0052429B">
        <w:rPr>
          <w:rFonts w:ascii="Times New Roman" w:eastAsia="仿宋_GB2312" w:hAnsi="Times New Roman" w:cs="Times New Roman" w:hint="eastAsia"/>
          <w:sz w:val="32"/>
          <w:szCs w:val="32"/>
        </w:rPr>
        <w:t>企业</w:t>
      </w:r>
      <w:r w:rsidRPr="0052429B">
        <w:rPr>
          <w:rFonts w:ascii="Times New Roman" w:eastAsia="仿宋_GB2312" w:hAnsi="Times New Roman" w:cs="Times New Roman"/>
          <w:sz w:val="32"/>
          <w:szCs w:val="32"/>
        </w:rPr>
        <w:t>关联方的关联交易如下：</w:t>
      </w:r>
    </w:p>
    <w:tbl>
      <w:tblPr>
        <w:tblW w:w="9220" w:type="dxa"/>
        <w:tblInd w:w="93" w:type="dxa"/>
        <w:tblLook w:val="04A0" w:firstRow="1" w:lastRow="0" w:firstColumn="1" w:lastColumn="0" w:noHBand="0" w:noVBand="1"/>
      </w:tblPr>
      <w:tblGrid>
        <w:gridCol w:w="4260"/>
        <w:gridCol w:w="1940"/>
        <w:gridCol w:w="1940"/>
        <w:gridCol w:w="1080"/>
      </w:tblGrid>
      <w:tr w:rsidR="0052429B" w:rsidRPr="0052429B" w:rsidTr="0009699F">
        <w:trPr>
          <w:trHeight w:val="312"/>
        </w:trPr>
        <w:tc>
          <w:tcPr>
            <w:tcW w:w="42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52429B" w:rsidRPr="0052429B" w:rsidRDefault="0052429B" w:rsidP="0009699F">
            <w:pPr>
              <w:widowControl/>
              <w:jc w:val="center"/>
              <w:rPr>
                <w:rFonts w:ascii="黑体" w:eastAsia="黑体" w:hAnsi="黑体" w:cs="Tahoma"/>
                <w:kern w:val="0"/>
                <w:szCs w:val="21"/>
              </w:rPr>
            </w:pPr>
            <w:r w:rsidRPr="0052429B">
              <w:rPr>
                <w:rFonts w:ascii="黑体" w:eastAsia="黑体" w:hAnsi="黑体" w:cs="Tahoma" w:hint="eastAsia"/>
                <w:kern w:val="0"/>
                <w:szCs w:val="21"/>
              </w:rPr>
              <w:t>客户名称</w:t>
            </w:r>
          </w:p>
        </w:tc>
        <w:tc>
          <w:tcPr>
            <w:tcW w:w="19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2429B" w:rsidRPr="0052429B" w:rsidRDefault="0052429B" w:rsidP="0009699F">
            <w:pPr>
              <w:widowControl/>
              <w:jc w:val="center"/>
              <w:rPr>
                <w:rFonts w:ascii="黑体" w:eastAsia="黑体" w:hAnsi="黑体" w:cs="Tahoma"/>
                <w:kern w:val="0"/>
                <w:szCs w:val="21"/>
              </w:rPr>
            </w:pPr>
            <w:r w:rsidRPr="0052429B">
              <w:rPr>
                <w:rFonts w:ascii="黑体" w:eastAsia="黑体" w:hAnsi="黑体" w:cs="Tahoma" w:hint="eastAsia"/>
                <w:kern w:val="0"/>
                <w:szCs w:val="21"/>
              </w:rPr>
              <w:t>贷款余额（万元）</w:t>
            </w:r>
          </w:p>
        </w:tc>
        <w:tc>
          <w:tcPr>
            <w:tcW w:w="19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2429B" w:rsidRPr="0052429B" w:rsidRDefault="0052429B" w:rsidP="0009699F">
            <w:pPr>
              <w:widowControl/>
              <w:jc w:val="center"/>
              <w:rPr>
                <w:rFonts w:ascii="黑体" w:eastAsia="黑体" w:hAnsi="黑体" w:cs="Tahoma"/>
                <w:kern w:val="0"/>
                <w:szCs w:val="21"/>
              </w:rPr>
            </w:pPr>
            <w:r w:rsidRPr="0052429B">
              <w:rPr>
                <w:rFonts w:ascii="黑体" w:eastAsia="黑体" w:hAnsi="黑体" w:cs="Tahoma" w:hint="eastAsia"/>
                <w:kern w:val="0"/>
                <w:szCs w:val="21"/>
              </w:rPr>
              <w:t>授信余额（万元）</w:t>
            </w:r>
          </w:p>
        </w:tc>
        <w:tc>
          <w:tcPr>
            <w:tcW w:w="10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2429B" w:rsidRPr="0052429B" w:rsidRDefault="0052429B" w:rsidP="0009699F">
            <w:pPr>
              <w:widowControl/>
              <w:jc w:val="center"/>
              <w:rPr>
                <w:rFonts w:ascii="黑体" w:eastAsia="黑体" w:hAnsi="黑体" w:cs="Tahoma"/>
                <w:kern w:val="0"/>
                <w:szCs w:val="21"/>
              </w:rPr>
            </w:pPr>
            <w:r w:rsidRPr="0052429B">
              <w:rPr>
                <w:rFonts w:ascii="黑体" w:eastAsia="黑体" w:hAnsi="黑体" w:cs="Tahoma" w:hint="eastAsia"/>
                <w:kern w:val="0"/>
                <w:szCs w:val="21"/>
              </w:rPr>
              <w:t>合并关联方授信余额（万元）</w:t>
            </w:r>
          </w:p>
        </w:tc>
      </w:tr>
      <w:tr w:rsidR="0052429B" w:rsidRPr="0052429B" w:rsidTr="0009699F">
        <w:trPr>
          <w:trHeight w:val="480"/>
        </w:trPr>
        <w:tc>
          <w:tcPr>
            <w:tcW w:w="4260" w:type="dxa"/>
            <w:vMerge/>
            <w:tcBorders>
              <w:top w:val="single" w:sz="4" w:space="0" w:color="auto"/>
              <w:left w:val="single" w:sz="4" w:space="0" w:color="auto"/>
              <w:bottom w:val="single" w:sz="4" w:space="0" w:color="000000"/>
              <w:right w:val="single" w:sz="4" w:space="0" w:color="auto"/>
            </w:tcBorders>
            <w:vAlign w:val="center"/>
            <w:hideMark/>
          </w:tcPr>
          <w:p w:rsidR="0052429B" w:rsidRPr="0052429B" w:rsidRDefault="0052429B" w:rsidP="0009699F">
            <w:pPr>
              <w:widowControl/>
              <w:jc w:val="left"/>
              <w:rPr>
                <w:rFonts w:ascii="黑体" w:eastAsia="黑体" w:hAnsi="黑体" w:cs="Tahoma"/>
                <w:kern w:val="0"/>
                <w:szCs w:val="21"/>
              </w:rPr>
            </w:pPr>
          </w:p>
        </w:tc>
        <w:tc>
          <w:tcPr>
            <w:tcW w:w="1940" w:type="dxa"/>
            <w:vMerge/>
            <w:tcBorders>
              <w:top w:val="single" w:sz="4" w:space="0" w:color="auto"/>
              <w:left w:val="single" w:sz="4" w:space="0" w:color="auto"/>
              <w:bottom w:val="single" w:sz="4" w:space="0" w:color="000000"/>
              <w:right w:val="single" w:sz="4" w:space="0" w:color="auto"/>
            </w:tcBorders>
            <w:vAlign w:val="center"/>
            <w:hideMark/>
          </w:tcPr>
          <w:p w:rsidR="0052429B" w:rsidRPr="0052429B" w:rsidRDefault="0052429B" w:rsidP="0009699F">
            <w:pPr>
              <w:widowControl/>
              <w:jc w:val="left"/>
              <w:rPr>
                <w:rFonts w:ascii="黑体" w:eastAsia="黑体" w:hAnsi="黑体" w:cs="Tahoma"/>
                <w:kern w:val="0"/>
                <w:szCs w:val="21"/>
              </w:rPr>
            </w:pPr>
          </w:p>
        </w:tc>
        <w:tc>
          <w:tcPr>
            <w:tcW w:w="1940" w:type="dxa"/>
            <w:vMerge/>
            <w:tcBorders>
              <w:top w:val="single" w:sz="4" w:space="0" w:color="auto"/>
              <w:left w:val="single" w:sz="4" w:space="0" w:color="auto"/>
              <w:bottom w:val="single" w:sz="4" w:space="0" w:color="000000"/>
              <w:right w:val="single" w:sz="4" w:space="0" w:color="auto"/>
            </w:tcBorders>
            <w:vAlign w:val="center"/>
            <w:hideMark/>
          </w:tcPr>
          <w:p w:rsidR="0052429B" w:rsidRPr="0052429B" w:rsidRDefault="0052429B" w:rsidP="0009699F">
            <w:pPr>
              <w:widowControl/>
              <w:jc w:val="left"/>
              <w:rPr>
                <w:rFonts w:ascii="黑体" w:eastAsia="黑体" w:hAnsi="黑体" w:cs="Tahoma"/>
                <w:kern w:val="0"/>
                <w:szCs w:val="21"/>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52429B" w:rsidRPr="0052429B" w:rsidRDefault="0052429B" w:rsidP="0009699F">
            <w:pPr>
              <w:widowControl/>
              <w:jc w:val="left"/>
              <w:rPr>
                <w:rFonts w:ascii="黑体" w:eastAsia="黑体" w:hAnsi="黑体" w:cs="Tahoma"/>
                <w:kern w:val="0"/>
                <w:szCs w:val="21"/>
              </w:rPr>
            </w:pP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新昌鹤群大酒店有限公司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2799</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3149.5</w:t>
            </w:r>
          </w:p>
        </w:tc>
        <w:tc>
          <w:tcPr>
            <w:tcW w:w="1080" w:type="dxa"/>
            <w:tcBorders>
              <w:top w:val="nil"/>
              <w:left w:val="nil"/>
              <w:bottom w:val="single" w:sz="4" w:space="0" w:color="auto"/>
              <w:right w:val="single" w:sz="4" w:space="0" w:color="auto"/>
            </w:tcBorders>
            <w:shd w:val="clear" w:color="auto" w:fill="auto"/>
            <w:noWrap/>
            <w:vAlign w:val="center"/>
            <w:hideMark/>
          </w:tcPr>
          <w:p w:rsidR="0052429B" w:rsidRPr="0052429B" w:rsidRDefault="0052429B" w:rsidP="0009699F">
            <w:pPr>
              <w:widowControl/>
              <w:jc w:val="center"/>
              <w:rPr>
                <w:rFonts w:ascii="Tahoma" w:eastAsia="宋体" w:hAnsi="Tahoma" w:cs="Tahoma"/>
                <w:kern w:val="0"/>
                <w:sz w:val="22"/>
              </w:rPr>
            </w:pPr>
            <w:r w:rsidRPr="0052429B">
              <w:rPr>
                <w:rFonts w:ascii="Tahoma" w:eastAsia="宋体" w:hAnsi="Tahoma" w:cs="Tahoma"/>
                <w:kern w:val="0"/>
                <w:sz w:val="22"/>
              </w:rPr>
              <w:t>——</w:t>
            </w: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浙江新昌白云山庄有限公司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2400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2500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2429B" w:rsidRPr="0052429B" w:rsidRDefault="0052429B" w:rsidP="0009699F">
            <w:pPr>
              <w:widowControl/>
              <w:jc w:val="center"/>
              <w:rPr>
                <w:rFonts w:ascii="Tahoma" w:eastAsia="宋体" w:hAnsi="Tahoma" w:cs="Tahoma"/>
                <w:kern w:val="0"/>
                <w:sz w:val="22"/>
              </w:rPr>
            </w:pPr>
            <w:r w:rsidRPr="0052429B">
              <w:rPr>
                <w:rFonts w:ascii="Tahoma" w:eastAsia="宋体" w:hAnsi="Tahoma" w:cs="Tahoma"/>
                <w:kern w:val="0"/>
                <w:sz w:val="22"/>
              </w:rPr>
              <w:t>8500</w:t>
            </w: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新昌县白云大酒店有限公司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1200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2000</w:t>
            </w:r>
          </w:p>
        </w:tc>
        <w:tc>
          <w:tcPr>
            <w:tcW w:w="1080" w:type="dxa"/>
            <w:vMerge/>
            <w:tcBorders>
              <w:top w:val="nil"/>
              <w:left w:val="single" w:sz="4" w:space="0" w:color="auto"/>
              <w:bottom w:val="single" w:sz="4" w:space="0" w:color="000000"/>
              <w:right w:val="single" w:sz="4" w:space="0" w:color="auto"/>
            </w:tcBorders>
            <w:vAlign w:val="center"/>
            <w:hideMark/>
          </w:tcPr>
          <w:p w:rsidR="0052429B" w:rsidRPr="0052429B" w:rsidRDefault="0052429B" w:rsidP="0009699F">
            <w:pPr>
              <w:widowControl/>
              <w:jc w:val="left"/>
              <w:rPr>
                <w:rFonts w:ascii="Tahoma" w:eastAsia="宋体" w:hAnsi="Tahoma" w:cs="Tahoma"/>
                <w:kern w:val="0"/>
                <w:sz w:val="22"/>
              </w:rPr>
            </w:pP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新昌县白云文化艺术村有限公司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2000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2000</w:t>
            </w:r>
          </w:p>
        </w:tc>
        <w:tc>
          <w:tcPr>
            <w:tcW w:w="1080" w:type="dxa"/>
            <w:vMerge/>
            <w:tcBorders>
              <w:top w:val="nil"/>
              <w:left w:val="single" w:sz="4" w:space="0" w:color="auto"/>
              <w:bottom w:val="single" w:sz="4" w:space="0" w:color="000000"/>
              <w:right w:val="single" w:sz="4" w:space="0" w:color="auto"/>
            </w:tcBorders>
            <w:vAlign w:val="center"/>
            <w:hideMark/>
          </w:tcPr>
          <w:p w:rsidR="0052429B" w:rsidRPr="0052429B" w:rsidRDefault="0052429B" w:rsidP="0009699F">
            <w:pPr>
              <w:widowControl/>
              <w:jc w:val="left"/>
              <w:rPr>
                <w:rFonts w:ascii="Tahoma" w:eastAsia="宋体" w:hAnsi="Tahoma" w:cs="Tahoma"/>
                <w:kern w:val="0"/>
                <w:sz w:val="22"/>
              </w:rPr>
            </w:pP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新昌白云人家农副产品配送服务有限公司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700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2000</w:t>
            </w:r>
          </w:p>
        </w:tc>
        <w:tc>
          <w:tcPr>
            <w:tcW w:w="1080" w:type="dxa"/>
            <w:vMerge/>
            <w:tcBorders>
              <w:top w:val="nil"/>
              <w:left w:val="single" w:sz="4" w:space="0" w:color="auto"/>
              <w:bottom w:val="single" w:sz="4" w:space="0" w:color="000000"/>
              <w:right w:val="single" w:sz="4" w:space="0" w:color="auto"/>
            </w:tcBorders>
            <w:vAlign w:val="center"/>
            <w:hideMark/>
          </w:tcPr>
          <w:p w:rsidR="0052429B" w:rsidRPr="0052429B" w:rsidRDefault="0052429B" w:rsidP="0009699F">
            <w:pPr>
              <w:widowControl/>
              <w:jc w:val="left"/>
              <w:rPr>
                <w:rFonts w:ascii="Tahoma" w:eastAsia="宋体" w:hAnsi="Tahoma" w:cs="Tahoma"/>
                <w:kern w:val="0"/>
                <w:sz w:val="22"/>
              </w:rPr>
            </w:pP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浙江五洲新春集团控股有限公司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4800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4800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2429B" w:rsidRPr="0052429B" w:rsidRDefault="0052429B" w:rsidP="0009699F">
            <w:pPr>
              <w:widowControl/>
              <w:jc w:val="center"/>
              <w:rPr>
                <w:rFonts w:ascii="Tahoma" w:eastAsia="宋体" w:hAnsi="Tahoma" w:cs="Tahoma"/>
                <w:kern w:val="0"/>
                <w:sz w:val="22"/>
              </w:rPr>
            </w:pPr>
            <w:r w:rsidRPr="0052429B">
              <w:rPr>
                <w:rFonts w:ascii="Tahoma" w:eastAsia="宋体" w:hAnsi="Tahoma" w:cs="Tahoma"/>
                <w:kern w:val="0"/>
                <w:sz w:val="22"/>
              </w:rPr>
              <w:t>8800</w:t>
            </w: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新昌县新宸进出口有限公司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1000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1000</w:t>
            </w:r>
          </w:p>
        </w:tc>
        <w:tc>
          <w:tcPr>
            <w:tcW w:w="1080" w:type="dxa"/>
            <w:vMerge/>
            <w:tcBorders>
              <w:top w:val="nil"/>
              <w:left w:val="single" w:sz="4" w:space="0" w:color="auto"/>
              <w:bottom w:val="single" w:sz="4" w:space="0" w:color="000000"/>
              <w:right w:val="single" w:sz="4" w:space="0" w:color="auto"/>
            </w:tcBorders>
            <w:vAlign w:val="center"/>
            <w:hideMark/>
          </w:tcPr>
          <w:p w:rsidR="0052429B" w:rsidRPr="0052429B" w:rsidRDefault="0052429B" w:rsidP="0009699F">
            <w:pPr>
              <w:widowControl/>
              <w:jc w:val="left"/>
              <w:rPr>
                <w:rFonts w:ascii="Tahoma" w:eastAsia="宋体" w:hAnsi="Tahoma" w:cs="Tahoma"/>
                <w:kern w:val="0"/>
                <w:sz w:val="22"/>
              </w:rPr>
            </w:pP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新昌县瑞春机械有限公司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1000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1000</w:t>
            </w:r>
          </w:p>
        </w:tc>
        <w:tc>
          <w:tcPr>
            <w:tcW w:w="1080" w:type="dxa"/>
            <w:vMerge/>
            <w:tcBorders>
              <w:top w:val="nil"/>
              <w:left w:val="single" w:sz="4" w:space="0" w:color="auto"/>
              <w:bottom w:val="single" w:sz="4" w:space="0" w:color="000000"/>
              <w:right w:val="single" w:sz="4" w:space="0" w:color="auto"/>
            </w:tcBorders>
            <w:vAlign w:val="center"/>
            <w:hideMark/>
          </w:tcPr>
          <w:p w:rsidR="0052429B" w:rsidRPr="0052429B" w:rsidRDefault="0052429B" w:rsidP="0009699F">
            <w:pPr>
              <w:widowControl/>
              <w:jc w:val="left"/>
              <w:rPr>
                <w:rFonts w:ascii="Tahoma" w:eastAsia="宋体" w:hAnsi="Tahoma" w:cs="Tahoma"/>
                <w:kern w:val="0"/>
                <w:sz w:val="22"/>
              </w:rPr>
            </w:pP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浙江恒英新材料股份有限公司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1000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1000</w:t>
            </w:r>
          </w:p>
        </w:tc>
        <w:tc>
          <w:tcPr>
            <w:tcW w:w="1080" w:type="dxa"/>
            <w:vMerge/>
            <w:tcBorders>
              <w:top w:val="nil"/>
              <w:left w:val="single" w:sz="4" w:space="0" w:color="auto"/>
              <w:bottom w:val="single" w:sz="4" w:space="0" w:color="000000"/>
              <w:right w:val="single" w:sz="4" w:space="0" w:color="auto"/>
            </w:tcBorders>
            <w:vAlign w:val="center"/>
            <w:hideMark/>
          </w:tcPr>
          <w:p w:rsidR="0052429B" w:rsidRPr="0052429B" w:rsidRDefault="0052429B" w:rsidP="0009699F">
            <w:pPr>
              <w:widowControl/>
              <w:jc w:val="left"/>
              <w:rPr>
                <w:rFonts w:ascii="Tahoma" w:eastAsia="宋体" w:hAnsi="Tahoma" w:cs="Tahoma"/>
                <w:kern w:val="0"/>
                <w:sz w:val="22"/>
              </w:rPr>
            </w:pP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浙江五洲新春集团股份有限公司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1000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1000</w:t>
            </w:r>
          </w:p>
        </w:tc>
        <w:tc>
          <w:tcPr>
            <w:tcW w:w="1080" w:type="dxa"/>
            <w:vMerge/>
            <w:tcBorders>
              <w:top w:val="nil"/>
              <w:left w:val="single" w:sz="4" w:space="0" w:color="auto"/>
              <w:bottom w:val="single" w:sz="4" w:space="0" w:color="000000"/>
              <w:right w:val="single" w:sz="4" w:space="0" w:color="auto"/>
            </w:tcBorders>
            <w:vAlign w:val="center"/>
            <w:hideMark/>
          </w:tcPr>
          <w:p w:rsidR="0052429B" w:rsidRPr="0052429B" w:rsidRDefault="0052429B" w:rsidP="0009699F">
            <w:pPr>
              <w:widowControl/>
              <w:jc w:val="left"/>
              <w:rPr>
                <w:rFonts w:ascii="Tahoma" w:eastAsia="宋体" w:hAnsi="Tahoma" w:cs="Tahoma"/>
                <w:kern w:val="0"/>
                <w:sz w:val="22"/>
              </w:rPr>
            </w:pP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浙江省新昌县佳艺实业有限公司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3300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3500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2429B" w:rsidRPr="0052429B" w:rsidRDefault="0052429B" w:rsidP="0009699F">
            <w:pPr>
              <w:widowControl/>
              <w:jc w:val="center"/>
              <w:rPr>
                <w:rFonts w:ascii="Tahoma" w:eastAsia="宋体" w:hAnsi="Tahoma" w:cs="Tahoma"/>
                <w:kern w:val="0"/>
                <w:sz w:val="22"/>
              </w:rPr>
            </w:pPr>
            <w:r w:rsidRPr="0052429B">
              <w:rPr>
                <w:rFonts w:ascii="Tahoma" w:eastAsia="宋体" w:hAnsi="Tahoma" w:cs="Tahoma"/>
                <w:kern w:val="0"/>
                <w:sz w:val="22"/>
              </w:rPr>
              <w:t>7600</w:t>
            </w: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新昌佳成工艺品有限公司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4100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4100</w:t>
            </w:r>
          </w:p>
        </w:tc>
        <w:tc>
          <w:tcPr>
            <w:tcW w:w="1080" w:type="dxa"/>
            <w:vMerge/>
            <w:tcBorders>
              <w:top w:val="nil"/>
              <w:left w:val="single" w:sz="4" w:space="0" w:color="auto"/>
              <w:bottom w:val="single" w:sz="4" w:space="0" w:color="000000"/>
              <w:right w:val="single" w:sz="4" w:space="0" w:color="auto"/>
            </w:tcBorders>
            <w:vAlign w:val="center"/>
            <w:hideMark/>
          </w:tcPr>
          <w:p w:rsidR="0052429B" w:rsidRPr="0052429B" w:rsidRDefault="0052429B" w:rsidP="0009699F">
            <w:pPr>
              <w:widowControl/>
              <w:jc w:val="left"/>
              <w:rPr>
                <w:rFonts w:ascii="Tahoma" w:eastAsia="宋体" w:hAnsi="Tahoma" w:cs="Tahoma"/>
                <w:kern w:val="0"/>
                <w:sz w:val="22"/>
              </w:rPr>
            </w:pP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京新控股集团有限公司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1000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3000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2429B" w:rsidRPr="0052429B" w:rsidRDefault="0052429B" w:rsidP="0009699F">
            <w:pPr>
              <w:widowControl/>
              <w:jc w:val="center"/>
              <w:rPr>
                <w:rFonts w:ascii="Tahoma" w:eastAsia="宋体" w:hAnsi="Tahoma" w:cs="Tahoma"/>
                <w:kern w:val="0"/>
                <w:sz w:val="22"/>
              </w:rPr>
            </w:pPr>
            <w:r w:rsidRPr="0052429B">
              <w:rPr>
                <w:rFonts w:ascii="Tahoma" w:eastAsia="宋体" w:hAnsi="Tahoma" w:cs="Tahoma"/>
                <w:kern w:val="0"/>
                <w:sz w:val="22"/>
              </w:rPr>
              <w:t>17000</w:t>
            </w: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浙江元金包装有限公司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2000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2000</w:t>
            </w:r>
          </w:p>
        </w:tc>
        <w:tc>
          <w:tcPr>
            <w:tcW w:w="1080" w:type="dxa"/>
            <w:vMerge/>
            <w:tcBorders>
              <w:top w:val="nil"/>
              <w:left w:val="single" w:sz="4" w:space="0" w:color="auto"/>
              <w:bottom w:val="single" w:sz="4" w:space="0" w:color="000000"/>
              <w:right w:val="single" w:sz="4" w:space="0" w:color="auto"/>
            </w:tcBorders>
            <w:vAlign w:val="center"/>
            <w:hideMark/>
          </w:tcPr>
          <w:p w:rsidR="0052429B" w:rsidRPr="0052429B" w:rsidRDefault="0052429B" w:rsidP="0009699F">
            <w:pPr>
              <w:widowControl/>
              <w:jc w:val="left"/>
              <w:rPr>
                <w:rFonts w:ascii="Tahoma" w:eastAsia="宋体" w:hAnsi="Tahoma" w:cs="Tahoma"/>
                <w:kern w:val="0"/>
                <w:sz w:val="22"/>
              </w:rPr>
            </w:pP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浙江金朗博药业有限公司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2000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2000</w:t>
            </w:r>
          </w:p>
        </w:tc>
        <w:tc>
          <w:tcPr>
            <w:tcW w:w="1080" w:type="dxa"/>
            <w:vMerge/>
            <w:tcBorders>
              <w:top w:val="nil"/>
              <w:left w:val="single" w:sz="4" w:space="0" w:color="auto"/>
              <w:bottom w:val="single" w:sz="4" w:space="0" w:color="000000"/>
              <w:right w:val="single" w:sz="4" w:space="0" w:color="auto"/>
            </w:tcBorders>
            <w:vAlign w:val="center"/>
            <w:hideMark/>
          </w:tcPr>
          <w:p w:rsidR="0052429B" w:rsidRPr="0052429B" w:rsidRDefault="0052429B" w:rsidP="0009699F">
            <w:pPr>
              <w:widowControl/>
              <w:jc w:val="left"/>
              <w:rPr>
                <w:rFonts w:ascii="Tahoma" w:eastAsia="宋体" w:hAnsi="Tahoma" w:cs="Tahoma"/>
                <w:kern w:val="0"/>
                <w:sz w:val="22"/>
              </w:rPr>
            </w:pP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浙江东高农业开发有限公司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4950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5000</w:t>
            </w:r>
          </w:p>
        </w:tc>
        <w:tc>
          <w:tcPr>
            <w:tcW w:w="1080" w:type="dxa"/>
            <w:vMerge/>
            <w:tcBorders>
              <w:top w:val="nil"/>
              <w:left w:val="single" w:sz="4" w:space="0" w:color="auto"/>
              <w:bottom w:val="single" w:sz="4" w:space="0" w:color="000000"/>
              <w:right w:val="single" w:sz="4" w:space="0" w:color="auto"/>
            </w:tcBorders>
            <w:vAlign w:val="center"/>
            <w:hideMark/>
          </w:tcPr>
          <w:p w:rsidR="0052429B" w:rsidRPr="0052429B" w:rsidRDefault="0052429B" w:rsidP="0009699F">
            <w:pPr>
              <w:widowControl/>
              <w:jc w:val="left"/>
              <w:rPr>
                <w:rFonts w:ascii="Tahoma" w:eastAsia="宋体" w:hAnsi="Tahoma" w:cs="Tahoma"/>
                <w:kern w:val="0"/>
                <w:sz w:val="22"/>
              </w:rPr>
            </w:pP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浙江元金化学有限公司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5000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5000</w:t>
            </w:r>
          </w:p>
        </w:tc>
        <w:tc>
          <w:tcPr>
            <w:tcW w:w="1080" w:type="dxa"/>
            <w:vMerge/>
            <w:tcBorders>
              <w:top w:val="nil"/>
              <w:left w:val="single" w:sz="4" w:space="0" w:color="auto"/>
              <w:bottom w:val="single" w:sz="4" w:space="0" w:color="000000"/>
              <w:right w:val="single" w:sz="4" w:space="0" w:color="auto"/>
            </w:tcBorders>
            <w:vAlign w:val="center"/>
            <w:hideMark/>
          </w:tcPr>
          <w:p w:rsidR="0052429B" w:rsidRPr="0052429B" w:rsidRDefault="0052429B" w:rsidP="0009699F">
            <w:pPr>
              <w:widowControl/>
              <w:jc w:val="left"/>
              <w:rPr>
                <w:rFonts w:ascii="Tahoma" w:eastAsia="宋体" w:hAnsi="Tahoma" w:cs="Tahoma"/>
                <w:kern w:val="0"/>
                <w:sz w:val="22"/>
              </w:rPr>
            </w:pPr>
          </w:p>
        </w:tc>
      </w:tr>
      <w:tr w:rsidR="0052429B" w:rsidRPr="0052429B" w:rsidTr="0009699F">
        <w:trPr>
          <w:trHeight w:val="402"/>
        </w:trPr>
        <w:tc>
          <w:tcPr>
            <w:tcW w:w="4260" w:type="dxa"/>
            <w:tcBorders>
              <w:top w:val="nil"/>
              <w:left w:val="single" w:sz="4" w:space="0" w:color="auto"/>
              <w:bottom w:val="single" w:sz="4" w:space="0" w:color="auto"/>
              <w:right w:val="single" w:sz="4" w:space="0" w:color="auto"/>
            </w:tcBorders>
            <w:shd w:val="clear" w:color="000000" w:fill="FFFFFF"/>
            <w:noWrap/>
            <w:vAlign w:val="center"/>
            <w:hideMark/>
          </w:tcPr>
          <w:p w:rsidR="0052429B" w:rsidRPr="0052429B" w:rsidRDefault="0052429B" w:rsidP="0009699F">
            <w:pPr>
              <w:widowControl/>
              <w:rPr>
                <w:rFonts w:ascii="宋体" w:eastAsia="宋体" w:hAnsi="宋体" w:cs="Tahoma"/>
                <w:kern w:val="0"/>
                <w:szCs w:val="21"/>
              </w:rPr>
            </w:pPr>
            <w:r w:rsidRPr="0052429B">
              <w:rPr>
                <w:rFonts w:ascii="宋体" w:eastAsia="宋体" w:hAnsi="宋体" w:cs="Tahoma" w:hint="eastAsia"/>
                <w:kern w:val="0"/>
                <w:szCs w:val="21"/>
              </w:rPr>
              <w:t>浙江新和成股份有限公司</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0</w:t>
            </w:r>
          </w:p>
        </w:tc>
        <w:tc>
          <w:tcPr>
            <w:tcW w:w="1940" w:type="dxa"/>
            <w:tcBorders>
              <w:top w:val="nil"/>
              <w:left w:val="nil"/>
              <w:bottom w:val="single" w:sz="4" w:space="0" w:color="auto"/>
              <w:right w:val="single" w:sz="4" w:space="0" w:color="auto"/>
            </w:tcBorders>
            <w:shd w:val="clear" w:color="000000" w:fill="FFFFFF"/>
            <w:noWrap/>
            <w:vAlign w:val="center"/>
            <w:hideMark/>
          </w:tcPr>
          <w:p w:rsidR="0052429B" w:rsidRPr="0052429B" w:rsidRDefault="0052429B" w:rsidP="0009699F">
            <w:pPr>
              <w:widowControl/>
              <w:jc w:val="center"/>
              <w:rPr>
                <w:rFonts w:ascii="宋体" w:eastAsia="宋体" w:hAnsi="宋体" w:cs="Tahoma"/>
                <w:kern w:val="0"/>
                <w:sz w:val="24"/>
                <w:szCs w:val="24"/>
              </w:rPr>
            </w:pPr>
            <w:r w:rsidRPr="0052429B">
              <w:rPr>
                <w:rFonts w:ascii="宋体" w:eastAsia="宋体" w:hAnsi="宋体" w:cs="Tahoma" w:hint="eastAsia"/>
                <w:kern w:val="0"/>
                <w:sz w:val="24"/>
                <w:szCs w:val="24"/>
              </w:rPr>
              <w:t>9900</w:t>
            </w:r>
          </w:p>
        </w:tc>
        <w:tc>
          <w:tcPr>
            <w:tcW w:w="1080" w:type="dxa"/>
            <w:tcBorders>
              <w:top w:val="nil"/>
              <w:left w:val="nil"/>
              <w:bottom w:val="single" w:sz="4" w:space="0" w:color="auto"/>
              <w:right w:val="single" w:sz="4" w:space="0" w:color="auto"/>
            </w:tcBorders>
            <w:shd w:val="clear" w:color="auto" w:fill="auto"/>
            <w:noWrap/>
            <w:vAlign w:val="center"/>
            <w:hideMark/>
          </w:tcPr>
          <w:p w:rsidR="0052429B" w:rsidRPr="0052429B" w:rsidRDefault="0052429B" w:rsidP="0009699F">
            <w:pPr>
              <w:widowControl/>
              <w:jc w:val="center"/>
              <w:rPr>
                <w:rFonts w:ascii="Tahoma" w:eastAsia="宋体" w:hAnsi="Tahoma" w:cs="Tahoma"/>
                <w:kern w:val="0"/>
                <w:sz w:val="22"/>
              </w:rPr>
            </w:pPr>
            <w:r w:rsidRPr="0052429B">
              <w:rPr>
                <w:rFonts w:ascii="Tahoma" w:eastAsia="宋体" w:hAnsi="Tahoma" w:cs="Tahoma"/>
                <w:kern w:val="0"/>
                <w:sz w:val="22"/>
              </w:rPr>
              <w:t>——</w:t>
            </w:r>
          </w:p>
        </w:tc>
      </w:tr>
    </w:tbl>
    <w:p w:rsidR="0052429B" w:rsidRPr="0052429B" w:rsidRDefault="0052429B" w:rsidP="0052429B">
      <w:pPr>
        <w:ind w:firstLineChars="250" w:firstLine="800"/>
        <w:rPr>
          <w:rFonts w:ascii="Tahoma" w:eastAsia="宋体" w:hAnsi="Tahoma" w:cs="Tahoma"/>
          <w:kern w:val="0"/>
          <w:sz w:val="22"/>
        </w:rPr>
      </w:pPr>
      <w:r w:rsidRPr="0052429B">
        <w:rPr>
          <w:rFonts w:ascii="Times New Roman" w:eastAsia="仿宋_GB2312" w:hAnsi="Times New Roman" w:cs="Times New Roman" w:hint="eastAsia"/>
          <w:sz w:val="32"/>
          <w:szCs w:val="32"/>
        </w:rPr>
        <w:t>2024</w:t>
      </w:r>
      <w:r w:rsidRPr="0052429B">
        <w:rPr>
          <w:rFonts w:ascii="Times New Roman" w:eastAsia="仿宋_GB2312" w:hAnsi="Times New Roman" w:cs="Times New Roman" w:hint="eastAsia"/>
          <w:sz w:val="32"/>
          <w:szCs w:val="32"/>
        </w:rPr>
        <w:t>年</w:t>
      </w:r>
      <w:r w:rsidRPr="0052429B">
        <w:rPr>
          <w:rFonts w:ascii="Times New Roman" w:eastAsia="仿宋_GB2312" w:hAnsi="Times New Roman" w:cs="Times New Roman" w:hint="eastAsia"/>
          <w:sz w:val="32"/>
          <w:szCs w:val="32"/>
        </w:rPr>
        <w:t>12</w:t>
      </w:r>
      <w:r w:rsidRPr="0052429B">
        <w:rPr>
          <w:rFonts w:ascii="Times New Roman" w:eastAsia="仿宋_GB2312" w:hAnsi="Times New Roman" w:cs="Times New Roman"/>
          <w:sz w:val="32"/>
          <w:szCs w:val="32"/>
        </w:rPr>
        <w:t>月末，本行向关联自然人授信</w:t>
      </w:r>
      <w:r w:rsidRPr="0052429B">
        <w:rPr>
          <w:rFonts w:ascii="Times New Roman" w:eastAsia="仿宋_GB2312" w:hAnsi="Times New Roman" w:cs="Times New Roman" w:hint="eastAsia"/>
          <w:sz w:val="32"/>
          <w:szCs w:val="32"/>
        </w:rPr>
        <w:t>10013.50</w:t>
      </w:r>
      <w:r w:rsidRPr="0052429B">
        <w:rPr>
          <w:rFonts w:ascii="Times New Roman" w:eastAsia="仿宋_GB2312" w:hAnsi="Times New Roman" w:cs="Times New Roman"/>
          <w:sz w:val="32"/>
          <w:szCs w:val="32"/>
        </w:rPr>
        <w:t>万元，发放贷款余额</w:t>
      </w:r>
      <w:r w:rsidRPr="0052429B">
        <w:rPr>
          <w:rFonts w:ascii="Times New Roman" w:eastAsia="仿宋_GB2312" w:hAnsi="Times New Roman" w:cs="Times New Roman" w:hint="eastAsia"/>
          <w:sz w:val="32"/>
          <w:szCs w:val="32"/>
        </w:rPr>
        <w:t>4933.02</w:t>
      </w:r>
      <w:r w:rsidRPr="0052429B">
        <w:rPr>
          <w:rFonts w:ascii="Times New Roman" w:eastAsia="仿宋_GB2312" w:hAnsi="Times New Roman" w:cs="Times New Roman"/>
          <w:sz w:val="32"/>
          <w:szCs w:val="32"/>
        </w:rPr>
        <w:t>万元。本行与单一关联自然人发生</w:t>
      </w:r>
      <w:r w:rsidRPr="0052429B">
        <w:rPr>
          <w:rFonts w:ascii="Times New Roman" w:eastAsia="仿宋_GB2312" w:hAnsi="Times New Roman" w:cs="Times New Roman" w:hint="eastAsia"/>
          <w:sz w:val="32"/>
          <w:szCs w:val="32"/>
        </w:rPr>
        <w:t>10</w:t>
      </w:r>
      <w:r w:rsidRPr="0052429B">
        <w:rPr>
          <w:rFonts w:ascii="Times New Roman" w:eastAsia="仿宋_GB2312" w:hAnsi="Times New Roman" w:cs="Times New Roman"/>
          <w:sz w:val="32"/>
          <w:szCs w:val="32"/>
        </w:rPr>
        <w:t>00</w:t>
      </w:r>
      <w:r w:rsidRPr="0052429B">
        <w:rPr>
          <w:rFonts w:ascii="Times New Roman" w:eastAsia="仿宋_GB2312" w:hAnsi="Times New Roman" w:cs="Times New Roman"/>
          <w:sz w:val="32"/>
          <w:szCs w:val="32"/>
        </w:rPr>
        <w:t>万元（含）以上交易</w:t>
      </w:r>
      <w:r w:rsidRPr="0052429B">
        <w:rPr>
          <w:rFonts w:ascii="Times New Roman" w:eastAsia="仿宋_GB2312" w:hAnsi="Times New Roman" w:cs="Times New Roman" w:hint="eastAsia"/>
          <w:sz w:val="32"/>
          <w:szCs w:val="32"/>
        </w:rPr>
        <w:t>一笔，自然人名称为吴艳艳，</w:t>
      </w:r>
      <w:r w:rsidRPr="0052429B">
        <w:rPr>
          <w:rFonts w:ascii="Times New Roman" w:eastAsia="仿宋_GB2312" w:hAnsi="Times New Roman" w:cs="Times New Roman" w:hint="eastAsia"/>
          <w:sz w:val="32"/>
          <w:szCs w:val="32"/>
        </w:rPr>
        <w:lastRenderedPageBreak/>
        <w:t>贷款余额为</w:t>
      </w:r>
      <w:r w:rsidRPr="0052429B">
        <w:rPr>
          <w:rFonts w:ascii="Times New Roman" w:eastAsia="仿宋_GB2312" w:hAnsi="Times New Roman" w:cs="Times New Roman"/>
          <w:sz w:val="32"/>
          <w:szCs w:val="32"/>
        </w:rPr>
        <w:t>1135</w:t>
      </w:r>
      <w:r w:rsidRPr="0052429B">
        <w:rPr>
          <w:rFonts w:ascii="Times New Roman" w:eastAsia="仿宋_GB2312" w:hAnsi="Times New Roman" w:cs="Times New Roman" w:hint="eastAsia"/>
          <w:sz w:val="32"/>
          <w:szCs w:val="32"/>
        </w:rPr>
        <w:t>万元</w:t>
      </w:r>
      <w:r w:rsidRPr="0052429B">
        <w:rPr>
          <w:rFonts w:ascii="Times New Roman" w:eastAsia="仿宋_GB2312" w:hAnsi="Times New Roman" w:cs="Times New Roman"/>
          <w:sz w:val="32"/>
          <w:szCs w:val="32"/>
        </w:rPr>
        <w:t>。</w:t>
      </w:r>
    </w:p>
    <w:p w:rsidR="00EC2064" w:rsidRPr="0052429B" w:rsidRDefault="00EC2064" w:rsidP="00DD0ED7">
      <w:pPr>
        <w:spacing w:line="560" w:lineRule="exact"/>
        <w:ind w:firstLineChars="200" w:firstLine="640"/>
        <w:rPr>
          <w:rFonts w:ascii="Times New Roman" w:eastAsia="仿宋_GB2312" w:hAnsi="Times New Roman" w:cs="Times New Roman"/>
          <w:sz w:val="32"/>
          <w:szCs w:val="32"/>
        </w:rPr>
      </w:pPr>
      <w:r w:rsidRPr="0052429B">
        <w:rPr>
          <w:rFonts w:ascii="Times New Roman" w:eastAsia="仿宋_GB2312" w:hAnsi="Times New Roman" w:cs="Times New Roman"/>
          <w:sz w:val="32"/>
          <w:szCs w:val="32"/>
        </w:rPr>
        <w:t>以上报告，不当之处，敬请指正。</w:t>
      </w:r>
    </w:p>
    <w:p w:rsidR="00EC2064" w:rsidRPr="0052429B" w:rsidRDefault="00EC2064" w:rsidP="00584CDC">
      <w:pPr>
        <w:spacing w:line="560" w:lineRule="exact"/>
      </w:pPr>
    </w:p>
    <w:p w:rsidR="00B02F8C" w:rsidRPr="00B02F8C" w:rsidRDefault="00B02F8C" w:rsidP="00B02F8C">
      <w:pPr>
        <w:spacing w:line="560" w:lineRule="exact"/>
        <w:rPr>
          <w:rFonts w:ascii="Times New Roman" w:eastAsia="仿宋_GB2312" w:hAnsi="Times New Roman" w:cs="Times New Roman"/>
          <w:sz w:val="32"/>
          <w:szCs w:val="32"/>
        </w:rPr>
      </w:pPr>
    </w:p>
    <w:sectPr w:rsidR="00B02F8C" w:rsidRPr="00B02F8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01F" w:rsidRDefault="001B101F" w:rsidP="009E0438">
      <w:r>
        <w:separator/>
      </w:r>
    </w:p>
  </w:endnote>
  <w:endnote w:type="continuationSeparator" w:id="0">
    <w:p w:rsidR="001B101F" w:rsidRDefault="001B101F" w:rsidP="009E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2775436"/>
      <w:docPartObj>
        <w:docPartGallery w:val="Page Numbers (Bottom of Page)"/>
        <w:docPartUnique/>
      </w:docPartObj>
    </w:sdtPr>
    <w:sdtEndPr/>
    <w:sdtContent>
      <w:p w:rsidR="001B101F" w:rsidRDefault="001B101F">
        <w:pPr>
          <w:pStyle w:val="a4"/>
          <w:jc w:val="center"/>
        </w:pPr>
        <w:r>
          <w:fldChar w:fldCharType="begin"/>
        </w:r>
        <w:r>
          <w:instrText>PAGE   \* MERGEFORMAT</w:instrText>
        </w:r>
        <w:r>
          <w:fldChar w:fldCharType="separate"/>
        </w:r>
        <w:r w:rsidR="00196EB8" w:rsidRPr="00196EB8">
          <w:rPr>
            <w:noProof/>
            <w:lang w:val="zh-CN"/>
          </w:rPr>
          <w:t>2</w:t>
        </w:r>
        <w:r>
          <w:fldChar w:fldCharType="end"/>
        </w:r>
      </w:p>
    </w:sdtContent>
  </w:sdt>
  <w:p w:rsidR="001B101F" w:rsidRDefault="001B1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01F" w:rsidRDefault="001B101F" w:rsidP="009E0438">
      <w:r>
        <w:separator/>
      </w:r>
    </w:p>
  </w:footnote>
  <w:footnote w:type="continuationSeparator" w:id="0">
    <w:p w:rsidR="001B101F" w:rsidRDefault="001B101F" w:rsidP="009E04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60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90C"/>
    <w:rsid w:val="000023A7"/>
    <w:rsid w:val="00007A82"/>
    <w:rsid w:val="00014317"/>
    <w:rsid w:val="000210AC"/>
    <w:rsid w:val="00022F15"/>
    <w:rsid w:val="00036200"/>
    <w:rsid w:val="0003777C"/>
    <w:rsid w:val="0005012B"/>
    <w:rsid w:val="0005634A"/>
    <w:rsid w:val="00057C19"/>
    <w:rsid w:val="00057C69"/>
    <w:rsid w:val="000705EA"/>
    <w:rsid w:val="00075258"/>
    <w:rsid w:val="00082DD0"/>
    <w:rsid w:val="00092FA8"/>
    <w:rsid w:val="000A65FA"/>
    <w:rsid w:val="000C4A64"/>
    <w:rsid w:val="000C512D"/>
    <w:rsid w:val="000E507A"/>
    <w:rsid w:val="000F28DD"/>
    <w:rsid w:val="000F7F72"/>
    <w:rsid w:val="0010163D"/>
    <w:rsid w:val="00110A72"/>
    <w:rsid w:val="00115480"/>
    <w:rsid w:val="0012234B"/>
    <w:rsid w:val="0012275E"/>
    <w:rsid w:val="00123887"/>
    <w:rsid w:val="00123B5D"/>
    <w:rsid w:val="00126239"/>
    <w:rsid w:val="00134020"/>
    <w:rsid w:val="00136278"/>
    <w:rsid w:val="00146FD3"/>
    <w:rsid w:val="00151D50"/>
    <w:rsid w:val="00153470"/>
    <w:rsid w:val="00164005"/>
    <w:rsid w:val="00184CBE"/>
    <w:rsid w:val="001948BB"/>
    <w:rsid w:val="00196EB8"/>
    <w:rsid w:val="001A4F35"/>
    <w:rsid w:val="001B101F"/>
    <w:rsid w:val="001B1343"/>
    <w:rsid w:val="001B27BE"/>
    <w:rsid w:val="001C463F"/>
    <w:rsid w:val="001C63B9"/>
    <w:rsid w:val="001D614D"/>
    <w:rsid w:val="001D716A"/>
    <w:rsid w:val="00214B05"/>
    <w:rsid w:val="00214CC8"/>
    <w:rsid w:val="00220FE2"/>
    <w:rsid w:val="00234240"/>
    <w:rsid w:val="00244196"/>
    <w:rsid w:val="002547B4"/>
    <w:rsid w:val="00257D33"/>
    <w:rsid w:val="00261841"/>
    <w:rsid w:val="00263C1B"/>
    <w:rsid w:val="002711EE"/>
    <w:rsid w:val="00276E4C"/>
    <w:rsid w:val="002A177C"/>
    <w:rsid w:val="002A5898"/>
    <w:rsid w:val="002B0902"/>
    <w:rsid w:val="002C769D"/>
    <w:rsid w:val="002F2A1C"/>
    <w:rsid w:val="00306768"/>
    <w:rsid w:val="003139F1"/>
    <w:rsid w:val="0031598E"/>
    <w:rsid w:val="0032145A"/>
    <w:rsid w:val="0035722A"/>
    <w:rsid w:val="00360841"/>
    <w:rsid w:val="00365971"/>
    <w:rsid w:val="00366FE5"/>
    <w:rsid w:val="00370275"/>
    <w:rsid w:val="003727FF"/>
    <w:rsid w:val="003758D2"/>
    <w:rsid w:val="00385DB7"/>
    <w:rsid w:val="003925BF"/>
    <w:rsid w:val="00392A68"/>
    <w:rsid w:val="00392F5B"/>
    <w:rsid w:val="003956AF"/>
    <w:rsid w:val="00396115"/>
    <w:rsid w:val="0039790C"/>
    <w:rsid w:val="003A1AFA"/>
    <w:rsid w:val="003A25FC"/>
    <w:rsid w:val="003A42FD"/>
    <w:rsid w:val="003B0135"/>
    <w:rsid w:val="003B2B3D"/>
    <w:rsid w:val="003B2E8F"/>
    <w:rsid w:val="003D4D6A"/>
    <w:rsid w:val="003E4FEF"/>
    <w:rsid w:val="0040291D"/>
    <w:rsid w:val="00404C4C"/>
    <w:rsid w:val="00404E5D"/>
    <w:rsid w:val="00405EDF"/>
    <w:rsid w:val="00425719"/>
    <w:rsid w:val="00425CF5"/>
    <w:rsid w:val="00442AE8"/>
    <w:rsid w:val="004518A6"/>
    <w:rsid w:val="004535D5"/>
    <w:rsid w:val="0045674E"/>
    <w:rsid w:val="00456B90"/>
    <w:rsid w:val="00457F4B"/>
    <w:rsid w:val="004610FE"/>
    <w:rsid w:val="004629AC"/>
    <w:rsid w:val="004710A8"/>
    <w:rsid w:val="004751CB"/>
    <w:rsid w:val="00477F46"/>
    <w:rsid w:val="00481747"/>
    <w:rsid w:val="00487041"/>
    <w:rsid w:val="004940A8"/>
    <w:rsid w:val="004A2844"/>
    <w:rsid w:val="004A2CEA"/>
    <w:rsid w:val="004A3875"/>
    <w:rsid w:val="004B3A0E"/>
    <w:rsid w:val="004B4468"/>
    <w:rsid w:val="004C1C51"/>
    <w:rsid w:val="004D547A"/>
    <w:rsid w:val="004F1115"/>
    <w:rsid w:val="004F181D"/>
    <w:rsid w:val="00504C96"/>
    <w:rsid w:val="00510AA4"/>
    <w:rsid w:val="005146D0"/>
    <w:rsid w:val="005155D1"/>
    <w:rsid w:val="00517DC4"/>
    <w:rsid w:val="0052429B"/>
    <w:rsid w:val="00541BD2"/>
    <w:rsid w:val="00543868"/>
    <w:rsid w:val="00575A4D"/>
    <w:rsid w:val="00584CDC"/>
    <w:rsid w:val="005910FA"/>
    <w:rsid w:val="00597226"/>
    <w:rsid w:val="005A1E53"/>
    <w:rsid w:val="005A4BD4"/>
    <w:rsid w:val="005B007D"/>
    <w:rsid w:val="005B67E1"/>
    <w:rsid w:val="005B76EB"/>
    <w:rsid w:val="005C0AD6"/>
    <w:rsid w:val="005C20B1"/>
    <w:rsid w:val="005C54AF"/>
    <w:rsid w:val="00601D43"/>
    <w:rsid w:val="00606C32"/>
    <w:rsid w:val="006219DB"/>
    <w:rsid w:val="006243AE"/>
    <w:rsid w:val="00631B3F"/>
    <w:rsid w:val="00641F6D"/>
    <w:rsid w:val="00642F4A"/>
    <w:rsid w:val="006447B5"/>
    <w:rsid w:val="006568F4"/>
    <w:rsid w:val="006678A4"/>
    <w:rsid w:val="00681358"/>
    <w:rsid w:val="00690D1A"/>
    <w:rsid w:val="006A47B2"/>
    <w:rsid w:val="006A54A5"/>
    <w:rsid w:val="006A697C"/>
    <w:rsid w:val="006B0E62"/>
    <w:rsid w:val="006B1959"/>
    <w:rsid w:val="006B2ED0"/>
    <w:rsid w:val="006C4119"/>
    <w:rsid w:val="006E1AE7"/>
    <w:rsid w:val="006E6898"/>
    <w:rsid w:val="006F1C3B"/>
    <w:rsid w:val="006F769F"/>
    <w:rsid w:val="006F7E48"/>
    <w:rsid w:val="00702DCF"/>
    <w:rsid w:val="00710D42"/>
    <w:rsid w:val="00711A85"/>
    <w:rsid w:val="0074226E"/>
    <w:rsid w:val="007503A8"/>
    <w:rsid w:val="00756EE5"/>
    <w:rsid w:val="0077312E"/>
    <w:rsid w:val="00777531"/>
    <w:rsid w:val="00780672"/>
    <w:rsid w:val="00781D93"/>
    <w:rsid w:val="00784A7E"/>
    <w:rsid w:val="007869B4"/>
    <w:rsid w:val="0079043E"/>
    <w:rsid w:val="00796CC4"/>
    <w:rsid w:val="00797619"/>
    <w:rsid w:val="007B585B"/>
    <w:rsid w:val="007D6FEF"/>
    <w:rsid w:val="007E1428"/>
    <w:rsid w:val="007E461D"/>
    <w:rsid w:val="007F2F51"/>
    <w:rsid w:val="008027C4"/>
    <w:rsid w:val="008140F8"/>
    <w:rsid w:val="00816457"/>
    <w:rsid w:val="00827AFF"/>
    <w:rsid w:val="00843C57"/>
    <w:rsid w:val="00850B5E"/>
    <w:rsid w:val="00881CF2"/>
    <w:rsid w:val="008867E0"/>
    <w:rsid w:val="008935D1"/>
    <w:rsid w:val="008A6A4F"/>
    <w:rsid w:val="008B4959"/>
    <w:rsid w:val="008C4F4C"/>
    <w:rsid w:val="008F4E19"/>
    <w:rsid w:val="008F6653"/>
    <w:rsid w:val="008F7CA6"/>
    <w:rsid w:val="0090485C"/>
    <w:rsid w:val="0090619C"/>
    <w:rsid w:val="0091621A"/>
    <w:rsid w:val="00920F80"/>
    <w:rsid w:val="00926AEC"/>
    <w:rsid w:val="009472F3"/>
    <w:rsid w:val="00953B2C"/>
    <w:rsid w:val="009557F5"/>
    <w:rsid w:val="00963D6A"/>
    <w:rsid w:val="0097515D"/>
    <w:rsid w:val="00990B33"/>
    <w:rsid w:val="009A5663"/>
    <w:rsid w:val="009B7B5B"/>
    <w:rsid w:val="009C05DA"/>
    <w:rsid w:val="009D0285"/>
    <w:rsid w:val="009D2CB4"/>
    <w:rsid w:val="009E0438"/>
    <w:rsid w:val="009F697F"/>
    <w:rsid w:val="00A04846"/>
    <w:rsid w:val="00A11DAF"/>
    <w:rsid w:val="00A13DED"/>
    <w:rsid w:val="00A27B66"/>
    <w:rsid w:val="00A45137"/>
    <w:rsid w:val="00A46E10"/>
    <w:rsid w:val="00A51862"/>
    <w:rsid w:val="00A67CED"/>
    <w:rsid w:val="00A817C2"/>
    <w:rsid w:val="00A96171"/>
    <w:rsid w:val="00AD0459"/>
    <w:rsid w:val="00AE1DC3"/>
    <w:rsid w:val="00AE5D44"/>
    <w:rsid w:val="00AE7F58"/>
    <w:rsid w:val="00B0254C"/>
    <w:rsid w:val="00B02F8C"/>
    <w:rsid w:val="00B10266"/>
    <w:rsid w:val="00B419C3"/>
    <w:rsid w:val="00B47269"/>
    <w:rsid w:val="00B65A0F"/>
    <w:rsid w:val="00B752E6"/>
    <w:rsid w:val="00B75C78"/>
    <w:rsid w:val="00B8298B"/>
    <w:rsid w:val="00B92E5C"/>
    <w:rsid w:val="00B92E74"/>
    <w:rsid w:val="00BB106C"/>
    <w:rsid w:val="00BB359F"/>
    <w:rsid w:val="00BE3723"/>
    <w:rsid w:val="00BF0812"/>
    <w:rsid w:val="00C0324B"/>
    <w:rsid w:val="00C16719"/>
    <w:rsid w:val="00C169FE"/>
    <w:rsid w:val="00C40C77"/>
    <w:rsid w:val="00C4603C"/>
    <w:rsid w:val="00C54391"/>
    <w:rsid w:val="00C5615D"/>
    <w:rsid w:val="00C64F19"/>
    <w:rsid w:val="00C7566C"/>
    <w:rsid w:val="00C766FF"/>
    <w:rsid w:val="00C87E16"/>
    <w:rsid w:val="00C91AF7"/>
    <w:rsid w:val="00CA6461"/>
    <w:rsid w:val="00CA79A1"/>
    <w:rsid w:val="00CD4E33"/>
    <w:rsid w:val="00CD5894"/>
    <w:rsid w:val="00CE082E"/>
    <w:rsid w:val="00CE519C"/>
    <w:rsid w:val="00CE56C0"/>
    <w:rsid w:val="00D03439"/>
    <w:rsid w:val="00D1396E"/>
    <w:rsid w:val="00D27A71"/>
    <w:rsid w:val="00D30B7E"/>
    <w:rsid w:val="00D37097"/>
    <w:rsid w:val="00D37AF2"/>
    <w:rsid w:val="00D42854"/>
    <w:rsid w:val="00D56903"/>
    <w:rsid w:val="00D578F0"/>
    <w:rsid w:val="00D97725"/>
    <w:rsid w:val="00DA0AD2"/>
    <w:rsid w:val="00DA3EC2"/>
    <w:rsid w:val="00DB62BB"/>
    <w:rsid w:val="00DD0ED7"/>
    <w:rsid w:val="00DD587E"/>
    <w:rsid w:val="00DF7447"/>
    <w:rsid w:val="00E05CD0"/>
    <w:rsid w:val="00E065DA"/>
    <w:rsid w:val="00E06B8E"/>
    <w:rsid w:val="00E21050"/>
    <w:rsid w:val="00E246E3"/>
    <w:rsid w:val="00E26E32"/>
    <w:rsid w:val="00E3051F"/>
    <w:rsid w:val="00E305E8"/>
    <w:rsid w:val="00E41F1F"/>
    <w:rsid w:val="00E4768F"/>
    <w:rsid w:val="00E51EB2"/>
    <w:rsid w:val="00E56140"/>
    <w:rsid w:val="00E717C7"/>
    <w:rsid w:val="00E75733"/>
    <w:rsid w:val="00E84459"/>
    <w:rsid w:val="00E95E45"/>
    <w:rsid w:val="00EB1A27"/>
    <w:rsid w:val="00EC2064"/>
    <w:rsid w:val="00EE272D"/>
    <w:rsid w:val="00EF555F"/>
    <w:rsid w:val="00EF60E1"/>
    <w:rsid w:val="00F00D8C"/>
    <w:rsid w:val="00F152DA"/>
    <w:rsid w:val="00F501AB"/>
    <w:rsid w:val="00F50D9F"/>
    <w:rsid w:val="00F53633"/>
    <w:rsid w:val="00F54A3E"/>
    <w:rsid w:val="00F551E4"/>
    <w:rsid w:val="00F5599F"/>
    <w:rsid w:val="00F62947"/>
    <w:rsid w:val="00F67EC3"/>
    <w:rsid w:val="00F72283"/>
    <w:rsid w:val="00F84BC9"/>
    <w:rsid w:val="00F85926"/>
    <w:rsid w:val="00FC61CD"/>
    <w:rsid w:val="00FD5CF3"/>
    <w:rsid w:val="00FE2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06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04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0438"/>
    <w:rPr>
      <w:sz w:val="18"/>
      <w:szCs w:val="18"/>
    </w:rPr>
  </w:style>
  <w:style w:type="paragraph" w:styleId="a4">
    <w:name w:val="footer"/>
    <w:basedOn w:val="a"/>
    <w:link w:val="Char0"/>
    <w:uiPriority w:val="99"/>
    <w:unhideWhenUsed/>
    <w:rsid w:val="009E0438"/>
    <w:pPr>
      <w:tabs>
        <w:tab w:val="center" w:pos="4153"/>
        <w:tab w:val="right" w:pos="8306"/>
      </w:tabs>
      <w:snapToGrid w:val="0"/>
      <w:jc w:val="left"/>
    </w:pPr>
    <w:rPr>
      <w:sz w:val="18"/>
      <w:szCs w:val="18"/>
    </w:rPr>
  </w:style>
  <w:style w:type="character" w:customStyle="1" w:styleId="Char0">
    <w:name w:val="页脚 Char"/>
    <w:basedOn w:val="a0"/>
    <w:link w:val="a4"/>
    <w:uiPriority w:val="99"/>
    <w:rsid w:val="009E0438"/>
    <w:rPr>
      <w:sz w:val="18"/>
      <w:szCs w:val="18"/>
    </w:rPr>
  </w:style>
  <w:style w:type="character" w:styleId="a5">
    <w:name w:val="Placeholder Text"/>
    <w:basedOn w:val="a0"/>
    <w:uiPriority w:val="99"/>
    <w:semiHidden/>
    <w:rsid w:val="005B76EB"/>
    <w:rPr>
      <w:color w:val="808080"/>
    </w:rPr>
  </w:style>
  <w:style w:type="paragraph" w:styleId="a6">
    <w:name w:val="Balloon Text"/>
    <w:basedOn w:val="a"/>
    <w:link w:val="Char1"/>
    <w:uiPriority w:val="99"/>
    <w:semiHidden/>
    <w:unhideWhenUsed/>
    <w:rsid w:val="005B76EB"/>
    <w:rPr>
      <w:sz w:val="18"/>
      <w:szCs w:val="18"/>
    </w:rPr>
  </w:style>
  <w:style w:type="character" w:customStyle="1" w:styleId="Char1">
    <w:name w:val="批注框文本 Char"/>
    <w:basedOn w:val="a0"/>
    <w:link w:val="a6"/>
    <w:uiPriority w:val="99"/>
    <w:semiHidden/>
    <w:rsid w:val="005B76E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06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04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0438"/>
    <w:rPr>
      <w:sz w:val="18"/>
      <w:szCs w:val="18"/>
    </w:rPr>
  </w:style>
  <w:style w:type="paragraph" w:styleId="a4">
    <w:name w:val="footer"/>
    <w:basedOn w:val="a"/>
    <w:link w:val="Char0"/>
    <w:uiPriority w:val="99"/>
    <w:unhideWhenUsed/>
    <w:rsid w:val="009E0438"/>
    <w:pPr>
      <w:tabs>
        <w:tab w:val="center" w:pos="4153"/>
        <w:tab w:val="right" w:pos="8306"/>
      </w:tabs>
      <w:snapToGrid w:val="0"/>
      <w:jc w:val="left"/>
    </w:pPr>
    <w:rPr>
      <w:sz w:val="18"/>
      <w:szCs w:val="18"/>
    </w:rPr>
  </w:style>
  <w:style w:type="character" w:customStyle="1" w:styleId="Char0">
    <w:name w:val="页脚 Char"/>
    <w:basedOn w:val="a0"/>
    <w:link w:val="a4"/>
    <w:uiPriority w:val="99"/>
    <w:rsid w:val="009E0438"/>
    <w:rPr>
      <w:sz w:val="18"/>
      <w:szCs w:val="18"/>
    </w:rPr>
  </w:style>
  <w:style w:type="character" w:styleId="a5">
    <w:name w:val="Placeholder Text"/>
    <w:basedOn w:val="a0"/>
    <w:uiPriority w:val="99"/>
    <w:semiHidden/>
    <w:rsid w:val="005B76EB"/>
    <w:rPr>
      <w:color w:val="808080"/>
    </w:rPr>
  </w:style>
  <w:style w:type="paragraph" w:styleId="a6">
    <w:name w:val="Balloon Text"/>
    <w:basedOn w:val="a"/>
    <w:link w:val="Char1"/>
    <w:uiPriority w:val="99"/>
    <w:semiHidden/>
    <w:unhideWhenUsed/>
    <w:rsid w:val="005B76EB"/>
    <w:rPr>
      <w:sz w:val="18"/>
      <w:szCs w:val="18"/>
    </w:rPr>
  </w:style>
  <w:style w:type="character" w:customStyle="1" w:styleId="Char1">
    <w:name w:val="批注框文本 Char"/>
    <w:basedOn w:val="a0"/>
    <w:link w:val="a6"/>
    <w:uiPriority w:val="99"/>
    <w:semiHidden/>
    <w:rsid w:val="005B76E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140464">
      <w:bodyDiv w:val="1"/>
      <w:marLeft w:val="0"/>
      <w:marRight w:val="0"/>
      <w:marTop w:val="0"/>
      <w:marBottom w:val="0"/>
      <w:divBdr>
        <w:top w:val="none" w:sz="0" w:space="0" w:color="auto"/>
        <w:left w:val="none" w:sz="0" w:space="0" w:color="auto"/>
        <w:bottom w:val="none" w:sz="0" w:space="0" w:color="auto"/>
        <w:right w:val="none" w:sz="0" w:space="0" w:color="auto"/>
      </w:divBdr>
    </w:div>
    <w:div w:id="276645420">
      <w:bodyDiv w:val="1"/>
      <w:marLeft w:val="0"/>
      <w:marRight w:val="0"/>
      <w:marTop w:val="0"/>
      <w:marBottom w:val="0"/>
      <w:divBdr>
        <w:top w:val="none" w:sz="0" w:space="0" w:color="auto"/>
        <w:left w:val="none" w:sz="0" w:space="0" w:color="auto"/>
        <w:bottom w:val="none" w:sz="0" w:space="0" w:color="auto"/>
        <w:right w:val="none" w:sz="0" w:space="0" w:color="auto"/>
      </w:divBdr>
    </w:div>
    <w:div w:id="289478805">
      <w:bodyDiv w:val="1"/>
      <w:marLeft w:val="0"/>
      <w:marRight w:val="0"/>
      <w:marTop w:val="0"/>
      <w:marBottom w:val="0"/>
      <w:divBdr>
        <w:top w:val="none" w:sz="0" w:space="0" w:color="auto"/>
        <w:left w:val="none" w:sz="0" w:space="0" w:color="auto"/>
        <w:bottom w:val="none" w:sz="0" w:space="0" w:color="auto"/>
        <w:right w:val="none" w:sz="0" w:space="0" w:color="auto"/>
      </w:divBdr>
    </w:div>
    <w:div w:id="332538738">
      <w:bodyDiv w:val="1"/>
      <w:marLeft w:val="0"/>
      <w:marRight w:val="0"/>
      <w:marTop w:val="0"/>
      <w:marBottom w:val="0"/>
      <w:divBdr>
        <w:top w:val="none" w:sz="0" w:space="0" w:color="auto"/>
        <w:left w:val="none" w:sz="0" w:space="0" w:color="auto"/>
        <w:bottom w:val="none" w:sz="0" w:space="0" w:color="auto"/>
        <w:right w:val="none" w:sz="0" w:space="0" w:color="auto"/>
      </w:divBdr>
    </w:div>
    <w:div w:id="393506810">
      <w:bodyDiv w:val="1"/>
      <w:marLeft w:val="0"/>
      <w:marRight w:val="0"/>
      <w:marTop w:val="0"/>
      <w:marBottom w:val="0"/>
      <w:divBdr>
        <w:top w:val="none" w:sz="0" w:space="0" w:color="auto"/>
        <w:left w:val="none" w:sz="0" w:space="0" w:color="auto"/>
        <w:bottom w:val="none" w:sz="0" w:space="0" w:color="auto"/>
        <w:right w:val="none" w:sz="0" w:space="0" w:color="auto"/>
      </w:divBdr>
    </w:div>
    <w:div w:id="439301346">
      <w:bodyDiv w:val="1"/>
      <w:marLeft w:val="0"/>
      <w:marRight w:val="0"/>
      <w:marTop w:val="0"/>
      <w:marBottom w:val="0"/>
      <w:divBdr>
        <w:top w:val="none" w:sz="0" w:space="0" w:color="auto"/>
        <w:left w:val="none" w:sz="0" w:space="0" w:color="auto"/>
        <w:bottom w:val="none" w:sz="0" w:space="0" w:color="auto"/>
        <w:right w:val="none" w:sz="0" w:space="0" w:color="auto"/>
      </w:divBdr>
    </w:div>
    <w:div w:id="550388770">
      <w:bodyDiv w:val="1"/>
      <w:marLeft w:val="0"/>
      <w:marRight w:val="0"/>
      <w:marTop w:val="0"/>
      <w:marBottom w:val="0"/>
      <w:divBdr>
        <w:top w:val="none" w:sz="0" w:space="0" w:color="auto"/>
        <w:left w:val="none" w:sz="0" w:space="0" w:color="auto"/>
        <w:bottom w:val="none" w:sz="0" w:space="0" w:color="auto"/>
        <w:right w:val="none" w:sz="0" w:space="0" w:color="auto"/>
      </w:divBdr>
    </w:div>
    <w:div w:id="644699517">
      <w:bodyDiv w:val="1"/>
      <w:marLeft w:val="0"/>
      <w:marRight w:val="0"/>
      <w:marTop w:val="0"/>
      <w:marBottom w:val="0"/>
      <w:divBdr>
        <w:top w:val="none" w:sz="0" w:space="0" w:color="auto"/>
        <w:left w:val="none" w:sz="0" w:space="0" w:color="auto"/>
        <w:bottom w:val="none" w:sz="0" w:space="0" w:color="auto"/>
        <w:right w:val="none" w:sz="0" w:space="0" w:color="auto"/>
      </w:divBdr>
    </w:div>
    <w:div w:id="818690961">
      <w:bodyDiv w:val="1"/>
      <w:marLeft w:val="0"/>
      <w:marRight w:val="0"/>
      <w:marTop w:val="0"/>
      <w:marBottom w:val="0"/>
      <w:divBdr>
        <w:top w:val="none" w:sz="0" w:space="0" w:color="auto"/>
        <w:left w:val="none" w:sz="0" w:space="0" w:color="auto"/>
        <w:bottom w:val="none" w:sz="0" w:space="0" w:color="auto"/>
        <w:right w:val="none" w:sz="0" w:space="0" w:color="auto"/>
      </w:divBdr>
    </w:div>
    <w:div w:id="856039763">
      <w:bodyDiv w:val="1"/>
      <w:marLeft w:val="0"/>
      <w:marRight w:val="0"/>
      <w:marTop w:val="0"/>
      <w:marBottom w:val="0"/>
      <w:divBdr>
        <w:top w:val="none" w:sz="0" w:space="0" w:color="auto"/>
        <w:left w:val="none" w:sz="0" w:space="0" w:color="auto"/>
        <w:bottom w:val="none" w:sz="0" w:space="0" w:color="auto"/>
        <w:right w:val="none" w:sz="0" w:space="0" w:color="auto"/>
      </w:divBdr>
    </w:div>
    <w:div w:id="884558881">
      <w:bodyDiv w:val="1"/>
      <w:marLeft w:val="0"/>
      <w:marRight w:val="0"/>
      <w:marTop w:val="0"/>
      <w:marBottom w:val="0"/>
      <w:divBdr>
        <w:top w:val="none" w:sz="0" w:space="0" w:color="auto"/>
        <w:left w:val="none" w:sz="0" w:space="0" w:color="auto"/>
        <w:bottom w:val="none" w:sz="0" w:space="0" w:color="auto"/>
        <w:right w:val="none" w:sz="0" w:space="0" w:color="auto"/>
      </w:divBdr>
    </w:div>
    <w:div w:id="964120762">
      <w:bodyDiv w:val="1"/>
      <w:marLeft w:val="0"/>
      <w:marRight w:val="0"/>
      <w:marTop w:val="0"/>
      <w:marBottom w:val="0"/>
      <w:divBdr>
        <w:top w:val="none" w:sz="0" w:space="0" w:color="auto"/>
        <w:left w:val="none" w:sz="0" w:space="0" w:color="auto"/>
        <w:bottom w:val="none" w:sz="0" w:space="0" w:color="auto"/>
        <w:right w:val="none" w:sz="0" w:space="0" w:color="auto"/>
      </w:divBdr>
    </w:div>
    <w:div w:id="1084033033">
      <w:bodyDiv w:val="1"/>
      <w:marLeft w:val="0"/>
      <w:marRight w:val="0"/>
      <w:marTop w:val="0"/>
      <w:marBottom w:val="0"/>
      <w:divBdr>
        <w:top w:val="none" w:sz="0" w:space="0" w:color="auto"/>
        <w:left w:val="none" w:sz="0" w:space="0" w:color="auto"/>
        <w:bottom w:val="none" w:sz="0" w:space="0" w:color="auto"/>
        <w:right w:val="none" w:sz="0" w:space="0" w:color="auto"/>
      </w:divBdr>
    </w:div>
    <w:div w:id="1274706306">
      <w:bodyDiv w:val="1"/>
      <w:marLeft w:val="0"/>
      <w:marRight w:val="0"/>
      <w:marTop w:val="0"/>
      <w:marBottom w:val="0"/>
      <w:divBdr>
        <w:top w:val="none" w:sz="0" w:space="0" w:color="auto"/>
        <w:left w:val="none" w:sz="0" w:space="0" w:color="auto"/>
        <w:bottom w:val="none" w:sz="0" w:space="0" w:color="auto"/>
        <w:right w:val="none" w:sz="0" w:space="0" w:color="auto"/>
      </w:divBdr>
    </w:div>
    <w:div w:id="1538618658">
      <w:bodyDiv w:val="1"/>
      <w:marLeft w:val="0"/>
      <w:marRight w:val="0"/>
      <w:marTop w:val="0"/>
      <w:marBottom w:val="0"/>
      <w:divBdr>
        <w:top w:val="none" w:sz="0" w:space="0" w:color="auto"/>
        <w:left w:val="none" w:sz="0" w:space="0" w:color="auto"/>
        <w:bottom w:val="none" w:sz="0" w:space="0" w:color="auto"/>
        <w:right w:val="none" w:sz="0" w:space="0" w:color="auto"/>
      </w:divBdr>
    </w:div>
    <w:div w:id="1605304989">
      <w:bodyDiv w:val="1"/>
      <w:marLeft w:val="0"/>
      <w:marRight w:val="0"/>
      <w:marTop w:val="0"/>
      <w:marBottom w:val="0"/>
      <w:divBdr>
        <w:top w:val="none" w:sz="0" w:space="0" w:color="auto"/>
        <w:left w:val="none" w:sz="0" w:space="0" w:color="auto"/>
        <w:bottom w:val="none" w:sz="0" w:space="0" w:color="auto"/>
        <w:right w:val="none" w:sz="0" w:space="0" w:color="auto"/>
      </w:divBdr>
    </w:div>
    <w:div w:id="190356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271</Words>
  <Characters>1546</Characters>
  <Application>Microsoft Office Word</Application>
  <DocSecurity>0</DocSecurity>
  <Lines>12</Lines>
  <Paragraphs>3</Paragraphs>
  <ScaleCrop>false</ScaleCrop>
  <Company/>
  <LinksUpToDate>false</LinksUpToDate>
  <CharactersWithSpaces>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张晓芳</dc:creator>
  <cp:lastModifiedBy>石爽娜</cp:lastModifiedBy>
  <cp:revision>9</cp:revision>
  <dcterms:created xsi:type="dcterms:W3CDTF">2024-07-18T06:59:00Z</dcterms:created>
  <dcterms:modified xsi:type="dcterms:W3CDTF">2025-04-17T03:04:00Z</dcterms:modified>
</cp:coreProperties>
</file>