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ACDCD">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【稳利恒盈封闭式固收类】</w:t>
      </w:r>
      <w:permEnd w:id="0"/>
      <w:r>
        <w:rPr>
          <w:rFonts w:ascii="黑体" w:hAnsi="黑体" w:eastAsia="黑体"/>
          <w:b/>
          <w:bCs/>
          <w:sz w:val="28"/>
          <w:szCs w:val="28"/>
        </w:rPr>
        <w:t>理财产品</w:t>
      </w:r>
    </w:p>
    <w:p w14:paraId="6C305150">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0C510C94">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22FFF165">
      <w:pPr>
        <w:rPr>
          <w:rFonts w:ascii="宋体" w:hAnsi="宋体" w:cs="仿宋_GB2312"/>
          <w:b/>
          <w:kern w:val="0"/>
          <w:sz w:val="18"/>
          <w:szCs w:val="18"/>
        </w:rPr>
      </w:pPr>
      <w:r>
        <w:rPr>
          <w:rFonts w:hint="eastAsia" w:ascii="宋体" w:hAnsi="宋体" w:cs="仿宋_GB2312"/>
          <w:b/>
          <w:kern w:val="0"/>
          <w:sz w:val="18"/>
          <w:szCs w:val="18"/>
        </w:rPr>
        <w:t>尊敬的投资者：</w:t>
      </w:r>
    </w:p>
    <w:p w14:paraId="27570133">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46539EB6">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601E9EB7">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54395B64">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66C0C1B4">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color w:val="auto"/>
          <w:sz w:val="18"/>
          <w:szCs w:val="18"/>
        </w:rPr>
        <w:t>兴银理财稳利恒盈封闭式2025年</w:t>
      </w:r>
      <w:r>
        <w:rPr>
          <w:rFonts w:hint="eastAsia" w:ascii="宋体" w:hAnsi="宋体"/>
          <w:bCs/>
          <w:color w:val="auto"/>
          <w:sz w:val="18"/>
          <w:szCs w:val="18"/>
          <w:lang w:eastAsia="zh-CN"/>
        </w:rPr>
        <w:t>417期</w:t>
      </w:r>
      <w:r>
        <w:rPr>
          <w:rFonts w:hint="eastAsia" w:ascii="宋体" w:hAnsi="宋体"/>
          <w:bCs/>
          <w:color w:val="auto"/>
          <w:sz w:val="18"/>
          <w:szCs w:val="18"/>
        </w:rPr>
        <w:t>固收类理财产品</w:t>
      </w:r>
      <w:r>
        <w:rPr>
          <w:rFonts w:hint="eastAsia" w:asciiTheme="majorEastAsia" w:hAnsiTheme="majorEastAsia" w:eastAsiaTheme="majorEastAsia"/>
          <w:bCs/>
          <w:kern w:val="0"/>
          <w:sz w:val="18"/>
          <w:szCs w:val="18"/>
        </w:rPr>
        <w:t>】</w:t>
      </w:r>
      <w:permEnd w:id="1"/>
    </w:p>
    <w:p w14:paraId="5A427C23">
      <w:pPr>
        <w:ind w:firstLine="448" w:firstLineChars="249"/>
        <w:rPr>
          <w:rFonts w:hint="eastAsia" w:ascii="宋体" w:hAnsi="宋体" w:cs="仿宋_GB2312"/>
          <w:color w:val="auto"/>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color w:val="auto"/>
          <w:kern w:val="0"/>
          <w:sz w:val="18"/>
          <w:szCs w:val="18"/>
        </w:rPr>
        <w:t>【</w:t>
      </w: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417期</w:t>
      </w:r>
      <w:r>
        <w:rPr>
          <w:rFonts w:hint="eastAsia" w:asciiTheme="majorEastAsia" w:hAnsiTheme="majorEastAsia" w:eastAsiaTheme="majorEastAsia"/>
          <w:bCs/>
          <w:color w:val="auto"/>
          <w:kern w:val="0"/>
          <w:sz w:val="18"/>
          <w:szCs w:val="18"/>
        </w:rPr>
        <w:t>(纯盈颐养款)A</w:t>
      </w:r>
      <w:r>
        <w:rPr>
          <w:rFonts w:hint="eastAsia" w:ascii="宋体" w:hAnsi="宋体" w:cs="仿宋_GB2312"/>
          <w:color w:val="auto"/>
          <w:kern w:val="0"/>
          <w:sz w:val="18"/>
          <w:szCs w:val="18"/>
        </w:rPr>
        <w:t>】（适用【A】类份额）</w:t>
      </w:r>
    </w:p>
    <w:p w14:paraId="4821F053">
      <w:pPr>
        <w:ind w:firstLine="448" w:firstLineChars="249"/>
        <w:rPr>
          <w:rFonts w:hint="eastAsia" w:ascii="宋体" w:hAnsi="宋体" w:cs="仿宋_GB2312"/>
          <w:color w:val="auto"/>
          <w:kern w:val="0"/>
          <w:sz w:val="18"/>
          <w:szCs w:val="18"/>
        </w:rPr>
      </w:pPr>
      <w:r>
        <w:rPr>
          <w:rFonts w:hint="eastAsia" w:ascii="宋体" w:hAnsi="宋体" w:cs="仿宋_GB2312"/>
          <w:color w:val="auto"/>
          <w:kern w:val="0"/>
          <w:sz w:val="18"/>
          <w:szCs w:val="18"/>
        </w:rPr>
        <w:t>【</w:t>
      </w: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417期</w:t>
      </w:r>
      <w:r>
        <w:rPr>
          <w:rFonts w:hint="eastAsia" w:asciiTheme="majorEastAsia" w:hAnsiTheme="majorEastAsia" w:eastAsiaTheme="majorEastAsia"/>
          <w:bCs/>
          <w:color w:val="auto"/>
          <w:kern w:val="0"/>
          <w:sz w:val="18"/>
          <w:szCs w:val="18"/>
        </w:rPr>
        <w:t>(纯盈颐养款)B</w:t>
      </w:r>
      <w:r>
        <w:rPr>
          <w:rFonts w:hint="eastAsia" w:ascii="宋体" w:hAnsi="宋体" w:cs="仿宋_GB2312"/>
          <w:color w:val="auto"/>
          <w:kern w:val="0"/>
          <w:sz w:val="18"/>
          <w:szCs w:val="18"/>
        </w:rPr>
        <w:t>】（适用【B】类份额）</w:t>
      </w:r>
    </w:p>
    <w:p w14:paraId="5852E0D0">
      <w:pPr>
        <w:ind w:firstLine="448" w:firstLineChars="249"/>
        <w:rPr>
          <w:rFonts w:hint="eastAsia" w:ascii="宋体" w:hAnsi="宋体" w:cs="仿宋_GB2312"/>
          <w:color w:val="auto"/>
          <w:kern w:val="0"/>
          <w:sz w:val="18"/>
          <w:szCs w:val="18"/>
        </w:rPr>
      </w:pPr>
      <w:r>
        <w:rPr>
          <w:rFonts w:hint="eastAsia" w:ascii="宋体" w:hAnsi="宋体" w:cs="仿宋_GB2312"/>
          <w:color w:val="auto"/>
          <w:kern w:val="0"/>
          <w:sz w:val="18"/>
          <w:szCs w:val="18"/>
        </w:rPr>
        <w:t>【</w:t>
      </w: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417期</w:t>
      </w:r>
      <w:r>
        <w:rPr>
          <w:rFonts w:hint="eastAsia" w:asciiTheme="majorEastAsia" w:hAnsiTheme="majorEastAsia" w:eastAsiaTheme="majorEastAsia"/>
          <w:bCs/>
          <w:color w:val="auto"/>
          <w:kern w:val="0"/>
          <w:sz w:val="18"/>
          <w:szCs w:val="18"/>
        </w:rPr>
        <w:t>(纯盈颐养款)C</w:t>
      </w:r>
      <w:r>
        <w:rPr>
          <w:rFonts w:hint="eastAsia" w:ascii="宋体" w:hAnsi="宋体" w:cs="仿宋_GB2312"/>
          <w:color w:val="auto"/>
          <w:kern w:val="0"/>
          <w:sz w:val="18"/>
          <w:szCs w:val="18"/>
        </w:rPr>
        <w:t>】（适用【C】类份额）</w:t>
      </w:r>
    </w:p>
    <w:p w14:paraId="5F8B174C">
      <w:pPr>
        <w:ind w:firstLine="448" w:firstLineChars="249"/>
        <w:rPr>
          <w:rFonts w:hint="eastAsia" w:ascii="宋体" w:hAnsi="宋体" w:cs="仿宋_GB2312"/>
          <w:color w:val="auto"/>
          <w:kern w:val="0"/>
          <w:sz w:val="18"/>
          <w:szCs w:val="18"/>
        </w:rPr>
      </w:pPr>
      <w:r>
        <w:rPr>
          <w:rFonts w:hint="eastAsia" w:ascii="宋体" w:hAnsi="宋体" w:cs="仿宋_GB2312"/>
          <w:color w:val="auto"/>
          <w:kern w:val="0"/>
          <w:sz w:val="18"/>
          <w:szCs w:val="18"/>
        </w:rPr>
        <w:t>【</w:t>
      </w: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417期</w:t>
      </w:r>
      <w:r>
        <w:rPr>
          <w:rFonts w:hint="eastAsia" w:asciiTheme="majorEastAsia" w:hAnsiTheme="majorEastAsia" w:eastAsiaTheme="majorEastAsia"/>
          <w:bCs/>
          <w:color w:val="auto"/>
          <w:kern w:val="0"/>
          <w:sz w:val="18"/>
          <w:szCs w:val="18"/>
        </w:rPr>
        <w:t>(纯盈颐养款)D</w:t>
      </w:r>
      <w:r>
        <w:rPr>
          <w:rFonts w:hint="eastAsia" w:ascii="宋体" w:hAnsi="宋体" w:cs="仿宋_GB2312"/>
          <w:color w:val="auto"/>
          <w:kern w:val="0"/>
          <w:sz w:val="18"/>
          <w:szCs w:val="18"/>
        </w:rPr>
        <w:t>】（适用【D】类份额）</w:t>
      </w:r>
    </w:p>
    <w:permEnd w:id="2"/>
    <w:p w14:paraId="15E844F5">
      <w:pPr>
        <w:ind w:firstLine="448" w:firstLineChars="249"/>
        <w:rPr>
          <w:rFonts w:ascii="宋体" w:hAnsi="宋体" w:cs="仿宋_GB2312"/>
          <w:kern w:val="0"/>
          <w:sz w:val="18"/>
          <w:szCs w:val="18"/>
        </w:rPr>
      </w:pPr>
    </w:p>
    <w:p w14:paraId="63841813">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color w:val="auto"/>
          <w:sz w:val="18"/>
          <w:szCs w:val="18"/>
          <w:lang w:val="en-US" w:eastAsia="zh-CN"/>
        </w:rPr>
        <w:t>Z7002025000508</w:t>
      </w:r>
      <w:r>
        <w:rPr>
          <w:rFonts w:ascii="宋体" w:hAnsi="宋体" w:cs="仿宋_GB2312"/>
          <w:kern w:val="0"/>
          <w:sz w:val="18"/>
          <w:szCs w:val="18"/>
        </w:rPr>
        <w:t>】</w:t>
      </w:r>
      <w:permEnd w:id="3"/>
    </w:p>
    <w:p w14:paraId="13AFC89F">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7F5477A3">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26B7FBC5">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2A9A5C41">
      <w:pPr>
        <w:ind w:firstLine="448" w:firstLineChars="249"/>
        <w:rPr>
          <w:rFonts w:asciiTheme="majorEastAsia" w:hAnsiTheme="majorEastAsia" w:eastAsiaTheme="majorEastAsia"/>
          <w:bCs/>
          <w:sz w:val="18"/>
          <w:szCs w:val="18"/>
        </w:rPr>
      </w:pPr>
      <w:permStart w:id="5" w:edGrp="everyone"/>
      <w:r>
        <w:rPr>
          <w:rFonts w:hint="eastAsia" w:ascii="宋体" w:hAnsi="宋体" w:cs="仿宋_GB2312"/>
          <w:kern w:val="0"/>
          <w:sz w:val="18"/>
          <w:szCs w:val="18"/>
        </w:rPr>
        <w:t>【</w:t>
      </w: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color w:val="auto"/>
          <w:sz w:val="18"/>
          <w:szCs w:val="18"/>
          <w:lang w:val="en-US" w:eastAsia="zh-CN"/>
        </w:rPr>
        <w:t>173</w:t>
      </w:r>
      <w:r>
        <w:rPr>
          <w:rFonts w:hint="eastAsia" w:asciiTheme="majorEastAsia" w:hAnsiTheme="majorEastAsia" w:eastAsiaTheme="majorEastAsia"/>
          <w:bCs/>
          <w:color w:val="auto"/>
          <w:sz w:val="18"/>
          <w:szCs w:val="18"/>
        </w:rPr>
        <w:t>天</w:t>
      </w:r>
      <w:r>
        <w:rPr>
          <w:rFonts w:hint="eastAsia" w:asciiTheme="majorEastAsia" w:hAnsiTheme="majorEastAsia" w:eastAsiaTheme="majorEastAsia"/>
          <w:bCs/>
          <w:sz w:val="18"/>
          <w:szCs w:val="18"/>
        </w:rPr>
        <w:t>】</w:t>
      </w:r>
    </w:p>
    <w:p w14:paraId="0146556A">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r>
        <w:rPr>
          <w:rFonts w:hint="eastAsia" w:ascii="宋体" w:hAnsi="宋体" w:cs="仿宋_GB2312"/>
          <w:kern w:val="0"/>
          <w:sz w:val="18"/>
          <w:szCs w:val="18"/>
        </w:rPr>
        <w:t>】</w:t>
      </w:r>
      <w:permEnd w:id="5"/>
      <w:r>
        <w:rPr>
          <w:rFonts w:ascii="宋体" w:hAnsi="宋体" w:cs="仿宋_GB2312"/>
          <w:kern w:val="0"/>
          <w:sz w:val="18"/>
          <w:szCs w:val="18"/>
        </w:rPr>
        <w:t>。</w:t>
      </w:r>
    </w:p>
    <w:p w14:paraId="561B6337">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38B3E530">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17DF0FEC">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75A3B6A2">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6F03D70F">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15F2EAC7">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77E790FF">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2A322317">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24D4390D">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25F0C40F">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40125FAD">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38830C69">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7154D5AC">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7D8C0DEF">
      <w:pPr>
        <w:pStyle w:val="13"/>
        <w:ind w:firstLine="360"/>
        <w:rPr>
          <w:rFonts w:ascii="宋体" w:hAnsi="宋体"/>
          <w:bCs/>
          <w:sz w:val="18"/>
          <w:szCs w:val="18"/>
        </w:rPr>
      </w:pPr>
      <w:permStart w:id="10" w:edGrp="everyone"/>
      <w:r>
        <w:rPr>
          <w:rFonts w:hint="eastAsia" w:ascii="宋体" w:hAnsi="宋体"/>
          <w:sz w:val="18"/>
          <w:szCs w:val="18"/>
        </w:rPr>
        <w:t>【</w:t>
      </w:r>
      <w:r>
        <w:rPr>
          <w:rFonts w:ascii="宋体" w:hAnsi="宋体"/>
          <w:bCs/>
          <w:sz w:val="18"/>
          <w:szCs w:val="18"/>
        </w:rPr>
        <w:t>1.</w:t>
      </w:r>
      <w:r>
        <w:rPr>
          <w:rFonts w:hint="eastAsia" w:ascii="宋体" w:hAnsi="宋体"/>
          <w:bCs/>
          <w:sz w:val="18"/>
          <w:szCs w:val="18"/>
        </w:rPr>
        <w:t>拟投资市场和资产的风险：</w:t>
      </w:r>
    </w:p>
    <w:p w14:paraId="5A99B4D6">
      <w:pPr>
        <w:pStyle w:val="13"/>
        <w:ind w:firstLine="36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）投资债权类资产的风险</w:t>
      </w:r>
    </w:p>
    <w:p w14:paraId="72047ECC">
      <w:pPr>
        <w:pStyle w:val="13"/>
        <w:ind w:firstLine="360"/>
        <w:rPr>
          <w:rFonts w:ascii="宋体" w:hAnsi="宋体"/>
          <w:bCs/>
          <w:sz w:val="18"/>
          <w:szCs w:val="18"/>
        </w:rPr>
      </w:pPr>
      <w:r>
        <w:rPr>
          <w:rFonts w:ascii="宋体" w:hAnsi="宋体"/>
          <w:bCs/>
          <w:sz w:val="18"/>
          <w:szCs w:val="18"/>
        </w:rPr>
        <w:t>1</w:t>
      </w:r>
      <w:r>
        <w:rPr>
          <w:rFonts w:hint="eastAsia" w:ascii="宋体" w:hAnsi="宋体"/>
          <w:bCs/>
          <w:sz w:val="18"/>
          <w:szCs w:val="18"/>
        </w:rPr>
        <w:t>）投资标准化债权类资产的风险</w:t>
      </w:r>
    </w:p>
    <w:p w14:paraId="217D7454">
      <w:pPr>
        <w:pStyle w:val="13"/>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5561BA56">
      <w:pPr>
        <w:pStyle w:val="13"/>
        <w:ind w:firstLine="360"/>
        <w:rPr>
          <w:rFonts w:ascii="宋体" w:hAnsi="宋体"/>
          <w:bCs/>
          <w:sz w:val="18"/>
          <w:szCs w:val="18"/>
        </w:rPr>
      </w:pPr>
      <w:r>
        <w:rPr>
          <w:rFonts w:ascii="宋体" w:hAnsi="宋体"/>
          <w:bCs/>
          <w:sz w:val="18"/>
          <w:szCs w:val="18"/>
        </w:rPr>
        <w:t>2</w:t>
      </w:r>
      <w:r>
        <w:rPr>
          <w:rFonts w:hint="eastAsia" w:ascii="宋体" w:hAnsi="宋体"/>
          <w:bCs/>
          <w:sz w:val="18"/>
          <w:szCs w:val="18"/>
        </w:rPr>
        <w:t>）投资非标准化债权类资产的风险</w:t>
      </w:r>
    </w:p>
    <w:p w14:paraId="67253978">
      <w:pPr>
        <w:pStyle w:val="13"/>
        <w:ind w:firstLine="360"/>
        <w:rPr>
          <w:rFonts w:ascii="宋体" w:hAnsi="宋体"/>
          <w:bCs/>
          <w:sz w:val="18"/>
          <w:szCs w:val="18"/>
        </w:rPr>
      </w:pPr>
      <w:r>
        <w:rPr>
          <w:rFonts w:hint="eastAsia" w:ascii="宋体" w:hAnsi="宋体"/>
          <w:bCs/>
          <w:sz w:val="18"/>
          <w:szCs w:val="18"/>
        </w:rPr>
        <w:t>本产品投资非标债权类资产时可能面临以下风险：由于融资主体</w:t>
      </w:r>
      <w:r>
        <w:rPr>
          <w:rFonts w:ascii="宋体" w:hAnsi="宋体"/>
          <w:bCs/>
          <w:sz w:val="18"/>
          <w:szCs w:val="18"/>
        </w:rPr>
        <w:t>/</w:t>
      </w:r>
      <w:r>
        <w:rPr>
          <w:rFonts w:hint="eastAsia" w:ascii="宋体" w:hAnsi="宋体"/>
          <w:bCs/>
          <w:sz w:val="18"/>
          <w:szCs w:val="18"/>
        </w:rPr>
        <w:t>增信主体</w:t>
      </w:r>
      <w:r>
        <w:rPr>
          <w:rFonts w:ascii="宋体" w:hAnsi="宋体"/>
          <w:bCs/>
          <w:sz w:val="18"/>
          <w:szCs w:val="18"/>
        </w:rPr>
        <w:t>/</w:t>
      </w:r>
      <w:r>
        <w:rPr>
          <w:rFonts w:hint="eastAsia" w:ascii="宋体" w:hAnsi="宋体"/>
          <w:bCs/>
          <w:sz w:val="18"/>
          <w:szCs w:val="18"/>
        </w:rPr>
        <w:t>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14:paraId="0C3C28C5">
      <w:pPr>
        <w:pStyle w:val="13"/>
        <w:ind w:firstLine="36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）投资权益类资产的风险</w:t>
      </w:r>
      <w:r>
        <w:rPr>
          <w:rFonts w:ascii="宋体" w:hAnsi="宋体"/>
          <w:bCs/>
          <w:sz w:val="18"/>
          <w:szCs w:val="18"/>
        </w:rPr>
        <w:t xml:space="preserve"> </w:t>
      </w:r>
    </w:p>
    <w:p w14:paraId="357660AF">
      <w:pPr>
        <w:pStyle w:val="13"/>
        <w:ind w:firstLine="360"/>
        <w:rPr>
          <w:rFonts w:ascii="宋体" w:hAnsi="宋体"/>
          <w:bCs/>
          <w:sz w:val="18"/>
          <w:szCs w:val="18"/>
        </w:rPr>
      </w:pPr>
      <w:r>
        <w:rPr>
          <w:rFonts w:ascii="宋体" w:hAnsi="宋体"/>
          <w:bCs/>
          <w:sz w:val="18"/>
          <w:szCs w:val="18"/>
        </w:rPr>
        <w:t>1</w:t>
      </w:r>
      <w:r>
        <w:rPr>
          <w:rFonts w:hint="eastAsia" w:ascii="宋体" w:hAnsi="宋体"/>
          <w:bCs/>
          <w:sz w:val="18"/>
          <w:szCs w:val="18"/>
        </w:rPr>
        <w:t>）投资股票类资产的风险</w:t>
      </w:r>
    </w:p>
    <w:p w14:paraId="0B4201DC">
      <w:pPr>
        <w:pStyle w:val="13"/>
        <w:ind w:firstLine="360"/>
        <w:rPr>
          <w:rFonts w:ascii="宋体" w:hAnsi="宋体"/>
          <w:bCs/>
          <w:sz w:val="18"/>
          <w:szCs w:val="18"/>
        </w:rPr>
      </w:pPr>
      <w:r>
        <w:rPr>
          <w:rFonts w:hint="eastAsia" w:ascii="宋体" w:hAnsi="宋体"/>
          <w:bCs/>
          <w:sz w:val="18"/>
          <w:szCs w:val="18"/>
        </w:rPr>
        <w:t>本产品投资股票类资产时可能面临以下风险：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14:paraId="07CEA07A">
      <w:pPr>
        <w:pStyle w:val="13"/>
        <w:ind w:firstLine="360"/>
        <w:rPr>
          <w:rFonts w:ascii="宋体" w:hAnsi="宋体"/>
          <w:bCs/>
          <w:sz w:val="18"/>
          <w:szCs w:val="18"/>
        </w:rPr>
      </w:pPr>
      <w:r>
        <w:rPr>
          <w:rFonts w:ascii="宋体" w:hAnsi="宋体"/>
          <w:bCs/>
          <w:sz w:val="18"/>
          <w:szCs w:val="18"/>
        </w:rPr>
        <w:t>2</w:t>
      </w:r>
      <w:r>
        <w:rPr>
          <w:rFonts w:hint="eastAsia" w:ascii="宋体" w:hAnsi="宋体"/>
          <w:bCs/>
          <w:sz w:val="18"/>
          <w:szCs w:val="18"/>
        </w:rPr>
        <w:t>）投资股权类资产的风险</w:t>
      </w:r>
    </w:p>
    <w:p w14:paraId="27A0592A">
      <w:pPr>
        <w:pStyle w:val="13"/>
        <w:ind w:firstLine="360"/>
        <w:rPr>
          <w:rFonts w:ascii="宋体" w:hAnsi="宋体"/>
          <w:bCs/>
          <w:sz w:val="18"/>
          <w:szCs w:val="18"/>
        </w:rPr>
      </w:pPr>
      <w:r>
        <w:rPr>
          <w:rFonts w:hint="eastAsia" w:ascii="宋体" w:hAnsi="宋体"/>
          <w:bCs/>
          <w:sz w:val="18"/>
          <w:szCs w:val="18"/>
        </w:rPr>
        <w:t>本产品投资未上市股权类资产时可能面临以下风险：国家政策、经济周期、行业政策等因素可能发生变化导致的市场风险；因市场、技术、竞争、管理、财务等导致公司盈利发生变化，其股权价值可能下跌，影响投资者收益；因股权未上市或存在相关限制股权转让的协议导致的流动性风险等。</w:t>
      </w:r>
    </w:p>
    <w:p w14:paraId="1724C1AC">
      <w:pPr>
        <w:pStyle w:val="13"/>
        <w:ind w:firstLine="36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）投资商品和金融衍生品类资产的风险</w:t>
      </w:r>
      <w:r>
        <w:rPr>
          <w:rFonts w:ascii="宋体" w:hAnsi="宋体"/>
          <w:bCs/>
          <w:sz w:val="18"/>
          <w:szCs w:val="18"/>
        </w:rPr>
        <w:t xml:space="preserve"> </w:t>
      </w:r>
    </w:p>
    <w:p w14:paraId="124E2782">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05D0FE38">
      <w:pPr>
        <w:pStyle w:val="13"/>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61F6CA65">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42F4EF49">
      <w:pPr>
        <w:pStyle w:val="13"/>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73BC50DA">
      <w:pPr>
        <w:pStyle w:val="13"/>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6E187D87">
      <w:pPr>
        <w:pStyle w:val="13"/>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5FFF621F">
      <w:pPr>
        <w:pStyle w:val="13"/>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44CA8871">
      <w:pPr>
        <w:pStyle w:val="13"/>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56F1A59A">
      <w:pPr>
        <w:pStyle w:val="13"/>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7EDFF421">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26642A64">
      <w:pPr>
        <w:pStyle w:val="13"/>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55D87732">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26D74AF4">
      <w:pPr>
        <w:pStyle w:val="13"/>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06761003">
      <w:pPr>
        <w:pStyle w:val="13"/>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21061010">
      <w:pPr>
        <w:pStyle w:val="13"/>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70B8566E">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43BCC2F9">
      <w:pPr>
        <w:pStyle w:val="13"/>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549FE67B">
      <w:pPr>
        <w:pStyle w:val="13"/>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2093D384">
      <w:pPr>
        <w:pStyle w:val="13"/>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4AB4C341">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452631F7">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55412692">
      <w:pPr>
        <w:pStyle w:val="13"/>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52CAD6EB">
      <w:pPr>
        <w:pStyle w:val="13"/>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0E9548B3">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013CA615">
      <w:pPr>
        <w:pStyle w:val="13"/>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7A8D1B6B">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53446949">
      <w:pPr>
        <w:pStyle w:val="13"/>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27D43509">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613FC2EA">
      <w:pPr>
        <w:pStyle w:val="13"/>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5C6E4FDF">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70B4BE76">
      <w:pPr>
        <w:pStyle w:val="13"/>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40160099">
      <w:pPr>
        <w:pStyle w:val="13"/>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2296C198">
      <w:pPr>
        <w:pStyle w:val="13"/>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710D5834">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0C8D93BD">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081226CB">
      <w:pPr>
        <w:pStyle w:val="13"/>
        <w:ind w:firstLineChars="0"/>
        <w:rPr>
          <w:rFonts w:ascii="宋体" w:hAnsi="宋体"/>
          <w:b/>
          <w:bCs/>
          <w:sz w:val="18"/>
          <w:szCs w:val="18"/>
        </w:rPr>
      </w:pPr>
      <w:r>
        <w:rPr>
          <w:rFonts w:hint="eastAsia" w:ascii="宋体" w:hAnsi="宋体"/>
          <w:b/>
          <w:bCs/>
          <w:sz w:val="18"/>
          <w:szCs w:val="18"/>
        </w:rPr>
        <w:t>17.关联交易风险</w:t>
      </w:r>
    </w:p>
    <w:p w14:paraId="71DDF008">
      <w:pPr>
        <w:pStyle w:val="13"/>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7475C680">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3B1E09C9">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5AC67691">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3DA10B09">
      <w:pPr>
        <w:ind w:left="540"/>
        <w:jc w:val="right"/>
        <w:rPr>
          <w:rFonts w:ascii="宋体" w:hAnsi="宋体"/>
          <w:sz w:val="18"/>
          <w:szCs w:val="18"/>
        </w:rPr>
      </w:pPr>
    </w:p>
    <w:p w14:paraId="62661E78">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341DA768">
      <w:pPr>
        <w:widowControl/>
        <w:jc w:val="right"/>
        <w:rPr>
          <w:rFonts w:hint="eastAsia" w:ascii="宋体" w:hAnsi="宋体"/>
          <w:sz w:val="18"/>
          <w:szCs w:val="18"/>
          <w:lang w:eastAsia="zh-CN"/>
        </w:rPr>
      </w:pPr>
      <w:permStart w:id="11" w:edGrp="everyone"/>
      <w:r>
        <w:rPr>
          <w:rFonts w:hint="eastAsia" w:ascii="宋体" w:hAnsi="宋体"/>
          <w:sz w:val="18"/>
          <w:szCs w:val="18"/>
          <w:lang w:eastAsia="zh-CN"/>
        </w:rPr>
        <w:t>销售机构（【浙江新昌农村商业银行股份有限公司</w:t>
      </w:r>
      <w:bookmarkStart w:id="0" w:name="_GoBack"/>
      <w:bookmarkEnd w:id="0"/>
      <w:r>
        <w:rPr>
          <w:rFonts w:hint="eastAsia" w:ascii="宋体" w:hAnsi="宋体"/>
          <w:sz w:val="18"/>
          <w:szCs w:val="18"/>
          <w:lang w:eastAsia="zh-CN"/>
        </w:rPr>
        <w:t>】）</w:t>
      </w:r>
    </w:p>
    <w:permEnd w:id="11"/>
    <w:p w14:paraId="3562910D">
      <w:pPr>
        <w:widowControl/>
        <w:jc w:val="left"/>
        <w:rPr>
          <w:rFonts w:ascii="宋体" w:hAnsi="宋体"/>
          <w:sz w:val="18"/>
          <w:szCs w:val="18"/>
        </w:rPr>
      </w:pPr>
      <w:r>
        <w:rPr>
          <w:rFonts w:ascii="宋体" w:hAnsi="宋体"/>
          <w:sz w:val="18"/>
          <w:szCs w:val="18"/>
        </w:rPr>
        <w:br w:type="page"/>
      </w:r>
    </w:p>
    <w:p w14:paraId="1B948209">
      <w:pPr>
        <w:ind w:left="540"/>
        <w:jc w:val="right"/>
        <w:rPr>
          <w:rFonts w:ascii="宋体" w:hAnsi="宋体"/>
          <w:sz w:val="18"/>
          <w:szCs w:val="18"/>
        </w:rPr>
      </w:pPr>
    </w:p>
    <w:p w14:paraId="6F758C47">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60F0AEBD">
        <w:trPr>
          <w:trHeight w:val="627" w:hRule="atLeast"/>
        </w:trPr>
        <w:tc>
          <w:tcPr>
            <w:tcW w:w="8371" w:type="dxa"/>
          </w:tcPr>
          <w:p w14:paraId="43C9E31C">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0082A700">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1E83CFC7">
        <w:trPr>
          <w:trHeight w:val="6283" w:hRule="atLeast"/>
        </w:trPr>
        <w:tc>
          <w:tcPr>
            <w:tcW w:w="8371" w:type="dxa"/>
          </w:tcPr>
          <w:p w14:paraId="36B7A094">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4C116596">
            <w:pPr>
              <w:spacing w:line="280" w:lineRule="atLeast"/>
              <w:jc w:val="left"/>
              <w:rPr>
                <w:rFonts w:ascii="宋体" w:hAnsi="宋体" w:cs="Arial"/>
                <w:sz w:val="18"/>
                <w:szCs w:val="18"/>
              </w:rPr>
            </w:pPr>
          </w:p>
          <w:p w14:paraId="5078DBE2">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49960644">
            <w:pPr>
              <w:spacing w:line="280" w:lineRule="atLeast"/>
              <w:jc w:val="left"/>
              <w:rPr>
                <w:rFonts w:ascii="宋体" w:hAnsi="宋体" w:cs="Arial"/>
                <w:kern w:val="0"/>
                <w:sz w:val="18"/>
                <w:szCs w:val="18"/>
              </w:rPr>
            </w:pPr>
          </w:p>
          <w:p w14:paraId="2ED451F8">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2ABDFCBF">
            <w:pPr>
              <w:spacing w:line="280" w:lineRule="atLeast"/>
              <w:jc w:val="left"/>
              <w:rPr>
                <w:rFonts w:ascii="宋体" w:hAnsi="宋体" w:cs="Arial"/>
                <w:kern w:val="0"/>
                <w:sz w:val="18"/>
                <w:szCs w:val="18"/>
              </w:rPr>
            </w:pPr>
          </w:p>
          <w:p w14:paraId="5569A9C5">
            <w:pPr>
              <w:spacing w:line="280" w:lineRule="atLeast"/>
              <w:jc w:val="left"/>
              <w:rPr>
                <w:kern w:val="0"/>
                <w:sz w:val="18"/>
                <w:szCs w:val="18"/>
                <w:u w:val="single"/>
              </w:rPr>
            </w:pPr>
            <w:r>
              <w:rPr>
                <w:rFonts w:hint="eastAsia" w:ascii="宋体" w:hAnsi="宋体" w:cs="Arial"/>
                <w:kern w:val="0"/>
                <w:sz w:val="18"/>
                <w:szCs w:val="18"/>
              </w:rPr>
              <w:t>请投资者在此抄录：</w:t>
            </w:r>
          </w:p>
          <w:p w14:paraId="6A832677">
            <w:pPr>
              <w:spacing w:line="280" w:lineRule="atLeast"/>
              <w:jc w:val="left"/>
              <w:rPr>
                <w:kern w:val="0"/>
                <w:sz w:val="18"/>
                <w:szCs w:val="18"/>
                <w:u w:val="single"/>
              </w:rPr>
            </w:pPr>
          </w:p>
          <w:p w14:paraId="4324FC4C">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33E97462">
            <w:pPr>
              <w:spacing w:line="280" w:lineRule="atLeast"/>
              <w:ind w:left="4200" w:firstLine="1080" w:firstLineChars="600"/>
              <w:jc w:val="left"/>
              <w:rPr>
                <w:rFonts w:ascii="宋体" w:hAnsi="宋体" w:cs="Arial"/>
                <w:kern w:val="0"/>
                <w:sz w:val="18"/>
                <w:szCs w:val="18"/>
              </w:rPr>
            </w:pPr>
          </w:p>
          <w:p w14:paraId="058E1865">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14AB16F6">
            <w:pPr>
              <w:spacing w:line="280" w:lineRule="atLeast"/>
              <w:ind w:left="4200" w:firstLine="1080" w:firstLineChars="600"/>
              <w:jc w:val="left"/>
              <w:rPr>
                <w:rFonts w:ascii="宋体" w:hAnsi="宋体" w:cs="Arial"/>
                <w:kern w:val="0"/>
                <w:sz w:val="18"/>
                <w:szCs w:val="18"/>
              </w:rPr>
            </w:pPr>
          </w:p>
          <w:p w14:paraId="721C4126">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49E6F60F">
            <w:pPr>
              <w:spacing w:line="280" w:lineRule="atLeast"/>
              <w:jc w:val="right"/>
              <w:rPr>
                <w:rFonts w:ascii="宋体" w:hAnsi="宋体"/>
                <w:kern w:val="0"/>
                <w:sz w:val="18"/>
                <w:szCs w:val="18"/>
              </w:rPr>
            </w:pPr>
          </w:p>
        </w:tc>
      </w:tr>
    </w:tbl>
    <w:p w14:paraId="335AB1EA">
      <w:pPr>
        <w:autoSpaceDE w:val="0"/>
        <w:autoSpaceDN w:val="0"/>
        <w:adjustRightInd w:val="0"/>
        <w:spacing w:line="360" w:lineRule="auto"/>
        <w:ind w:firstLine="420"/>
        <w:jc w:val="left"/>
        <w:rPr>
          <w:rFonts w:ascii="宋体" w:hAnsi="宋体"/>
          <w:sz w:val="24"/>
        </w:rPr>
      </w:pPr>
    </w:p>
    <w:p w14:paraId="049446D3">
      <w:pPr>
        <w:rPr>
          <w:rFonts w:ascii="宋体" w:hAnsi="宋体" w:cs="Arial"/>
          <w:sz w:val="24"/>
        </w:rPr>
      </w:pPr>
    </w:p>
    <w:p w14:paraId="7EC1B56C">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2A3E68CF">
        <w:trPr>
          <w:trHeight w:val="823" w:hRule="atLeast"/>
        </w:trPr>
        <w:tc>
          <w:tcPr>
            <w:tcW w:w="8413" w:type="dxa"/>
          </w:tcPr>
          <w:p w14:paraId="6C7C5310">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4DD85293">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01AE122C">
        <w:trPr>
          <w:trHeight w:val="7355" w:hRule="atLeast"/>
        </w:trPr>
        <w:tc>
          <w:tcPr>
            <w:tcW w:w="8413" w:type="dxa"/>
          </w:tcPr>
          <w:p w14:paraId="5F83788E">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15B3585">
            <w:pPr>
              <w:spacing w:line="280" w:lineRule="atLeast"/>
              <w:ind w:firstLine="360" w:firstLineChars="200"/>
              <w:jc w:val="left"/>
              <w:rPr>
                <w:rFonts w:ascii="宋体" w:hAnsi="宋体" w:cs="Arial"/>
                <w:kern w:val="0"/>
                <w:sz w:val="18"/>
                <w:szCs w:val="18"/>
              </w:rPr>
            </w:pPr>
          </w:p>
          <w:p w14:paraId="0BA37447">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76DBA3D3">
            <w:pPr>
              <w:spacing w:line="280" w:lineRule="atLeast"/>
              <w:ind w:firstLine="360" w:firstLineChars="200"/>
              <w:jc w:val="left"/>
              <w:rPr>
                <w:rFonts w:ascii="宋体" w:hAnsi="宋体" w:cs="Arial"/>
                <w:kern w:val="0"/>
                <w:sz w:val="18"/>
                <w:szCs w:val="18"/>
              </w:rPr>
            </w:pPr>
          </w:p>
          <w:p w14:paraId="0AFF529D">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364461C4">
            <w:pPr>
              <w:spacing w:line="280" w:lineRule="atLeast"/>
              <w:jc w:val="left"/>
              <w:rPr>
                <w:rFonts w:ascii="宋体" w:hAnsi="宋体" w:cs="Arial"/>
                <w:kern w:val="0"/>
                <w:sz w:val="18"/>
                <w:szCs w:val="18"/>
              </w:rPr>
            </w:pPr>
          </w:p>
          <w:p w14:paraId="5A927287">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012AB51C">
            <w:pPr>
              <w:spacing w:line="280" w:lineRule="atLeast"/>
              <w:jc w:val="left"/>
              <w:rPr>
                <w:rFonts w:ascii="宋体" w:hAnsi="宋体" w:cs="Arial"/>
                <w:kern w:val="0"/>
                <w:sz w:val="18"/>
                <w:szCs w:val="18"/>
              </w:rPr>
            </w:pPr>
          </w:p>
          <w:p w14:paraId="7F0CE057">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43AAF091">
            <w:pPr>
              <w:spacing w:line="280" w:lineRule="atLeast"/>
              <w:jc w:val="left"/>
              <w:rPr>
                <w:rFonts w:ascii="宋体" w:hAnsi="宋体" w:cs="Arial"/>
                <w:kern w:val="0"/>
                <w:sz w:val="18"/>
                <w:szCs w:val="18"/>
              </w:rPr>
            </w:pPr>
          </w:p>
          <w:p w14:paraId="16547343">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496FE988">
            <w:pPr>
              <w:spacing w:line="280" w:lineRule="atLeast"/>
              <w:ind w:left="4200" w:firstLine="1080" w:firstLineChars="600"/>
              <w:jc w:val="left"/>
              <w:rPr>
                <w:rFonts w:ascii="宋体" w:hAnsi="宋体" w:cs="Arial"/>
                <w:kern w:val="0"/>
                <w:sz w:val="18"/>
                <w:szCs w:val="18"/>
              </w:rPr>
            </w:pPr>
          </w:p>
          <w:p w14:paraId="03C6CF57">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64E9067B">
            <w:pPr>
              <w:spacing w:line="280" w:lineRule="atLeast"/>
              <w:rPr>
                <w:kern w:val="0"/>
                <w:sz w:val="20"/>
                <w:szCs w:val="20"/>
              </w:rPr>
            </w:pPr>
          </w:p>
          <w:p w14:paraId="2054DB2A">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0FC94BCC">
      <w:pPr>
        <w:widowControl/>
        <w:jc w:val="left"/>
        <w:rPr>
          <w:rFonts w:hint="eastAsia"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1B4CE6F4">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27C55">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6F28C719">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0"/>
  <w:bordersDoNotSurroundFooter w:val="0"/>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F75B3"/>
    <w:rsid w:val="01540E14"/>
    <w:rsid w:val="093C4710"/>
    <w:rsid w:val="108574D9"/>
    <w:rsid w:val="123D1F82"/>
    <w:rsid w:val="18022440"/>
    <w:rsid w:val="1C70668E"/>
    <w:rsid w:val="1EA36732"/>
    <w:rsid w:val="23024B39"/>
    <w:rsid w:val="28C07E7C"/>
    <w:rsid w:val="2BFD3E4F"/>
    <w:rsid w:val="2F7F4A5E"/>
    <w:rsid w:val="36045A6C"/>
    <w:rsid w:val="39175F59"/>
    <w:rsid w:val="3A2B63B9"/>
    <w:rsid w:val="3AF86A8E"/>
    <w:rsid w:val="46493A41"/>
    <w:rsid w:val="4EEE53D9"/>
    <w:rsid w:val="601969DF"/>
    <w:rsid w:val="659C2FA3"/>
    <w:rsid w:val="6772641C"/>
    <w:rsid w:val="771647BF"/>
    <w:rsid w:val="79142EB4"/>
    <w:rsid w:val="7D392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0"/>
    <w:pPr>
      <w:ind w:firstLine="420" w:firstLineChars="200"/>
    </w:pPr>
  </w:style>
  <w:style w:type="character" w:customStyle="1" w:styleId="14">
    <w:name w:val="批注文字 Char"/>
    <w:basedOn w:val="9"/>
    <w:link w:val="2"/>
    <w:qFormat/>
    <w:uiPriority w:val="99"/>
    <w:rPr>
      <w:rFonts w:ascii="Calibri" w:hAnsi="Calibri" w:eastAsia="宋体" w:cs="宋体"/>
    </w:rPr>
  </w:style>
  <w:style w:type="character" w:customStyle="1" w:styleId="15">
    <w:name w:val="批注主题 Char"/>
    <w:basedOn w:val="14"/>
    <w:link w:val="6"/>
    <w:semiHidden/>
    <w:qFormat/>
    <w:uiPriority w:val="99"/>
    <w:rPr>
      <w:rFonts w:ascii="Calibri" w:hAnsi="Calibri" w:eastAsia="宋体" w:cs="宋体"/>
      <w:b/>
      <w:bCs/>
    </w:rPr>
  </w:style>
  <w:style w:type="character" w:customStyle="1" w:styleId="16">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685</Words>
  <Characters>3906</Characters>
  <Lines>32</Lines>
  <Paragraphs>9</Paragraphs>
  <TotalTime>3</TotalTime>
  <ScaleCrop>false</ScaleCrop>
  <LinksUpToDate>false</LinksUpToDate>
  <CharactersWithSpaces>4582</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2024-03-04T09:44:00Z</dcterms:created>
  <dc:creator>胡骁潇</dc:creator>
  <cp:lastModifiedBy>Lee</cp:lastModifiedBy>
  <dcterms:modified xsi:type="dcterms:W3CDTF">2025-05-06T16:27:49Z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