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楷体" w:hAnsi="楷体" w:eastAsia="楷体" w:cs="Times New Roman"/>
          <w:b/>
          <w:sz w:val="36"/>
          <w:szCs w:val="36"/>
        </w:rPr>
        <w:t xml:space="preserve"> “苏银理财恒源1年定开14期”</w:t>
      </w:r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理财产品</w:t>
      </w:r>
    </w:p>
    <w:p>
      <w:pPr>
        <w:pStyle w:val="7"/>
        <w:spacing w:before="0" w:beforeAutospacing="0" w:after="0" w:afterAutospacing="0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新增份额成立公告</w:t>
      </w:r>
    </w:p>
    <w:p>
      <w:pPr>
        <w:pStyle w:val="7"/>
        <w:spacing w:before="0" w:beforeAutospacing="0" w:after="0" w:afterAutospacing="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尊敬的投资者：</w:t>
      </w:r>
    </w:p>
    <w:p>
      <w:pPr>
        <w:pStyle w:val="7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“</w:t>
      </w:r>
      <w:r>
        <w:rPr>
          <w:rFonts w:ascii="楷体" w:hAnsi="楷体" w:eastAsia="楷体" w:cs="Times New Roman"/>
          <w:sz w:val="28"/>
          <w:szCs w:val="28"/>
        </w:rPr>
        <w:t>苏银理财恒源1年定开14期</w:t>
      </w:r>
      <w:r>
        <w:rPr>
          <w:rFonts w:hint="eastAsia" w:ascii="楷体" w:hAnsi="楷体" w:eastAsia="楷体" w:cs="Times New Roman"/>
          <w:sz w:val="28"/>
          <w:szCs w:val="28"/>
        </w:rPr>
        <w:t>”理财产品新增份额于</w:t>
      </w:r>
      <w:r>
        <w:rPr>
          <w:rFonts w:ascii="楷体" w:hAnsi="楷体" w:eastAsia="楷体" w:cs="仿宋_GB2312"/>
          <w:sz w:val="28"/>
          <w:szCs w:val="28"/>
        </w:rPr>
        <w:t>2025</w:t>
      </w:r>
      <w:r>
        <w:rPr>
          <w:rFonts w:ascii="楷体" w:hAnsi="楷体" w:eastAsia="楷体" w:cs="Times New Roman"/>
          <w:sz w:val="28"/>
          <w:szCs w:val="28"/>
        </w:rPr>
        <w:t>年</w:t>
      </w:r>
      <w:r>
        <w:rPr>
          <w:rFonts w:ascii="楷体" w:hAnsi="楷体" w:eastAsia="楷体" w:cs="仿宋_GB2312"/>
          <w:sz w:val="28"/>
          <w:szCs w:val="28"/>
        </w:rPr>
        <w:t>7</w:t>
      </w:r>
      <w:r>
        <w:rPr>
          <w:rFonts w:ascii="楷体" w:hAnsi="楷体" w:eastAsia="楷体" w:cs="Times New Roman"/>
          <w:sz w:val="28"/>
          <w:szCs w:val="28"/>
        </w:rPr>
        <w:t>月</w:t>
      </w:r>
      <w:r>
        <w:rPr>
          <w:rFonts w:ascii="楷体" w:hAnsi="楷体" w:eastAsia="楷体" w:cs="仿宋_GB2312"/>
          <w:sz w:val="28"/>
          <w:szCs w:val="28"/>
        </w:rPr>
        <w:t>25</w:t>
      </w:r>
      <w:r>
        <w:rPr>
          <w:rFonts w:ascii="楷体" w:hAnsi="楷体" w:eastAsia="楷体" w:cs="Times New Roman"/>
          <w:sz w:val="28"/>
          <w:szCs w:val="28"/>
        </w:rPr>
        <w:t>日</w:t>
      </w:r>
      <w:r>
        <w:rPr>
          <w:rFonts w:hint="eastAsia" w:ascii="楷体" w:hAnsi="楷体" w:eastAsia="楷体" w:cs="Times New Roman"/>
          <w:sz w:val="28"/>
          <w:szCs w:val="28"/>
        </w:rPr>
        <w:t>正式成立并投资运作，份额</w:t>
      </w:r>
      <w:r>
        <w:rPr>
          <w:rFonts w:ascii="楷体" w:hAnsi="楷体" w:eastAsia="楷体" w:cs="Times New Roman"/>
          <w:sz w:val="28"/>
          <w:szCs w:val="28"/>
        </w:rPr>
        <w:t xml:space="preserve">信息如下： </w:t>
      </w:r>
    </w:p>
    <w:tbl>
      <w:tblPr>
        <w:tblStyle w:val="9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销售简称/销售代码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苏银理财恒源1年定开14期C/J05490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苏银理财恒源1年定开14期P/J05426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苏银理财恒源1年定开14期Q/J05491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苏银理财恒源1年定开14期S/J05492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苏银理财恒源1年定开14期W/J05427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苏银理财恒源1年定开14期ZN（自动赎回）/J05428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苏银理财恒源1年定开14期ZQ（自动赎回）/J05429</w:t>
            </w:r>
            <w:r>
              <w:rPr>
                <w:rFonts w:ascii="楷体" w:hAnsi="楷体" w:eastAsia="楷体" w:cs="仿宋_GB2312"/>
                <w:szCs w:val="21"/>
              </w:rPr>
              <w:br w:type="textWrapping" w:clear="all"/>
            </w:r>
            <w:r>
              <w:rPr>
                <w:rFonts w:ascii="楷体" w:hAnsi="楷体" w:eastAsia="楷体" w:cs="仿宋_GB2312"/>
                <w:szCs w:val="21"/>
              </w:rPr>
              <w:t>苏银理财恒源1年定开14期ZR（自动赎回）/J05430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托管机构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募集方式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运作模式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开放式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投资性质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风险等级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二级（中低）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新增份额合计募集规模（元）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819,237,637.00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份额成立</w:t>
            </w:r>
            <w:r>
              <w:rPr>
                <w:rFonts w:ascii="楷体" w:hAnsi="楷体" w:eastAsia="楷体" w:cs="宋体"/>
                <w:kern w:val="0"/>
              </w:rPr>
              <w:t>日期</w:t>
            </w:r>
          </w:p>
        </w:tc>
        <w:tc>
          <w:tcPr>
            <w:tcW w:w="605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仿宋_GB2312"/>
                <w:szCs w:val="21"/>
              </w:rPr>
              <w:t>2025</w:t>
            </w:r>
            <w:r>
              <w:rPr>
                <w:rFonts w:ascii="楷体" w:hAnsi="楷体" w:eastAsia="楷体" w:cs="宋体"/>
                <w:kern w:val="0"/>
              </w:rPr>
              <w:t>年</w:t>
            </w:r>
            <w:r>
              <w:rPr>
                <w:rFonts w:ascii="楷体" w:hAnsi="楷体" w:eastAsia="楷体" w:cs="仿宋_GB2312"/>
                <w:szCs w:val="21"/>
              </w:rPr>
              <w:t>7</w:t>
            </w:r>
            <w:r>
              <w:rPr>
                <w:rFonts w:ascii="楷体" w:hAnsi="楷体" w:eastAsia="楷体" w:cs="宋体"/>
                <w:kern w:val="0"/>
              </w:rPr>
              <w:t>月</w:t>
            </w:r>
            <w:r>
              <w:rPr>
                <w:rFonts w:ascii="楷体" w:hAnsi="楷体" w:eastAsia="楷体" w:cs="仿宋_GB2312"/>
                <w:szCs w:val="21"/>
              </w:rPr>
              <w:t>25</w:t>
            </w:r>
            <w:r>
              <w:rPr>
                <w:rFonts w:ascii="楷体" w:hAnsi="楷体" w:eastAsia="楷体" w:cs="宋体"/>
                <w:kern w:val="0"/>
              </w:rPr>
              <w:t>日</w:t>
            </w:r>
          </w:p>
        </w:tc>
      </w:tr>
    </w:tbl>
    <w:p>
      <w:pPr>
        <w:pStyle w:val="7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7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感谢您投资苏银理财本期理财产品，敬请继续关注苏银理财推出的其他理财产品。</w:t>
      </w:r>
    </w:p>
    <w:p>
      <w:pPr>
        <w:spacing w:line="560" w:lineRule="exact"/>
        <w:rPr>
          <w:rFonts w:ascii="楷体" w:hAnsi="楷体" w:eastAsia="楷体"/>
          <w:kern w:val="0"/>
          <w:sz w:val="28"/>
          <w:szCs w:val="28"/>
        </w:rPr>
      </w:pPr>
    </w:p>
    <w:p>
      <w:pPr>
        <w:spacing w:line="560" w:lineRule="exact"/>
        <w:jc w:val="righ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jc w:val="right"/>
        <w:rPr>
          <w:rFonts w:ascii="楷体" w:hAnsi="楷体" w:eastAsia="楷体"/>
          <w:kern w:val="0"/>
          <w:sz w:val="28"/>
          <w:szCs w:val="28"/>
        </w:rPr>
      </w:pPr>
      <w:r>
        <w:rPr>
          <w:rFonts w:ascii="楷体" w:hAnsi="楷体" w:eastAsia="楷体" w:cs="仿宋_GB2312"/>
          <w:sz w:val="28"/>
          <w:szCs w:val="28"/>
        </w:rPr>
        <w:t>2025</w:t>
      </w:r>
      <w:r>
        <w:rPr>
          <w:rFonts w:ascii="楷体" w:hAnsi="楷体" w:eastAsia="楷体"/>
          <w:sz w:val="28"/>
          <w:szCs w:val="28"/>
        </w:rPr>
        <w:t>年</w:t>
      </w:r>
      <w:r>
        <w:rPr>
          <w:rFonts w:ascii="楷体" w:hAnsi="楷体" w:eastAsia="楷体" w:cs="仿宋_GB2312"/>
          <w:sz w:val="28"/>
          <w:szCs w:val="28"/>
        </w:rPr>
        <w:t>7</w:t>
      </w:r>
      <w:r>
        <w:rPr>
          <w:rFonts w:ascii="楷体" w:hAnsi="楷体" w:eastAsia="楷体"/>
          <w:sz w:val="28"/>
          <w:szCs w:val="28"/>
        </w:rPr>
        <w:t>月</w:t>
      </w:r>
      <w:r>
        <w:rPr>
          <w:rFonts w:ascii="楷体" w:hAnsi="楷体" w:eastAsia="楷体" w:cs="仿宋_GB2312"/>
          <w:sz w:val="28"/>
          <w:szCs w:val="28"/>
        </w:rPr>
        <w:t>25</w:t>
      </w:r>
      <w:r>
        <w:rPr>
          <w:rFonts w:ascii="楷体" w:hAnsi="楷体" w:eastAsia="楷体"/>
          <w:sz w:val="28"/>
          <w:szCs w:val="28"/>
        </w:rPr>
        <w:t>日</w:t>
      </w:r>
    </w:p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备注：本次披露内容解释权归苏银理财所有，不构成任何形式的法律要约或承诺。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02769D"/>
    <w:rsid w:val="0003693A"/>
    <w:rsid w:val="0018431A"/>
    <w:rsid w:val="001847FC"/>
    <w:rsid w:val="001A4262"/>
    <w:rsid w:val="00225933"/>
    <w:rsid w:val="002F385F"/>
    <w:rsid w:val="003C4A54"/>
    <w:rsid w:val="00446F8F"/>
    <w:rsid w:val="004646F6"/>
    <w:rsid w:val="004912D6"/>
    <w:rsid w:val="004B13E5"/>
    <w:rsid w:val="004F2239"/>
    <w:rsid w:val="00533413"/>
    <w:rsid w:val="00536135"/>
    <w:rsid w:val="00582424"/>
    <w:rsid w:val="005A33FF"/>
    <w:rsid w:val="005A47FD"/>
    <w:rsid w:val="005B1FDD"/>
    <w:rsid w:val="005F3063"/>
    <w:rsid w:val="00701AC8"/>
    <w:rsid w:val="00727D40"/>
    <w:rsid w:val="00741AF4"/>
    <w:rsid w:val="00753B70"/>
    <w:rsid w:val="007615AC"/>
    <w:rsid w:val="0077055F"/>
    <w:rsid w:val="007B4265"/>
    <w:rsid w:val="007C76A5"/>
    <w:rsid w:val="007E2E07"/>
    <w:rsid w:val="008271E6"/>
    <w:rsid w:val="008662F0"/>
    <w:rsid w:val="008670D0"/>
    <w:rsid w:val="00884D78"/>
    <w:rsid w:val="00895ED0"/>
    <w:rsid w:val="008D7C50"/>
    <w:rsid w:val="00907975"/>
    <w:rsid w:val="009726FD"/>
    <w:rsid w:val="00981C74"/>
    <w:rsid w:val="00994A01"/>
    <w:rsid w:val="0099549C"/>
    <w:rsid w:val="009A4C05"/>
    <w:rsid w:val="009B7B3B"/>
    <w:rsid w:val="00B023F6"/>
    <w:rsid w:val="00BD1475"/>
    <w:rsid w:val="00BF4C75"/>
    <w:rsid w:val="00CF4048"/>
    <w:rsid w:val="00D14D00"/>
    <w:rsid w:val="00E00096"/>
    <w:rsid w:val="00E50266"/>
    <w:rsid w:val="00EE3AD0"/>
    <w:rsid w:val="0D020791"/>
    <w:rsid w:val="2B7B36A3"/>
    <w:rsid w:val="33A11A70"/>
    <w:rsid w:val="4C3A3E23"/>
    <w:rsid w:val="50303769"/>
    <w:rsid w:val="5C1F7AF2"/>
    <w:rsid w:val="5D326CBE"/>
    <w:rsid w:val="632206C1"/>
    <w:rsid w:val="695942F4"/>
    <w:rsid w:val="6E216B64"/>
    <w:rsid w:val="7CA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 字符"/>
    <w:basedOn w:val="10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10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57</Words>
  <Characters>326</Characters>
  <Lines>2</Lines>
  <Paragraphs>1</Paragraphs>
  <TotalTime>374</TotalTime>
  <ScaleCrop>false</ScaleCrop>
  <LinksUpToDate>false</LinksUpToDate>
  <CharactersWithSpaces>382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User</dc:creator>
  <cp:lastModifiedBy>jsyh</cp:lastModifiedBy>
  <cp:lastPrinted>2023-07-13T02:07:00Z</cp:lastPrinted>
  <dcterms:modified xsi:type="dcterms:W3CDTF">2025-07-28T01:01:37Z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