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恒源1年定开18期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1"/>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1"/>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恒源1年定开18期</w:t>
      </w:r>
      <w:r>
        <w:rPr>
          <w:rFonts w:hint="eastAsia" w:ascii="楷体" w:hAnsi="楷体" w:eastAsia="楷体"/>
          <w:sz w:val="21"/>
          <w:szCs w:val="21"/>
          <w:highlight w:val="none"/>
        </w:rPr>
        <w:t>”理财产品风险揭示书》的“风险揭示”部分。</w:t>
      </w:r>
    </w:p>
    <w:p>
      <w:pPr>
        <w:numPr>
          <w:ilvl w:val="0"/>
          <w:numId w:val="1"/>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1"/>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2"/>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34"/>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恒源1年定开18期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Z7003121000109，</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rPr>
                    <w:t>A</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rPr>
                    <w:t>B</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C</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D</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F</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G</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J</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Q</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S</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ZA（自动赎回）</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 xml:space="preserve"> J02548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ZR（自动赎回）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kern w:val="2"/>
                      <w:sz w:val="18"/>
                      <w:szCs w:val="18"/>
                      <w:highlight w:val="none"/>
                      <w:vertAlign w:val="baseline"/>
                      <w:lang w:val="en-US" w:eastAsia="zh-CN" w:bidi="ar-SA"/>
                    </w:rPr>
                  </w:pPr>
                  <w:r>
                    <w:rPr>
                      <w:rFonts w:hint="eastAsia" w:ascii="楷体" w:hAnsi="楷体" w:eastAsia="楷体" w:cs="宋体"/>
                      <w:spacing w:val="-2"/>
                      <w:kern w:val="0"/>
                      <w:sz w:val="18"/>
                      <w:szCs w:val="18"/>
                      <w:highlight w:val="none"/>
                      <w:lang w:val="en-US" w:eastAsia="zh-CN" w:bidi="ar-SA"/>
                    </w:rPr>
                    <w:t>J06358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ZS份额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恒源1年定开18期</w:t>
                  </w:r>
                  <w:r>
                    <w:rPr>
                      <w:rFonts w:hint="eastAsia" w:ascii="楷体" w:hAnsi="楷体" w:eastAsia="楷体" w:cs="宋体"/>
                      <w:spacing w:val="-2"/>
                      <w:sz w:val="18"/>
                      <w:szCs w:val="18"/>
                      <w:highlight w:val="none"/>
                      <w:lang w:val="en-US" w:eastAsia="zh-CN"/>
                    </w:rPr>
                    <w:t>ZS（自动赎回）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J03467</w:t>
                  </w:r>
                </w:p>
              </w:tc>
            </w:tr>
          </w:tbl>
          <w:p>
            <w:pPr>
              <w:pStyle w:val="34"/>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除ZS份额外，均面向个人和机构投资者销售。</w:t>
            </w:r>
          </w:p>
          <w:p>
            <w:pPr>
              <w:pStyle w:val="34"/>
              <w:kinsoku w:val="0"/>
              <w:overflowPunct w:val="0"/>
              <w:spacing w:before="12"/>
              <w:ind w:left="59"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w:t>
            </w:r>
            <w:r>
              <w:rPr>
                <w:rFonts w:hint="eastAsia" w:ascii="楷体" w:hAnsi="楷体" w:eastAsia="楷体" w:cs="宋体"/>
                <w:spacing w:val="-2"/>
                <w:sz w:val="18"/>
                <w:szCs w:val="18"/>
                <w:highlight w:val="none"/>
                <w:vertAlign w:val="baseline"/>
                <w:lang w:eastAsia="zh-CN"/>
              </w:rPr>
              <w:t>机构投资者具体以销售机构设置为准。</w:t>
            </w:r>
          </w:p>
          <w:p>
            <w:pPr>
              <w:pStyle w:val="34"/>
              <w:kinsoku w:val="0"/>
              <w:overflowPunct w:val="0"/>
              <w:spacing w:before="12"/>
              <w:ind w:left="59" w:right="73" w:rightChars="35"/>
              <w:jc w:val="both"/>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lang w:val="en-US" w:eastAsia="zh-CN"/>
              </w:rPr>
              <w:t>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p>
            <w:pPr>
              <w:pStyle w:val="34"/>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ZS份额面向家族信托销售。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34"/>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34"/>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34"/>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r>
              <w:rPr>
                <w:rFonts w:hint="eastAsia" w:ascii="楷体" w:hAnsi="楷体" w:eastAsia="楷体" w:cs="宋体"/>
                <w:color w:val="auto"/>
                <w:spacing w:val="-2"/>
                <w:sz w:val="18"/>
                <w:szCs w:val="18"/>
                <w:lang w:val="en-US" w:eastAsia="zh-CN"/>
              </w:rPr>
              <w:t>认购期及资金</w:t>
            </w:r>
            <w:r>
              <w:rPr>
                <w:rFonts w:hint="eastAsia" w:ascii="楷体" w:hAnsi="楷体" w:eastAsia="楷体" w:cs="宋体"/>
                <w:color w:val="auto"/>
                <w:spacing w:val="-2"/>
                <w:sz w:val="18"/>
                <w:szCs w:val="18"/>
              </w:rPr>
              <w:t>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1866" w:type="dxa"/>
            <w:noWrap w:val="0"/>
            <w:vAlign w:val="center"/>
          </w:tcPr>
          <w:p>
            <w:pPr>
              <w:pStyle w:val="34"/>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sz w:val="18"/>
                      <w:szCs w:val="18"/>
                      <w:lang w:val="en-US" w:eastAsia="zh-CN"/>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Times New Roman"/>
                      <w:kern w:val="0"/>
                      <w:sz w:val="18"/>
                      <w:szCs w:val="18"/>
                      <w:lang w:val="en-US" w:eastAsia="zh-CN" w:bidi="ar-SA"/>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ZS份额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66" w:type="dxa"/>
            <w:noWrap w:val="0"/>
            <w:vAlign w:val="center"/>
          </w:tcPr>
          <w:p>
            <w:pPr>
              <w:pStyle w:val="34"/>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spacing w:val="-2"/>
                <w:sz w:val="18"/>
                <w:szCs w:val="18"/>
                <w:lang w:eastAsia="zh-CN"/>
              </w:rPr>
              <w:t>2021年7月14日</w:t>
            </w:r>
            <w:r>
              <w:rPr>
                <w:rFonts w:hint="eastAsia" w:ascii="楷体" w:hAnsi="楷体" w:eastAsia="楷体" w:cs="宋体"/>
                <w:spacing w:val="-2"/>
                <w:sz w:val="18"/>
                <w:szCs w:val="18"/>
              </w:rPr>
              <w:t>9:00至</w:t>
            </w:r>
            <w:r>
              <w:rPr>
                <w:rFonts w:hint="eastAsia" w:ascii="楷体" w:hAnsi="楷体" w:eastAsia="楷体" w:cs="宋体"/>
                <w:spacing w:val="-2"/>
                <w:sz w:val="18"/>
                <w:szCs w:val="18"/>
                <w:lang w:eastAsia="zh-CN"/>
              </w:rPr>
              <w:t>2021年7月20日</w:t>
            </w:r>
            <w:r>
              <w:rPr>
                <w:rFonts w:hint="eastAsia" w:ascii="楷体" w:hAnsi="楷体" w:eastAsia="楷体" w:cs="宋体"/>
                <w:spacing w:val="-2"/>
                <w:sz w:val="18"/>
                <w:szCs w:val="18"/>
              </w:rPr>
              <w:t>17:00</w:t>
            </w:r>
            <w:r>
              <w:rPr>
                <w:rFonts w:hint="eastAsia" w:ascii="楷体" w:hAnsi="楷体" w:eastAsia="楷体" w:cs="宋体"/>
                <w:color w:val="auto"/>
                <w:spacing w:val="-2"/>
                <w:sz w:val="18"/>
                <w:szCs w:val="18"/>
                <w:lang w:eastAsia="zh-CN"/>
              </w:rPr>
              <w:t>。</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spacing w:val="-2"/>
                <w:sz w:val="18"/>
                <w:szCs w:val="18"/>
                <w:lang w:eastAsia="zh-CN"/>
              </w:rPr>
              <w:t>2021年7月21日</w:t>
            </w:r>
          </w:p>
          <w:p>
            <w:pPr>
              <w:pStyle w:val="34"/>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2031年7月22日（如遇节假日，顺延至下一工作日）</w:t>
            </w:r>
          </w:p>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C份额、D份额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F份额、G份额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J份额、P份额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Q份额、S份额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ZN份额、ZQ份额ZR份额、ZS份额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34"/>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2025年8月6日至2025年8月14日</w:t>
            </w:r>
          </w:p>
          <w:p>
            <w:pPr>
              <w:pStyle w:val="34"/>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34"/>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34"/>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34"/>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2021年7月21日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2022年7月26日</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2022年7月27日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2023年7月31日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2023年8月1日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2024年8月6日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3.73%-4.13%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3.85%-4.25%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2024年8月7日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eastAsia" w:ascii="楷体" w:hAnsi="楷体" w:eastAsia="楷体"/>
                      <w:sz w:val="18"/>
                      <w:szCs w:val="18"/>
                      <w:lang w:val="en-US" w:eastAsia="zh-CN"/>
                    </w:rPr>
                  </w:pPr>
                  <w:r>
                    <w:rPr>
                      <w:rFonts w:hint="eastAsia" w:ascii="楷体" w:hAnsi="楷体" w:eastAsia="楷体"/>
                      <w:sz w:val="18"/>
                      <w:szCs w:val="18"/>
                      <w:lang w:val="en-US" w:eastAsia="zh-CN"/>
                    </w:rPr>
                    <w:t>2025年8月14日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sz w:val="18"/>
                      <w:szCs w:val="18"/>
                      <w:lang w:val="en-US" w:eastAsia="zh-CN"/>
                    </w:rPr>
                    <w:t>ZS份额2.90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5</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15</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9</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15</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Q份额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S份额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ZR份额 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 xml:space="preserve">ZS份额 </w:t>
                  </w:r>
                  <w:r>
                    <w:rPr>
                      <w:rFonts w:hint="default" w:ascii="楷体" w:hAnsi="楷体" w:eastAsia="楷体" w:cs="Times New Roman"/>
                      <w:sz w:val="18"/>
                      <w:szCs w:val="18"/>
                      <w:lang w:val="en-US" w:eastAsia="zh-CN"/>
                    </w:rPr>
                    <w:t>2.70%-3.30%</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ZR份额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bl>
          <w:p>
            <w:pPr>
              <w:numPr>
                <w:ilvl w:val="0"/>
                <w:numId w:val="3"/>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D份额：上海银行股份有限公司/江苏银行股份有限公司/江苏江阴农村商业银行股份有限公司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上海浦东发展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宁波通商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Q份额：上海浦东发展银行股份有限公司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S份额：上海浦东发展银行股份有限公司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浦江农村商业银行股份有限公司/浙江青田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ZR份额：汉口银行股份有限公司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default" w:ascii="楷体" w:hAnsi="楷体" w:eastAsia="楷体" w:cs="楷体"/>
          <w:sz w:val="21"/>
          <w:szCs w:val="21"/>
          <w:highlight w:val="none"/>
          <w:lang w:val="en-US" w:eastAsia="zh-CN"/>
        </w:rPr>
      </w:pPr>
      <w:bookmarkStart w:id="0" w:name="_GoBack"/>
      <w:bookmarkEnd w:id="0"/>
      <w:r>
        <w:rPr>
          <w:rFonts w:hint="eastAsia" w:ascii="楷体" w:hAnsi="楷体" w:eastAsia="楷体" w:cs="楷体"/>
          <w:sz w:val="21"/>
          <w:szCs w:val="21"/>
          <w:highlight w:val="none"/>
          <w:lang w:val="en-US" w:eastAsia="zh-CN"/>
        </w:rPr>
        <w:t>ZS份额：苏银理财有限责任公司</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5"/>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6"/>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8"/>
        </w:numPr>
        <w:ind w:firstLine="420" w:firstLineChars="200"/>
        <w:rPr>
          <w:rFonts w:hint="eastAsia" w:ascii="楷体" w:hAnsi="楷体" w:eastAsia="楷体"/>
          <w:color w:val="auto"/>
          <w:sz w:val="21"/>
          <w:szCs w:val="21"/>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非标准化债权类资产：融资人为杭州西湖城市建设投资集团有限公司。融资人经营正常，是依法设立的国有公司，主要股东为杭州西湖投资集团有限公司，实际控制人为杭州市西湖区人民政府。（4）非标准化债权类资产：融资人为盐城市国有资产投资集团有限公司。融资人经营正常，是依法设立的国有公司，主要股东为盐城市人民政府和江苏省财政厅，实际控制人为盐城市人民政府。（5）非标准化债权类资产：融资人为江苏淮阴城市产业投资集团有限公司。融资人经营正常，是依法设立的国有公司，主要股东为淮安国控投资集团有限公司，实际控制人为淮安市人民政府。（6）非标准化债权类资产：融资人为宁波象港开发控股集团有限公司。融资人经营正常，是依法设立的国有公司，主要股东为象山县国有资产管理局，实际控制人为象山县国有资产管理局。（7）非标准化债权类资产：融资人为杭州萧山交通投资集团有限公司。融资人经营正常，是依法设立的国有公司，主要股东为杭州萧山国有资产经营集团有限公司，实际控制人为杭州市萧山区人民政府办公室。（8）非标准化债权类资产：融资人为无锡市梁溪产业发展集团有限公司。融资人经营正常，是依法设立的国有公司，主要股东为无锡市梁溪区人民政府国有资产监督管理办公室、无锡市梁溪城市运营服务集团有限公司，实际控制人为无锡市梁溪区人民政府国有资产监督管理办公室。（9）非标准化债权类资产：融资人为浙江杭州青山湖科技城投资集团有限公司。融资人经营正常，是依法设立的国有公司，主要股东为杭州市临安区国有股权控股有限公司、工银金融资产投资有限公司，实际控制人为杭州市临安区国有资产管理服务中心。（10）非标准化债权类资产：融资人为台州市黄岩国有资本投资运营集团有限公司。融资人经营正常，是依法设立的国有公司，主要股东为台州市黄岩区财政局，实际控制人为台州市黄岩区财政局。（11）非标准化债权类资产：融资人为盐城市东亭产业发展集团有限公司。融资人经营正常，是依法设立的国有公司，主要股东为盐城市人民政府，实际控制人为盐城市人民政府。（12）非标准化债权类资产：融资人为泰州国控投资集团有限公司。融资人经营正常，是依法设立的国有公司，主要股东为泰州市政府国有资产监督管理委员会，实际控制人为泰州市人民政府。（13）非标准化债权类资产：融资人为无锡惠山高科集团有限公司。融资人经营正常，是依法设立的国有公司，主要股东为无锡惠山高科产业控股有限公司，实际控制人为无锡惠山经济开发区国有资产管理办公室。（14）非标准化债权类资产：融资人为仪征市扬子文旅控股集团有限公司。融资人经营正常，是依法设立的国有公司，主要股东为仪征市国有资产管理中心，实际控制人为仪征市人民政府。（15）非标准化债权类资产：融资人为台州市路桥区社会事业发展集团有限公司。融资人经营正常，是依法设立的国有公司，主要股东为台州市路桥公共资产投资管理集团有限公司，实际控制人为台州市路桥区人民政府国有资产监督管理委员会。（16）非标准化债权类资产：融资人为杭州富阳城市建设投资集团有限公司。融资人经营正常，是依法设立的国有公司，主要股东为杭州市富阳区人民政府国有资产监督管理办公室，实际控制人为杭州市富阳区人民政府国有资产监督管理办公室。（17）非标准化债权类资产：融资人为扬州新材料国资控股集团有限公司。融资人经营正常，是依法设立的国有公司，主要股东为扬州市兴仪投资控股集团有限公司、仪征市扬子文旅控股集团有限公司，实际控制人为扬州市人民政府。（18）非标准化债权类资产：融资人为淮安市城市发展投资控股集团有限公司。融资人经营正常，是依法设立的国有公司，主要股东为淮安市人民政府，实际控制人为淮安市人民政府。（19）非标准化债权类资产：融资人为盐城市水务集团有限公司。融资人经营正常，是依法设立的国有公司，主要股东为盐城市市政公用投资有限公司，实际控制人为盐城市人民政府。（20）非标准化债权类资产：融资人为江苏开晟产业发展集团有限公司。融资人经营正常，是依法设立的国有公司，主要股东为海安经济技术开发区管理委员会，实际控制人为海安经济技术开发区管理委员会。（21）非标准化债权类资产：融资人为富皋万泰集团有限公司。融资人经营正常，是依法设立的国有公司，主要股东为如皋市人民政府，实际控制人为如皋市人民政府。（22）非标准化债权类资产：融资人为南通城市建设集团有限公司(原债务主体：南通国有资产投资控股有限公司)。融资人经营正常，是依法设立的国有公司，主要股东为南通市人民政府国有资产监督管理委员会，实际控制人为南通市人民政府国有资产监督管理委员会</w:t>
      </w:r>
      <w:r>
        <w:rPr>
          <w:rFonts w:hint="eastAsia" w:ascii="楷体" w:hAnsi="楷体" w:eastAsia="楷体"/>
          <w:color w:val="auto"/>
          <w:sz w:val="21"/>
          <w:szCs w:val="21"/>
          <w:lang w:val="en-US" w:eastAsia="zh-CN"/>
        </w:rPr>
        <w:t>。</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7"/>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default" w:ascii="Calibri" w:hAnsi="Calibri" w:eastAsia="楷体" w:cs="Calibri"/>
          <w:b w:val="0"/>
          <w:bCs w:val="0"/>
          <w:sz w:val="21"/>
          <w:szCs w:val="21"/>
        </w:rPr>
        <w:t>苏豪</w:t>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苏豪弘业期货股份有限公司（简称弘业期货）成立于1995年，注册资本1,007,777,778元人民币，隶属于江苏省国资委全资拥有的国有企业江苏省苏豪控股集团有限公司。公司经营范围涵盖商品期货经纪、金融期货经纪、期货投资咨询、资产管理、基金销售业务。在北、上、广等国内主要金融中心和重点城市设立35家分支机构，数量位居全国前列，并在行业内率先建立国家级博士后工作站。</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2"/>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2"/>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2"/>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r>
        <w:rPr>
          <w:rFonts w:hint="eastAsia" w:ascii="楷体" w:hAnsi="楷体" w:eastAsia="楷体"/>
          <w:color w:val="auto"/>
          <w:sz w:val="21"/>
          <w:szCs w:val="21"/>
        </w:rPr>
        <w:t>理财产品提前终止日（含当日）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rPr>
        <w:t>。</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r>
        <w:rPr>
          <w:rFonts w:hint="eastAsia" w:ascii="楷体" w:hAnsi="楷体" w:eastAsia="楷体"/>
          <w:sz w:val="21"/>
          <w:szCs w:val="21"/>
          <w:lang w:val="en-US" w:eastAsia="zh-CN"/>
        </w:rPr>
        <w:t>产品到期日</w:t>
      </w:r>
      <w:r>
        <w:rPr>
          <w:rFonts w:hint="eastAsia" w:ascii="楷体" w:hAnsi="楷体" w:eastAsia="楷体"/>
          <w:color w:val="auto"/>
          <w:sz w:val="21"/>
          <w:szCs w:val="21"/>
        </w:rPr>
        <w:t>（含当日）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lang w:val="en-US" w:eastAsia="zh-CN"/>
        </w:rPr>
        <w:t>。</w:t>
      </w:r>
    </w:p>
    <w:p>
      <w:pPr>
        <w:numPr>
          <w:ilvl w:val="0"/>
          <w:numId w:val="13"/>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2"/>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0"/>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541B78"/>
    <w:multiLevelType w:val="singleLevel"/>
    <w:tmpl w:val="78541B78"/>
    <w:lvl w:ilvl="0" w:tentative="0">
      <w:start w:val="1"/>
      <w:numFmt w:val="decimal"/>
      <w:suff w:val="nothing"/>
      <w:lvlText w:val="（%1）"/>
      <w:lvlJc w:val="left"/>
    </w:lvl>
  </w:abstractNum>
  <w:abstractNum w:abstractNumId="19">
    <w:nsid w:val="790DC278"/>
    <w:multiLevelType w:val="singleLevel"/>
    <w:tmpl w:val="790DC278"/>
    <w:lvl w:ilvl="0" w:tentative="0">
      <w:start w:val="2"/>
      <w:numFmt w:val="decimal"/>
      <w:lvlText w:val="%1."/>
      <w:lvlJc w:val="left"/>
      <w:pPr>
        <w:tabs>
          <w:tab w:val="left" w:pos="312"/>
        </w:tabs>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9"/>
  </w:num>
  <w:num w:numId="4">
    <w:abstractNumId w:val="14"/>
  </w:num>
  <w:num w:numId="5">
    <w:abstractNumId w:val="15"/>
  </w:num>
  <w:num w:numId="6">
    <w:abstractNumId w:val="5"/>
  </w:num>
  <w:num w:numId="7">
    <w:abstractNumId w:val="17"/>
  </w:num>
  <w:num w:numId="8">
    <w:abstractNumId w:val="18"/>
  </w:num>
  <w:num w:numId="9">
    <w:abstractNumId w:val="13"/>
  </w:num>
  <w:num w:numId="10">
    <w:abstractNumId w:val="9"/>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2"/>
  </w:num>
  <w:num w:numId="18">
    <w:abstractNumId w:val="11"/>
  </w:num>
  <w:num w:numId="19">
    <w:abstractNumId w:val="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6353"/>
    <w:rsid w:val="00061CBB"/>
    <w:rsid w:val="00276FCD"/>
    <w:rsid w:val="00B73039"/>
    <w:rsid w:val="01C11F94"/>
    <w:rsid w:val="01DC00D2"/>
    <w:rsid w:val="02394C4E"/>
    <w:rsid w:val="05120775"/>
    <w:rsid w:val="052D480C"/>
    <w:rsid w:val="05741815"/>
    <w:rsid w:val="05C22B02"/>
    <w:rsid w:val="06A93A70"/>
    <w:rsid w:val="08494B4C"/>
    <w:rsid w:val="087E378B"/>
    <w:rsid w:val="08C87576"/>
    <w:rsid w:val="0AA20035"/>
    <w:rsid w:val="0B7873E7"/>
    <w:rsid w:val="0D460355"/>
    <w:rsid w:val="0DC578C3"/>
    <w:rsid w:val="0DDD75CE"/>
    <w:rsid w:val="0F2D7FC5"/>
    <w:rsid w:val="0FA551A3"/>
    <w:rsid w:val="0FD41768"/>
    <w:rsid w:val="119672A7"/>
    <w:rsid w:val="11C449B6"/>
    <w:rsid w:val="12136ABA"/>
    <w:rsid w:val="12627D38"/>
    <w:rsid w:val="132C05F4"/>
    <w:rsid w:val="133603BC"/>
    <w:rsid w:val="14EA3140"/>
    <w:rsid w:val="15C23F41"/>
    <w:rsid w:val="18766114"/>
    <w:rsid w:val="18B5181D"/>
    <w:rsid w:val="19DA1846"/>
    <w:rsid w:val="19DF46F8"/>
    <w:rsid w:val="19E8300C"/>
    <w:rsid w:val="1A74679E"/>
    <w:rsid w:val="1B2B7A2C"/>
    <w:rsid w:val="1BB6506B"/>
    <w:rsid w:val="1C122A70"/>
    <w:rsid w:val="1C1B3B29"/>
    <w:rsid w:val="1FBB7F9F"/>
    <w:rsid w:val="20862AD5"/>
    <w:rsid w:val="208D0A85"/>
    <w:rsid w:val="20D359FB"/>
    <w:rsid w:val="21361C5E"/>
    <w:rsid w:val="215A5298"/>
    <w:rsid w:val="216C322D"/>
    <w:rsid w:val="21893A13"/>
    <w:rsid w:val="22DC376E"/>
    <w:rsid w:val="26E90667"/>
    <w:rsid w:val="272D4E16"/>
    <w:rsid w:val="274A0B5C"/>
    <w:rsid w:val="27FA7E2E"/>
    <w:rsid w:val="28F60FCD"/>
    <w:rsid w:val="29855A2C"/>
    <w:rsid w:val="2ADA6AE2"/>
    <w:rsid w:val="2B221E6C"/>
    <w:rsid w:val="2B3631F4"/>
    <w:rsid w:val="2B797161"/>
    <w:rsid w:val="2CE341B5"/>
    <w:rsid w:val="2E9559D9"/>
    <w:rsid w:val="2F3015A3"/>
    <w:rsid w:val="30F231D2"/>
    <w:rsid w:val="31097378"/>
    <w:rsid w:val="311D7D22"/>
    <w:rsid w:val="31376781"/>
    <w:rsid w:val="32035262"/>
    <w:rsid w:val="32544E43"/>
    <w:rsid w:val="331B4ED5"/>
    <w:rsid w:val="33C259F7"/>
    <w:rsid w:val="34C51A78"/>
    <w:rsid w:val="34E0563C"/>
    <w:rsid w:val="35F40894"/>
    <w:rsid w:val="37396667"/>
    <w:rsid w:val="375223CF"/>
    <w:rsid w:val="375F35B5"/>
    <w:rsid w:val="37F6376B"/>
    <w:rsid w:val="38005C99"/>
    <w:rsid w:val="3806789C"/>
    <w:rsid w:val="398C207A"/>
    <w:rsid w:val="399F1ACD"/>
    <w:rsid w:val="3B316DAA"/>
    <w:rsid w:val="3DC06319"/>
    <w:rsid w:val="3FBD5D22"/>
    <w:rsid w:val="3FED70CF"/>
    <w:rsid w:val="3FFF7279"/>
    <w:rsid w:val="407A2131"/>
    <w:rsid w:val="40BB01C3"/>
    <w:rsid w:val="40E74809"/>
    <w:rsid w:val="4125361C"/>
    <w:rsid w:val="427B00CF"/>
    <w:rsid w:val="43076EE2"/>
    <w:rsid w:val="43A60B8B"/>
    <w:rsid w:val="43CA7AC6"/>
    <w:rsid w:val="44255F9B"/>
    <w:rsid w:val="44A14314"/>
    <w:rsid w:val="456926CF"/>
    <w:rsid w:val="45A31E9F"/>
    <w:rsid w:val="46F648FA"/>
    <w:rsid w:val="48683357"/>
    <w:rsid w:val="49287F12"/>
    <w:rsid w:val="49582C60"/>
    <w:rsid w:val="495D6DB6"/>
    <w:rsid w:val="4C4F3FC2"/>
    <w:rsid w:val="4D077EEE"/>
    <w:rsid w:val="4D0E0101"/>
    <w:rsid w:val="4DBC05B9"/>
    <w:rsid w:val="4F833B49"/>
    <w:rsid w:val="50AC6DEA"/>
    <w:rsid w:val="511F6784"/>
    <w:rsid w:val="514805FC"/>
    <w:rsid w:val="5219373E"/>
    <w:rsid w:val="524C0A95"/>
    <w:rsid w:val="52F50359"/>
    <w:rsid w:val="566B4A32"/>
    <w:rsid w:val="575431DF"/>
    <w:rsid w:val="576079D6"/>
    <w:rsid w:val="581A432A"/>
    <w:rsid w:val="59205884"/>
    <w:rsid w:val="598A3524"/>
    <w:rsid w:val="5A093EC3"/>
    <w:rsid w:val="5AA94CCB"/>
    <w:rsid w:val="5AE617EC"/>
    <w:rsid w:val="5C882FDD"/>
    <w:rsid w:val="5CB22E1D"/>
    <w:rsid w:val="5D2C6491"/>
    <w:rsid w:val="5EB35D09"/>
    <w:rsid w:val="5F20411D"/>
    <w:rsid w:val="60B91793"/>
    <w:rsid w:val="60CC4D75"/>
    <w:rsid w:val="60E67AA7"/>
    <w:rsid w:val="619E0AB7"/>
    <w:rsid w:val="61B16453"/>
    <w:rsid w:val="627E6257"/>
    <w:rsid w:val="630832B1"/>
    <w:rsid w:val="63DD04FD"/>
    <w:rsid w:val="63F6448F"/>
    <w:rsid w:val="64133A3F"/>
    <w:rsid w:val="643E4883"/>
    <w:rsid w:val="64E02039"/>
    <w:rsid w:val="655A3D56"/>
    <w:rsid w:val="65A137B1"/>
    <w:rsid w:val="65CD5630"/>
    <w:rsid w:val="65FC7340"/>
    <w:rsid w:val="66A717F9"/>
    <w:rsid w:val="66A9578C"/>
    <w:rsid w:val="67057615"/>
    <w:rsid w:val="67AA451F"/>
    <w:rsid w:val="67FA4DDD"/>
    <w:rsid w:val="685657A1"/>
    <w:rsid w:val="688556A7"/>
    <w:rsid w:val="6895189D"/>
    <w:rsid w:val="69473E9F"/>
    <w:rsid w:val="69AC4F69"/>
    <w:rsid w:val="69D72936"/>
    <w:rsid w:val="6A6F11CC"/>
    <w:rsid w:val="6B7460C1"/>
    <w:rsid w:val="6C035B7A"/>
    <w:rsid w:val="6C303D8F"/>
    <w:rsid w:val="6C56268E"/>
    <w:rsid w:val="6D9A555F"/>
    <w:rsid w:val="6E046353"/>
    <w:rsid w:val="6E3034D4"/>
    <w:rsid w:val="6E430F2A"/>
    <w:rsid w:val="6F5161E8"/>
    <w:rsid w:val="6FF51B3B"/>
    <w:rsid w:val="6FFC72C8"/>
    <w:rsid w:val="709561C1"/>
    <w:rsid w:val="709642CC"/>
    <w:rsid w:val="70F85622"/>
    <w:rsid w:val="717E0546"/>
    <w:rsid w:val="719B567C"/>
    <w:rsid w:val="728C7F4A"/>
    <w:rsid w:val="72CE224D"/>
    <w:rsid w:val="72E91E80"/>
    <w:rsid w:val="7684397E"/>
    <w:rsid w:val="781D7834"/>
    <w:rsid w:val="782352CE"/>
    <w:rsid w:val="785E0C86"/>
    <w:rsid w:val="786A5D9D"/>
    <w:rsid w:val="787F629A"/>
    <w:rsid w:val="78DC7260"/>
    <w:rsid w:val="7900411B"/>
    <w:rsid w:val="790D0E29"/>
    <w:rsid w:val="79395171"/>
    <w:rsid w:val="79B85C40"/>
    <w:rsid w:val="7A385137"/>
    <w:rsid w:val="7B4A194A"/>
    <w:rsid w:val="7B7E0491"/>
    <w:rsid w:val="7BBF3DB1"/>
    <w:rsid w:val="7D466F15"/>
    <w:rsid w:val="7D805BC0"/>
    <w:rsid w:val="7D9A0522"/>
    <w:rsid w:val="7FD3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4"/>
    <w:unhideWhenUsed/>
    <w:qFormat/>
    <w:uiPriority w:val="99"/>
    <w:pPr>
      <w:ind w:left="100" w:leftChars="2500"/>
    </w:pPr>
  </w:style>
  <w:style w:type="paragraph" w:styleId="8">
    <w:name w:val="Balloon Text"/>
    <w:basedOn w:val="1"/>
    <w:link w:val="45"/>
    <w:unhideWhenUsed/>
    <w:qFormat/>
    <w:uiPriority w:val="99"/>
    <w:rPr>
      <w:kern w:val="0"/>
      <w:sz w:val="18"/>
      <w:szCs w:val="18"/>
    </w:rPr>
  </w:style>
  <w:style w:type="paragraph" w:styleId="9">
    <w:name w:val="footer"/>
    <w:basedOn w:val="1"/>
    <w:link w:val="46"/>
    <w:unhideWhenUsed/>
    <w:qFormat/>
    <w:uiPriority w:val="99"/>
    <w:pPr>
      <w:tabs>
        <w:tab w:val="center" w:pos="4153"/>
        <w:tab w:val="right" w:pos="8306"/>
      </w:tabs>
      <w:snapToGrid w:val="0"/>
      <w:jc w:val="left"/>
    </w:pPr>
    <w:rPr>
      <w:kern w:val="0"/>
      <w:sz w:val="18"/>
      <w:szCs w:val="18"/>
    </w:rPr>
  </w:style>
  <w:style w:type="paragraph" w:styleId="1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正文文本 字符"/>
    <w:link w:val="2"/>
    <w:qFormat/>
    <w:uiPriority w:val="1"/>
    <w:rPr>
      <w:rFonts w:ascii="宋体" w:hAnsi="Times New Roman" w:eastAsia="宋体" w:cs="Times New Roman"/>
      <w:kern w:val="0"/>
      <w:sz w:val="20"/>
      <w:szCs w:val="21"/>
    </w:rPr>
  </w:style>
  <w:style w:type="character" w:customStyle="1" w:styleId="23">
    <w:name w:val="标题 1 字符"/>
    <w:link w:val="3"/>
    <w:qFormat/>
    <w:uiPriority w:val="1"/>
    <w:rPr>
      <w:rFonts w:ascii="黑体" w:hAnsi="Times New Roman" w:eastAsia="黑体" w:cs="Times New Roman"/>
      <w:b/>
      <w:bCs/>
      <w:kern w:val="0"/>
      <w:sz w:val="36"/>
      <w:szCs w:val="36"/>
    </w:rPr>
  </w:style>
  <w:style w:type="character" w:customStyle="1" w:styleId="24">
    <w:name w:val="标题 2 字符"/>
    <w:link w:val="4"/>
    <w:qFormat/>
    <w:uiPriority w:val="9"/>
    <w:rPr>
      <w:rFonts w:ascii="Cambria" w:hAnsi="Cambria" w:eastAsia="宋体" w:cs="Times New Roman"/>
      <w:b/>
      <w:bCs/>
      <w:kern w:val="0"/>
      <w:sz w:val="32"/>
      <w:szCs w:val="32"/>
    </w:rPr>
  </w:style>
  <w:style w:type="character" w:customStyle="1" w:styleId="25">
    <w:name w:val="标题 3 字符"/>
    <w:link w:val="5"/>
    <w:qFormat/>
    <w:uiPriority w:val="1"/>
    <w:rPr>
      <w:rFonts w:ascii="宋体" w:hAnsi="Times New Roman" w:eastAsia="宋体" w:cs="Times New Roman"/>
      <w:b/>
      <w:bCs/>
      <w:kern w:val="0"/>
      <w:sz w:val="20"/>
      <w:szCs w:val="21"/>
    </w:rPr>
  </w:style>
  <w:style w:type="character" w:customStyle="1" w:styleId="26">
    <w:name w:val="批注文字 字符"/>
    <w:link w:val="6"/>
    <w:qFormat/>
    <w:uiPriority w:val="99"/>
    <w:rPr>
      <w:rFonts w:ascii="Times New Roman" w:hAnsi="Times New Roman" w:eastAsia="宋体" w:cs="Times New Roman"/>
    </w:rPr>
  </w:style>
  <w:style w:type="character" w:customStyle="1" w:styleId="27">
    <w:name w:val="日期 字符"/>
    <w:basedOn w:val="17"/>
    <w:link w:val="7"/>
    <w:semiHidden/>
    <w:qFormat/>
    <w:uiPriority w:val="99"/>
    <w:rPr>
      <w:rFonts w:ascii="Times New Roman" w:hAnsi="Times New Roman" w:eastAsia="宋体" w:cs="Times New Roman"/>
    </w:rPr>
  </w:style>
  <w:style w:type="character" w:customStyle="1" w:styleId="28">
    <w:name w:val="批注框文本 字符"/>
    <w:link w:val="8"/>
    <w:semiHidden/>
    <w:qFormat/>
    <w:uiPriority w:val="99"/>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99"/>
    <w:rPr>
      <w:rFonts w:ascii="Times New Roman" w:hAnsi="Times New Roman" w:eastAsia="宋体" w:cs="Times New Roman"/>
      <w:kern w:val="0"/>
      <w:sz w:val="18"/>
      <w:szCs w:val="18"/>
    </w:rPr>
  </w:style>
  <w:style w:type="character" w:customStyle="1" w:styleId="31">
    <w:name w:val="脚注文本 字符1"/>
    <w:link w:val="11"/>
    <w:qFormat/>
    <w:uiPriority w:val="99"/>
    <w:rPr>
      <w:rFonts w:ascii="Times New Roman" w:hAnsi="Times New Roman" w:eastAsia="宋体" w:cs="Times New Roman"/>
      <w:sz w:val="18"/>
      <w:szCs w:val="18"/>
    </w:rPr>
  </w:style>
  <w:style w:type="character" w:customStyle="1" w:styleId="32">
    <w:name w:val="批注主题 字符"/>
    <w:link w:val="14"/>
    <w:semiHidden/>
    <w:qFormat/>
    <w:uiPriority w:val="99"/>
    <w:rPr>
      <w:rFonts w:ascii="Times New Roman" w:hAnsi="Times New Roman" w:eastAsia="宋体" w:cs="Times New Roman"/>
      <w:b/>
      <w:bCs/>
    </w:rPr>
  </w:style>
  <w:style w:type="character" w:customStyle="1" w:styleId="33">
    <w:name w:val="脚注文本 字符"/>
    <w:semiHidden/>
    <w:qFormat/>
    <w:uiPriority w:val="99"/>
    <w:rPr>
      <w:rFonts w:ascii="Times New Roman" w:hAnsi="Times New Roman" w:eastAsia="宋体" w:cs="Times New Roman"/>
      <w:kern w:val="2"/>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35">
    <w:name w:val="List Paragraph"/>
    <w:basedOn w:val="1"/>
    <w:qFormat/>
    <w:uiPriority w:val="72"/>
    <w:pPr>
      <w:ind w:firstLine="420" w:firstLineChars="200"/>
    </w:p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38">
    <w:name w:val="_Style 33"/>
    <w:semiHidden/>
    <w:qFormat/>
    <w:uiPriority w:val="99"/>
    <w:rPr>
      <w:rFonts w:ascii="Times New Roman" w:hAnsi="Times New Roman" w:eastAsia="宋体" w:cs="Times New Roman"/>
      <w:kern w:val="2"/>
      <w:sz w:val="21"/>
      <w:szCs w:val="22"/>
      <w:lang w:val="en-US" w:eastAsia="zh-CN" w:bidi="ar-SA"/>
    </w:rPr>
  </w:style>
  <w:style w:type="character" w:customStyle="1" w:styleId="39">
    <w:name w:val="标题 1 Char"/>
    <w:link w:val="3"/>
    <w:qFormat/>
    <w:uiPriority w:val="1"/>
    <w:rPr>
      <w:rFonts w:ascii="黑体" w:hAnsi="Times New Roman" w:eastAsia="黑体" w:cs="黑体"/>
      <w:b/>
      <w:bCs/>
      <w:kern w:val="0"/>
      <w:sz w:val="36"/>
      <w:szCs w:val="36"/>
    </w:rPr>
  </w:style>
  <w:style w:type="character" w:customStyle="1" w:styleId="40">
    <w:name w:val="标题 2 Char"/>
    <w:link w:val="4"/>
    <w:qFormat/>
    <w:uiPriority w:val="9"/>
    <w:rPr>
      <w:rFonts w:ascii="Cambria" w:hAnsi="Cambria" w:eastAsia="宋体" w:cs="Times New Roman"/>
      <w:b/>
      <w:bCs/>
      <w:sz w:val="32"/>
      <w:szCs w:val="32"/>
    </w:rPr>
  </w:style>
  <w:style w:type="character" w:customStyle="1" w:styleId="41">
    <w:name w:val="标题 3 Char"/>
    <w:link w:val="5"/>
    <w:qFormat/>
    <w:uiPriority w:val="1"/>
    <w:rPr>
      <w:rFonts w:ascii="宋体" w:hAnsi="Times New Roman" w:eastAsia="宋体" w:cs="宋体"/>
      <w:b/>
      <w:bCs/>
      <w:kern w:val="0"/>
      <w:szCs w:val="21"/>
    </w:rPr>
  </w:style>
  <w:style w:type="character" w:customStyle="1" w:styleId="42">
    <w:name w:val="批注文字 Char"/>
    <w:link w:val="6"/>
    <w:qFormat/>
    <w:uiPriority w:val="99"/>
    <w:rPr>
      <w:rFonts w:ascii="Times New Roman" w:hAnsi="Times New Roman" w:eastAsia="宋体" w:cs="Times New Roman"/>
      <w:kern w:val="2"/>
      <w:sz w:val="21"/>
      <w:szCs w:val="22"/>
    </w:rPr>
  </w:style>
  <w:style w:type="character" w:customStyle="1" w:styleId="43">
    <w:name w:val="正文文本 Char"/>
    <w:link w:val="2"/>
    <w:qFormat/>
    <w:uiPriority w:val="1"/>
    <w:rPr>
      <w:rFonts w:ascii="宋体" w:hAnsi="Times New Roman" w:eastAsia="宋体" w:cs="宋体"/>
      <w:kern w:val="0"/>
      <w:szCs w:val="21"/>
    </w:rPr>
  </w:style>
  <w:style w:type="character" w:customStyle="1" w:styleId="44">
    <w:name w:val="日期 Char"/>
    <w:basedOn w:val="17"/>
    <w:link w:val="7"/>
    <w:semiHidden/>
    <w:qFormat/>
    <w:uiPriority w:val="99"/>
    <w:rPr>
      <w:rFonts w:ascii="Times New Roman" w:hAnsi="Times New Roman" w:eastAsia="宋体" w:cs="Times New Roman"/>
    </w:rPr>
  </w:style>
  <w:style w:type="character" w:customStyle="1" w:styleId="45">
    <w:name w:val="批注框文本 Char"/>
    <w:link w:val="8"/>
    <w:semiHidden/>
    <w:qFormat/>
    <w:uiPriority w:val="99"/>
    <w:rPr>
      <w:rFonts w:ascii="Times New Roman" w:hAnsi="Times New Roman" w:eastAsia="宋体" w:cs="Times New Roman"/>
      <w:sz w:val="18"/>
      <w:szCs w:val="18"/>
    </w:rPr>
  </w:style>
  <w:style w:type="character" w:customStyle="1" w:styleId="46">
    <w:name w:val="页脚 Char"/>
    <w:link w:val="9"/>
    <w:qFormat/>
    <w:uiPriority w:val="99"/>
    <w:rPr>
      <w:rFonts w:ascii="Times New Roman" w:hAnsi="Times New Roman" w:eastAsia="宋体" w:cs="Times New Roman"/>
      <w:sz w:val="18"/>
      <w:szCs w:val="18"/>
    </w:rPr>
  </w:style>
  <w:style w:type="character" w:customStyle="1" w:styleId="47">
    <w:name w:val="页眉 Char"/>
    <w:link w:val="10"/>
    <w:qFormat/>
    <w:uiPriority w:val="99"/>
    <w:rPr>
      <w:rFonts w:ascii="Times New Roman" w:hAnsi="Times New Roman" w:eastAsia="宋体" w:cs="Times New Roman"/>
      <w:sz w:val="18"/>
      <w:szCs w:val="18"/>
    </w:rPr>
  </w:style>
  <w:style w:type="character" w:customStyle="1" w:styleId="48">
    <w:name w:val="批注主题 Char"/>
    <w:link w:val="14"/>
    <w:semiHidden/>
    <w:qFormat/>
    <w:uiPriority w:val="99"/>
    <w:rPr>
      <w:rFonts w:ascii="Times New Roman" w:hAnsi="Times New Roman" w:eastAsia="宋体" w:cs="Times New Roman"/>
      <w:b/>
      <w:bCs/>
      <w:kern w:val="2"/>
      <w:sz w:val="21"/>
      <w:szCs w:val="22"/>
    </w:rPr>
  </w:style>
  <w:style w:type="paragraph" w:customStyle="1" w:styleId="49">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21797</Words>
  <Characters>23066</Characters>
  <Lines>37</Lines>
  <Paragraphs>10</Paragraphs>
  <TotalTime>26</TotalTime>
  <ScaleCrop>false</ScaleCrop>
  <LinksUpToDate>false</LinksUpToDate>
  <CharactersWithSpaces>23116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2021-07-01T12:12:00Z</cp:lastPrinted>
  <dcterms:modified xsi:type="dcterms:W3CDTF">2025-07-29T11:07:56Z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57DE483545F742868D80F7217A5BA398</vt:lpwstr>
  </property>
</Properties>
</file>