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eastAsia="黑体"/>
          <w:b/>
          <w:bCs/>
          <w:color w:val="000000"/>
          <w:sz w:val="30"/>
          <w:szCs w:val="30"/>
          <w:highlight w:val="none"/>
          <w:lang w:eastAsia="zh-CN"/>
        </w:rPr>
      </w:pPr>
      <w:bookmarkStart w:id="0" w:name="_GoBack"/>
      <w:bookmarkEnd w:id="0"/>
      <w:r>
        <w:rPr>
          <w:rFonts w:hint="eastAsia" w:ascii="黑体" w:eastAsia="黑体"/>
          <w:b/>
          <w:bCs/>
          <w:color w:val="000000"/>
          <w:sz w:val="30"/>
          <w:szCs w:val="30"/>
          <w:highlight w:val="none"/>
          <w:lang w:eastAsia="zh-CN"/>
        </w:rPr>
        <w:t>北银理财丰收系列京华远见春系列</w:t>
      </w:r>
    </w:p>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val="en-US" w:eastAsia="zh-CN"/>
        </w:rPr>
        <w:t>诚享</w:t>
      </w:r>
      <w:permStart w:id="0" w:edGrp="everyone"/>
      <w:r>
        <w:rPr>
          <w:rFonts w:hint="eastAsia" w:ascii="黑体" w:eastAsia="黑体"/>
          <w:b/>
          <w:bCs/>
          <w:color w:val="000000"/>
          <w:sz w:val="30"/>
          <w:szCs w:val="30"/>
          <w:highlight w:val="none"/>
          <w:lang w:val="en-US" w:eastAsia="zh-CN"/>
        </w:rPr>
        <w:t>7</w:t>
      </w:r>
      <w:permEnd w:id="0"/>
      <w:r>
        <w:rPr>
          <w:rFonts w:hint="eastAsia" w:ascii="黑体" w:eastAsia="黑体"/>
          <w:b/>
          <w:bCs/>
          <w:color w:val="000000"/>
          <w:sz w:val="30"/>
          <w:szCs w:val="30"/>
          <w:highlight w:val="none"/>
          <w:lang w:eastAsia="zh-CN"/>
        </w:rPr>
        <w:t>天持有期</w:t>
      </w:r>
      <w:permStart w:id="1" w:edGrp="everyone"/>
      <w:r>
        <w:rPr>
          <w:rFonts w:hint="eastAsia" w:ascii="黑体" w:eastAsia="黑体"/>
          <w:b/>
          <w:bCs/>
          <w:color w:val="000000"/>
          <w:sz w:val="30"/>
          <w:szCs w:val="30"/>
          <w:highlight w:val="none"/>
          <w:lang w:val="en-US" w:eastAsia="zh-CN"/>
        </w:rPr>
        <w:t>1</w:t>
      </w:r>
      <w:permEnd w:id="1"/>
      <w:r>
        <w:rPr>
          <w:rFonts w:hint="eastAsia" w:ascii="黑体" w:eastAsia="黑体"/>
          <w:b/>
          <w:bCs/>
          <w:color w:val="000000"/>
          <w:sz w:val="30"/>
          <w:szCs w:val="30"/>
          <w:highlight w:val="none"/>
          <w:lang w:eastAsia="zh-CN"/>
        </w:rPr>
        <w:t>号理财产品</w:t>
      </w:r>
    </w:p>
    <w:p>
      <w:pPr>
        <w:tabs>
          <w:tab w:val="left" w:pos="915"/>
          <w:tab w:val="center" w:pos="5273"/>
        </w:tabs>
        <w:spacing w:before="50"/>
        <w:jc w:val="center"/>
        <w:rPr>
          <w:rFonts w:ascii="黑体" w:eastAsia="黑体"/>
          <w:b/>
          <w:bCs/>
          <w:color w:val="000000"/>
          <w:sz w:val="30"/>
          <w:szCs w:val="30"/>
        </w:rPr>
      </w:pPr>
      <w:r>
        <w:rPr>
          <w:rFonts w:hint="eastAsia" w:ascii="黑体" w:eastAsia="黑体"/>
          <w:b/>
          <w:bCs/>
          <w:color w:val="000000"/>
          <w:sz w:val="30"/>
          <w:szCs w:val="30"/>
        </w:rPr>
        <w:t>投资者</w:t>
      </w:r>
      <w:r>
        <w:rPr>
          <w:rFonts w:ascii="黑体" w:eastAsia="黑体"/>
          <w:b/>
          <w:bCs/>
          <w:color w:val="000000"/>
          <w:sz w:val="30"/>
          <w:szCs w:val="30"/>
        </w:rPr>
        <w:t>权益须知</w:t>
      </w:r>
    </w:p>
    <w:p>
      <w:pPr>
        <w:autoSpaceDE w:val="0"/>
        <w:autoSpaceDN w:val="0"/>
        <w:adjustRightInd w:val="0"/>
        <w:spacing w:before="62" w:beforeLines="20"/>
        <w:rPr>
          <w:rFonts w:ascii="楷体_GB2312" w:eastAsia="楷体_GB2312"/>
          <w:b/>
          <w:color w:val="000000"/>
          <w:sz w:val="24"/>
        </w:rPr>
      </w:pPr>
    </w:p>
    <w:p>
      <w:pPr>
        <w:autoSpaceDE w:val="0"/>
        <w:autoSpaceDN w:val="0"/>
        <w:adjustRightInd w:val="0"/>
        <w:spacing w:before="62" w:beforeLines="20"/>
        <w:rPr>
          <w:rFonts w:ascii="楷体_GB2312" w:eastAsia="楷体_GB2312"/>
          <w:b/>
          <w:color w:val="000000"/>
          <w:sz w:val="24"/>
          <w:highlight w:val="none"/>
        </w:rPr>
      </w:pPr>
      <w:r>
        <w:rPr>
          <w:rFonts w:hint="eastAsia" w:ascii="楷体_GB2312" w:eastAsia="楷体_GB2312"/>
          <w:b/>
          <w:color w:val="000000"/>
          <w:sz w:val="24"/>
          <w:highlight w:val="none"/>
        </w:rPr>
        <w:t>尊敬的投资者：</w:t>
      </w:r>
    </w:p>
    <w:p>
      <w:pPr>
        <w:keepNext w:val="0"/>
        <w:keepLines w:val="0"/>
        <w:widowControl/>
        <w:suppressLineNumbers w:val="0"/>
        <w:autoSpaceDE w:val="0"/>
        <w:autoSpaceDN w:val="0"/>
        <w:adjustRightInd w:val="0"/>
        <w:spacing w:before="62" w:beforeLines="20"/>
        <w:ind w:firstLine="482" w:firstLineChars="200"/>
        <w:jc w:val="left"/>
        <w:rPr>
          <w:rFonts w:ascii="楷体_GB2312" w:hAnsi="Times New Roman" w:eastAsia="楷体_GB2312" w:cs="Times New Roman"/>
          <w:color w:val="000000"/>
          <w:sz w:val="24"/>
          <w:highlight w:val="none"/>
        </w:rPr>
      </w:pPr>
      <w:r>
        <w:rPr>
          <w:rFonts w:ascii="楷体_GB2312" w:eastAsia="楷体_GB2312"/>
          <w:b/>
          <w:bCs/>
          <w:color w:val="000000"/>
          <w:sz w:val="24"/>
          <w:highlight w:val="none"/>
        </w:rPr>
        <w:t>理财非存款，产品有风险，投资须谨慎。</w:t>
      </w:r>
      <w:r>
        <w:rPr>
          <w:rFonts w:hint="default" w:ascii="楷体_GB2312" w:hAnsi="Times New Roman" w:eastAsia="楷体_GB2312" w:cs="Times New Roman"/>
          <w:color w:val="000000"/>
          <w:kern w:val="2"/>
          <w:sz w:val="24"/>
          <w:szCs w:val="24"/>
          <w:highlight w:val="none"/>
          <w:lang w:val="en-US" w:eastAsia="zh-CN" w:bidi="ar"/>
        </w:rPr>
        <w:t>为方便您办理</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理财有限责任公司（以下简称“</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理财”）理财业务，请仔细阅读以下内容。</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根据</w:t>
      </w:r>
      <w:r>
        <w:rPr>
          <w:rFonts w:hint="eastAsia" w:ascii="楷体_GB2312" w:eastAsia="楷体_GB2312"/>
          <w:color w:val="000000"/>
          <w:sz w:val="24"/>
          <w:highlight w:val="none"/>
        </w:rPr>
        <w:t>国家金融监督管理总局</w:t>
      </w:r>
      <w:r>
        <w:rPr>
          <w:rFonts w:ascii="楷体_GB2312" w:eastAsia="楷体_GB2312"/>
          <w:color w:val="000000"/>
          <w:sz w:val="24"/>
          <w:highlight w:val="none"/>
        </w:rPr>
        <w:t>相关监管规定的要求，</w:t>
      </w:r>
      <w:r>
        <w:rPr>
          <w:rFonts w:ascii="楷体_GB2312" w:eastAsia="楷体_GB2312"/>
          <w:b/>
          <w:bCs/>
          <w:color w:val="000000"/>
          <w:sz w:val="24"/>
          <w:highlight w:val="none"/>
        </w:rPr>
        <w:t>在选择购买</w:t>
      </w:r>
      <w:r>
        <w:rPr>
          <w:rFonts w:hint="eastAsia" w:ascii="楷体_GB2312" w:eastAsia="楷体_GB2312"/>
          <w:b/>
          <w:bCs/>
          <w:color w:val="000000"/>
          <w:sz w:val="24"/>
          <w:highlight w:val="none"/>
          <w:lang w:val="en-US" w:eastAsia="zh-CN"/>
        </w:rPr>
        <w:t>本</w:t>
      </w:r>
      <w:r>
        <w:rPr>
          <w:rFonts w:ascii="楷体_GB2312" w:eastAsia="楷体_GB2312"/>
          <w:b/>
          <w:bCs/>
          <w:color w:val="000000"/>
          <w:sz w:val="24"/>
          <w:highlight w:val="none"/>
        </w:rPr>
        <w:t>理财产品前，请认真完成</w:t>
      </w:r>
      <w:r>
        <w:rPr>
          <w:rFonts w:hint="eastAsia" w:ascii="楷体_GB2312" w:eastAsia="楷体_GB2312"/>
          <w:b/>
          <w:bCs/>
          <w:color w:val="000000"/>
          <w:sz w:val="24"/>
          <w:highlight w:val="none"/>
          <w:lang w:val="en-US" w:eastAsia="zh-CN"/>
        </w:rPr>
        <w:t>投资者</w:t>
      </w:r>
      <w:r>
        <w:rPr>
          <w:rFonts w:ascii="楷体_GB2312" w:eastAsia="楷体_GB2312"/>
          <w:b/>
          <w:bCs/>
          <w:color w:val="000000"/>
          <w:sz w:val="24"/>
          <w:highlight w:val="none"/>
        </w:rPr>
        <w:t>风险承受能力评估，了解本人/本公司（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）的投资目标、风险偏好和产品需求，</w:t>
      </w:r>
      <w:r>
        <w:rPr>
          <w:rFonts w:ascii="楷体_GB2312" w:hAnsi="楷体" w:eastAsia="楷体_GB2312" w:cs="Times New Roman"/>
          <w:b/>
          <w:bCs/>
          <w:color w:val="auto"/>
          <w:sz w:val="24"/>
          <w:highlight w:val="none"/>
        </w:rPr>
        <w:t>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eastAsia="楷体_GB2312"/>
          <w:b/>
          <w:bCs/>
          <w:color w:val="000000"/>
          <w:sz w:val="24"/>
          <w:highlight w:val="none"/>
        </w:rPr>
        <w:t>选择购买与本人/本公司（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）自身风险承受能力匹配的产品。</w:t>
      </w:r>
      <w:r>
        <w:rPr>
          <w:rFonts w:ascii="楷体_GB2312" w:eastAsia="楷体_GB2312"/>
          <w:color w:val="000000"/>
          <w:sz w:val="24"/>
          <w:highlight w:val="none"/>
        </w:rPr>
        <w:t>在阅读时如对</w:t>
      </w:r>
      <w:r>
        <w:rPr>
          <w:rFonts w:hint="eastAsia" w:ascii="楷体_GB2312" w:eastAsia="楷体_GB2312"/>
          <w:color w:val="000000"/>
          <w:sz w:val="24"/>
          <w:highlight w:val="none"/>
          <w:lang w:val="en-US" w:eastAsia="zh-CN"/>
        </w:rPr>
        <w:t>本理财</w:t>
      </w:r>
      <w:r>
        <w:rPr>
          <w:rFonts w:ascii="楷体_GB2312" w:eastAsia="楷体_GB2312"/>
          <w:color w:val="000000"/>
          <w:sz w:val="24"/>
          <w:highlight w:val="none"/>
        </w:rPr>
        <w:t>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或购买流程等有不明之处，请及时与代销机构相关人员进行咨询。在购买</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理财产品后，请关注</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理财产品的信息披露情况，及时获取相关信息；如对</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理财产品有任何意见或建议，请关注产品管理人及代销机构相关联络方式并予以反馈</w:t>
      </w:r>
      <w:r>
        <w:rPr>
          <w:rFonts w:hint="eastAsia" w:ascii="楷体_GB2312" w:eastAsia="楷体_GB2312"/>
          <w:color w:val="000000"/>
          <w:sz w:val="24"/>
          <w:highlight w:val="none"/>
        </w:rPr>
        <w:t>。</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由</w:t>
      </w:r>
      <w:r>
        <w:rPr>
          <w:rFonts w:hint="eastAsia" w:ascii="楷体_GB2312" w:eastAsia="楷体_GB2312"/>
          <w:color w:val="000000"/>
          <w:sz w:val="24"/>
          <w:highlight w:val="none"/>
          <w:lang w:eastAsia="zh-Hans"/>
        </w:rPr>
        <w:t>北银</w:t>
      </w:r>
      <w:r>
        <w:rPr>
          <w:rFonts w:hint="eastAsia" w:ascii="楷体_GB2312" w:eastAsia="楷体_GB2312"/>
          <w:color w:val="000000"/>
          <w:sz w:val="24"/>
          <w:highlight w:val="none"/>
        </w:rPr>
        <w:t>理财发行与管理，投资者通过</w:t>
      </w:r>
      <w:r>
        <w:rPr>
          <w:rFonts w:hint="eastAsia" w:ascii="楷体_GB2312" w:eastAsia="楷体_GB2312"/>
          <w:color w:val="000000"/>
          <w:sz w:val="24"/>
          <w:highlight w:val="none"/>
          <w:lang w:eastAsia="zh-Hans"/>
        </w:rPr>
        <w:t>代销机构购买</w:t>
      </w: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，须遵从代销</w:t>
      </w:r>
      <w:r>
        <w:rPr>
          <w:rFonts w:hint="eastAsia" w:ascii="楷体_GB2312" w:eastAsia="楷体_GB2312"/>
          <w:color w:val="000000"/>
          <w:sz w:val="24"/>
          <w:highlight w:val="none"/>
          <w:lang w:eastAsia="zh-Hans"/>
        </w:rPr>
        <w:t>机构</w:t>
      </w:r>
      <w:r>
        <w:rPr>
          <w:rFonts w:hint="eastAsia" w:ascii="楷体_GB2312" w:eastAsia="楷体_GB2312"/>
          <w:color w:val="000000"/>
          <w:sz w:val="24"/>
          <w:highlight w:val="none"/>
        </w:rPr>
        <w:t>和</w:t>
      </w:r>
      <w:r>
        <w:rPr>
          <w:rFonts w:hint="eastAsia" w:ascii="楷体_GB2312" w:eastAsia="楷体_GB2312"/>
          <w:color w:val="000000"/>
          <w:sz w:val="24"/>
          <w:highlight w:val="none"/>
          <w:lang w:eastAsia="zh-Hans"/>
        </w:rPr>
        <w:t>北</w:t>
      </w:r>
      <w:r>
        <w:rPr>
          <w:rFonts w:hint="eastAsia" w:ascii="楷体_GB2312" w:eastAsia="楷体_GB2312"/>
          <w:color w:val="000000"/>
          <w:sz w:val="24"/>
          <w:highlight w:val="none"/>
        </w:rPr>
        <w:t>银理财相关规定。投资者不得使用贷款、发行债券等筹集的非自有资金投资</w:t>
      </w:r>
      <w:r>
        <w:rPr>
          <w:rFonts w:hint="eastAsia" w:ascii="楷体_GB2312" w:eastAsia="楷体_GB2312"/>
          <w:color w:val="000000"/>
          <w:sz w:val="24"/>
          <w:highlight w:val="none"/>
          <w:lang w:val="en-US" w:eastAsia="zh-CN"/>
        </w:rPr>
        <w:t>本</w:t>
      </w:r>
      <w:r>
        <w:rPr>
          <w:rFonts w:hint="eastAsia" w:ascii="楷体_GB2312" w:eastAsia="楷体_GB2312"/>
          <w:color w:val="000000"/>
          <w:sz w:val="24"/>
          <w:highlight w:val="none"/>
        </w:rPr>
        <w:t>理财产品。</w:t>
      </w:r>
    </w:p>
    <w:p>
      <w:pPr>
        <w:autoSpaceDE w:val="0"/>
        <w:autoSpaceDN w:val="0"/>
        <w:adjustRightInd w:val="0"/>
        <w:spacing w:before="62" w:beforeLines="20"/>
        <w:ind w:firstLine="482" w:firstLineChars="200"/>
        <w:rPr>
          <w:rFonts w:ascii="楷体_GB2312" w:eastAsia="楷体_GB2312"/>
          <w:b/>
          <w:bCs/>
          <w:color w:val="000000"/>
          <w:sz w:val="24"/>
          <w:highlight w:val="none"/>
        </w:rPr>
      </w:pPr>
      <w:r>
        <w:rPr>
          <w:rFonts w:ascii="楷体_GB2312" w:eastAsia="楷体_GB2312"/>
          <w:b/>
          <w:bCs/>
          <w:color w:val="000000"/>
          <w:sz w:val="24"/>
          <w:highlight w:val="none"/>
        </w:rPr>
        <w:t>一、投资者风险承受能力评估</w:t>
      </w:r>
    </w:p>
    <w:p>
      <w:pPr>
        <w:autoSpaceDE/>
        <w:autoSpaceDN/>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（一）本</w:t>
      </w:r>
      <w:r>
        <w:rPr>
          <w:rFonts w:hint="default" w:ascii="楷体_GB2312" w:hAnsi="Times New Roman" w:eastAsia="楷体_GB2312" w:cs="Times New Roman"/>
          <w:color w:val="000000"/>
          <w:sz w:val="24"/>
          <w:highlight w:val="none"/>
          <w:lang w:val="en-US" w:eastAsia="zh-CN"/>
        </w:rPr>
        <w:t>理财</w:t>
      </w:r>
      <w:r>
        <w:rPr>
          <w:rFonts w:ascii="楷体_GB2312" w:hAnsi="Times New Roman" w:eastAsia="楷体_GB2312" w:cs="Times New Roman"/>
          <w:color w:val="000000"/>
          <w:sz w:val="24"/>
          <w:highlight w:val="none"/>
        </w:rPr>
        <w:t>产品全部销售工作及投资者适当性评估由</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机构负责。个人投资者首次通过</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机构购买</w:t>
      </w:r>
      <w:r>
        <w:rPr>
          <w:rFonts w:hint="default" w:ascii="楷体_GB2312" w:hAnsi="Times New Roman" w:eastAsia="楷体_GB2312" w:cs="Times New Roman"/>
          <w:color w:val="000000"/>
          <w:sz w:val="24"/>
          <w:highlight w:val="none"/>
          <w:lang w:val="en-US" w:eastAsia="zh-CN"/>
        </w:rPr>
        <w:t>北银理财理财</w:t>
      </w:r>
      <w:r>
        <w:rPr>
          <w:rFonts w:ascii="楷体_GB2312" w:hAnsi="Times New Roman" w:eastAsia="楷体_GB2312" w:cs="Times New Roman"/>
          <w:color w:val="000000"/>
          <w:sz w:val="24"/>
          <w:highlight w:val="none"/>
        </w:rPr>
        <w:t>产品</w:t>
      </w:r>
      <w:r>
        <w:rPr>
          <w:rFonts w:hint="default" w:ascii="楷体_GB2312" w:hAnsi="Times New Roman" w:eastAsia="楷体_GB2312" w:cs="Times New Roman"/>
          <w:color w:val="000000"/>
          <w:sz w:val="24"/>
          <w:highlight w:val="none"/>
          <w:lang w:eastAsia="zh-CN"/>
        </w:rPr>
        <w:t>的</w:t>
      </w:r>
      <w:r>
        <w:rPr>
          <w:rFonts w:ascii="楷体_GB2312" w:hAnsi="Times New Roman" w:eastAsia="楷体_GB2312" w:cs="Times New Roman"/>
          <w:color w:val="000000"/>
          <w:sz w:val="24"/>
          <w:highlight w:val="none"/>
        </w:rPr>
        <w:t>，需要与</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机构签署</w:t>
      </w:r>
      <w:r>
        <w:rPr>
          <w:rFonts w:hint="default" w:ascii="楷体_GB2312" w:hAnsi="Times New Roman" w:eastAsia="楷体_GB2312" w:cs="Times New Roman"/>
          <w:color w:val="000000"/>
          <w:sz w:val="24"/>
          <w:highlight w:val="none"/>
          <w:lang w:val="en-US" w:eastAsia="zh-CN"/>
        </w:rPr>
        <w:t>相关理财产品销售文件</w:t>
      </w:r>
      <w:r>
        <w:rPr>
          <w:rFonts w:ascii="楷体_GB2312" w:hAnsi="Times New Roman" w:eastAsia="楷体_GB2312" w:cs="Times New Roman"/>
          <w:color w:val="000000"/>
          <w:sz w:val="24"/>
          <w:highlight w:val="none"/>
        </w:rPr>
        <w:t>，并</w:t>
      </w:r>
      <w:r>
        <w:rPr>
          <w:rFonts w:hint="default" w:ascii="楷体_GB2312" w:hAnsi="Times New Roman" w:eastAsia="楷体_GB2312" w:cs="Times New Roman"/>
          <w:color w:val="000000"/>
          <w:sz w:val="24"/>
          <w:highlight w:val="none"/>
          <w:lang w:val="en-US" w:eastAsia="zh-CN"/>
        </w:rPr>
        <w:t>须</w:t>
      </w:r>
      <w:r>
        <w:rPr>
          <w:rFonts w:ascii="楷体_GB2312" w:hAnsi="Times New Roman" w:eastAsia="楷体_GB2312" w:cs="Times New Roman"/>
          <w:color w:val="000000"/>
          <w:sz w:val="24"/>
          <w:highlight w:val="none"/>
        </w:rPr>
        <w:t>按照该</w:t>
      </w:r>
      <w:r>
        <w:rPr>
          <w:rFonts w:hint="default" w:ascii="楷体_GB2312" w:hAnsi="Times New Roman" w:eastAsia="楷体_GB2312" w:cs="Times New Roman"/>
          <w:color w:val="000000"/>
          <w:sz w:val="24"/>
          <w:highlight w:val="none"/>
          <w:lang w:val="en-US" w:eastAsia="zh-CN"/>
        </w:rPr>
        <w:t>理财产品销售文件</w:t>
      </w:r>
      <w:r>
        <w:rPr>
          <w:rFonts w:ascii="楷体_GB2312" w:hAnsi="Times New Roman" w:eastAsia="楷体_GB2312" w:cs="Times New Roman"/>
          <w:color w:val="000000"/>
          <w:sz w:val="24"/>
          <w:highlight w:val="none"/>
        </w:rPr>
        <w:t>约定在</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机构销售渠道进行风险承受能力评估</w:t>
      </w: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并对评估结果签字确认。</w:t>
      </w:r>
    </w:p>
    <w:p>
      <w:p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二</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个人投资者风险承受能力评估结果有效期为一年，</w:t>
      </w:r>
      <w:r>
        <w:rPr>
          <w:rFonts w:hint="default" w:ascii="楷体_GB2312" w:hAnsi="Times New Roman" w:eastAsia="楷体_GB2312" w:cs="Times New Roman"/>
          <w:color w:val="000000"/>
          <w:sz w:val="24"/>
          <w:highlight w:val="none"/>
          <w:lang w:val="en-US" w:eastAsia="zh-CN"/>
        </w:rPr>
        <w:t>如</w:t>
      </w:r>
      <w:r>
        <w:rPr>
          <w:rFonts w:ascii="楷体_GB2312" w:hAnsi="Times New Roman" w:eastAsia="楷体_GB2312" w:cs="Times New Roman"/>
          <w:color w:val="000000"/>
          <w:sz w:val="24"/>
          <w:highlight w:val="none"/>
        </w:rPr>
        <w:t>个人投资者超过一年未进行风险承受能力评估或发生可能影响自身风险承受能力情况的，再次购买理财产品</w:t>
      </w:r>
      <w:r>
        <w:rPr>
          <w:rFonts w:hint="default" w:ascii="楷体_GB2312" w:hAnsi="Times New Roman" w:eastAsia="楷体_GB2312" w:cs="Times New Roman"/>
          <w:color w:val="000000"/>
          <w:sz w:val="24"/>
          <w:highlight w:val="none"/>
          <w:lang w:val="en-US" w:eastAsia="zh-CN"/>
        </w:rPr>
        <w:t>时</w:t>
      </w:r>
      <w:r>
        <w:rPr>
          <w:rFonts w:ascii="楷体_GB2312" w:hAnsi="Times New Roman" w:eastAsia="楷体_GB2312" w:cs="Times New Roman"/>
          <w:color w:val="000000"/>
          <w:sz w:val="24"/>
          <w:highlight w:val="none"/>
        </w:rPr>
        <w:t>须在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机构营业场所（含电子渠道）完成风险承受能力</w:t>
      </w:r>
      <w:r>
        <w:rPr>
          <w:rFonts w:hint="default" w:ascii="楷体_GB2312" w:hAnsi="Times New Roman" w:eastAsia="楷体_GB2312" w:cs="Times New Roman"/>
          <w:color w:val="000000"/>
          <w:sz w:val="24"/>
          <w:highlight w:val="none"/>
          <w:lang w:val="en-US" w:eastAsia="zh-CN"/>
        </w:rPr>
        <w:t>的重新</w:t>
      </w:r>
      <w:r>
        <w:rPr>
          <w:rFonts w:hint="default" w:ascii="楷体_GB2312" w:hAnsi="Times New Roman" w:eastAsia="楷体_GB2312" w:cs="Times New Roman"/>
          <w:color w:val="000000"/>
          <w:sz w:val="24"/>
          <w:highlight w:val="none"/>
        </w:rPr>
        <w:t>评估</w:t>
      </w:r>
      <w:r>
        <w:rPr>
          <w:rFonts w:ascii="楷体_GB2312" w:hAnsi="Times New Roman" w:eastAsia="楷体_GB2312" w:cs="Times New Roman"/>
          <w:color w:val="000000"/>
          <w:sz w:val="24"/>
          <w:highlight w:val="none"/>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三</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个人投资者风险承受能力评估流程</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1.</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w:t>
      </w:r>
      <w:r>
        <w:rPr>
          <w:rFonts w:ascii="楷体_GB2312" w:hAnsi="Times New Roman" w:eastAsia="楷体_GB2312" w:cs="Times New Roman"/>
          <w:color w:val="000000"/>
          <w:sz w:val="24"/>
          <w:highlight w:val="none"/>
        </w:rPr>
        <w:t>进行风险承受能力评估</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2.</w:t>
      </w:r>
      <w:r>
        <w:rPr>
          <w:rFonts w:ascii="楷体_GB2312" w:hAnsi="Times New Roman" w:eastAsia="楷体_GB2312" w:cs="Times New Roman"/>
          <w:color w:val="000000"/>
          <w:sz w:val="24"/>
          <w:highlight w:val="none"/>
        </w:rPr>
        <w:t>填写</w:t>
      </w:r>
      <w:r>
        <w:rPr>
          <w:rFonts w:hint="default" w:ascii="楷体_GB2312" w:hAnsi="Times New Roman" w:eastAsia="楷体_GB2312" w:cs="Times New Roman"/>
          <w:color w:val="000000"/>
          <w:sz w:val="24"/>
          <w:highlight w:val="none"/>
          <w:lang w:val="en-US" w:eastAsia="zh-CN"/>
        </w:rPr>
        <w:t>代销机构</w:t>
      </w:r>
      <w:r>
        <w:rPr>
          <w:rFonts w:hint="default" w:ascii="楷体_GB2312" w:hAnsi="Times New Roman" w:eastAsia="楷体_GB2312" w:cs="Times New Roman"/>
          <w:color w:val="000000"/>
          <w:sz w:val="24"/>
          <w:highlight w:val="none"/>
        </w:rPr>
        <w:t>个人投资者风险承受能力测试问卷</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3.</w:t>
      </w:r>
      <w:r>
        <w:rPr>
          <w:rFonts w:ascii="楷体_GB2312" w:hAnsi="Times New Roman" w:eastAsia="楷体_GB2312" w:cs="Times New Roman"/>
          <w:color w:val="000000"/>
          <w:sz w:val="24"/>
          <w:highlight w:val="none"/>
        </w:rPr>
        <w:t>生成相应的</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投资者风险承受能力评估结果</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val="en-US" w:eastAsia="zh-CN"/>
        </w:rPr>
        <w:t>4.</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w:t>
      </w:r>
      <w:r>
        <w:rPr>
          <w:rFonts w:ascii="楷体_GB2312" w:eastAsia="楷体_GB2312"/>
          <w:color w:val="000000"/>
          <w:sz w:val="24"/>
          <w:highlight w:val="none"/>
        </w:rPr>
        <w:t>对评估结果进行确认</w:t>
      </w:r>
      <w:r>
        <w:rPr>
          <w:rFonts w:hint="default" w:ascii="楷体_GB2312" w:hAnsi="Times New Roman" w:eastAsia="楷体_GB2312" w:cs="Times New Roman"/>
          <w:color w:val="000000"/>
          <w:sz w:val="24"/>
          <w:highlight w:val="none"/>
        </w:rPr>
        <w:t>。</w:t>
      </w:r>
    </w:p>
    <w:p>
      <w:pPr>
        <w:numPr>
          <w:ilvl w:val="0"/>
          <w:numId w:val="1"/>
        </w:numPr>
        <w:autoSpaceDE w:val="0"/>
        <w:autoSpaceDN w:val="0"/>
        <w:adjustRightInd w:val="0"/>
        <w:spacing w:before="62" w:beforeLines="20"/>
        <w:ind w:firstLine="420"/>
        <w:rPr>
          <w:rFonts w:ascii="楷体_GB2312" w:eastAsia="楷体_GB2312"/>
          <w:color w:val="000000"/>
          <w:sz w:val="24"/>
          <w:highlight w:val="none"/>
        </w:rPr>
      </w:pPr>
      <w:r>
        <w:rPr>
          <w:rFonts w:ascii="楷体_GB2312" w:hAnsi="Times New Roman" w:eastAsia="楷体_GB2312" w:cs="Times New Roman"/>
          <w:color w:val="000000"/>
          <w:sz w:val="24"/>
          <w:highlight w:val="none"/>
        </w:rPr>
        <w:t>风险承受能力评估结果将作为评价个人投资者是否适合购买理财产品的重要因素，风险承受能力评级越高适合购买的理财产品风险评级越高，适合购买的理财产品类型越丰富。</w:t>
      </w:r>
      <w:r>
        <w:rPr>
          <w:rFonts w:ascii="楷体_GB2312" w:eastAsia="楷体_GB2312"/>
          <w:color w:val="000000"/>
          <w:sz w:val="24"/>
          <w:highlight w:val="none"/>
        </w:rPr>
        <w:t xml:space="preserve"> </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（五）</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销机构在代销过程中，可参考</w:t>
      </w:r>
      <w:r>
        <w:rPr>
          <w:rFonts w:hint="eastAsia" w:ascii="楷体_GB2312" w:eastAsia="楷体_GB2312"/>
          <w:color w:val="000000"/>
          <w:sz w:val="24"/>
          <w:highlight w:val="none"/>
        </w:rPr>
        <w:t>北银</w:t>
      </w:r>
      <w:r>
        <w:rPr>
          <w:rFonts w:ascii="楷体_GB2312" w:eastAsia="楷体_GB2312"/>
          <w:color w:val="000000"/>
          <w:sz w:val="24"/>
          <w:highlight w:val="none"/>
        </w:rPr>
        <w:t>理财的产品风险评级结果，自行判断确定</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的风险评级，但应确保个人投资者的风险承受能力等级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r>
        <w:rPr>
          <w:rFonts w:hint="eastAsia" w:ascii="楷体_GB2312" w:eastAsia="楷体_GB2312"/>
          <w:color w:val="000000"/>
          <w:sz w:val="24"/>
          <w:highlight w:val="none"/>
          <w:lang w:val="en-US" w:eastAsia="zh-CN"/>
        </w:rPr>
        <w:t>当代销机构对本理财产品的风险</w:t>
      </w:r>
      <w:r>
        <w:rPr>
          <w:rFonts w:ascii="楷体_GB2312" w:eastAsia="楷体_GB2312"/>
          <w:color w:val="000000"/>
          <w:sz w:val="24"/>
          <w:highlight w:val="none"/>
        </w:rPr>
        <w:t>评级</w:t>
      </w:r>
      <w:r>
        <w:rPr>
          <w:rFonts w:hint="eastAsia" w:ascii="楷体_GB2312" w:eastAsia="楷体_GB2312"/>
          <w:color w:val="000000"/>
          <w:sz w:val="24"/>
          <w:highlight w:val="none"/>
          <w:lang w:val="en-US" w:eastAsia="zh-CN"/>
        </w:rPr>
        <w:t>结果</w:t>
      </w:r>
      <w:r>
        <w:rPr>
          <w:rFonts w:ascii="楷体_GB2312" w:eastAsia="楷体_GB2312"/>
          <w:color w:val="000000"/>
          <w:sz w:val="24"/>
          <w:highlight w:val="none"/>
        </w:rPr>
        <w:t>与</w:t>
      </w:r>
      <w:r>
        <w:rPr>
          <w:rFonts w:hint="eastAsia" w:ascii="楷体_GB2312" w:eastAsia="楷体_GB2312"/>
          <w:color w:val="000000"/>
          <w:sz w:val="24"/>
          <w:highlight w:val="none"/>
        </w:rPr>
        <w:t>北银</w:t>
      </w:r>
      <w:r>
        <w:rPr>
          <w:rFonts w:ascii="楷体_GB2312" w:eastAsia="楷体_GB2312"/>
          <w:color w:val="000000"/>
          <w:sz w:val="24"/>
          <w:highlight w:val="none"/>
        </w:rPr>
        <w:t>理财产品评级结果不一致的，</w:t>
      </w:r>
      <w:r>
        <w:rPr>
          <w:rFonts w:hint="eastAsia" w:ascii="楷体_GB2312" w:eastAsia="楷体_GB2312"/>
          <w:color w:val="000000"/>
          <w:sz w:val="24"/>
          <w:highlight w:val="none"/>
          <w:lang w:val="en-US" w:eastAsia="zh-CN"/>
        </w:rPr>
        <w:t>代销机构</w:t>
      </w:r>
      <w:r>
        <w:rPr>
          <w:rFonts w:ascii="楷体_GB2312" w:eastAsia="楷体_GB2312"/>
          <w:color w:val="000000"/>
          <w:sz w:val="24"/>
          <w:highlight w:val="none"/>
        </w:rPr>
        <w:t>应当采用较高风险等级的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评级结果并予以披露。个人投资者风险承受能力</w:t>
      </w:r>
      <w:r>
        <w:rPr>
          <w:rFonts w:hint="eastAsia" w:ascii="楷体_GB2312" w:eastAsia="楷体_GB2312"/>
          <w:color w:val="000000"/>
          <w:sz w:val="24"/>
          <w:highlight w:val="none"/>
          <w:lang w:val="en-US" w:eastAsia="zh-CN"/>
        </w:rPr>
        <w:t>等</w:t>
      </w:r>
      <w:r>
        <w:rPr>
          <w:rFonts w:ascii="楷体_GB2312" w:eastAsia="楷体_GB2312"/>
          <w:color w:val="000000"/>
          <w:sz w:val="24"/>
          <w:highlight w:val="none"/>
        </w:rPr>
        <w:t>级不低于该较高风险等级的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评级结果时，方可购买该理财产品。</w:t>
      </w:r>
    </w:p>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六</w:t>
      </w:r>
      <w:r>
        <w:rPr>
          <w:rFonts w:hint="eastAsia" w:ascii="楷体_GB2312" w:eastAsia="楷体_GB2312"/>
          <w:color w:val="000000"/>
          <w:sz w:val="24"/>
          <w:highlight w:val="none"/>
          <w:lang w:eastAsia="zh-CN"/>
        </w:rPr>
        <w:t>）</w:t>
      </w:r>
      <w:r>
        <w:rPr>
          <w:rFonts w:ascii="楷体_GB2312" w:eastAsia="楷体_GB2312"/>
          <w:color w:val="000000"/>
          <w:sz w:val="24"/>
          <w:highlight w:val="none"/>
        </w:rPr>
        <w:t>机构投资者购买理财产品前无需进行风险承受能力评估测试。</w:t>
      </w:r>
    </w:p>
    <w:p>
      <w:pPr>
        <w:autoSpaceDE w:val="0"/>
        <w:autoSpaceDN w:val="0"/>
        <w:adjustRightInd w:val="0"/>
        <w:spacing w:before="62" w:beforeLines="20"/>
        <w:ind w:firstLine="420"/>
        <w:rPr>
          <w:rFonts w:ascii="楷体_GB2312" w:eastAsia="楷体_GB2312"/>
          <w:b/>
          <w:bCs/>
          <w:color w:val="000000"/>
          <w:sz w:val="24"/>
          <w:highlight w:val="none"/>
        </w:rPr>
      </w:pPr>
      <w:r>
        <w:rPr>
          <w:rFonts w:hint="eastAsia" w:ascii="楷体_GB2312" w:eastAsia="楷体_GB2312"/>
          <w:b/>
          <w:bCs/>
          <w:color w:val="000000"/>
          <w:sz w:val="24"/>
          <w:highlight w:val="none"/>
          <w:lang w:val="en-US" w:eastAsia="zh-CN"/>
        </w:rPr>
        <w:t>二</w:t>
      </w:r>
      <w:r>
        <w:rPr>
          <w:rFonts w:hint="eastAsia" w:ascii="楷体_GB2312" w:eastAsia="楷体_GB2312"/>
          <w:b/>
          <w:bCs/>
          <w:color w:val="000000"/>
          <w:sz w:val="24"/>
          <w:highlight w:val="none"/>
        </w:rPr>
        <w:t>、北银理财产品风险评级说明</w:t>
      </w:r>
    </w:p>
    <w:p>
      <w:pPr>
        <w:pStyle w:val="2"/>
        <w:ind w:left="0" w:leftChars="0" w:firstLine="480" w:firstLineChars="200"/>
        <w:rPr>
          <w:highlight w:val="none"/>
        </w:rPr>
      </w:pPr>
      <w:r>
        <w:rPr>
          <w:rFonts w:hint="default" w:ascii="楷体_GB2312" w:hAnsi="Times New Roman" w:eastAsia="楷体_GB2312" w:cs="Times New Roman"/>
          <w:color w:val="000000"/>
          <w:kern w:val="2"/>
          <w:sz w:val="24"/>
          <w:szCs w:val="24"/>
          <w:highlight w:val="none"/>
        </w:rPr>
        <w:t>北银理财所对应的产品风险评级说明详见下表</w:t>
      </w:r>
      <w:r>
        <w:rPr>
          <w:rFonts w:hint="default" w:ascii="楷体_GB2312" w:hAnsi="Times New Roman" w:eastAsia="楷体_GB2312" w:cs="Times New Roman"/>
          <w:color w:val="000000"/>
          <w:kern w:val="2"/>
          <w:sz w:val="24"/>
          <w:szCs w:val="24"/>
          <w:highlight w:val="none"/>
          <w:lang w:eastAsia="zh-CN"/>
        </w:rPr>
        <w:t>，按照监管要求，代销机构将对</w:t>
      </w:r>
      <w:r>
        <w:rPr>
          <w:rFonts w:hint="eastAsia" w:ascii="楷体_GB2312" w:hAnsi="Times New Roman" w:eastAsia="楷体_GB2312" w:cs="Times New Roman"/>
          <w:color w:val="000000"/>
          <w:kern w:val="2"/>
          <w:sz w:val="24"/>
          <w:szCs w:val="24"/>
          <w:highlight w:val="none"/>
          <w:lang w:val="en-US" w:eastAsia="zh-CN"/>
        </w:rPr>
        <w:t>代销</w:t>
      </w:r>
      <w:r>
        <w:rPr>
          <w:rFonts w:hint="default" w:ascii="楷体_GB2312" w:hAnsi="Times New Roman" w:eastAsia="楷体_GB2312" w:cs="Times New Roman"/>
          <w:color w:val="000000"/>
          <w:kern w:val="2"/>
          <w:sz w:val="24"/>
          <w:szCs w:val="24"/>
          <w:highlight w:val="none"/>
          <w:lang w:val="en-US" w:eastAsia="zh-CN"/>
        </w:rPr>
        <w:t>理财</w:t>
      </w:r>
      <w:r>
        <w:rPr>
          <w:rFonts w:hint="default" w:ascii="楷体_GB2312" w:hAnsi="Times New Roman" w:eastAsia="楷体_GB2312" w:cs="Times New Roman"/>
          <w:color w:val="000000"/>
          <w:kern w:val="2"/>
          <w:sz w:val="24"/>
          <w:szCs w:val="24"/>
          <w:highlight w:val="none"/>
          <w:lang w:eastAsia="zh-CN"/>
        </w:rPr>
        <w:t>产品进行风险评级</w:t>
      </w:r>
      <w:r>
        <w:rPr>
          <w:rFonts w:hint="default" w:ascii="楷体_GB2312" w:hAnsi="Times New Roman" w:eastAsia="楷体_GB2312" w:cs="Times New Roman"/>
          <w:color w:val="000000"/>
          <w:kern w:val="2"/>
          <w:sz w:val="24"/>
          <w:szCs w:val="24"/>
          <w:highlight w:val="none"/>
        </w:rPr>
        <w:t>。当代销机构对</w:t>
      </w:r>
      <w:r>
        <w:rPr>
          <w:rFonts w:hint="default" w:ascii="楷体_GB2312" w:hAnsi="Times New Roman" w:eastAsia="楷体_GB2312" w:cs="Times New Roman"/>
          <w:color w:val="000000"/>
          <w:kern w:val="2"/>
          <w:sz w:val="24"/>
          <w:szCs w:val="24"/>
          <w:highlight w:val="none"/>
          <w:lang w:val="en-US"/>
        </w:rPr>
        <w:t>代销</w:t>
      </w:r>
      <w:r>
        <w:rPr>
          <w:rFonts w:hint="default" w:ascii="楷体_GB2312" w:hAnsi="Times New Roman" w:eastAsia="楷体_GB2312" w:cs="Times New Roman"/>
          <w:color w:val="000000"/>
          <w:kern w:val="2"/>
          <w:sz w:val="24"/>
          <w:szCs w:val="24"/>
          <w:highlight w:val="none"/>
        </w:rPr>
        <w:t>理财产品的风险评级结果与产品管理人不一致时，</w:t>
      </w:r>
      <w:r>
        <w:rPr>
          <w:rFonts w:ascii="楷体_GB2312" w:hAnsi="Times New Roman" w:eastAsia="楷体_GB2312" w:cs="Times New Roman"/>
          <w:color w:val="000000"/>
          <w:kern w:val="2"/>
          <w:sz w:val="24"/>
          <w:szCs w:val="24"/>
          <w:highlight w:val="none"/>
        </w:rPr>
        <w:t>代销机构应当采用较高风险等级的评级结果，个人投资者风险承受能力</w:t>
      </w:r>
      <w:r>
        <w:rPr>
          <w:rFonts w:hint="default" w:ascii="楷体_GB2312" w:hAnsi="Times New Roman" w:eastAsia="楷体_GB2312" w:cs="Times New Roman"/>
          <w:color w:val="000000"/>
          <w:kern w:val="2"/>
          <w:sz w:val="24"/>
          <w:szCs w:val="24"/>
          <w:highlight w:val="none"/>
          <w:lang w:val="en-US" w:eastAsia="zh-CN"/>
        </w:rPr>
        <w:t>等级</w:t>
      </w:r>
      <w:r>
        <w:rPr>
          <w:rFonts w:ascii="楷体_GB2312" w:hAnsi="Times New Roman" w:eastAsia="楷体_GB2312" w:cs="Times New Roman"/>
          <w:color w:val="000000"/>
          <w:kern w:val="2"/>
          <w:sz w:val="24"/>
          <w:szCs w:val="24"/>
          <w:highlight w:val="none"/>
        </w:rPr>
        <w:t>不低于该较高风险等级的</w:t>
      </w:r>
      <w:r>
        <w:rPr>
          <w:rFonts w:hint="eastAsia" w:ascii="楷体_GB2312" w:hAnsi="Times New Roman" w:eastAsia="楷体_GB2312" w:cs="Times New Roman"/>
          <w:color w:val="000000"/>
          <w:kern w:val="2"/>
          <w:sz w:val="24"/>
          <w:szCs w:val="24"/>
          <w:highlight w:val="none"/>
          <w:lang w:val="en-US" w:eastAsia="zh-CN"/>
        </w:rPr>
        <w:t>产品</w:t>
      </w:r>
      <w:r>
        <w:rPr>
          <w:rFonts w:ascii="楷体_GB2312" w:hAnsi="Times New Roman" w:eastAsia="楷体_GB2312" w:cs="Times New Roman"/>
          <w:color w:val="000000"/>
          <w:kern w:val="2"/>
          <w:sz w:val="24"/>
          <w:szCs w:val="24"/>
          <w:highlight w:val="none"/>
        </w:rPr>
        <w:t>评级结果时，方可购买该理财产品。</w:t>
      </w:r>
    </w:p>
    <w:tbl>
      <w:tblPr>
        <w:tblStyle w:val="16"/>
        <w:tblW w:w="940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439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产品风险评级</w:t>
            </w:r>
          </w:p>
        </w:tc>
        <w:tc>
          <w:tcPr>
            <w:tcW w:w="4395"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产品风险评级说明</w:t>
            </w:r>
          </w:p>
        </w:tc>
        <w:tc>
          <w:tcPr>
            <w:tcW w:w="340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目标客户类型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低风险</w:t>
            </w:r>
            <w:r>
              <w:rPr>
                <w:rFonts w:hint="eastAsia" w:ascii="楷体_GB2312" w:eastAsia="楷体_GB2312"/>
                <w:color w:val="000000"/>
                <w:szCs w:val="21"/>
                <w:highlight w:val="none"/>
              </w:rPr>
              <w:t>产品（PR1）</w:t>
            </w:r>
          </w:p>
        </w:tc>
        <w:tc>
          <w:tcPr>
            <w:tcW w:w="4395" w:type="dxa"/>
            <w:vAlign w:val="top"/>
          </w:tcPr>
          <w:p>
            <w:pPr>
              <w:pStyle w:val="31"/>
              <w:jc w:val="both"/>
              <w:rPr>
                <w:rFonts w:ascii="楷体_GB2312" w:hAnsi="Times New Roman" w:eastAsia="楷体_GB2312" w:cs="Times New Roman"/>
                <w:kern w:val="2"/>
                <w:sz w:val="21"/>
                <w:szCs w:val="21"/>
                <w:highlight w:val="none"/>
              </w:rPr>
            </w:pPr>
            <w:r>
              <w:rPr>
                <w:rFonts w:hint="eastAsia" w:ascii="楷体_GB2312" w:hAnsi="Times New Roman" w:eastAsia="楷体_GB2312" w:cs="Times New Roman"/>
                <w:kern w:val="2"/>
                <w:sz w:val="21"/>
                <w:szCs w:val="21"/>
                <w:highlight w:val="none"/>
              </w:rPr>
              <w:t>理财产品的总体风险程度很低，净值波动较小。</w:t>
            </w:r>
            <w:r>
              <w:rPr>
                <w:rFonts w:hint="eastAsia" w:ascii="楷体_GB2312" w:hAnsi="Times New Roman" w:eastAsia="楷体_GB2312" w:cs="Times New Roman"/>
                <w:kern w:val="2"/>
                <w:sz w:val="21"/>
                <w:szCs w:val="21"/>
                <w:highlight w:val="none"/>
                <w:lang w:eastAsia="zh-CN"/>
              </w:rPr>
              <w:t>产品管理人</w:t>
            </w:r>
            <w:r>
              <w:rPr>
                <w:rFonts w:hint="eastAsia" w:ascii="楷体_GB2312" w:hAnsi="Times New Roman" w:eastAsia="楷体_GB2312" w:cs="Times New Roman"/>
                <w:kern w:val="2"/>
                <w:sz w:val="21"/>
                <w:szCs w:val="21"/>
                <w:highlight w:val="none"/>
              </w:rPr>
              <w:t>不承</w:t>
            </w:r>
            <w:r>
              <w:rPr>
                <w:rFonts w:hint="eastAsia" w:ascii="楷体_GB2312" w:hAnsi="Times New Roman" w:eastAsia="楷体_GB2312" w:cs="Times New Roman"/>
                <w:color w:val="auto"/>
                <w:kern w:val="2"/>
                <w:sz w:val="21"/>
                <w:szCs w:val="21"/>
                <w:highlight w:val="none"/>
              </w:rPr>
              <w:t>诺本金保障，</w:t>
            </w:r>
            <w:r>
              <w:rPr>
                <w:rFonts w:hint="eastAsia" w:ascii="楷体_GB2312" w:hAnsi="Times New Roman" w:eastAsia="楷体_GB2312" w:cs="Times New Roman"/>
                <w:color w:val="auto"/>
                <w:kern w:val="2"/>
                <w:sz w:val="21"/>
                <w:szCs w:val="21"/>
                <w:highlight w:val="none"/>
                <w:lang w:eastAsia="zh-CN"/>
              </w:rPr>
              <w:t>但</w:t>
            </w:r>
            <w:r>
              <w:rPr>
                <w:rFonts w:hint="eastAsia" w:ascii="楷体_GB2312" w:hAnsi="Times New Roman" w:eastAsia="楷体_GB2312" w:cs="Times New Roman"/>
                <w:color w:val="auto"/>
                <w:kern w:val="2"/>
                <w:sz w:val="21"/>
                <w:szCs w:val="21"/>
                <w:highlight w:val="none"/>
              </w:rPr>
              <w:t>本金出现损失的可能性</w:t>
            </w:r>
            <w:r>
              <w:rPr>
                <w:rFonts w:hint="eastAsia" w:ascii="楷体_GB2312" w:hAnsi="Times New Roman" w:eastAsia="楷体_GB2312" w:cs="Times New Roman"/>
                <w:color w:val="auto"/>
                <w:kern w:val="2"/>
                <w:sz w:val="21"/>
                <w:szCs w:val="21"/>
                <w:highlight w:val="none"/>
                <w:shd w:val="clear" w:color="auto" w:fill="auto"/>
                <w:lang w:val="en-US" w:eastAsia="zh-CN"/>
              </w:rPr>
              <w:t>极低</w:t>
            </w:r>
            <w:r>
              <w:rPr>
                <w:rFonts w:hint="eastAsia" w:ascii="楷体_GB2312" w:hAnsi="Times New Roman" w:eastAsia="楷体_GB2312" w:cs="Times New Roman"/>
                <w:color w:val="auto"/>
                <w:kern w:val="2"/>
                <w:sz w:val="21"/>
                <w:szCs w:val="21"/>
                <w:highlight w:val="none"/>
              </w:rPr>
              <w:t>。</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谨慎型、稳健型、平衡型、进取型、激进型的投资者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较低风险产品（PR2</w:t>
            </w:r>
            <w:r>
              <w:rPr>
                <w:rFonts w:ascii="楷体_GB2312" w:eastAsia="楷体_GB2312"/>
                <w:color w:val="000000"/>
                <w:szCs w:val="21"/>
                <w:highlight w:val="none"/>
              </w:rPr>
              <w:t>）</w:t>
            </w:r>
          </w:p>
        </w:tc>
        <w:tc>
          <w:tcPr>
            <w:tcW w:w="4395" w:type="dxa"/>
            <w:vAlign w:val="top"/>
          </w:tcPr>
          <w:p>
            <w:pPr>
              <w:autoSpaceDE w:val="0"/>
              <w:autoSpaceDN w:val="0"/>
              <w:adjustRightInd w:val="0"/>
              <w:spacing w:before="62" w:beforeLines="20"/>
              <w:rPr>
                <w:rFonts w:ascii="楷体_GB2312" w:eastAsia="楷体_GB2312"/>
                <w:color w:val="000000"/>
                <w:szCs w:val="21"/>
                <w:highlight w:val="none"/>
              </w:rPr>
            </w:pPr>
            <w:r>
              <w:rPr>
                <w:rFonts w:hint="eastAsia" w:ascii="楷体_GB2312" w:eastAsia="楷体_GB2312"/>
                <w:szCs w:val="21"/>
                <w:highlight w:val="none"/>
              </w:rPr>
              <w:t>理财产品的总体风险程度较低，净值波动较小。</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w:t>
            </w:r>
            <w:r>
              <w:rPr>
                <w:rFonts w:ascii="楷体_GB2312" w:eastAsia="楷体_GB2312"/>
                <w:color w:val="000000"/>
                <w:szCs w:val="21"/>
                <w:highlight w:val="none"/>
              </w:rPr>
              <w:t>虽然存在可能对本金安全产生不利影响的因素，但本金出现损失的可能性较</w:t>
            </w:r>
            <w:r>
              <w:rPr>
                <w:rFonts w:hint="eastAsia" w:ascii="楷体_GB2312" w:eastAsia="楷体_GB2312"/>
                <w:color w:val="000000"/>
                <w:szCs w:val="21"/>
                <w:highlight w:val="none"/>
                <w:lang w:val="en-US" w:eastAsia="zh-CN"/>
              </w:rPr>
              <w:t>低</w:t>
            </w:r>
            <w:r>
              <w:rPr>
                <w:rFonts w:ascii="楷体_GB2312" w:eastAsia="楷体_GB2312"/>
                <w:color w:val="000000"/>
                <w:szCs w:val="21"/>
                <w:highlight w:val="none"/>
              </w:rPr>
              <w:t>。</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中等风险产品（PR3）</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理财产品的总体风险程度适中，净值随投资资产的市场表现波动较明显。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不承诺本金保障，本金有一定程度出现损失的可能性。</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较高风险产品（PR4）</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理财产品的总体风险程度较高，净值随投资资产的市场表现波动明显。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不承诺本金保障，本金出现损失的可能性较高。</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高风险产品（PR5）</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理财产品的总体风险程度高，净值随投资资产的市场表现波动非常明显。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w:t>
            </w:r>
            <w:r>
              <w:rPr>
                <w:rFonts w:hint="eastAsia" w:ascii="楷体_GB2312" w:eastAsia="楷体_GB2312"/>
                <w:szCs w:val="21"/>
                <w:highlight w:val="none"/>
                <w:lang w:val="en-US" w:eastAsia="zh-CN"/>
              </w:rPr>
              <w:t>极</w:t>
            </w:r>
            <w:r>
              <w:rPr>
                <w:rFonts w:hint="eastAsia" w:ascii="楷体_GB2312" w:eastAsia="楷体_GB2312"/>
                <w:szCs w:val="21"/>
                <w:highlight w:val="none"/>
              </w:rPr>
              <w:t>高。</w:t>
            </w:r>
          </w:p>
        </w:tc>
        <w:tc>
          <w:tcPr>
            <w:tcW w:w="3402" w:type="dxa"/>
            <w:vAlign w:val="top"/>
          </w:tcPr>
          <w:p>
            <w:pPr>
              <w:pStyle w:val="31"/>
              <w:jc w:val="both"/>
              <w:rPr>
                <w:rFonts w:ascii="楷体_GB2312" w:hAnsi="Times New Roman" w:eastAsia="楷体_GB2312" w:cs="Times New Roman"/>
                <w:kern w:val="2"/>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激进型的投资者</w:t>
            </w:r>
          </w:p>
        </w:tc>
      </w:tr>
    </w:tbl>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rPr>
        <w:t>机构投资者请根据自身的财务状况、投资经验、投资目标、风险认知、风险判断及其他因素综合考量</w:t>
      </w:r>
      <w:r>
        <w:rPr>
          <w:rFonts w:hint="eastAsia" w:ascii="楷体_GB2312" w:eastAsia="楷体_GB2312"/>
          <w:color w:val="000000"/>
          <w:sz w:val="24"/>
          <w:highlight w:val="none"/>
          <w:lang w:eastAsia="zh-CN"/>
        </w:rPr>
        <w:t>本</w:t>
      </w:r>
      <w:r>
        <w:rPr>
          <w:rFonts w:hint="eastAsia" w:ascii="楷体_GB2312" w:eastAsia="楷体_GB2312"/>
          <w:color w:val="000000"/>
          <w:sz w:val="24"/>
          <w:highlight w:val="none"/>
        </w:rPr>
        <w:t>理财产品的投资风险及自身的风险承受能力，北银理财不对其进行风险承受能力评估。</w:t>
      </w:r>
    </w:p>
    <w:p>
      <w:pPr>
        <w:numPr>
          <w:ilvl w:val="0"/>
          <w:numId w:val="0"/>
        </w:numPr>
        <w:ind w:firstLine="0" w:firstLineChars="0"/>
        <w:outlineLvl w:val="0"/>
        <w:rPr>
          <w:highlight w:val="none"/>
        </w:rPr>
      </w:pPr>
      <w:r>
        <w:rPr>
          <w:rFonts w:hint="eastAsia" w:ascii="楷体_GB2312" w:eastAsia="楷体_GB2312"/>
          <w:color w:val="000000"/>
          <w:sz w:val="24"/>
          <w:highlight w:val="none"/>
          <w:lang w:val="en-US" w:eastAsia="zh-CN"/>
        </w:rPr>
        <w:t xml:space="preserve">    </w:t>
      </w:r>
      <w:r>
        <w:rPr>
          <w:rFonts w:hint="eastAsia" w:ascii="楷体_GB2312" w:eastAsia="楷体_GB2312"/>
          <w:b/>
          <w:bCs/>
          <w:color w:val="000000"/>
          <w:sz w:val="24"/>
          <w:highlight w:val="none"/>
          <w:lang w:val="en-US" w:eastAsia="zh-CN"/>
        </w:rPr>
        <w:t>三、代</w:t>
      </w:r>
      <w:r>
        <w:rPr>
          <w:rFonts w:hint="eastAsia" w:ascii="楷体_GB2312" w:eastAsia="楷体_GB2312"/>
          <w:b/>
          <w:bCs/>
          <w:color w:val="000000"/>
          <w:sz w:val="24"/>
          <w:highlight w:val="none"/>
        </w:rPr>
        <w:t>销机构代理销售理财产品的流程</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 xml:space="preserve">销机构购买理财产品的投资者需开立相应资金账户，提供并确认正确的联系方式。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销机构购买</w:t>
      </w:r>
      <w:r>
        <w:rPr>
          <w:rFonts w:hint="eastAsia" w:ascii="楷体_GB2312" w:eastAsia="楷体_GB2312"/>
          <w:color w:val="000000"/>
          <w:sz w:val="24"/>
          <w:highlight w:val="none"/>
        </w:rPr>
        <w:t>北银</w:t>
      </w:r>
      <w:r>
        <w:rPr>
          <w:rFonts w:ascii="楷体_GB2312" w:eastAsia="楷体_GB2312"/>
          <w:color w:val="000000"/>
          <w:sz w:val="24"/>
          <w:highlight w:val="none"/>
        </w:rPr>
        <w:t>理财</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产品的个人投资者需进行投资者风险承受能力评估，并确认风险承受能力等级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仔细阅读本理财产品完整销售文件（</w:t>
      </w:r>
      <w:r>
        <w:rPr>
          <w:rFonts w:hint="eastAsia" w:ascii="楷体_GB2312" w:eastAsia="楷体_GB2312"/>
          <w:color w:val="000000"/>
          <w:sz w:val="24"/>
          <w:highlight w:val="none"/>
          <w:lang w:val="en-US" w:eastAsia="zh-CN"/>
        </w:rPr>
        <w:t>本</w:t>
      </w:r>
      <w:r>
        <w:rPr>
          <w:rFonts w:hint="eastAsia" w:ascii="楷体_GB2312" w:hAnsi="楷体" w:eastAsia="楷体_GB2312"/>
          <w:sz w:val="24"/>
          <w:highlight w:val="none"/>
          <w:lang w:eastAsia="zh-CN"/>
        </w:rPr>
        <w:t>《投资者权益须知》、《</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），理解并确认本理财产品完整销售文件</w:t>
      </w:r>
      <w:r>
        <w:rPr>
          <w:rFonts w:hint="eastAsia" w:ascii="楷体_GB2312" w:eastAsia="楷体_GB2312"/>
          <w:color w:val="000000"/>
          <w:sz w:val="24"/>
          <w:highlight w:val="none"/>
          <w:lang w:val="en-US" w:eastAsia="zh-CN"/>
        </w:rPr>
        <w:t>全部</w:t>
      </w:r>
      <w:r>
        <w:rPr>
          <w:rFonts w:ascii="楷体_GB2312" w:eastAsia="楷体_GB2312"/>
          <w:color w:val="000000"/>
          <w:sz w:val="24"/>
          <w:highlight w:val="none"/>
        </w:rPr>
        <w:t xml:space="preserve">条款及产品风险。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确定购买金额，完成交易申请，并在</w:t>
      </w:r>
      <w:r>
        <w:rPr>
          <w:rFonts w:hint="eastAsia" w:ascii="楷体_GB2312" w:eastAsia="楷体_GB2312"/>
          <w:color w:val="000000"/>
          <w:sz w:val="24"/>
          <w:highlight w:val="none"/>
        </w:rPr>
        <w:t>北银</w:t>
      </w:r>
      <w:r>
        <w:rPr>
          <w:rFonts w:ascii="楷体_GB2312" w:eastAsia="楷体_GB2312"/>
          <w:color w:val="000000"/>
          <w:sz w:val="24"/>
          <w:highlight w:val="none"/>
        </w:rPr>
        <w:t>理财系统确认投资者购买份额后及时进行查询。</w:t>
      </w:r>
    </w:p>
    <w:p>
      <w:pPr>
        <w:ind w:firstLine="482" w:firstLineChars="200"/>
        <w:outlineLvl w:val="0"/>
        <w:rPr>
          <w:rFonts w:ascii="楷体_GB2312" w:eastAsia="楷体_GB2312"/>
          <w:b/>
          <w:bCs/>
          <w:color w:val="000000"/>
          <w:sz w:val="24"/>
          <w:highlight w:val="none"/>
        </w:rPr>
      </w:pPr>
      <w:r>
        <w:rPr>
          <w:rFonts w:hint="eastAsia" w:ascii="楷体_GB2312" w:eastAsia="楷体_GB2312"/>
          <w:b/>
          <w:bCs/>
          <w:color w:val="000000"/>
          <w:sz w:val="24"/>
          <w:highlight w:val="none"/>
        </w:rPr>
        <w:t>四</w:t>
      </w:r>
      <w:r>
        <w:rPr>
          <w:rFonts w:ascii="楷体_GB2312" w:eastAsia="楷体_GB2312"/>
          <w:b/>
          <w:bCs/>
          <w:color w:val="000000"/>
          <w:sz w:val="24"/>
          <w:highlight w:val="none"/>
        </w:rPr>
        <w:t>、理财产品信息披露的方式、渠道和频率</w:t>
      </w:r>
    </w:p>
    <w:p>
      <w:p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信息披露的方式、渠道和频率，投资</w:t>
      </w:r>
      <w:r>
        <w:rPr>
          <w:rFonts w:hint="eastAsia" w:ascii="楷体_GB2312" w:eastAsia="楷体_GB2312"/>
          <w:color w:val="000000"/>
          <w:sz w:val="24"/>
          <w:highlight w:val="none"/>
        </w:rPr>
        <w:t>者</w:t>
      </w:r>
      <w:r>
        <w:rPr>
          <w:rFonts w:ascii="楷体_GB2312" w:eastAsia="楷体_GB2312"/>
          <w:color w:val="000000"/>
          <w:sz w:val="24"/>
          <w:highlight w:val="none"/>
        </w:rPr>
        <w:t>可以根据</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对应的</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产品说明书</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中</w:t>
      </w:r>
      <w:r>
        <w:rPr>
          <w:rFonts w:ascii="楷体_GB2312" w:eastAsia="楷体_GB2312"/>
          <w:color w:val="000000"/>
          <w:sz w:val="24"/>
          <w:highlight w:val="none"/>
        </w:rPr>
        <w:t>“</w:t>
      </w:r>
      <w:r>
        <w:rPr>
          <w:rFonts w:hint="eastAsia" w:ascii="楷体_GB2312" w:eastAsia="楷体_GB2312"/>
          <w:color w:val="000000"/>
          <w:sz w:val="24"/>
          <w:highlight w:val="none"/>
          <w:lang w:val="en-US" w:eastAsia="zh-CN"/>
        </w:rPr>
        <w:t>十一、</w:t>
      </w:r>
      <w:r>
        <w:rPr>
          <w:rFonts w:hint="eastAsia" w:ascii="楷体_GB2312" w:eastAsia="楷体_GB2312"/>
          <w:color w:val="000000"/>
          <w:sz w:val="24"/>
          <w:highlight w:val="none"/>
          <w:lang w:eastAsia="zh-CN"/>
        </w:rPr>
        <w:t>产品</w:t>
      </w:r>
      <w:r>
        <w:rPr>
          <w:rFonts w:hint="eastAsia" w:ascii="楷体_GB2312" w:eastAsia="楷体_GB2312"/>
          <w:color w:val="000000"/>
          <w:sz w:val="24"/>
          <w:highlight w:val="none"/>
        </w:rPr>
        <w:t>的</w:t>
      </w:r>
      <w:r>
        <w:rPr>
          <w:rFonts w:ascii="楷体_GB2312" w:eastAsia="楷体_GB2312"/>
          <w:color w:val="000000"/>
          <w:sz w:val="24"/>
          <w:highlight w:val="none"/>
        </w:rPr>
        <w:t>信息披露”</w:t>
      </w:r>
      <w:r>
        <w:rPr>
          <w:rFonts w:hint="eastAsia" w:ascii="楷体_GB2312" w:eastAsia="楷体_GB2312"/>
          <w:color w:val="000000"/>
          <w:sz w:val="24"/>
          <w:highlight w:val="none"/>
          <w:lang w:val="en-US" w:eastAsia="zh-CN"/>
        </w:rPr>
        <w:t>部分</w:t>
      </w:r>
      <w:r>
        <w:rPr>
          <w:rFonts w:hint="eastAsia" w:ascii="楷体_GB2312" w:eastAsia="楷体_GB2312"/>
          <w:color w:val="000000"/>
          <w:sz w:val="24"/>
          <w:highlight w:val="none"/>
          <w:lang w:eastAsia="zh-CN"/>
        </w:rPr>
        <w:t>的</w:t>
      </w:r>
      <w:r>
        <w:rPr>
          <w:rFonts w:ascii="楷体_GB2312" w:eastAsia="楷体_GB2312"/>
          <w:color w:val="000000"/>
          <w:sz w:val="24"/>
          <w:highlight w:val="none"/>
        </w:rPr>
        <w:t>约定，或通过拨打代销机构客户服务热线</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通过</w:t>
      </w:r>
      <w:r>
        <w:rPr>
          <w:rFonts w:ascii="楷体_GB2312" w:eastAsia="楷体_GB2312"/>
          <w:color w:val="auto"/>
          <w:sz w:val="24"/>
          <w:highlight w:val="none"/>
        </w:rPr>
        <w:t>代销机构</w:t>
      </w:r>
      <w:r>
        <w:rPr>
          <w:rFonts w:hint="eastAsia" w:ascii="楷体_GB2312" w:eastAsia="楷体_GB2312"/>
          <w:color w:val="auto"/>
          <w:sz w:val="24"/>
          <w:highlight w:val="none"/>
          <w:lang w:val="en-US" w:eastAsia="zh-CN"/>
        </w:rPr>
        <w:t>电子渠道</w:t>
      </w:r>
      <w:r>
        <w:rPr>
          <w:rFonts w:hint="eastAsia" w:ascii="楷体_GB2312" w:eastAsia="楷体_GB2312"/>
          <w:color w:val="auto"/>
          <w:sz w:val="24"/>
          <w:highlight w:val="none"/>
          <w:lang w:eastAsia="zh-CN"/>
        </w:rPr>
        <w:t>、</w:t>
      </w:r>
      <w:r>
        <w:rPr>
          <w:rFonts w:hint="default" w:ascii="楷体_GB2312" w:hAnsi="宋体" w:eastAsia="楷体_GB2312" w:cs="Times New Roman"/>
          <w:color w:val="000000"/>
          <w:kern w:val="2"/>
          <w:sz w:val="24"/>
          <w:szCs w:val="24"/>
          <w:highlight w:val="none"/>
        </w:rPr>
        <w:t>北银理财有限责任公司官</w:t>
      </w:r>
      <w:r>
        <w:rPr>
          <w:rFonts w:hint="default" w:ascii="楷体_GB2312" w:hAnsi="宋体" w:eastAsia="楷体_GB2312" w:cs="Times New Roman"/>
          <w:color w:val="000000"/>
          <w:kern w:val="2"/>
          <w:sz w:val="24"/>
          <w:szCs w:val="24"/>
          <w:highlight w:val="none"/>
          <w:lang w:val="en-US" w:eastAsia="zh-CN"/>
        </w:rPr>
        <w:t>方</w:t>
      </w:r>
      <w:r>
        <w:rPr>
          <w:rFonts w:hint="default" w:ascii="楷体_GB2312" w:hAnsi="宋体" w:eastAsia="楷体_GB2312" w:cs="Times New Roman"/>
          <w:color w:val="000000"/>
          <w:kern w:val="2"/>
          <w:sz w:val="24"/>
          <w:szCs w:val="24"/>
          <w:highlight w:val="none"/>
        </w:rPr>
        <w:t>网站</w:t>
      </w:r>
      <w:r>
        <w:rPr>
          <w:rFonts w:hint="eastAsia" w:ascii="楷体_GB2312" w:eastAsia="楷体_GB2312"/>
          <w:color w:val="auto"/>
          <w:sz w:val="24"/>
          <w:highlight w:val="none"/>
          <w:lang w:val="en-US" w:eastAsia="zh-CN"/>
        </w:rPr>
        <w:t>或</w:t>
      </w:r>
      <w:r>
        <w:rPr>
          <w:rFonts w:hint="eastAsia" w:ascii="楷体_GB2312" w:eastAsia="楷体_GB2312"/>
          <w:color w:val="auto"/>
          <w:sz w:val="24"/>
          <w:highlight w:val="none"/>
          <w:lang w:eastAsia="zh-CN"/>
        </w:rPr>
        <w:t>监管机构认可的其他公开渠道</w:t>
      </w:r>
      <w:r>
        <w:rPr>
          <w:rFonts w:ascii="楷体_GB2312" w:eastAsia="楷体_GB2312"/>
          <w:color w:val="000000"/>
          <w:sz w:val="24"/>
          <w:highlight w:val="none"/>
        </w:rPr>
        <w:t>以及</w:t>
      </w:r>
      <w:r>
        <w:rPr>
          <w:rFonts w:hint="eastAsia" w:ascii="楷体_GB2312" w:eastAsia="楷体_GB2312"/>
          <w:color w:val="000000"/>
          <w:sz w:val="24"/>
          <w:highlight w:val="none"/>
          <w:lang w:val="en-US" w:eastAsia="zh-CN"/>
        </w:rPr>
        <w:t>通过</w:t>
      </w:r>
      <w:r>
        <w:rPr>
          <w:rFonts w:ascii="楷体_GB2312" w:eastAsia="楷体_GB2312"/>
          <w:color w:val="000000"/>
          <w:sz w:val="24"/>
          <w:highlight w:val="none"/>
        </w:rPr>
        <w:t>代销机构营业网点进行查询。</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五</w:t>
      </w:r>
      <w:r>
        <w:rPr>
          <w:rFonts w:ascii="楷体_GB2312" w:eastAsia="楷体_GB2312"/>
          <w:color w:val="000000"/>
          <w:sz w:val="24"/>
          <w:highlight w:val="none"/>
        </w:rPr>
        <w:t>、投资者投诉方式和程序</w:t>
      </w:r>
    </w:p>
    <w:p>
      <w:pPr>
        <w:ind w:firstLine="470" w:firstLineChars="196"/>
        <w:outlineLvl w:val="0"/>
        <w:rPr>
          <w:rFonts w:ascii="楷体_GB2312" w:eastAsia="楷体_GB2312"/>
          <w:color w:val="000000"/>
          <w:sz w:val="24"/>
          <w:highlight w:val="none"/>
        </w:rPr>
      </w:pPr>
      <w:r>
        <w:rPr>
          <w:rFonts w:ascii="楷体_GB2312" w:eastAsia="楷体_GB2312"/>
          <w:color w:val="000000"/>
          <w:sz w:val="24"/>
          <w:highlight w:val="none"/>
        </w:rPr>
        <w:t>投资者如对代销机构推介、销售的</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认为有不实或未尽风险告知职责或其它疑义事项，或需进行业务咨询和投诉时，投资者可通过拨打代销机构客户服务热线或至代销机构营业网点等方式反馈，代销机构将由专人接听、记录您的意见或建议，并由</w:t>
      </w:r>
      <w:r>
        <w:rPr>
          <w:rFonts w:hint="eastAsia" w:ascii="楷体_GB2312" w:eastAsia="楷体_GB2312"/>
          <w:color w:val="000000"/>
          <w:sz w:val="24"/>
          <w:highlight w:val="none"/>
          <w:lang w:eastAsia="zh-CN"/>
        </w:rPr>
        <w:t>产品管理人</w:t>
      </w:r>
      <w:r>
        <w:rPr>
          <w:rFonts w:ascii="楷体_GB2312" w:eastAsia="楷体_GB2312"/>
          <w:color w:val="000000"/>
          <w:sz w:val="24"/>
          <w:highlight w:val="none"/>
        </w:rPr>
        <w:t>及代销机构双方协商共同解决。</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六</w:t>
      </w:r>
      <w:r>
        <w:rPr>
          <w:rFonts w:ascii="楷体_GB2312" w:eastAsia="楷体_GB2312"/>
          <w:color w:val="000000"/>
          <w:sz w:val="24"/>
          <w:highlight w:val="none"/>
        </w:rPr>
        <w:t>、联络方式</w:t>
      </w: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（一）</w:t>
      </w:r>
      <w:r>
        <w:rPr>
          <w:rFonts w:hint="eastAsia" w:ascii="楷体_GB2312" w:eastAsia="楷体_GB2312"/>
          <w:b w:val="0"/>
          <w:bCs w:val="0"/>
          <w:color w:val="000000"/>
          <w:sz w:val="24"/>
          <w:highlight w:val="none"/>
        </w:rPr>
        <w:t>代销机构</w:t>
      </w:r>
      <w:r>
        <w:rPr>
          <w:rFonts w:ascii="楷体_GB2312" w:eastAsia="楷体_GB2312"/>
          <w:b w:val="0"/>
          <w:bCs w:val="0"/>
          <w:color w:val="000000"/>
          <w:sz w:val="24"/>
          <w:highlight w:val="none"/>
        </w:rPr>
        <w:t>的联络方式</w:t>
      </w:r>
    </w:p>
    <w:p>
      <w:pPr>
        <w:ind w:firstLine="480" w:firstLineChars="200"/>
        <w:outlineLvl w:val="0"/>
        <w:rPr>
          <w:rFonts w:hint="eastAsia" w:ascii="楷体_GB2312" w:eastAsia="楷体_GB2312"/>
          <w:color w:val="000000"/>
          <w:sz w:val="24"/>
          <w:highlight w:val="none"/>
          <w:lang w:val="en-US" w:eastAsia="zh-CN"/>
        </w:rPr>
      </w:pPr>
      <w:r>
        <w:rPr>
          <w:rFonts w:hint="eastAsia" w:ascii="楷体_GB2312" w:eastAsia="楷体_GB2312"/>
          <w:color w:val="000000"/>
          <w:sz w:val="24"/>
          <w:highlight w:val="none"/>
          <w:lang w:val="en-US" w:eastAsia="zh-CN"/>
        </w:rPr>
        <w:t>A类份额、B类份额：</w:t>
      </w:r>
    </w:p>
    <w:p>
      <w:pPr>
        <w:ind w:firstLine="480" w:firstLineChars="200"/>
        <w:outlineLvl w:val="0"/>
        <w:rPr>
          <w:rFonts w:hint="default" w:ascii="楷体_GB2312" w:hAnsi="宋体" w:eastAsia="楷体_GB2312" w:cs="Times New Roman"/>
          <w:color w:val="auto"/>
          <w:sz w:val="24"/>
          <w:lang w:val="en-US" w:eastAsia="zh-CN"/>
        </w:rPr>
      </w:pPr>
      <w:r>
        <w:rPr>
          <w:rFonts w:hint="eastAsia" w:ascii="楷体_GB2312" w:hAnsi="宋体" w:eastAsia="楷体_GB2312" w:cs="Times New Roman"/>
          <w:color w:val="auto"/>
          <w:sz w:val="24"/>
          <w:lang w:val="en-US" w:eastAsia="zh-CN"/>
        </w:rPr>
        <w:t>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舟山普陀农村商业银行股份有限公司、浙江建德农村商业银行股份有限公司、浙江嵊州农村商业银行股份有限公司、宁波慈溪农村商业银行股份有限公司、浙江浦江农村商业银行股份有限公司、浙江平湖农村商业银行股份有限公司、杭州联合农村商业银行股份有限公司、浙江诸暨农村商业银行股份有限公司、宁波余姚农村商业银行股份有限公司、浙江上虞农村商业银行股份有限公司、浙江富阳农村商业银行股份有限公司、浙江衢州柯城农村商业银行股份有限公司、浙江松阳农村商业银行股份有限公司、浙江江山农村商业银行股份有限公司、浙江义乌农村商业银行股份有限公司、浙江桐庐农村商业银行股份有限公司、浙江新昌农村商业银行股份有限公司</w:t>
      </w:r>
    </w:p>
    <w:p>
      <w:pPr>
        <w:pStyle w:val="2"/>
        <w:numPr>
          <w:ilvl w:val="0"/>
          <w:numId w:val="0"/>
        </w:numPr>
        <w:ind w:leftChars="200" w:firstLine="240" w:firstLineChars="100"/>
        <w:rPr>
          <w:rFonts w:hint="eastAsia"/>
          <w:lang w:val="en-US" w:eastAsia="zh-CN"/>
        </w:rPr>
      </w:pPr>
      <w:r>
        <w:rPr>
          <w:rFonts w:hint="eastAsia" w:ascii="楷体_GB2312" w:hAnsi="宋体" w:eastAsia="楷体_GB2312" w:cs="Times New Roman"/>
          <w:color w:val="auto"/>
          <w:sz w:val="24"/>
          <w:lang w:val="en-US" w:eastAsia="zh-CN"/>
        </w:rPr>
        <w:t>客户服务热线：</w:t>
      </w:r>
      <w:r>
        <w:rPr>
          <w:rFonts w:hint="eastAsia" w:ascii="楷体_GB2312" w:eastAsia="楷体_GB2312"/>
          <w:color w:val="auto"/>
          <w:sz w:val="24"/>
          <w:highlight w:val="none"/>
        </w:rPr>
        <w:t>96596</w:t>
      </w:r>
    </w:p>
    <w:p>
      <w:pPr>
        <w:pStyle w:val="2"/>
        <w:ind w:left="0" w:leftChars="0" w:firstLine="720" w:firstLineChars="300"/>
        <w:rPr>
          <w:rFonts w:hint="eastAsia"/>
          <w:lang w:val="en-US" w:eastAsia="zh-CN"/>
        </w:rPr>
      </w:pPr>
      <w:r>
        <w:rPr>
          <w:rFonts w:ascii="楷体_GB2312" w:eastAsia="楷体_GB2312"/>
          <w:color w:val="000000"/>
          <w:sz w:val="24"/>
          <w:highlight w:val="none"/>
        </w:rPr>
        <w:t>门户网站：</w:t>
      </w:r>
      <w:r>
        <w:rPr>
          <w:rFonts w:hint="eastAsia" w:ascii="楷体_GB2312" w:eastAsia="楷体_GB2312"/>
          <w:color w:val="auto"/>
          <w:sz w:val="24"/>
          <w:highlight w:val="none"/>
        </w:rPr>
        <w:t>www.zj96596.com</w:t>
      </w:r>
    </w:p>
    <w:p>
      <w:pPr>
        <w:numPr>
          <w:ilvl w:val="0"/>
          <w:numId w:val="3"/>
        </w:num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lang w:eastAsia="zh-CN"/>
        </w:rPr>
        <w:t>产品管理人</w:t>
      </w:r>
      <w:r>
        <w:rPr>
          <w:rFonts w:hint="eastAsia" w:ascii="楷体_GB2312" w:eastAsia="楷体_GB2312"/>
          <w:color w:val="000000"/>
          <w:sz w:val="24"/>
          <w:highlight w:val="none"/>
          <w:lang w:val="en-US" w:eastAsia="zh-CN"/>
        </w:rPr>
        <w:t>的</w:t>
      </w:r>
      <w:r>
        <w:rPr>
          <w:rFonts w:hint="eastAsia" w:ascii="楷体_GB2312" w:eastAsia="楷体_GB2312"/>
          <w:color w:val="000000"/>
          <w:sz w:val="24"/>
          <w:highlight w:val="none"/>
          <w:lang w:eastAsia="zh-CN"/>
        </w:rPr>
        <w:t>联络</w:t>
      </w:r>
      <w:r>
        <w:rPr>
          <w:rFonts w:ascii="楷体_GB2312" w:eastAsia="楷体_GB2312"/>
          <w:color w:val="000000"/>
          <w:sz w:val="24"/>
          <w:highlight w:val="none"/>
        </w:rPr>
        <w:t>方式</w:t>
      </w:r>
    </w:p>
    <w:p>
      <w:pPr>
        <w:numPr>
          <w:ilvl w:val="0"/>
          <w:numId w:val="0"/>
        </w:numPr>
        <w:ind w:firstLine="480" w:firstLineChars="200"/>
        <w:outlineLvl w:val="0"/>
        <w:rPr>
          <w:rFonts w:ascii="楷体_GB2312" w:eastAsia="楷体_GB2312"/>
          <w:color w:val="000000"/>
          <w:sz w:val="24"/>
        </w:rPr>
      </w:pPr>
      <w:r>
        <w:rPr>
          <w:rFonts w:hint="eastAsia" w:ascii="楷体_GB2312" w:eastAsia="楷体_GB2312"/>
          <w:color w:val="000000"/>
          <w:sz w:val="24"/>
          <w:highlight w:val="none"/>
          <w:lang w:val="en-US" w:eastAsia="zh-CN"/>
        </w:rPr>
        <w:t>北银理财通讯地址：</w:t>
      </w:r>
      <w:r>
        <w:rPr>
          <w:rFonts w:ascii="楷体_GB2312" w:eastAsia="楷体_GB2312"/>
          <w:color w:val="000000"/>
          <w:sz w:val="24"/>
          <w:highlight w:val="none"/>
        </w:rPr>
        <w:t>北京市西城区金融大街甲</w:t>
      </w:r>
      <w:r>
        <w:rPr>
          <w:rFonts w:hint="eastAsia" w:ascii="楷体_GB2312" w:eastAsia="楷体_GB2312"/>
          <w:color w:val="000000"/>
          <w:sz w:val="24"/>
          <w:highlight w:val="none"/>
        </w:rPr>
        <w:t>9号金融街中心大厦A座1</w:t>
      </w:r>
      <w:r>
        <w:rPr>
          <w:rFonts w:hint="eastAsia" w:ascii="楷体_GB2312" w:eastAsia="楷体_GB2312"/>
          <w:color w:val="000000"/>
          <w:sz w:val="24"/>
          <w:highlight w:val="none"/>
          <w:lang w:val="en-US" w:eastAsia="zh-CN"/>
        </w:rPr>
        <w:t>1</w:t>
      </w:r>
      <w:r>
        <w:rPr>
          <w:rFonts w:ascii="楷体_GB2312" w:eastAsia="楷体_GB2312"/>
          <w:color w:val="000000"/>
          <w:sz w:val="24"/>
          <w:highlight w:val="none"/>
        </w:rPr>
        <w:t>层，</w:t>
      </w:r>
      <w:r>
        <w:rPr>
          <w:rFonts w:hint="eastAsia" w:ascii="楷体_GB2312" w:eastAsia="楷体_GB2312"/>
          <w:color w:val="000000"/>
          <w:sz w:val="24"/>
          <w:highlight w:val="none"/>
        </w:rPr>
        <w:t>邮编：1</w:t>
      </w:r>
      <w:r>
        <w:rPr>
          <w:rFonts w:ascii="楷体_GB2312" w:eastAsia="楷体_GB2312"/>
          <w:color w:val="000000"/>
          <w:sz w:val="24"/>
          <w:highlight w:val="none"/>
        </w:rPr>
        <w:t>00035</w:t>
      </w:r>
    </w:p>
    <w:p>
      <w:pPr>
        <w:outlineLvl w:val="0"/>
        <w:rPr>
          <w:rFonts w:ascii="楷体_GB2312" w:eastAsia="楷体_GB2312"/>
          <w:color w:val="000000"/>
          <w:sz w:val="24"/>
        </w:rPr>
      </w:pPr>
      <w:r>
        <w:rPr>
          <w:rFonts w:hint="eastAsia" w:ascii="楷体_GB2312" w:eastAsia="楷体_GB2312"/>
          <w:color w:val="000000"/>
          <w:sz w:val="24"/>
        </w:rPr>
        <w:t>---------------------------------------------------------------------</w:t>
      </w:r>
    </w:p>
    <w:p>
      <w:pPr>
        <w:ind w:firstLine="470" w:firstLineChars="196"/>
        <w:outlineLvl w:val="0"/>
        <w:rPr>
          <w:rFonts w:ascii="楷体_GB2312" w:eastAsia="楷体_GB2312"/>
          <w:color w:val="000000"/>
          <w:sz w:val="24"/>
          <w:highlight w:val="none"/>
        </w:rPr>
      </w:pP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声明：本人/本公司（</w:t>
      </w:r>
      <w:r>
        <w:rPr>
          <w:rFonts w:hint="eastAsia" w:ascii="楷体_GB2312" w:eastAsia="楷体_GB2312"/>
          <w:color w:val="000000"/>
          <w:sz w:val="24"/>
          <w:highlight w:val="none"/>
        </w:rPr>
        <w:t>单位</w:t>
      </w:r>
      <w:r>
        <w:rPr>
          <w:rFonts w:ascii="楷体_GB2312" w:eastAsia="楷体_GB2312"/>
          <w:color w:val="000000"/>
          <w:sz w:val="24"/>
          <w:highlight w:val="none"/>
        </w:rPr>
        <w:t>）知悉</w:t>
      </w:r>
      <w:r>
        <w:rPr>
          <w:rFonts w:hint="eastAsia" w:ascii="楷体_GB2312" w:eastAsia="楷体_GB2312"/>
          <w:color w:val="000000"/>
          <w:sz w:val="24"/>
          <w:highlight w:val="none"/>
          <w:lang w:eastAsia="zh-CN"/>
        </w:rPr>
        <w:t>北银理财</w:t>
      </w:r>
      <w:r>
        <w:rPr>
          <w:rFonts w:hint="eastAsia" w:ascii="楷体_GB2312" w:eastAsia="楷体_GB2312"/>
          <w:color w:val="000000"/>
          <w:sz w:val="24"/>
          <w:highlight w:val="none"/>
          <w:lang w:val="en-US" w:eastAsia="zh-CN"/>
        </w:rPr>
        <w:t>丰收系列</w:t>
      </w:r>
      <w:r>
        <w:rPr>
          <w:rFonts w:hint="eastAsia" w:ascii="楷体_GB2312" w:eastAsia="楷体_GB2312"/>
          <w:color w:val="000000"/>
          <w:sz w:val="24"/>
          <w:highlight w:val="none"/>
          <w:lang w:eastAsia="zh-CN"/>
        </w:rPr>
        <w:t>京华远见春系列诚享</w:t>
      </w:r>
      <w:r>
        <w:rPr>
          <w:rFonts w:hint="eastAsia" w:ascii="楷体_GB2312" w:eastAsia="楷体_GB2312"/>
          <w:color w:val="000000"/>
          <w:sz w:val="24"/>
          <w:highlight w:val="none"/>
          <w:lang w:val="en-US" w:eastAsia="zh-CN"/>
        </w:rPr>
        <w:t>7</w:t>
      </w:r>
      <w:r>
        <w:rPr>
          <w:rFonts w:hint="eastAsia" w:ascii="楷体_GB2312" w:eastAsia="楷体_GB2312"/>
          <w:color w:val="000000"/>
          <w:sz w:val="24"/>
          <w:highlight w:val="none"/>
          <w:lang w:eastAsia="zh-CN"/>
        </w:rPr>
        <w:t>天持有期</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lang w:eastAsia="zh-CN"/>
        </w:rPr>
        <w:t>号理财产品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由本</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产品对应的</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ascii="楷体_GB2312" w:eastAsia="楷体_GB2312"/>
          <w:color w:val="000000"/>
          <w:sz w:val="24"/>
          <w:highlight w:val="none"/>
        </w:rPr>
        <w:t>《投资者权益须知》</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共同组成，</w:t>
      </w:r>
      <w:r>
        <w:rPr>
          <w:rFonts w:ascii="楷体_GB2312" w:eastAsia="楷体_GB2312"/>
          <w:b/>
          <w:bCs/>
          <w:color w:val="000000"/>
          <w:sz w:val="24"/>
          <w:highlight w:val="none"/>
        </w:rPr>
        <w:t>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）确认已经收到本</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，且已经认真阅读、理解并接受该</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的所有条款及相关法律规定，确认已经获得满意的信息披露，理解</w:t>
      </w:r>
      <w:r>
        <w:rPr>
          <w:rFonts w:hint="eastAsia" w:ascii="楷体_GB2312" w:eastAsia="楷体_GB2312"/>
          <w:b/>
          <w:bCs/>
          <w:color w:val="000000"/>
          <w:sz w:val="24"/>
          <w:highlight w:val="none"/>
          <w:lang w:val="en-US" w:eastAsia="zh-CN"/>
        </w:rPr>
        <w:t>本理财产品</w:t>
      </w:r>
      <w:r>
        <w:rPr>
          <w:rFonts w:ascii="楷体_GB2312" w:eastAsia="楷体_GB2312"/>
          <w:b/>
          <w:bCs/>
          <w:color w:val="000000"/>
          <w:sz w:val="24"/>
          <w:highlight w:val="none"/>
        </w:rPr>
        <w:t>的性质、风险及可能的损失，并愿意承担且有能力承担该等风险。</w:t>
      </w:r>
    </w:p>
    <w:p>
      <w:pPr>
        <w:ind w:right="840" w:firstLine="4668" w:firstLineChars="1945"/>
        <w:outlineLvl w:val="0"/>
        <w:rPr>
          <w:rFonts w:ascii="楷体_GB2312" w:eastAsia="楷体_GB2312"/>
          <w:color w:val="000000"/>
          <w:sz w:val="24"/>
          <w:highlight w:val="none"/>
        </w:rPr>
      </w:pPr>
      <w:r>
        <w:rPr>
          <w:rFonts w:ascii="楷体_GB2312" w:eastAsia="楷体_GB2312"/>
          <w:color w:val="000000"/>
          <w:sz w:val="24"/>
          <w:highlight w:val="none"/>
        </w:rPr>
        <w:t>个人投资者签名：</w:t>
      </w:r>
    </w:p>
    <w:p>
      <w:pPr>
        <w:ind w:right="480" w:firstLine="5870" w:firstLineChars="2446"/>
        <w:outlineLvl w:val="0"/>
      </w:pPr>
      <w:r>
        <w:rPr>
          <w:rFonts w:ascii="楷体_GB2312" w:eastAsia="楷体_GB2312"/>
          <w:color w:val="000000"/>
          <w:sz w:val="24"/>
          <w:highlight w:val="none"/>
        </w:rPr>
        <w:t>日期：</w:t>
      </w:r>
    </w:p>
    <w:p>
      <w:pPr>
        <w:pStyle w:val="2"/>
        <w:ind w:left="0" w:leftChars="0" w:firstLine="0"/>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1"/>
        <w:ind w:right="480"/>
        <w:jc w:val="center"/>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1"/>
        <w:ind w:right="480" w:firstLine="5880" w:firstLineChars="2450"/>
        <w:rPr>
          <w:rFonts w:ascii="楷体_GB2312" w:hAnsi="楷体" w:eastAsia="楷体_GB2312"/>
        </w:rPr>
      </w:pPr>
      <w:r>
        <w:rPr>
          <w:rFonts w:hint="eastAsia" w:ascii="楷体_GB2312" w:hAnsi="楷体" w:eastAsia="楷体_GB2312" w:cs="Times New Roman"/>
          <w:color w:val="auto"/>
          <w:kern w:val="2"/>
          <w:highlight w:val="none"/>
        </w:rPr>
        <w:t>日期：</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C491D"/>
    <w:multiLevelType w:val="singleLevel"/>
    <w:tmpl w:val="376C491D"/>
    <w:lvl w:ilvl="0" w:tentative="0">
      <w:start w:val="2"/>
      <w:numFmt w:val="chineseCounting"/>
      <w:suff w:val="nothing"/>
      <w:lvlText w:val="（%1）"/>
      <w:lvlJc w:val="left"/>
      <w:rPr>
        <w:rFonts w:hint="eastAsia"/>
      </w:rPr>
    </w:lvl>
  </w:abstractNum>
  <w:abstractNum w:abstractNumId="1">
    <w:nsid w:val="64CA4909"/>
    <w:multiLevelType w:val="singleLevel"/>
    <w:tmpl w:val="64CA4909"/>
    <w:lvl w:ilvl="0" w:tentative="0">
      <w:start w:val="4"/>
      <w:numFmt w:val="chineseCounting"/>
      <w:suff w:val="nothing"/>
      <w:lvlText w:val="（%1）"/>
      <w:lvlJc w:val="left"/>
    </w:lvl>
  </w:abstractNum>
  <w:abstractNum w:abstractNumId="2">
    <w:nsid w:val="64F6A695"/>
    <w:multiLevelType w:val="singleLevel"/>
    <w:tmpl w:val="64F6A69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504144A"/>
    <w:rsid w:val="05BF5990"/>
    <w:rsid w:val="05F01773"/>
    <w:rsid w:val="0714394A"/>
    <w:rsid w:val="07507D94"/>
    <w:rsid w:val="07832498"/>
    <w:rsid w:val="088F4C22"/>
    <w:rsid w:val="0A1C34D3"/>
    <w:rsid w:val="0A7C6626"/>
    <w:rsid w:val="0A7E5B69"/>
    <w:rsid w:val="0A8B01B5"/>
    <w:rsid w:val="0AE700DE"/>
    <w:rsid w:val="0B7B363D"/>
    <w:rsid w:val="0BAA6529"/>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628152E"/>
    <w:rsid w:val="162B35F7"/>
    <w:rsid w:val="163E130D"/>
    <w:rsid w:val="16507D3B"/>
    <w:rsid w:val="179429FE"/>
    <w:rsid w:val="17E21276"/>
    <w:rsid w:val="18311E7D"/>
    <w:rsid w:val="197F6915"/>
    <w:rsid w:val="198F2EA3"/>
    <w:rsid w:val="19DA32F5"/>
    <w:rsid w:val="1AEC1938"/>
    <w:rsid w:val="1BC340CB"/>
    <w:rsid w:val="1BE40BE2"/>
    <w:rsid w:val="1D207C54"/>
    <w:rsid w:val="1D343F1A"/>
    <w:rsid w:val="1E254D87"/>
    <w:rsid w:val="1EFB696C"/>
    <w:rsid w:val="1F966CEF"/>
    <w:rsid w:val="205C17F8"/>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FA58B6"/>
    <w:rsid w:val="32374347"/>
    <w:rsid w:val="323C077E"/>
    <w:rsid w:val="34FC143E"/>
    <w:rsid w:val="35A20C08"/>
    <w:rsid w:val="35CF32C4"/>
    <w:rsid w:val="37CD5327"/>
    <w:rsid w:val="3826648A"/>
    <w:rsid w:val="385A298F"/>
    <w:rsid w:val="38830A0F"/>
    <w:rsid w:val="389C1598"/>
    <w:rsid w:val="391753D8"/>
    <w:rsid w:val="398163A9"/>
    <w:rsid w:val="3A422681"/>
    <w:rsid w:val="3A5072EC"/>
    <w:rsid w:val="3A6E3B4F"/>
    <w:rsid w:val="3A8D500B"/>
    <w:rsid w:val="3ABB2901"/>
    <w:rsid w:val="3ABF07ED"/>
    <w:rsid w:val="3B612EFA"/>
    <w:rsid w:val="3BA85FA7"/>
    <w:rsid w:val="3C177EDB"/>
    <w:rsid w:val="3C2C38C7"/>
    <w:rsid w:val="3D2B63EB"/>
    <w:rsid w:val="3E187666"/>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8E488B"/>
    <w:rsid w:val="57C135B2"/>
    <w:rsid w:val="58191195"/>
    <w:rsid w:val="581A4CC0"/>
    <w:rsid w:val="596270B3"/>
    <w:rsid w:val="59757966"/>
    <w:rsid w:val="59CE6345"/>
    <w:rsid w:val="5A3B0686"/>
    <w:rsid w:val="5A9A22F9"/>
    <w:rsid w:val="5AC21DB2"/>
    <w:rsid w:val="5C183BCB"/>
    <w:rsid w:val="5C652FAE"/>
    <w:rsid w:val="5DA15318"/>
    <w:rsid w:val="5DD221CC"/>
    <w:rsid w:val="60887E5E"/>
    <w:rsid w:val="60AB572B"/>
    <w:rsid w:val="60E742FD"/>
    <w:rsid w:val="61E50F12"/>
    <w:rsid w:val="630531DA"/>
    <w:rsid w:val="63661564"/>
    <w:rsid w:val="63EB5A74"/>
    <w:rsid w:val="644164E2"/>
    <w:rsid w:val="644436E8"/>
    <w:rsid w:val="652C5971"/>
    <w:rsid w:val="65766292"/>
    <w:rsid w:val="65E35E14"/>
    <w:rsid w:val="6651210B"/>
    <w:rsid w:val="66D555F0"/>
    <w:rsid w:val="672E4672"/>
    <w:rsid w:val="682D7901"/>
    <w:rsid w:val="6836676F"/>
    <w:rsid w:val="687938F3"/>
    <w:rsid w:val="6890026C"/>
    <w:rsid w:val="694C1C45"/>
    <w:rsid w:val="695C7769"/>
    <w:rsid w:val="6A06258C"/>
    <w:rsid w:val="6A1A4CD8"/>
    <w:rsid w:val="6A57315D"/>
    <w:rsid w:val="6B200010"/>
    <w:rsid w:val="6B88487B"/>
    <w:rsid w:val="6C053863"/>
    <w:rsid w:val="6CA42465"/>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8C7E47"/>
    <w:rsid w:val="77003B40"/>
    <w:rsid w:val="77156C7D"/>
    <w:rsid w:val="771F4878"/>
    <w:rsid w:val="77D00302"/>
    <w:rsid w:val="77E66B14"/>
    <w:rsid w:val="78570879"/>
    <w:rsid w:val="793A670D"/>
    <w:rsid w:val="79BA78FA"/>
    <w:rsid w:val="79CE0279"/>
    <w:rsid w:val="7A0849C7"/>
    <w:rsid w:val="7A377612"/>
    <w:rsid w:val="7A3C6949"/>
    <w:rsid w:val="7A6F3684"/>
    <w:rsid w:val="7B8E5C3C"/>
    <w:rsid w:val="7B9A5BD4"/>
    <w:rsid w:val="7BC60E22"/>
    <w:rsid w:val="7C1B3BD2"/>
    <w:rsid w:val="7C8A0DE0"/>
    <w:rsid w:val="7D96647C"/>
    <w:rsid w:val="7E08657F"/>
    <w:rsid w:val="7E726B1F"/>
    <w:rsid w:val="7F1C2108"/>
    <w:rsid w:val="7F327624"/>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50</Pages>
  <Words>45927</Words>
  <Characters>46633</Characters>
  <Lines>267</Lines>
  <Paragraphs>75</Paragraphs>
  <TotalTime>8</TotalTime>
  <ScaleCrop>false</ScaleCrop>
  <LinksUpToDate>false</LinksUpToDate>
  <CharactersWithSpaces>46766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刘芳勤_产品管理部</cp:lastModifiedBy>
  <cp:lastPrinted>2022-12-23T14:07:00Z</cp:lastPrinted>
  <dcterms:modified xsi:type="dcterms:W3CDTF">2025-08-08T01:37:25Z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