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Calibri" w:hAnsi="Calibri" w:eastAsia="宋体" w:cs="黑体"/>
          <w:b/>
          <w:bCs w:val="0"/>
          <w:sz w:val="44"/>
          <w:szCs w:val="44"/>
          <w:highlight w:val="none"/>
        </w:rPr>
      </w:pPr>
      <w:bookmarkStart w:id="1" w:name="_GoBack"/>
      <w:bookmarkEnd w:id="1"/>
      <w:r>
        <w:rPr>
          <w:rFonts w:hint="eastAsia" w:cs="黑体"/>
          <w:b/>
          <w:bCs w:val="0"/>
          <w:sz w:val="44"/>
          <w:szCs w:val="44"/>
          <w:highlight w:val="none"/>
          <w:lang w:val="en-US" w:eastAsia="zh-CN"/>
        </w:rPr>
        <w:t>理财产品</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cs="黑体"/>
          <w:b/>
          <w:bCs/>
          <w:sz w:val="24"/>
          <w:highlight w:val="none"/>
          <w:lang w:val="en-US" w:eastAsia="zh-CN"/>
        </w:rPr>
        <w:t>理财产品</w:t>
      </w:r>
      <w:r>
        <w:rPr>
          <w:rFonts w:hint="eastAsia" w:eastAsia="宋体" w:cs="黑体"/>
          <w:b/>
          <w:bCs/>
          <w:sz w:val="24"/>
          <w:highlight w:val="none"/>
          <w:lang w:val="en-US" w:eastAsia="zh-CN"/>
        </w:rPr>
        <w:t>风险揭示书、</w:t>
      </w:r>
      <w:r>
        <w:rPr>
          <w:rFonts w:hint="eastAsia" w:cs="黑体"/>
          <w:b/>
          <w:bCs/>
          <w:sz w:val="24"/>
          <w:highlight w:val="none"/>
          <w:lang w:val="en-US" w:eastAsia="zh-CN"/>
        </w:rPr>
        <w:t>理财产品</w:t>
      </w:r>
      <w:r>
        <w:rPr>
          <w:rFonts w:hint="eastAsia" w:eastAsia="宋体" w:cs="黑体"/>
          <w:b/>
          <w:bCs/>
          <w:sz w:val="24"/>
          <w:highlight w:val="none"/>
          <w:lang w:val="en-US" w:eastAsia="zh-CN"/>
        </w:rPr>
        <w:t>产品说明书、投资者权益须知及</w:t>
      </w:r>
      <w:r>
        <w:rPr>
          <w:rFonts w:hint="eastAsia" w:cs="黑体"/>
          <w:b/>
          <w:bCs/>
          <w:sz w:val="24"/>
          <w:highlight w:val="none"/>
          <w:lang w:eastAsia="zh-CN"/>
        </w:rPr>
        <w:t>理财产品</w:t>
      </w:r>
      <w:r>
        <w:rPr>
          <w:rFonts w:hint="eastAsia" w:ascii="Calibri" w:hAnsi="Calibri" w:eastAsia="宋体" w:cs="黑体"/>
          <w:b/>
          <w:bCs/>
          <w:sz w:val="24"/>
          <w:highlight w:val="none"/>
        </w:rPr>
        <w:t>投资协议书共同构成完整且不可分割的</w:t>
      </w:r>
      <w:r>
        <w:rPr>
          <w:rFonts w:hint="eastAsia" w:cs="黑体"/>
          <w:b/>
          <w:bCs/>
          <w:sz w:val="24"/>
          <w:highlight w:val="none"/>
          <w:lang w:eastAsia="zh-CN"/>
        </w:rPr>
        <w:t>理财产品</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w:t>
      </w:r>
      <w:r>
        <w:rPr>
          <w:rFonts w:hint="eastAsia" w:cs="黑体"/>
          <w:b/>
          <w:bCs/>
          <w:sz w:val="24"/>
          <w:highlight w:val="none"/>
          <w:lang w:eastAsia="zh-CN"/>
        </w:rPr>
        <w:t>北银理财</w:t>
      </w:r>
      <w:r>
        <w:rPr>
          <w:rFonts w:hint="eastAsia" w:ascii="Calibri" w:hAnsi="Calibri" w:eastAsia="宋体" w:cs="黑体"/>
          <w:b/>
          <w:bCs/>
          <w:sz w:val="24"/>
          <w:highlight w:val="none"/>
        </w:rPr>
        <w:t>有限责任公司（以下简称“</w:t>
      </w:r>
      <w:r>
        <w:rPr>
          <w:rFonts w:hint="eastAsia" w:cs="黑体"/>
          <w:b/>
          <w:bCs/>
          <w:sz w:val="24"/>
          <w:highlight w:val="none"/>
          <w:lang w:eastAsia="zh-CN"/>
        </w:rPr>
        <w:t>北银理财</w:t>
      </w:r>
      <w:r>
        <w:rPr>
          <w:rFonts w:hint="eastAsia" w:ascii="Calibri" w:hAnsi="Calibri" w:eastAsia="宋体" w:cs="黑体"/>
          <w:b/>
          <w:bCs/>
          <w:sz w:val="24"/>
          <w:highlight w:val="none"/>
        </w:rPr>
        <w:t>”）建议投资者在购买</w:t>
      </w:r>
      <w:r>
        <w:rPr>
          <w:rFonts w:hint="eastAsia" w:cs="黑体"/>
          <w:b/>
          <w:bCs/>
          <w:sz w:val="24"/>
          <w:highlight w:val="none"/>
          <w:lang w:eastAsia="zh-CN"/>
        </w:rPr>
        <w:t>理财产品</w:t>
      </w:r>
      <w:r>
        <w:rPr>
          <w:rFonts w:hint="eastAsia" w:ascii="Calibri" w:hAnsi="Calibri" w:eastAsia="宋体" w:cs="黑体"/>
          <w:b/>
          <w:bCs/>
          <w:sz w:val="24"/>
          <w:highlight w:val="none"/>
        </w:rPr>
        <w:t>前认真阅读</w:t>
      </w:r>
      <w:r>
        <w:rPr>
          <w:rFonts w:hint="eastAsia" w:ascii="Calibri" w:hAnsi="Calibri" w:eastAsia="宋体" w:cs="黑体"/>
          <w:b/>
          <w:bCs/>
          <w:sz w:val="24"/>
          <w:highlight w:val="none"/>
          <w:lang w:val="en-US" w:eastAsia="zh-CN"/>
        </w:rPr>
        <w:t>全套</w:t>
      </w:r>
      <w:r>
        <w:rPr>
          <w:rFonts w:hint="eastAsia" w:cs="黑体"/>
          <w:b/>
          <w:bCs/>
          <w:sz w:val="24"/>
          <w:highlight w:val="none"/>
          <w:lang w:eastAsia="zh-CN"/>
        </w:rPr>
        <w:t>理财产品</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w:t>
      </w:r>
      <w:r>
        <w:rPr>
          <w:rFonts w:hint="eastAsia" w:cs="黑体"/>
          <w:b/>
          <w:bCs/>
          <w:sz w:val="24"/>
          <w:highlight w:val="none"/>
          <w:lang w:eastAsia="zh-CN"/>
        </w:rPr>
        <w:t>理财产品</w:t>
      </w:r>
      <w:r>
        <w:rPr>
          <w:rFonts w:hint="eastAsia" w:ascii="Calibri" w:hAnsi="Calibri" w:eastAsia="宋体" w:cs="黑体"/>
          <w:b/>
          <w:bCs/>
          <w:sz w:val="24"/>
          <w:highlight w:val="none"/>
        </w:rPr>
        <w:t>合同并知悉相关风险，自愿投资购买</w:t>
      </w:r>
      <w:r>
        <w:rPr>
          <w:rFonts w:hint="eastAsia" w:cs="黑体"/>
          <w:b/>
          <w:bCs/>
          <w:sz w:val="24"/>
          <w:highlight w:val="none"/>
          <w:lang w:eastAsia="zh-CN"/>
        </w:rPr>
        <w:t>理财产品</w:t>
      </w:r>
      <w:r>
        <w:rPr>
          <w:rFonts w:hint="eastAsia" w:ascii="Calibri" w:hAnsi="Calibri" w:eastAsia="宋体" w:cs="黑体"/>
          <w:b/>
          <w:bCs/>
          <w:sz w:val="24"/>
          <w:highlight w:val="none"/>
        </w:rPr>
        <w:t>、遵守合同约定并承担相应风险。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过往业绩不代表其未来表现，不等于</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cs="黑体"/>
          <w:sz w:val="24"/>
          <w:highlight w:val="none"/>
          <w:lang w:val="en-US" w:eastAsia="zh-CN"/>
        </w:rPr>
        <w:t>理财产品</w:t>
      </w:r>
      <w:r>
        <w:rPr>
          <w:rFonts w:hint="eastAsia" w:ascii="Calibri" w:hAnsi="Calibri" w:eastAsia="宋体" w:cs="黑体"/>
          <w:sz w:val="24"/>
          <w:highlight w:val="none"/>
          <w:lang w:val="en-US" w:eastAsia="zh-CN"/>
        </w:rPr>
        <w:t>销售的相关法律主体为发行</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的代理销售机构（以下简称“销售机构”）和投资者三方。理财公司是</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w:t>
      </w:r>
      <w:r>
        <w:rPr>
          <w:rFonts w:hint="eastAsia" w:cs="黑体"/>
          <w:sz w:val="24"/>
          <w:highlight w:val="none"/>
          <w:lang w:val="en-US" w:eastAsia="zh-CN"/>
        </w:rPr>
        <w:t>理财产品</w:t>
      </w:r>
      <w:r>
        <w:rPr>
          <w:rFonts w:hint="eastAsia" w:ascii="Calibri" w:hAnsi="Calibri" w:eastAsia="宋体" w:cs="黑体"/>
          <w:sz w:val="24"/>
          <w:highlight w:val="none"/>
          <w:lang w:val="en-US" w:eastAsia="zh-CN"/>
        </w:rPr>
        <w:t>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w:t>
      </w:r>
      <w:r>
        <w:rPr>
          <w:rFonts w:hint="eastAsia" w:cs="黑体"/>
          <w:bCs/>
          <w:sz w:val="24"/>
          <w:highlight w:val="none"/>
          <w:lang w:val="en-US" w:eastAsia="zh-CN"/>
        </w:rPr>
        <w:t>理财产品</w:t>
      </w:r>
      <w:r>
        <w:rPr>
          <w:rFonts w:hint="eastAsia" w:ascii="Calibri" w:hAnsi="Calibri" w:eastAsia="宋体" w:cs="黑体"/>
          <w:bCs/>
          <w:sz w:val="24"/>
          <w:highlight w:val="none"/>
          <w:lang w:val="en-US" w:eastAsia="zh-CN"/>
        </w:rPr>
        <w:t>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w:t>
      </w:r>
      <w:r>
        <w:rPr>
          <w:rFonts w:hint="eastAsia" w:ascii="宋体" w:hAnsi="宋体" w:cs="黑体"/>
          <w:sz w:val="24"/>
          <w:highlight w:val="none"/>
          <w:lang w:eastAsia="zh-CN"/>
        </w:rPr>
        <w:t>理财产品</w:t>
      </w:r>
      <w:r>
        <w:rPr>
          <w:rFonts w:hint="eastAsia" w:ascii="宋体" w:hAnsi="宋体" w:eastAsia="宋体" w:cs="黑体"/>
          <w:sz w:val="24"/>
          <w:highlight w:val="none"/>
        </w:rPr>
        <w:t>。投资者将其自有资金用作本</w:t>
      </w:r>
      <w:r>
        <w:rPr>
          <w:rFonts w:hint="eastAsia" w:ascii="宋体" w:hAnsi="宋体" w:cs="黑体"/>
          <w:sz w:val="24"/>
          <w:highlight w:val="none"/>
          <w:lang w:eastAsia="zh-CN"/>
        </w:rPr>
        <w:t>理财产品</w:t>
      </w:r>
      <w:r>
        <w:rPr>
          <w:rFonts w:hint="eastAsia" w:ascii="宋体" w:hAnsi="宋体" w:eastAsia="宋体" w:cs="黑体"/>
          <w:sz w:val="24"/>
          <w:highlight w:val="none"/>
        </w:rPr>
        <w:t>投资协议书条款项下理财交易并不违反相关法律、法规、规章、规定、</w:t>
      </w:r>
      <w:r>
        <w:rPr>
          <w:rFonts w:hint="eastAsia" w:ascii="宋体" w:hAnsi="宋体" w:eastAsia="宋体" w:cs="黑体"/>
          <w:color w:val="000000"/>
          <w:kern w:val="2"/>
          <w:sz w:val="24"/>
          <w:highlight w:val="none"/>
        </w:rPr>
        <w:t>法院裁定或命令的要求，投资者具有完全民事行为能力，能够自行识别、判断和承担</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的相关风险；不存在法律法规、有权机关或主管机关禁止或限制购买</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的各种情形。投资者按其投资金额在本</w:t>
      </w:r>
      <w:r>
        <w:rPr>
          <w:rFonts w:hint="eastAsia" w:ascii="宋体" w:hAnsi="宋体" w:cs="黑体"/>
          <w:color w:val="000000"/>
          <w:kern w:val="2"/>
          <w:sz w:val="24"/>
          <w:highlight w:val="none"/>
          <w:lang w:eastAsia="zh-CN"/>
        </w:rPr>
        <w:t>理财产品</w:t>
      </w:r>
      <w:r>
        <w:rPr>
          <w:rFonts w:hint="eastAsia" w:ascii="宋体" w:hAnsi="宋体" w:eastAsia="宋体" w:cs="黑体"/>
          <w:color w:val="000000"/>
          <w:kern w:val="2"/>
          <w:sz w:val="24"/>
          <w:highlight w:val="none"/>
        </w:rPr>
        <w:t xml:space="preserve">投资协议书中享有相应的权利，承担相应的义务和风险。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cs="黑体"/>
          <w:b/>
          <w:bCs/>
          <w:sz w:val="24"/>
          <w:highlight w:val="none"/>
          <w:lang w:eastAsia="zh-CN"/>
        </w:rPr>
        <w:t>理财产品</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w:t>
      </w:r>
      <w:r>
        <w:rPr>
          <w:rFonts w:hint="eastAsia" w:ascii="宋体" w:hAnsi="宋体" w:cs="黑体"/>
          <w:b/>
          <w:bCs/>
          <w:sz w:val="24"/>
          <w:highlight w:val="none"/>
          <w:lang w:eastAsia="zh-CN"/>
        </w:rPr>
        <w:t>理财产品</w:t>
      </w:r>
      <w:r>
        <w:rPr>
          <w:rFonts w:hint="eastAsia" w:ascii="宋体" w:hAnsi="宋体" w:eastAsia="宋体" w:cs="黑体"/>
          <w:b/>
          <w:bCs/>
          <w:sz w:val="24"/>
          <w:highlight w:val="none"/>
          <w:lang w:val="en-US" w:eastAsia="zh-CN"/>
        </w:rPr>
        <w:t>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w:t>
      </w:r>
      <w:r>
        <w:rPr>
          <w:rFonts w:hint="eastAsia" w:ascii="宋体" w:hAnsi="宋体" w:cs="黑体"/>
          <w:sz w:val="24"/>
          <w:highlight w:val="none"/>
          <w:lang w:eastAsia="zh-CN"/>
        </w:rPr>
        <w:t>理财产品</w:t>
      </w:r>
      <w:r>
        <w:rPr>
          <w:rFonts w:hint="eastAsia" w:ascii="宋体" w:hAnsi="宋体" w:eastAsia="宋体" w:cs="黑体"/>
          <w:sz w:val="24"/>
          <w:highlight w:val="none"/>
        </w:rPr>
        <w:t>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1"/>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1"/>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1"/>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w:t>
      </w:r>
      <w:r>
        <w:rPr>
          <w:rFonts w:hint="eastAsia" w:ascii="宋体" w:hAnsi="宋体"/>
          <w:b/>
          <w:bCs/>
          <w:sz w:val="24"/>
          <w:highlight w:val="none"/>
          <w:lang w:eastAsia="zh-CN"/>
        </w:rPr>
        <w:t>北银理财</w:t>
      </w:r>
      <w:r>
        <w:rPr>
          <w:rFonts w:hint="eastAsia" w:ascii="宋体" w:hAnsi="宋体"/>
          <w:b/>
          <w:bCs/>
          <w:sz w:val="24"/>
          <w:highlight w:val="none"/>
        </w:rPr>
        <w:t>发行且被评定为中高风险及以上的</w:t>
      </w:r>
      <w:r>
        <w:rPr>
          <w:rFonts w:hint="eastAsia" w:ascii="宋体" w:hAnsi="宋体"/>
          <w:b/>
          <w:bCs/>
          <w:sz w:val="24"/>
          <w:highlight w:val="none"/>
          <w:lang w:eastAsia="zh-CN"/>
        </w:rPr>
        <w:t>理财产品</w:t>
      </w:r>
      <w:r>
        <w:rPr>
          <w:rFonts w:hint="eastAsia" w:ascii="宋体" w:hAnsi="宋体"/>
          <w:b/>
          <w:bCs/>
          <w:sz w:val="24"/>
          <w:highlight w:val="none"/>
        </w:rPr>
        <w:t>，可通过经</w:t>
      </w:r>
      <w:r>
        <w:rPr>
          <w:rFonts w:hint="eastAsia" w:ascii="宋体" w:hAnsi="宋体"/>
          <w:b/>
          <w:bCs/>
          <w:sz w:val="24"/>
          <w:highlight w:val="none"/>
          <w:lang w:eastAsia="zh-CN"/>
        </w:rPr>
        <w:t>北银理财</w:t>
      </w:r>
      <w:r>
        <w:rPr>
          <w:rFonts w:hint="eastAsia" w:ascii="宋体" w:hAnsi="宋体"/>
          <w:b/>
          <w:bCs/>
          <w:sz w:val="24"/>
          <w:highlight w:val="none"/>
        </w:rPr>
        <w:t>认可的销售渠道（含线上渠道和线下渠道等）进行交易。如通过线上渠道办理，投资者知晓并确认自身对于上述</w:t>
      </w:r>
      <w:r>
        <w:rPr>
          <w:rFonts w:hint="eastAsia" w:ascii="宋体" w:hAnsi="宋体"/>
          <w:b/>
          <w:bCs/>
          <w:sz w:val="24"/>
          <w:highlight w:val="none"/>
          <w:lang w:eastAsia="zh-CN"/>
        </w:rPr>
        <w:t>理财产品</w:t>
      </w:r>
      <w:r>
        <w:rPr>
          <w:rFonts w:hint="eastAsia" w:ascii="宋体" w:hAnsi="宋体"/>
          <w:b/>
          <w:bCs/>
          <w:sz w:val="24"/>
          <w:highlight w:val="none"/>
        </w:rPr>
        <w:t>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开展尽职调查，承担审批职责，并纳入本机构统一专门名单管理，不得仅以管理人相关产品资料或其出具意见作为审批依据。销售机构应当根据本机构的方式和方法，独立、审慎地对代理销售的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进行销售评级。销售评级与管理人产品评级结果不一致的，销售机构应当采用对应较高风险等级的评级结果并予以披露。</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的非机构投资者进行有效风险承受能力评估，并保证向投资者推介及销售与其风险承受能力匹配的产品。</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的，销售机构应按照监管规定实施</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销售专区管理，对销售专区设置明显标识，并在销售专区内对每只</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销售过程进行录音录像。除非与非机构投资者当面书面约定，评级为四级以上</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的销售，应当在营业网点进行。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宣传推介材料，在全国银行业理财信息登记系统对</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进行登记并获得登记编码前，不得发布</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宣传推介材料或办理</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销售业务。</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销售业务活动。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前进行自我介绍并告知信息查询和核实渠道，便于投资者查询核实，防止伪冒身份和虚假宣传。</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合同的约定收取销售费用，并如实核算、记账。未经载明，不得对不同投资者适用不同费率。</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销售结算资金属于</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投资者，销售机构不得挪用</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销售结算资金或将</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销售结算资金归入自有资产。</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合同约定，诚实守信、勤勉尽责，向购买</w:t>
      </w:r>
      <w:r>
        <w:rPr>
          <w:rFonts w:hint="eastAsia" w:ascii="宋体" w:hAnsi="宋体" w:cs="黑体"/>
          <w:sz w:val="24"/>
          <w:highlight w:val="none"/>
          <w:lang w:val="en-US" w:eastAsia="zh-CN"/>
        </w:rPr>
        <w:t>理财产品</w:t>
      </w:r>
      <w:r>
        <w:rPr>
          <w:rFonts w:hint="eastAsia" w:ascii="宋体" w:hAnsi="宋体" w:eastAsia="宋体" w:cs="黑体"/>
          <w:sz w:val="24"/>
          <w:highlight w:val="none"/>
          <w:lang w:val="en-US" w:eastAsia="zh-CN"/>
        </w:rPr>
        <w:t>的投资者充分传递管理人披露的产品相关信息并进行充分的风险揭示。</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cs="黑体"/>
          <w:b/>
          <w:bCs/>
          <w:sz w:val="24"/>
          <w:highlight w:val="none"/>
          <w:lang w:val="en-US" w:eastAsia="zh-CN"/>
        </w:rPr>
        <w:t>理财产品</w:t>
      </w:r>
      <w:r>
        <w:rPr>
          <w:rFonts w:hint="eastAsia" w:ascii="Calibri" w:hAnsi="Calibri" w:eastAsia="宋体" w:cs="黑体"/>
          <w:b/>
          <w:bCs/>
          <w:sz w:val="24"/>
          <w:highlight w:val="none"/>
          <w:lang w:val="en-US" w:eastAsia="zh-CN"/>
        </w:rPr>
        <w:t>认（申）购、赎回及终止</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认/申购办理流程：参照投资者权益须知约定。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不成立：若在募集期结束日，本</w:t>
      </w:r>
      <w:r>
        <w:rPr>
          <w:rFonts w:hint="eastAsia" w:ascii="宋体" w:hAnsi="宋体" w:cs="黑体"/>
          <w:sz w:val="24"/>
          <w:highlight w:val="none"/>
          <w:lang w:eastAsia="zh-CN"/>
        </w:rPr>
        <w:t>理财产品</w:t>
      </w:r>
      <w:r>
        <w:rPr>
          <w:rFonts w:hint="eastAsia" w:ascii="宋体" w:hAnsi="宋体" w:eastAsia="宋体" w:cs="黑体"/>
          <w:sz w:val="24"/>
          <w:highlight w:val="none"/>
        </w:rPr>
        <w:t>发行规模未能达到对应期次的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产品说明书规定的要求，则本</w:t>
      </w:r>
      <w:r>
        <w:rPr>
          <w:rFonts w:hint="eastAsia" w:ascii="宋体" w:hAnsi="宋体" w:cs="黑体"/>
          <w:sz w:val="24"/>
          <w:highlight w:val="none"/>
          <w:lang w:eastAsia="zh-CN"/>
        </w:rPr>
        <w:t>理财产品</w:t>
      </w:r>
      <w:r>
        <w:rPr>
          <w:rFonts w:hint="eastAsia" w:ascii="宋体" w:hAnsi="宋体" w:eastAsia="宋体" w:cs="黑体"/>
          <w:sz w:val="24"/>
          <w:highlight w:val="none"/>
        </w:rPr>
        <w:t>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产品说明书约定条款向投资者进行公告，并将及时解除对投资者授权指定账户中认购资金的冻结。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投资品种、投资起点金额、收益支付方式：参照对应期次的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 xml:space="preserve">产品说明书中的条款约定。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cs="黑体"/>
          <w:sz w:val="24"/>
          <w:highlight w:val="none"/>
          <w:lang w:eastAsia="zh-CN"/>
        </w:rPr>
        <w:t>理财产品</w:t>
      </w:r>
      <w:r>
        <w:rPr>
          <w:rFonts w:hint="eastAsia" w:ascii="宋体" w:hAnsi="宋体" w:eastAsia="宋体" w:cs="黑体"/>
          <w:sz w:val="24"/>
          <w:highlight w:val="none"/>
        </w:rPr>
        <w:t>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产品说明书相关约定，将兑付款项划入投资者授权指定账户。如出现不可抗力、市场停市或管制等异常事件、交易对手违约或其他非管理人主导、仅能被动接受的外部事件或客观情形，导致</w:t>
      </w:r>
      <w:r>
        <w:rPr>
          <w:rFonts w:hint="eastAsia" w:ascii="宋体" w:hAnsi="宋体" w:cs="黑体"/>
          <w:sz w:val="24"/>
          <w:highlight w:val="none"/>
          <w:lang w:eastAsia="zh-CN"/>
        </w:rPr>
        <w:t>理财产品</w:t>
      </w:r>
      <w:r>
        <w:rPr>
          <w:rFonts w:hint="eastAsia" w:ascii="宋体" w:hAnsi="宋体" w:eastAsia="宋体" w:cs="黑体"/>
          <w:sz w:val="24"/>
          <w:highlight w:val="none"/>
        </w:rPr>
        <w:t>无法按约定日清算时，或根据</w:t>
      </w:r>
      <w:r>
        <w:rPr>
          <w:rFonts w:hint="eastAsia" w:ascii="宋体" w:hAnsi="宋体" w:cs="黑体"/>
          <w:sz w:val="24"/>
          <w:highlight w:val="none"/>
          <w:lang w:val="en-US" w:eastAsia="zh-CN"/>
        </w:rPr>
        <w:t>理财产品</w:t>
      </w:r>
      <w:r>
        <w:rPr>
          <w:rFonts w:hint="eastAsia" w:ascii="宋体" w:hAnsi="宋体" w:eastAsia="宋体" w:cs="黑体"/>
          <w:sz w:val="24"/>
          <w:highlight w:val="none"/>
        </w:rPr>
        <w:t>产品说明书约定管理人对</w:t>
      </w:r>
      <w:r>
        <w:rPr>
          <w:rFonts w:hint="eastAsia" w:ascii="宋体" w:hAnsi="宋体" w:cs="黑体"/>
          <w:sz w:val="24"/>
          <w:highlight w:val="none"/>
          <w:lang w:eastAsia="zh-CN"/>
        </w:rPr>
        <w:t>理财产品</w:t>
      </w:r>
      <w:r>
        <w:rPr>
          <w:rFonts w:hint="eastAsia" w:ascii="宋体" w:hAnsi="宋体" w:eastAsia="宋体" w:cs="黑体"/>
          <w:sz w:val="24"/>
          <w:highlight w:val="none"/>
        </w:rPr>
        <w:t>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w:t>
      </w:r>
      <w:r>
        <w:rPr>
          <w:rFonts w:hint="eastAsia" w:ascii="宋体" w:hAnsi="宋体" w:cs="黑体"/>
          <w:sz w:val="24"/>
          <w:highlight w:val="none"/>
          <w:lang w:eastAsia="zh-CN"/>
        </w:rPr>
        <w:t>理财产品</w:t>
      </w:r>
      <w:r>
        <w:rPr>
          <w:rFonts w:hint="eastAsia" w:ascii="宋体" w:hAnsi="宋体" w:eastAsia="宋体" w:cs="黑体"/>
          <w:sz w:val="24"/>
          <w:highlight w:val="none"/>
        </w:rPr>
        <w:t>终止或份额赎回时，管理人按</w:t>
      </w:r>
      <w:r>
        <w:rPr>
          <w:rFonts w:hint="eastAsia" w:ascii="宋体" w:hAnsi="宋体" w:cs="黑体"/>
          <w:sz w:val="24"/>
          <w:highlight w:val="none"/>
          <w:lang w:eastAsia="zh-CN"/>
        </w:rPr>
        <w:t>理财产品</w:t>
      </w:r>
      <w:r>
        <w:rPr>
          <w:rFonts w:hint="eastAsia" w:ascii="宋体" w:hAnsi="宋体" w:eastAsia="宋体" w:cs="黑体"/>
          <w:sz w:val="24"/>
          <w:highlight w:val="none"/>
        </w:rPr>
        <w:t>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w:t>
      </w:r>
      <w:r>
        <w:rPr>
          <w:rFonts w:hint="eastAsia" w:ascii="宋体" w:hAnsi="宋体" w:cs="黑体"/>
          <w:sz w:val="24"/>
          <w:highlight w:val="none"/>
          <w:lang w:eastAsia="zh-CN"/>
        </w:rPr>
        <w:t>理财产品</w:t>
      </w:r>
      <w:r>
        <w:rPr>
          <w:rFonts w:hint="eastAsia" w:ascii="宋体" w:hAnsi="宋体" w:eastAsia="宋体" w:cs="黑体"/>
          <w:sz w:val="24"/>
          <w:highlight w:val="none"/>
        </w:rPr>
        <w:t>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w:t>
      </w:r>
      <w:r>
        <w:rPr>
          <w:rFonts w:hint="eastAsia" w:ascii="宋体" w:hAnsi="宋体" w:cs="黑体"/>
          <w:sz w:val="24"/>
          <w:highlight w:val="none"/>
          <w:lang w:eastAsia="zh-CN"/>
        </w:rPr>
        <w:t>理财产品</w:t>
      </w:r>
      <w:r>
        <w:rPr>
          <w:rFonts w:hint="eastAsia" w:ascii="宋体" w:hAnsi="宋体" w:eastAsia="宋体" w:cs="黑体"/>
          <w:sz w:val="24"/>
          <w:highlight w:val="none"/>
        </w:rPr>
        <w:t>的资产和收益。</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w:t>
      </w:r>
      <w:r>
        <w:rPr>
          <w:rFonts w:hint="eastAsia" w:ascii="宋体" w:hAnsi="宋体" w:cs="黑体"/>
          <w:sz w:val="24"/>
          <w:highlight w:val="none"/>
          <w:lang w:eastAsia="zh-CN"/>
        </w:rPr>
        <w:t>理财产品</w:t>
      </w:r>
      <w:r>
        <w:rPr>
          <w:rFonts w:hint="eastAsia" w:ascii="宋体" w:hAnsi="宋体" w:eastAsia="宋体" w:cs="黑体"/>
          <w:sz w:val="24"/>
          <w:highlight w:val="none"/>
        </w:rPr>
        <w:t>，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w:t>
      </w:r>
      <w:r>
        <w:rPr>
          <w:rFonts w:hint="eastAsia" w:ascii="宋体" w:hAnsi="宋体" w:cs="黑体"/>
          <w:sz w:val="24"/>
          <w:highlight w:val="none"/>
          <w:lang w:eastAsia="zh-CN"/>
        </w:rPr>
        <w:t>理财产品</w:t>
      </w:r>
      <w:r>
        <w:rPr>
          <w:rFonts w:hint="eastAsia" w:ascii="宋体" w:hAnsi="宋体" w:eastAsia="宋体" w:cs="黑体"/>
          <w:sz w:val="24"/>
          <w:highlight w:val="none"/>
        </w:rPr>
        <w:t>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w:t>
      </w:r>
      <w:r>
        <w:rPr>
          <w:rFonts w:hint="eastAsia" w:ascii="宋体" w:hAnsi="宋体" w:cs="黑体"/>
          <w:sz w:val="24"/>
          <w:highlight w:val="none"/>
          <w:lang w:eastAsia="zh-CN"/>
        </w:rPr>
        <w:t>理财产品</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cs="黑体"/>
          <w:sz w:val="24"/>
          <w:highlight w:val="none"/>
          <w:lang w:val="en-US" w:eastAsia="zh-CN"/>
        </w:rPr>
        <w:t>理财产品</w:t>
      </w:r>
      <w:r>
        <w:rPr>
          <w:rFonts w:hint="eastAsia" w:ascii="宋体" w:hAnsi="宋体" w:eastAsia="宋体" w:cs="黑体"/>
          <w:sz w:val="24"/>
          <w:highlight w:val="none"/>
        </w:rPr>
        <w:t>产品说明书等销售文本单独构成一个</w:t>
      </w:r>
      <w:r>
        <w:rPr>
          <w:rFonts w:hint="eastAsia" w:ascii="宋体" w:hAnsi="宋体" w:cs="黑体"/>
          <w:sz w:val="24"/>
          <w:highlight w:val="none"/>
          <w:lang w:eastAsia="zh-CN"/>
        </w:rPr>
        <w:t>理财产品</w:t>
      </w:r>
      <w:r>
        <w:rPr>
          <w:rFonts w:hint="eastAsia" w:ascii="宋体" w:hAnsi="宋体" w:eastAsia="宋体" w:cs="黑体"/>
          <w:sz w:val="24"/>
          <w:highlight w:val="none"/>
        </w:rPr>
        <w:t>合同，各个合同之间互相独立，每一合同的效力及履行情况均独立于其他合同。</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w:t>
      </w:r>
      <w:r>
        <w:rPr>
          <w:rFonts w:hint="eastAsia" w:ascii="宋体" w:hAnsi="宋体" w:cs="黑体"/>
          <w:sz w:val="24"/>
          <w:highlight w:val="none"/>
          <w:lang w:eastAsia="zh-CN"/>
        </w:rPr>
        <w:t>理财产品</w:t>
      </w:r>
      <w:r>
        <w:rPr>
          <w:rFonts w:hint="eastAsia" w:ascii="宋体" w:hAnsi="宋体" w:eastAsia="宋体" w:cs="黑体"/>
          <w:sz w:val="24"/>
          <w:highlight w:val="none"/>
        </w:rPr>
        <w:t>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w:t>
      </w:r>
      <w:r>
        <w:rPr>
          <w:rFonts w:hint="eastAsia" w:ascii="宋体" w:hAnsi="宋体" w:cs="黑体"/>
          <w:sz w:val="24"/>
          <w:highlight w:val="none"/>
          <w:lang w:eastAsia="zh-CN"/>
        </w:rPr>
        <w:t>理财产品</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2">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3">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4">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5">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
    <w:nsid w:val="61CBC28E"/>
    <w:multiLevelType w:val="singleLevel"/>
    <w:tmpl w:val="61CBC28E"/>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D27C7"/>
    <w:rsid w:val="024D27C7"/>
    <w:rsid w:val="27737AE8"/>
    <w:rsid w:val="480F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2025-06-27T10:05:00Z</dcterms:created>
  <dc:creator>Administrator</dc:creator>
  <cp:lastModifiedBy>刘丽丽_产品管理部</cp:lastModifiedBy>
  <dcterms:modified xsi:type="dcterms:W3CDTF">2025-07-10T01:13:57Z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746A381871BB407AB625B22DC3371FE1</vt:lpwstr>
  </property>
</Properties>
</file>