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15"/>
          <w:tab w:val="center" w:pos="5273"/>
        </w:tabs>
        <w:spacing w:before="50"/>
        <w:jc w:val="center"/>
        <w:rPr>
          <w:rFonts w:ascii="黑体" w:eastAsia="黑体"/>
          <w:b/>
          <w:bCs/>
          <w:color w:val="000000"/>
          <w:sz w:val="30"/>
          <w:szCs w:val="30"/>
          <w:highlight w:val="none"/>
        </w:rPr>
      </w:pPr>
      <w:bookmarkStart w:id="9" w:name="_GoBack"/>
      <w:bookmarkEnd w:id="9"/>
      <w:r>
        <w:rPr>
          <w:rFonts w:hint="eastAsia" w:ascii="黑体" w:eastAsia="黑体"/>
          <w:b/>
          <w:bCs/>
          <w:color w:val="000000"/>
          <w:sz w:val="30"/>
          <w:szCs w:val="30"/>
          <w:highlight w:val="none"/>
        </w:rPr>
        <w:t>北银理财</w:t>
      </w:r>
      <w:r>
        <w:rPr>
          <w:rFonts w:hint="eastAsia" w:ascii="黑体" w:hAnsi="Times New Roman" w:eastAsia="黑体" w:cs="Times New Roman"/>
          <w:b/>
          <w:bCs/>
          <w:color w:val="000000"/>
          <w:sz w:val="30"/>
          <w:szCs w:val="30"/>
          <w:highlight w:val="none"/>
          <w:lang w:val="en-US" w:eastAsia="zh-CN"/>
        </w:rPr>
        <w:t>京华远见春系列易淘金3号现金管理类</w:t>
      </w:r>
      <w:r>
        <w:rPr>
          <w:rFonts w:ascii="黑体" w:eastAsia="黑体"/>
          <w:b/>
          <w:bCs/>
          <w:color w:val="000000"/>
          <w:sz w:val="30"/>
          <w:szCs w:val="30"/>
          <w:highlight w:val="none"/>
        </w:rPr>
        <w:t>理财</w:t>
      </w:r>
      <w:r>
        <w:rPr>
          <w:rFonts w:hint="eastAsia" w:ascii="黑体" w:eastAsia="黑体"/>
          <w:b/>
          <w:bCs/>
          <w:color w:val="000000"/>
          <w:sz w:val="30"/>
          <w:szCs w:val="30"/>
          <w:highlight w:val="none"/>
        </w:rPr>
        <w:t>产品</w:t>
      </w:r>
    </w:p>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lang w:val="en-US" w:eastAsia="zh-CN"/>
        </w:rPr>
        <w:t>理财</w:t>
      </w:r>
      <w:r>
        <w:rPr>
          <w:rFonts w:hint="eastAsia" w:ascii="黑体" w:eastAsia="黑体"/>
          <w:b/>
          <w:bCs/>
          <w:color w:val="000000"/>
          <w:sz w:val="30"/>
          <w:szCs w:val="30"/>
          <w:highlight w:val="none"/>
        </w:rPr>
        <w:t>产品</w:t>
      </w:r>
      <w:r>
        <w:rPr>
          <w:rFonts w:ascii="黑体" w:eastAsia="黑体"/>
          <w:b/>
          <w:bCs/>
          <w:color w:val="000000"/>
          <w:sz w:val="30"/>
          <w:szCs w:val="30"/>
          <w:highlight w:val="none"/>
        </w:rPr>
        <w:t>说明书</w:t>
      </w:r>
    </w:p>
    <w:p>
      <w:pPr>
        <w:pStyle w:val="3"/>
        <w:ind w:leftChars="0"/>
        <w:rPr>
          <w:rFonts w:ascii="楷体_GB2312" w:eastAsia="楷体_GB2312"/>
          <w:b/>
          <w:color w:val="000000"/>
          <w:sz w:val="24"/>
          <w:szCs w:val="24"/>
          <w:highlight w:val="none"/>
        </w:rPr>
      </w:pPr>
      <w:r>
        <w:rPr>
          <w:rFonts w:hint="eastAsia" w:ascii="楷体_GB2312" w:eastAsia="楷体_GB2312"/>
          <w:b/>
          <w:color w:val="000000"/>
          <w:sz w:val="24"/>
          <w:szCs w:val="24"/>
          <w:highlight w:val="none"/>
        </w:rPr>
        <w:t>★一、重要须知</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hint="eastAsia" w:eastAsia="楷体_GB2312"/>
          <w:highlight w:val="none"/>
          <w:lang w:eastAsia="zh-CN"/>
        </w:rPr>
      </w:pPr>
      <w:r>
        <w:rPr>
          <w:rFonts w:ascii="楷体_GB2312" w:hAnsi="宋体" w:eastAsia="楷体_GB2312"/>
          <w:color w:val="000000"/>
          <w:sz w:val="24"/>
          <w:highlight w:val="none"/>
        </w:rPr>
        <w:t>本理财产品只根据</w:t>
      </w:r>
      <w:r>
        <w:rPr>
          <w:rFonts w:ascii="楷体_GB2312" w:hAnsi="楷体" w:eastAsia="楷体_GB2312" w:cs="Times New Roman"/>
          <w:b w:val="0"/>
          <w:bCs w:val="0"/>
          <w:color w:val="auto"/>
          <w:sz w:val="24"/>
          <w:highlight w:val="none"/>
        </w:rPr>
        <w:t>本</w:t>
      </w:r>
      <w:r>
        <w:rPr>
          <w:rFonts w:hint="eastAsia" w:ascii="楷体_GB2312" w:hAnsi="楷体" w:eastAsia="楷体_GB2312" w:cs="Times New Roman"/>
          <w:b w:val="0"/>
          <w:bCs w:val="0"/>
          <w:color w:val="auto"/>
          <w:sz w:val="24"/>
          <w:highlight w:val="none"/>
          <w:lang w:val="en-US" w:eastAsia="zh-CN"/>
        </w:rPr>
        <w:t>理财产品</w:t>
      </w:r>
      <w:r>
        <w:rPr>
          <w:rFonts w:hint="eastAsia" w:ascii="楷体_GB2312" w:hAnsi="楷体" w:eastAsia="楷体_GB2312" w:cs="Times New Roman"/>
          <w:b w:val="0"/>
          <w:bCs w:val="0"/>
          <w:color w:val="auto"/>
          <w:sz w:val="24"/>
          <w:highlight w:val="none"/>
        </w:rPr>
        <w:t>销售文件</w:t>
      </w:r>
      <w:r>
        <w:rPr>
          <w:rFonts w:ascii="楷体_GB2312" w:hAnsi="宋体" w:eastAsia="楷体_GB2312"/>
          <w:color w:val="000000"/>
          <w:sz w:val="24"/>
          <w:highlight w:val="none"/>
        </w:rPr>
        <w:t>所载的资料操作。</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lang w:eastAsia="zh-CN"/>
        </w:rPr>
        <w:t>。</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本理财产品仅向依据中华人民共和国有关法律法规及监管规定可以购买本理财产品的投资者（以下简称投资者）发售。</w:t>
      </w: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为</w:t>
      </w:r>
      <w:r>
        <w:rPr>
          <w:rFonts w:hint="eastAsia" w:ascii="楷体_GB2312" w:hAnsi="楷体" w:eastAsia="楷体_GB2312"/>
          <w:sz w:val="24"/>
          <w:highlight w:val="none"/>
          <w:lang w:val="en-US" w:eastAsia="zh-CN"/>
        </w:rPr>
        <w:t>开放式净值型理财产品、公募理财产品、</w:t>
      </w:r>
      <w:r>
        <w:rPr>
          <w:rFonts w:hint="eastAsia" w:ascii="楷体_GB2312" w:hAnsi="楷体" w:eastAsia="楷体_GB2312"/>
          <w:b w:val="0"/>
          <w:bCs w:val="0"/>
          <w:sz w:val="24"/>
          <w:highlight w:val="none"/>
          <w:lang w:eastAsia="zh-Hans"/>
        </w:rPr>
        <w:t>非保本浮动收益</w:t>
      </w:r>
      <w:r>
        <w:rPr>
          <w:rFonts w:hint="eastAsia" w:ascii="楷体_GB2312" w:hAnsi="楷体" w:eastAsia="楷体_GB2312"/>
          <w:b w:val="0"/>
          <w:bCs w:val="0"/>
          <w:sz w:val="24"/>
          <w:highlight w:val="none"/>
          <w:lang w:val="en-US" w:eastAsia="zh-CN"/>
        </w:rPr>
        <w:t>型理财产品、</w:t>
      </w:r>
      <w:r>
        <w:rPr>
          <w:rFonts w:ascii="楷体_GB2312" w:hAnsi="楷体" w:eastAsia="楷体_GB2312"/>
          <w:sz w:val="24"/>
          <w:highlight w:val="none"/>
        </w:rPr>
        <w:t>固定收益类</w:t>
      </w:r>
      <w:r>
        <w:rPr>
          <w:rFonts w:hint="eastAsia" w:ascii="楷体_GB2312" w:hAnsi="楷体" w:eastAsia="楷体_GB2312"/>
          <w:sz w:val="24"/>
          <w:highlight w:val="none"/>
        </w:rPr>
        <w:t>理财产品</w:t>
      </w:r>
      <w:r>
        <w:rPr>
          <w:rFonts w:ascii="楷体_GB2312" w:hAnsi="宋体" w:eastAsia="楷体_GB2312"/>
          <w:color w:val="000000"/>
          <w:sz w:val="24"/>
          <w:highlight w:val="none"/>
        </w:rPr>
        <w:t>，任何预期收益、预计收益、测算收益或类似表述均不具有法律效力，不代表投资者可能获得的实际清算分配金额，亦不构成</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对本理财产品的任何应分配金额承诺，仅供投资者作出投资决定时参考</w:t>
      </w:r>
      <w:r>
        <w:rPr>
          <w:rFonts w:hint="eastAsia" w:ascii="楷体_GB2312" w:hAnsi="宋体" w:eastAsia="楷体_GB2312"/>
          <w:color w:val="000000"/>
          <w:sz w:val="24"/>
          <w:highlight w:val="none"/>
        </w:rPr>
        <w:t>。</w:t>
      </w:r>
    </w:p>
    <w:p>
      <w:pPr>
        <w:ind w:firstLine="480" w:firstLineChars="200"/>
        <w:rPr>
          <w:rFonts w:ascii="楷体_GB2312" w:hAnsi="宋体" w:eastAsia="楷体_GB2312"/>
          <w:b/>
          <w:color w:val="000000"/>
          <w:sz w:val="24"/>
          <w:highlight w:val="none"/>
        </w:rPr>
      </w:pPr>
      <w:r>
        <w:rPr>
          <w:rFonts w:hint="eastAsia" w:ascii="楷体_GB2312" w:hAnsi="楷体" w:eastAsia="楷体_GB2312"/>
          <w:sz w:val="24"/>
          <w:highlight w:val="none"/>
        </w:rPr>
        <w:t>★</w:t>
      </w:r>
      <w:r>
        <w:rPr>
          <w:rFonts w:hint="eastAsia" w:ascii="楷体_GB2312" w:hAnsi="宋体" w:eastAsia="楷体_GB2312"/>
          <w:b/>
          <w:color w:val="000000"/>
          <w:sz w:val="24"/>
          <w:highlight w:val="none"/>
        </w:rPr>
        <w:t>二、释义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（一）参与主体用语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管理人</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指</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有限</w:t>
      </w:r>
      <w:r>
        <w:rPr>
          <w:rFonts w:hint="eastAsia" w:ascii="楷体_GB2312" w:hAnsi="宋体" w:eastAsia="楷体_GB2312"/>
          <w:color w:val="000000"/>
          <w:sz w:val="24"/>
          <w:highlight w:val="none"/>
        </w:rPr>
        <w:t>责任</w:t>
      </w:r>
      <w:r>
        <w:rPr>
          <w:rFonts w:ascii="楷体_GB2312" w:hAnsi="宋体" w:eastAsia="楷体_GB2312"/>
          <w:color w:val="000000"/>
          <w:sz w:val="24"/>
          <w:highlight w:val="none"/>
        </w:rPr>
        <w:t>公司（以下简称“</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w:t>
      </w:r>
    </w:p>
    <w:p>
      <w:pPr>
        <w:ind w:firstLine="480" w:firstLineChars="200"/>
        <w:rPr>
          <w:rFonts w:ascii="楷体_GB2312" w:hAnsi="宋体" w:eastAsia="楷体_GB2312"/>
          <w:color w:val="auto"/>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托管机构</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rPr>
        <w:t>托管</w:t>
      </w:r>
      <w:r>
        <w:rPr>
          <w:rFonts w:hint="eastAsia" w:ascii="楷体_GB2312" w:hAnsi="宋体" w:eastAsia="楷体_GB2312"/>
          <w:color w:val="auto"/>
          <w:sz w:val="24"/>
          <w:highlight w:val="none"/>
          <w:lang w:val="en-US" w:eastAsia="zh-CN"/>
        </w:rPr>
        <w:t>人</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lang w:val="en-US" w:eastAsia="zh-CN"/>
        </w:rPr>
        <w:t>产品托管人</w:t>
      </w:r>
      <w:r>
        <w:rPr>
          <w:rFonts w:hint="eastAsia" w:ascii="楷体_GB2312" w:hAnsi="宋体" w:eastAsia="楷体_GB2312"/>
          <w:color w:val="auto"/>
          <w:sz w:val="24"/>
          <w:highlight w:val="none"/>
        </w:rPr>
        <w:t>：</w:t>
      </w:r>
      <w:r>
        <w:rPr>
          <w:rFonts w:ascii="楷体_GB2312" w:hAnsi="宋体" w:eastAsia="楷体_GB2312"/>
          <w:color w:val="auto"/>
          <w:sz w:val="24"/>
          <w:highlight w:val="none"/>
        </w:rPr>
        <w:t>指</w:t>
      </w:r>
      <w:r>
        <w:rPr>
          <w:rFonts w:hint="eastAsia" w:ascii="楷体_GB2312" w:hAnsi="宋体" w:eastAsia="楷体_GB2312"/>
          <w:color w:val="auto"/>
          <w:sz w:val="24"/>
          <w:highlight w:val="none"/>
          <w:lang w:val="en-US" w:eastAsia="zh-CN"/>
        </w:rPr>
        <w:t>北京</w:t>
      </w:r>
      <w:r>
        <w:rPr>
          <w:rFonts w:ascii="楷体_GB2312" w:hAnsi="宋体" w:eastAsia="楷体_GB2312"/>
          <w:color w:val="auto"/>
          <w:sz w:val="24"/>
          <w:highlight w:val="none"/>
        </w:rPr>
        <w:t>银行股份有限公司（以下简称“</w:t>
      </w:r>
      <w:r>
        <w:rPr>
          <w:rFonts w:hint="eastAsia" w:ascii="楷体_GB2312" w:hAnsi="宋体" w:eastAsia="楷体_GB2312"/>
          <w:color w:val="auto"/>
          <w:sz w:val="24"/>
          <w:highlight w:val="none"/>
          <w:lang w:val="en-US" w:eastAsia="zh-CN"/>
        </w:rPr>
        <w:t>北京</w:t>
      </w:r>
      <w:r>
        <w:rPr>
          <w:rFonts w:ascii="楷体_GB2312" w:hAnsi="宋体" w:eastAsia="楷体_GB2312"/>
          <w:color w:val="auto"/>
          <w:sz w:val="24"/>
          <w:highlight w:val="none"/>
        </w:rPr>
        <w:t>银行”）。</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auto"/>
          <w:sz w:val="24"/>
          <w:highlight w:val="none"/>
        </w:rPr>
        <w:t>3.代销机构：</w:t>
      </w:r>
      <w:r>
        <w:rPr>
          <w:rFonts w:ascii="楷体_GB2312" w:hAnsi="宋体" w:eastAsia="楷体_GB2312"/>
          <w:color w:val="auto"/>
          <w:sz w:val="24"/>
          <w:highlight w:val="none"/>
        </w:rPr>
        <w:t>指</w:t>
      </w:r>
      <w:r>
        <w:rPr>
          <w:rFonts w:hint="eastAsia" w:ascii="楷体_GB2312" w:hAnsi="宋体" w:eastAsia="楷体_GB2312"/>
          <w:color w:val="000000"/>
          <w:sz w:val="24"/>
          <w:highlight w:val="none"/>
          <w:lang w:eastAsia="zh-Hans"/>
        </w:rPr>
        <w:t>接受</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eastAsia="zh-Hans"/>
        </w:rPr>
        <w:t>委托销售本理财产品的代理销售机构</w:t>
      </w:r>
      <w:r>
        <w:rPr>
          <w:rFonts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4.投资者：指符合相关法律法规、监管规定要求的，可以购买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理财产品的自然人、法人和其他组织。其中，个人投资者指符合相关法律法规、监管规定要求的，经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或代销机构的个人投资者风险承受能力评估体系评定为适合</w:t>
      </w:r>
      <w:r>
        <w:rPr>
          <w:rFonts w:hint="eastAsia" w:ascii="楷体_GB2312" w:hAnsi="宋体" w:eastAsia="楷体_GB2312"/>
          <w:color w:val="000000"/>
          <w:sz w:val="24"/>
          <w:highlight w:val="none"/>
          <w:lang w:eastAsia="zh-CN"/>
        </w:rPr>
        <w:t>购买本理财产品</w:t>
      </w:r>
      <w:r>
        <w:rPr>
          <w:rFonts w:hint="eastAsia" w:ascii="楷体_GB2312" w:hAnsi="宋体" w:eastAsia="楷体_GB2312"/>
          <w:color w:val="000000"/>
          <w:sz w:val="24"/>
          <w:highlight w:val="none"/>
        </w:rPr>
        <w:t>的自然人；机构投资者指符合相关法律法规、监管规定要求的法人和其他组织。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5.投资合作机构：包括但不限于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理财产品所投资资产管理产品的发行机构、根据合同约定从事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理财产品受托投资的机构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理财产品投资管理相关的投资顾问等。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理财产品投资合作机构依据监管要求进行名单制管理，所有</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合作机构均经过北银理财相关制度流程选任，符合准入标准和程序。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国务院直属的</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7.证券交易所：指上海证券交易所、深圳证券交易所和北京证券交易所。</w:t>
      </w:r>
    </w:p>
    <w:p>
      <w:pPr>
        <w:ind w:firstLine="480" w:firstLineChars="200"/>
        <w:rPr>
          <w:rFonts w:hint="eastAsia" w:ascii="楷体_GB2312" w:hAnsi="宋体" w:eastAsia="楷体_GB2312"/>
          <w:color w:val="000000"/>
          <w:sz w:val="24"/>
          <w:highlight w:val="none"/>
        </w:rPr>
      </w:pPr>
      <w:r>
        <w:rPr>
          <w:rFonts w:ascii="楷体_GB2312" w:hAnsi="宋体" w:eastAsia="楷体_GB2312"/>
          <w:color w:val="000000"/>
          <w:sz w:val="24"/>
          <w:highlight w:val="none"/>
        </w:rPr>
        <w:t>8.</w:t>
      </w:r>
      <w:r>
        <w:rPr>
          <w:rFonts w:hint="eastAsia" w:ascii="楷体_GB2312" w:hAnsi="宋体" w:eastAsia="楷体_GB2312"/>
          <w:color w:val="000000"/>
          <w:sz w:val="24"/>
          <w:highlight w:val="none"/>
          <w:lang w:eastAsia="zh-Hans"/>
        </w:rPr>
        <w:t>监管机构：指对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产品管理人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理财产品所投资的资管产品的</w:t>
      </w:r>
      <w:r>
        <w:rPr>
          <w:rFonts w:hint="eastAsia" w:ascii="楷体_GB2312" w:hAnsi="楷体" w:eastAsia="楷体_GB2312"/>
          <w:sz w:val="24"/>
          <w:highlight w:val="none"/>
        </w:rPr>
        <w:t>资产管理人</w:t>
      </w:r>
      <w:r>
        <w:rPr>
          <w:rFonts w:hint="eastAsia" w:ascii="楷体_GB2312" w:hAnsi="宋体" w:eastAsia="楷体_GB2312"/>
          <w:color w:val="000000"/>
          <w:sz w:val="24"/>
          <w:highlight w:val="none"/>
          <w:lang w:eastAsia="zh-Hans"/>
        </w:rPr>
        <w:t>/受托人</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、相关投资顾问</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等实施监督管理的机构，包括但不限于中国人民银行、</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lang w:eastAsia="zh-Hans"/>
        </w:rPr>
        <w:t>、中国证券监督管理委员会、外汇管理局、证券交易所、银行业理财登记托管中心等。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（二）法律文件用语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1.理财产品销售文件：指《理财产品投资协议书》、《理财产品说明书》、《风险揭示书》、《投资者权益须知》和《代理销售协议书》（具体名称以代销机构为准）</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以及对该</w:t>
      </w:r>
      <w:r>
        <w:rPr>
          <w:rFonts w:hint="eastAsia" w:ascii="楷体_GB2312" w:hAnsi="宋体" w:eastAsia="楷体_GB2312"/>
          <w:color w:val="000000"/>
          <w:sz w:val="24"/>
          <w:highlight w:val="none"/>
          <w:lang w:val="en-US" w:eastAsia="zh-CN"/>
        </w:rPr>
        <w:t>等</w:t>
      </w:r>
      <w:r>
        <w:rPr>
          <w:rFonts w:ascii="楷体_GB2312" w:hAnsi="宋体" w:eastAsia="楷体_GB2312"/>
          <w:color w:val="000000"/>
          <w:sz w:val="24"/>
          <w:highlight w:val="none"/>
        </w:rPr>
        <w:t>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2.风险</w:t>
      </w:r>
      <w:r>
        <w:rPr>
          <w:rFonts w:hint="eastAsia" w:ascii="楷体_GB2312" w:hAnsi="宋体" w:eastAsia="楷体_GB2312" w:cs="Times New Roman"/>
          <w:color w:val="000000"/>
          <w:sz w:val="24"/>
          <w:highlight w:val="none"/>
          <w:lang w:val="en-US" w:eastAsia="zh-CN"/>
        </w:rPr>
        <w:t>揭示</w:t>
      </w:r>
      <w:r>
        <w:rPr>
          <w:rFonts w:hint="eastAsia" w:ascii="楷体_GB2312" w:hAnsi="宋体" w:eastAsia="楷体_GB2312" w:cs="Times New Roman"/>
          <w:color w:val="000000"/>
          <w:sz w:val="24"/>
          <w:highlight w:val="none"/>
        </w:rPr>
        <w:t>书：指作为</w:t>
      </w:r>
      <w:r>
        <w:rPr>
          <w:rFonts w:hint="eastAsia" w:ascii="楷体_GB2312" w:hAnsi="宋体" w:eastAsia="楷体_GB2312"/>
          <w:color w:val="000000"/>
          <w:sz w:val="24"/>
          <w:highlight w:val="none"/>
        </w:rPr>
        <w:t>理财产品销售文件</w:t>
      </w:r>
      <w:r>
        <w:rPr>
          <w:rFonts w:hint="eastAsia" w:ascii="楷体_GB2312" w:hAnsi="宋体" w:eastAsia="楷体_GB2312" w:cs="Times New Roman"/>
          <w:color w:val="000000"/>
          <w:sz w:val="24"/>
          <w:highlight w:val="none"/>
        </w:rPr>
        <w:t>不可</w:t>
      </w:r>
      <w:r>
        <w:rPr>
          <w:rFonts w:hint="eastAsia" w:ascii="楷体_GB2312" w:hAnsi="宋体" w:eastAsia="楷体_GB2312"/>
          <w:color w:val="000000"/>
          <w:sz w:val="24"/>
          <w:highlight w:val="none"/>
        </w:rPr>
        <w:t>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《风险揭示书》，以及对该文件的有效修改或补充。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产品说明书》，以及对该文件的有效修改或补充。</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.投资者权益须知：指作为理财产品销售文件不可分割组成部分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《投资者权益须知》，以及对该文件的有效修改或补充。</w:t>
      </w:r>
    </w:p>
    <w:p>
      <w:pPr>
        <w:ind w:firstLine="480" w:firstLineChars="200"/>
        <w:rPr>
          <w:rFonts w:ascii="楷体_GB2312" w:hAnsi="宋体" w:eastAsia="楷体_GB2312"/>
          <w:color w:val="000000"/>
          <w:sz w:val="24"/>
          <w:highlight w:val="none"/>
        </w:rPr>
      </w:pP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三</w:t>
      </w:r>
      <w:r>
        <w:rPr>
          <w:rFonts w:hint="eastAsia" w:ascii="楷体_GB2312" w:eastAsia="楷体_GB2312"/>
          <w:color w:val="000000"/>
          <w:sz w:val="24"/>
          <w:highlight w:val="none"/>
        </w:rPr>
        <w:t>）理财产品用语</w:t>
      </w:r>
    </w:p>
    <w:p>
      <w:pPr>
        <w:pStyle w:val="3"/>
        <w:ind w:left="0" w:leftChars="0" w:firstLine="480" w:firstLineChars="200"/>
        <w:rPr>
          <w:rFonts w:ascii="楷体_GB2312" w:eastAsia="楷体_GB2312"/>
          <w:color w:val="000000"/>
          <w:sz w:val="24"/>
          <w:szCs w:val="24"/>
          <w:highlight w:val="none"/>
        </w:rPr>
      </w:pPr>
      <w:r>
        <w:rPr>
          <w:rFonts w:hint="eastAsia" w:ascii="楷体_GB2312" w:hAnsi="宋体" w:eastAsia="楷体_GB2312"/>
          <w:color w:val="000000"/>
          <w:sz w:val="24"/>
          <w:highlight w:val="none"/>
        </w:rPr>
        <w:t>1.理财/本理财产品/理财产品/本产品：指</w:t>
      </w:r>
      <w:r>
        <w:rPr>
          <w:rFonts w:hint="eastAsia" w:ascii="楷体_GB2312" w:hAnsi="宋体" w:eastAsia="楷体_GB2312" w:cs="Times New Roman"/>
          <w:color w:val="000000"/>
          <w:sz w:val="24"/>
          <w:highlight w:val="none"/>
        </w:rPr>
        <w:t>北银理财</w:t>
      </w:r>
      <w:r>
        <w:rPr>
          <w:rFonts w:hint="eastAsia" w:ascii="楷体_GB2312" w:hAnsi="宋体" w:eastAsia="楷体_GB2312" w:cs="Times New Roman"/>
          <w:color w:val="000000"/>
          <w:sz w:val="24"/>
          <w:highlight w:val="none"/>
          <w:lang w:val="en-US" w:eastAsia="zh-CN"/>
        </w:rPr>
        <w:t>京华远见春系列易淘金3号现金管理类</w:t>
      </w:r>
      <w:r>
        <w:rPr>
          <w:rFonts w:hint="eastAsia" w:ascii="楷体_GB2312" w:hAnsi="宋体" w:eastAsia="楷体_GB2312"/>
          <w:color w:val="000000"/>
          <w:sz w:val="24"/>
          <w:highlight w:val="none"/>
        </w:rPr>
        <w:t>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2.理财产品份额/产品份额：指投资者持有</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的单位数额。投资者基于其所持有的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理财产品单位数额享有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理财产品收益、承担</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理财产品风险。</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理财产品份额类别/产品份额类别：指根据投资者购买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理财产品的金额、</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、代销机构等因素，对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理财产品份额设置不同的理财产品份额类别。</w:t>
      </w:r>
      <w:bookmarkStart w:id="0" w:name="_Hlk146058411"/>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有权对</w:t>
      </w:r>
      <w:bookmarkEnd w:id="0"/>
      <w:r>
        <w:rPr>
          <w:rFonts w:hint="eastAsia" w:ascii="楷体_GB2312" w:hAnsi="宋体" w:eastAsia="楷体_GB2312"/>
          <w:color w:val="000000"/>
          <w:sz w:val="24"/>
          <w:highlight w:val="none"/>
        </w:rPr>
        <w:t>各类产品份额分设不同的销售名称及销售代码，分别设置钞汇标志、代销机构、</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、销售手续费率、认购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申购投资起点金额及递增金额、单笔最大购买金额、累计购买金额、最少赎回份额等认购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申购和赎回的数量限制、最低持有份额</w:t>
      </w:r>
      <w:r>
        <w:rPr>
          <w:rFonts w:hint="eastAsia" w:ascii="楷体_GB2312" w:hAnsi="宋体" w:eastAsia="楷体_GB2312"/>
          <w:color w:val="000000"/>
          <w:sz w:val="24"/>
          <w:highlight w:val="none"/>
          <w:lang w:eastAsia="zh-CN"/>
        </w:rPr>
        <w:t>等</w:t>
      </w:r>
      <w:r>
        <w:rPr>
          <w:rFonts w:hint="eastAsia" w:ascii="楷体_GB2312" w:hAnsi="宋体" w:eastAsia="楷体_GB2312"/>
          <w:color w:val="000000"/>
          <w:sz w:val="24"/>
          <w:highlight w:val="none"/>
        </w:rPr>
        <w:t>。各类</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份额的差异性约定在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理财产品说明书</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中进行明确列举，除明确列举所适用</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份额类别的条款外，</w:t>
      </w:r>
      <w:r>
        <w:rPr>
          <w:rFonts w:hint="eastAsia" w:ascii="楷体_GB2312" w:hAnsi="宋体" w:eastAsia="楷体_GB2312"/>
          <w:color w:val="000000"/>
          <w:sz w:val="24"/>
          <w:highlight w:val="none"/>
          <w:lang w:eastAsia="zh-CN"/>
        </w:rPr>
        <w:t>本理财产品销售文件</w:t>
      </w:r>
      <w:r>
        <w:rPr>
          <w:rFonts w:hint="eastAsia" w:ascii="楷体_GB2312" w:hAnsi="宋体" w:eastAsia="楷体_GB2312"/>
          <w:color w:val="000000"/>
          <w:sz w:val="24"/>
          <w:highlight w:val="none"/>
        </w:rPr>
        <w:t>其他条款均适用于全部份额。</w:t>
      </w:r>
    </w:p>
    <w:p>
      <w:pPr>
        <w:pStyle w:val="3"/>
        <w:ind w:left="0" w:leftChars="0"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产品销售名称：指本理财产品可能存在不同产品份额类别，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在理财产品销售管理过程中为区分不同产品份额类别，在同一理财产品名称</w:t>
      </w:r>
      <w:r>
        <w:rPr>
          <w:rFonts w:hint="eastAsia" w:ascii="楷体_GB2312" w:hAnsi="宋体" w:eastAsia="楷体_GB2312"/>
          <w:color w:val="000000"/>
          <w:sz w:val="24"/>
          <w:highlight w:val="none"/>
          <w:lang w:eastAsia="zh-CN"/>
        </w:rPr>
        <w:t>项</w:t>
      </w:r>
      <w:r>
        <w:rPr>
          <w:rFonts w:hint="eastAsia" w:ascii="楷体_GB2312" w:hAnsi="宋体" w:eastAsia="楷体_GB2312"/>
          <w:color w:val="000000"/>
          <w:sz w:val="24"/>
          <w:highlight w:val="none"/>
        </w:rPr>
        <w:t>下设置的产品销售名称。</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5.</w:t>
      </w:r>
      <w:r>
        <w:rPr>
          <w:rFonts w:hint="eastAsia" w:ascii="楷体_GB2312" w:hAnsi="宋体" w:eastAsia="楷体_GB2312"/>
          <w:color w:val="000000"/>
          <w:sz w:val="24"/>
          <w:highlight w:val="none"/>
        </w:rPr>
        <w:t>产品销售代码：指本理财产品可能存在不同产品份额类别，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在理财产品销售管理过程中为区分不同产品份额类别，在同一理财产品登记编码项下设置的内部识别码。</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6</w:t>
      </w:r>
      <w:r>
        <w:rPr>
          <w:rFonts w:hint="eastAsia" w:ascii="楷体_GB2312" w:hAnsi="宋体" w:eastAsia="楷体_GB2312"/>
          <w:color w:val="000000"/>
          <w:sz w:val="24"/>
          <w:highlight w:val="none"/>
        </w:rPr>
        <w:t>.理财产品资产净值/产品资产净值</w:t>
      </w:r>
      <w:r>
        <w:rPr>
          <w:rFonts w:hint="eastAsia" w:ascii="楷体_GB2312" w:hAnsi="宋体" w:eastAsia="楷体_GB2312"/>
          <w:color w:val="000000"/>
          <w:sz w:val="24"/>
          <w:highlight w:val="none"/>
          <w:lang w:val="en-US" w:eastAsia="zh-CN"/>
        </w:rPr>
        <w:t>/净资产</w:t>
      </w:r>
      <w:r>
        <w:rPr>
          <w:rFonts w:hint="eastAsia" w:ascii="楷体_GB2312" w:hAnsi="宋体" w:eastAsia="楷体_GB2312"/>
          <w:color w:val="000000"/>
          <w:sz w:val="24"/>
          <w:highlight w:val="none"/>
        </w:rPr>
        <w:t>：指产品资产总值减去产品负债</w:t>
      </w:r>
      <w:r>
        <w:rPr>
          <w:rFonts w:hint="eastAsia" w:ascii="楷体_GB2312" w:hAnsi="宋体" w:eastAsia="楷体_GB2312"/>
          <w:color w:val="000000"/>
          <w:sz w:val="24"/>
          <w:highlight w:val="none"/>
          <w:lang w:eastAsia="zh-CN"/>
        </w:rPr>
        <w:t>总值</w:t>
      </w:r>
      <w:r>
        <w:rPr>
          <w:rFonts w:hint="eastAsia" w:ascii="楷体_GB2312" w:hAnsi="宋体" w:eastAsia="楷体_GB2312"/>
          <w:color w:val="000000"/>
          <w:sz w:val="24"/>
          <w:highlight w:val="none"/>
        </w:rPr>
        <w:t>后的净值。产品资产总值是指</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产品拥有的各类有价证券、银行存款、应收款项及其他资产的价值总和。产品负债总值是指</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产品运作及融资时形成的负债价值总和，包括融资资金本息、应付各项费用（包括销售手续费、固定管理费、托管费、超额业绩报酬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若有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以及其他费用等）、应付税金及其他应付款项等。</w:t>
      </w:r>
    </w:p>
    <w:p>
      <w:pPr>
        <w:ind w:firstLine="477" w:firstLineChars="199"/>
        <w:rPr>
          <w:rFonts w:ascii="楷体_GB2312" w:hAnsi="宋体" w:eastAsia="楷体_GB2312"/>
          <w:color w:val="000000"/>
          <w:sz w:val="24"/>
          <w:highlight w:val="none"/>
        </w:rPr>
      </w:pPr>
      <w:r>
        <w:rPr>
          <w:rFonts w:ascii="楷体_GB2312" w:hAnsi="宋体" w:eastAsia="楷体_GB2312"/>
          <w:color w:val="000000"/>
          <w:sz w:val="24"/>
          <w:highlight w:val="none"/>
        </w:rPr>
        <w:t>7</w:t>
      </w:r>
      <w:r>
        <w:rPr>
          <w:rFonts w:hint="eastAsia" w:ascii="楷体_GB2312" w:hAnsi="宋体" w:eastAsia="楷体_GB2312"/>
          <w:color w:val="000000"/>
          <w:sz w:val="24"/>
          <w:highlight w:val="none"/>
        </w:rPr>
        <w:t>.理财产品单位净值/产品单位净值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理财产品份额的单位净值，即每1份理财产品份额以人民币计价的价格。理财产品单位净值=当日产品资产净值/当日产品份额总额，单位净值保留至小数点后六位，本理财产品的单位净值为1</w:t>
      </w:r>
      <w:r>
        <w:rPr>
          <w:rFonts w:ascii="楷体_GB2312" w:hAnsi="宋体" w:eastAsia="楷体_GB2312"/>
          <w:color w:val="000000"/>
          <w:sz w:val="24"/>
          <w:highlight w:val="none"/>
        </w:rPr>
        <w:t>.000000</w:t>
      </w:r>
      <w:r>
        <w:rPr>
          <w:rFonts w:hint="eastAsia" w:ascii="楷体_GB2312" w:hAnsi="宋体" w:eastAsia="楷体_GB2312"/>
          <w:color w:val="000000"/>
          <w:sz w:val="24"/>
          <w:highlight w:val="none"/>
        </w:rPr>
        <w:t>元</w:t>
      </w:r>
      <w:r>
        <w:rPr>
          <w:rFonts w:hint="eastAsia" w:ascii="楷体_GB2312" w:hAnsi="宋体" w:eastAsia="楷体_GB2312"/>
          <w:color w:val="000000"/>
          <w:sz w:val="24"/>
          <w:highlight w:val="none"/>
          <w:lang w:val="en-US" w:eastAsia="zh-CN"/>
        </w:rPr>
        <w:t>人民币</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投资者按该理财产品单位净值进行</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w:t>
      </w:r>
      <w:r>
        <w:rPr>
          <w:rFonts w:hint="eastAsia" w:ascii="楷体_GB2312" w:hAnsi="宋体" w:eastAsia="楷体_GB2312"/>
          <w:color w:val="000000"/>
          <w:sz w:val="24"/>
          <w:highlight w:val="none"/>
          <w:lang w:eastAsia="zh-CN"/>
        </w:rPr>
        <w:t>的</w:t>
      </w:r>
      <w:r>
        <w:rPr>
          <w:rFonts w:hint="eastAsia" w:ascii="楷体_GB2312" w:hAnsi="宋体" w:eastAsia="楷体_GB2312"/>
          <w:color w:val="000000"/>
          <w:sz w:val="24"/>
          <w:highlight w:val="none"/>
          <w:lang w:val="en-US" w:eastAsia="zh-CN"/>
        </w:rPr>
        <w:t>认（</w:t>
      </w:r>
      <w:r>
        <w:rPr>
          <w:rFonts w:hint="eastAsia" w:ascii="楷体_GB2312" w:hAnsi="宋体" w:eastAsia="楷体_GB2312"/>
          <w:color w:val="000000"/>
          <w:sz w:val="24"/>
          <w:highlight w:val="none"/>
        </w:rPr>
        <w:t>申</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购、赎回和获得</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产品终止时的分配。</w:t>
      </w:r>
    </w:p>
    <w:p>
      <w:pPr>
        <w:ind w:left="13" w:leftChars="6" w:firstLine="463" w:firstLineChars="193"/>
        <w:rPr>
          <w:rFonts w:ascii="楷体_GB2312" w:hAnsi="宋体" w:eastAsia="楷体_GB2312"/>
          <w:color w:val="000000"/>
          <w:sz w:val="24"/>
          <w:highlight w:val="none"/>
        </w:rPr>
      </w:pPr>
      <w:r>
        <w:rPr>
          <w:rFonts w:ascii="楷体_GB2312" w:hAnsi="宋体" w:eastAsia="楷体_GB2312"/>
          <w:color w:val="000000"/>
          <w:sz w:val="24"/>
          <w:highlight w:val="none"/>
        </w:rPr>
        <w:t>8</w:t>
      </w:r>
      <w:r>
        <w:rPr>
          <w:rFonts w:hint="eastAsia" w:ascii="楷体_GB2312" w:hAnsi="宋体" w:eastAsia="楷体_GB2312"/>
          <w:color w:val="000000"/>
          <w:sz w:val="24"/>
          <w:highlight w:val="none"/>
        </w:rPr>
        <w:t>.理财产品单位累计净值/产品单位累计净值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w:t>
      </w:r>
      <w:r>
        <w:rPr>
          <w:rFonts w:hint="eastAsia" w:ascii="楷体_GB2312" w:hAnsi="宋体" w:eastAsia="楷体_GB2312"/>
          <w:color w:val="000000"/>
          <w:sz w:val="24"/>
          <w:highlight w:val="none"/>
        </w:rPr>
        <w:t>累计净值：指</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w:t>
      </w:r>
      <w:r>
        <w:rPr>
          <w:rFonts w:ascii="楷体_GB2312" w:hAnsi="宋体" w:eastAsia="楷体_GB2312"/>
          <w:color w:val="000000"/>
          <w:sz w:val="24"/>
          <w:highlight w:val="none"/>
        </w:rPr>
        <w:t>单位</w:t>
      </w:r>
      <w:r>
        <w:rPr>
          <w:rFonts w:hint="eastAsia" w:ascii="楷体_GB2312" w:hAnsi="宋体" w:eastAsia="楷体_GB2312"/>
          <w:color w:val="000000"/>
          <w:sz w:val="24"/>
          <w:highlight w:val="none"/>
        </w:rPr>
        <w:t>净值</w:t>
      </w:r>
      <w:r>
        <w:rPr>
          <w:rFonts w:ascii="楷体_GB2312" w:hAnsi="宋体" w:eastAsia="楷体_GB2312"/>
          <w:color w:val="000000"/>
          <w:sz w:val="24"/>
          <w:highlight w:val="none"/>
        </w:rPr>
        <w:t>累加每</w:t>
      </w:r>
      <w:r>
        <w:rPr>
          <w:rFonts w:hint="eastAsia" w:ascii="楷体_GB2312" w:hAnsi="宋体" w:eastAsia="楷体_GB2312"/>
          <w:color w:val="000000"/>
          <w:sz w:val="24"/>
          <w:highlight w:val="none"/>
        </w:rPr>
        <w:t>1份理财产品份额自</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产品成立以来的分红除权的金额（若有）所得的每1份理财产品份额价值。</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rPr>
        <w:t>9.理财产品估值：指计算评估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理财产品资产以确定</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理财产品每万份收益和七日年化收益率的过程。</w:t>
      </w:r>
    </w:p>
    <w:p>
      <w:pPr>
        <w:ind w:left="479" w:leftChars="228"/>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rPr>
        <w:t>0.认购：指投资者在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理财产品募集期内购买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理财产品份额的行为。</w:t>
      </w:r>
    </w:p>
    <w:p>
      <w:pPr>
        <w:ind w:firstLine="477" w:firstLineChars="199"/>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rPr>
        <w:t>1.申购：</w:t>
      </w:r>
      <w:r>
        <w:rPr>
          <w:rFonts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eastAsia="楷体_GB2312"/>
          <w:color w:val="000000"/>
          <w:sz w:val="24"/>
          <w:highlight w:val="none"/>
        </w:rPr>
        <w:t>理财产品开放</w:t>
      </w:r>
      <w:r>
        <w:rPr>
          <w:rFonts w:hint="eastAsia" w:eastAsia="楷体_GB2312"/>
          <w:color w:val="000000"/>
          <w:sz w:val="24"/>
          <w:highlight w:val="none"/>
          <w:lang w:val="en-US" w:eastAsia="zh-CN"/>
        </w:rPr>
        <w:t>日</w:t>
      </w:r>
      <w:r>
        <w:rPr>
          <w:rFonts w:eastAsia="楷体_GB2312"/>
          <w:color w:val="000000"/>
          <w:sz w:val="24"/>
          <w:highlight w:val="none"/>
        </w:rPr>
        <w:t>内</w:t>
      </w:r>
      <w:r>
        <w:rPr>
          <w:rFonts w:ascii="楷体_GB2312" w:hAnsi="宋体" w:eastAsia="楷体_GB2312"/>
          <w:color w:val="000000"/>
          <w:sz w:val="24"/>
          <w:highlight w:val="none"/>
        </w:rPr>
        <w:t>申请购买</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rPr>
        <w:t>2.赎回：</w:t>
      </w:r>
      <w:r>
        <w:rPr>
          <w:rFonts w:ascii="楷体_GB2312" w:hAnsi="宋体"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理财产品开放</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内申请卖出</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ascii="楷体_GB2312" w:hAnsi="宋体" w:eastAsia="楷体_GB2312"/>
          <w:color w:val="000000"/>
          <w:sz w:val="24"/>
          <w:highlight w:val="none"/>
        </w:rPr>
        <w:t>3.</w:t>
      </w:r>
      <w:r>
        <w:rPr>
          <w:rFonts w:hint="eastAsia" w:ascii="楷体_GB2312" w:hAnsi="宋体" w:eastAsia="楷体_GB2312"/>
          <w:color w:val="000000"/>
          <w:sz w:val="24"/>
          <w:highlight w:val="none"/>
        </w:rPr>
        <w:t xml:space="preserve">流动性受限资产：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 </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ascii="楷体_GB2312" w:hAnsi="宋体" w:eastAsia="楷体_GB2312"/>
          <w:color w:val="000000"/>
          <w:sz w:val="24"/>
          <w:highlight w:val="none"/>
        </w:rPr>
        <w:t>4.</w:t>
      </w:r>
      <w:r>
        <w:rPr>
          <w:rFonts w:hint="eastAsia" w:ascii="楷体_GB2312" w:hAnsi="宋体" w:eastAsia="楷体_GB2312"/>
          <w:color w:val="000000"/>
          <w:sz w:val="24"/>
          <w:highlight w:val="none"/>
        </w:rPr>
        <w:t>7个工作日可变现资产：指包括可在交易所、银行间市场正常交易的债券、非金融企业债务融资工具</w:t>
      </w:r>
      <w:r>
        <w:rPr>
          <w:rFonts w:hint="eastAsia" w:ascii="楷体_GB2312" w:hAnsi="宋体" w:eastAsia="楷体_GB2312"/>
          <w:color w:val="000000"/>
          <w:sz w:val="24"/>
          <w:highlight w:val="none"/>
          <w:lang w:val="en-US" w:eastAsia="zh-CN"/>
        </w:rPr>
        <w:t>以及同业存单</w:t>
      </w:r>
      <w:r>
        <w:rPr>
          <w:rFonts w:hint="eastAsia" w:ascii="楷体_GB2312" w:hAnsi="宋体" w:eastAsia="楷体_GB2312"/>
          <w:color w:val="000000"/>
          <w:sz w:val="24"/>
          <w:highlight w:val="none"/>
        </w:rPr>
        <w:t>，7个工作日内到期或可支取的买入返售、银行存款，7个工作日内能够确认收到的各类应收款项等。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）期间与日期：</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1.工作日：指银行对外办理一般对公业务的任何一天，不包括法定节假日和周六、周日（但包括国家临时规定应当工作的周六和周日)。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2.证券交易所交易日/交易日：指上海证券交易所、深圳证券交易所和</w:t>
      </w:r>
      <w:r>
        <w:rPr>
          <w:rFonts w:ascii="楷体_GB2312" w:hAnsi="宋体" w:eastAsia="楷体_GB2312"/>
          <w:color w:val="000000"/>
          <w:sz w:val="24"/>
          <w:highlight w:val="none"/>
        </w:rPr>
        <w:t>北京证券交易所</w:t>
      </w:r>
      <w:r>
        <w:rPr>
          <w:rFonts w:hint="eastAsia" w:ascii="楷体_GB2312" w:hAnsi="宋体" w:eastAsia="楷体_GB2312"/>
          <w:color w:val="000000"/>
          <w:sz w:val="24"/>
          <w:highlight w:val="none"/>
        </w:rPr>
        <w:t>的</w:t>
      </w:r>
      <w:r>
        <w:rPr>
          <w:rFonts w:ascii="楷体_GB2312" w:hAnsi="宋体" w:eastAsia="楷体_GB2312"/>
          <w:color w:val="000000"/>
          <w:sz w:val="24"/>
          <w:highlight w:val="none"/>
        </w:rPr>
        <w:t>正常开盘交易日</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3.募集期：指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理财产品认购的时间。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4.成立日：指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理财产品募集期结束后满足合同生效条件，正式进入</w:t>
      </w:r>
      <w:r>
        <w:rPr>
          <w:rFonts w:hint="eastAsia" w:ascii="楷体_GB2312" w:hAnsi="宋体" w:eastAsia="楷体_GB2312"/>
          <w:color w:val="000000"/>
          <w:sz w:val="24"/>
          <w:highlight w:val="none"/>
          <w:lang w:val="en-US" w:eastAsia="zh-CN"/>
        </w:rPr>
        <w:t>本理财产品</w:t>
      </w:r>
      <w:r>
        <w:rPr>
          <w:rFonts w:hint="eastAsia" w:ascii="楷体_GB2312" w:hAnsi="宋体" w:eastAsia="楷体_GB2312"/>
          <w:color w:val="000000"/>
          <w:sz w:val="24"/>
          <w:highlight w:val="none"/>
        </w:rPr>
        <w:t>存续期的起始日。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5.产品存续期</w:t>
      </w:r>
      <w:r>
        <w:rPr>
          <w:rFonts w:hint="eastAsia" w:ascii="楷体_GB2312" w:hAnsi="宋体" w:eastAsia="楷体_GB2312"/>
          <w:color w:val="000000"/>
          <w:sz w:val="24"/>
          <w:highlight w:val="none"/>
          <w:lang w:val="en-US" w:eastAsia="zh-CN"/>
        </w:rPr>
        <w:t>/存续期</w:t>
      </w:r>
      <w:r>
        <w:rPr>
          <w:rFonts w:hint="eastAsia" w:ascii="楷体_GB2312" w:hAnsi="宋体" w:eastAsia="楷体_GB2312"/>
          <w:color w:val="000000"/>
          <w:sz w:val="24"/>
          <w:highlight w:val="none"/>
        </w:rPr>
        <w:t>：指自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理财产品成立日起，至</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理财产品终止日的期间。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开放日</w:t>
      </w:r>
      <w:r>
        <w:rPr>
          <w:rFonts w:hint="eastAsia" w:ascii="楷体_GB2312" w:hAnsi="宋体" w:eastAsia="楷体_GB2312"/>
          <w:color w:val="000000"/>
          <w:sz w:val="24"/>
          <w:highlight w:val="none"/>
        </w:rPr>
        <w:t>/T日</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产品成立日起（不含封闭期）每个证券交易所交易日（如为节假日则相应顺延至下一交易日），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以该日</w:t>
      </w:r>
      <w:r>
        <w:rPr>
          <w:rFonts w:hint="eastAsia" w:ascii="楷体_GB2312" w:hAnsi="宋体" w:eastAsia="楷体_GB2312"/>
          <w:color w:val="000000"/>
          <w:sz w:val="24"/>
          <w:highlight w:val="none"/>
        </w:rPr>
        <w:t>的产品</w:t>
      </w:r>
      <w:r>
        <w:rPr>
          <w:rFonts w:ascii="楷体_GB2312" w:hAnsi="宋体" w:eastAsia="楷体_GB2312"/>
          <w:color w:val="000000"/>
          <w:sz w:val="24"/>
          <w:highlight w:val="none"/>
        </w:rPr>
        <w:t>单位净值确认</w:t>
      </w:r>
      <w:r>
        <w:rPr>
          <w:rFonts w:hint="eastAsia" w:ascii="楷体_GB2312" w:hAnsi="宋体" w:eastAsia="楷体_GB2312"/>
          <w:color w:val="000000"/>
          <w:sz w:val="24"/>
          <w:highlight w:val="none"/>
        </w:rPr>
        <w:t>投资者</w:t>
      </w:r>
      <w:r>
        <w:rPr>
          <w:rFonts w:ascii="楷体_GB2312" w:hAnsi="宋体" w:eastAsia="楷体_GB2312"/>
          <w:color w:val="000000"/>
          <w:sz w:val="24"/>
          <w:highlight w:val="none"/>
        </w:rPr>
        <w:t>申购</w:t>
      </w:r>
      <w:r>
        <w:rPr>
          <w:rFonts w:hint="eastAsia" w:ascii="楷体_GB2312" w:hAnsi="宋体" w:eastAsia="楷体_GB2312"/>
          <w:color w:val="000000"/>
          <w:sz w:val="24"/>
          <w:highlight w:val="none"/>
          <w:lang w:val="en-US" w:eastAsia="zh-CN"/>
        </w:rPr>
        <w:t>份额或赎回金额</w:t>
      </w:r>
      <w:r>
        <w:rPr>
          <w:rFonts w:hint="eastAsia" w:ascii="楷体_GB2312" w:hAnsi="宋体" w:eastAsia="楷体_GB2312"/>
          <w:color w:val="000000"/>
          <w:sz w:val="24"/>
          <w:highlight w:val="none"/>
        </w:rPr>
        <w:t>。</w:t>
      </w:r>
    </w:p>
    <w:p>
      <w:pPr>
        <w:pStyle w:val="2"/>
        <w:ind w:left="0" w:leftChars="0" w:firstLine="480" w:firstLineChars="200"/>
        <w:rPr>
          <w:rFonts w:hint="eastAsia"/>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申购/赎回</w:t>
      </w:r>
      <w:r>
        <w:rPr>
          <w:rFonts w:hint="eastAsia" w:ascii="楷体_GB2312" w:hAnsi="宋体" w:eastAsia="楷体_GB2312"/>
          <w:color w:val="000000"/>
          <w:sz w:val="24"/>
          <w:highlight w:val="none"/>
          <w:u w:val="none"/>
          <w:lang w:val="en-US" w:eastAsia="zh-CN"/>
        </w:rPr>
        <w:t>确认日：投资者提交申购/赎回申请后，产品管理人对</w:t>
      </w:r>
      <w:r>
        <w:rPr>
          <w:rFonts w:hint="eastAsia" w:ascii="楷体_GB2312" w:hAnsi="宋体" w:eastAsia="楷体_GB2312"/>
          <w:color w:val="000000"/>
          <w:sz w:val="24"/>
          <w:highlight w:val="none"/>
        </w:rPr>
        <w:t>满足条件的有效</w:t>
      </w:r>
      <w:r>
        <w:rPr>
          <w:rFonts w:hint="eastAsia" w:ascii="楷体_GB2312" w:hAnsi="宋体" w:eastAsia="楷体_GB2312"/>
          <w:color w:val="000000"/>
          <w:sz w:val="24"/>
          <w:highlight w:val="none"/>
          <w:u w:val="none"/>
          <w:lang w:val="en-US" w:eastAsia="zh-CN"/>
        </w:rPr>
        <w:t>申购/赎回申请进行确认的日期，</w:t>
      </w:r>
      <w:r>
        <w:rPr>
          <w:rFonts w:hint="eastAsia" w:ascii="楷体_GB2312" w:hAnsi="宋体" w:eastAsia="楷体_GB2312"/>
          <w:b w:val="0"/>
          <w:bCs w:val="0"/>
          <w:color w:val="auto"/>
          <w:sz w:val="24"/>
          <w:highlight w:val="none"/>
          <w:lang w:val="en-US" w:eastAsia="zh-CN"/>
        </w:rPr>
        <w:t>详见</w:t>
      </w:r>
      <w:r>
        <w:rPr>
          <w:rFonts w:hint="eastAsia" w:ascii="楷体_GB2312" w:hAnsi="宋体" w:eastAsia="楷体_GB2312"/>
          <w:b w:val="0"/>
          <w:bCs w:val="0"/>
          <w:color w:val="auto"/>
          <w:sz w:val="24"/>
          <w:szCs w:val="24"/>
          <w:highlight w:val="none"/>
          <w:lang w:val="en-US" w:eastAsia="zh-CN"/>
        </w:rPr>
        <w:t>本《</w:t>
      </w:r>
      <w:r>
        <w:rPr>
          <w:rFonts w:hint="eastAsia" w:ascii="楷体_GB2312" w:eastAsia="楷体_GB2312"/>
          <w:b w:val="0"/>
          <w:bCs w:val="0"/>
          <w:color w:val="auto"/>
          <w:sz w:val="24"/>
          <w:highlight w:val="none"/>
          <w:lang w:val="en-US" w:eastAsia="zh-CN"/>
        </w:rPr>
        <w:t>理财产品说明书</w:t>
      </w:r>
      <w:r>
        <w:rPr>
          <w:rFonts w:hint="eastAsia" w:ascii="楷体_GB2312" w:hAnsi="宋体" w:eastAsia="楷体_GB2312"/>
          <w:b w:val="0"/>
          <w:bCs w:val="0"/>
          <w:color w:val="auto"/>
          <w:sz w:val="24"/>
          <w:szCs w:val="24"/>
          <w:highlight w:val="none"/>
          <w:lang w:val="en-US" w:eastAsia="zh-CN"/>
        </w:rPr>
        <w:t>》“</w:t>
      </w:r>
      <w:r>
        <w:rPr>
          <w:rFonts w:hint="eastAsia" w:ascii="楷体_GB2312" w:hAnsi="宋体" w:eastAsia="楷体_GB2312"/>
          <w:b w:val="0"/>
          <w:bCs w:val="0"/>
          <w:color w:val="auto"/>
          <w:sz w:val="24"/>
          <w:highlight w:val="none"/>
        </w:rPr>
        <w:t>六、产品的申购和赎回</w:t>
      </w:r>
      <w:r>
        <w:rPr>
          <w:rFonts w:hint="eastAsia" w:ascii="楷体_GB2312" w:hAnsi="宋体" w:eastAsia="楷体_GB2312"/>
          <w:b w:val="0"/>
          <w:bCs w:val="0"/>
          <w:color w:val="auto"/>
          <w:sz w:val="24"/>
          <w:szCs w:val="24"/>
          <w:highlight w:val="none"/>
          <w:lang w:val="en-US" w:eastAsia="zh-CN"/>
        </w:rPr>
        <w:t>”部分</w:t>
      </w:r>
      <w:r>
        <w:rPr>
          <w:rFonts w:hint="eastAsia" w:ascii="楷体_GB2312" w:hAnsi="宋体" w:eastAsia="楷体_GB2312"/>
          <w:color w:val="000000"/>
          <w:sz w:val="24"/>
          <w:highlight w:val="none"/>
          <w:u w:val="none"/>
          <w:lang w:val="en-US" w:eastAsia="zh-CN"/>
        </w:rPr>
        <w:t>。</w:t>
      </w:r>
    </w:p>
    <w:p>
      <w:pPr>
        <w:ind w:firstLine="480" w:firstLineChars="200"/>
        <w:rPr>
          <w:highlight w:val="none"/>
        </w:rPr>
      </w:pPr>
      <w:r>
        <w:rPr>
          <w:rFonts w:hint="eastAsia" w:ascii="楷体_GB2312" w:hAnsi="宋体" w:eastAsia="楷体_GB2312" w:cs="Times New Roman"/>
          <w:color w:val="000000"/>
          <w:sz w:val="24"/>
          <w:highlight w:val="none"/>
          <w:u w:val="none"/>
          <w:lang w:val="en-US" w:eastAsia="zh-CN"/>
        </w:rPr>
        <w:t>8</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s="Times New Roman"/>
          <w:color w:val="000000"/>
          <w:sz w:val="24"/>
          <w:highlight w:val="none"/>
          <w:u w:val="none"/>
          <w:lang w:val="en-US" w:eastAsia="zh-CN"/>
        </w:rPr>
        <w:t>终止日：发生本《理财产品说明书》“八</w:t>
      </w:r>
      <w:r>
        <w:rPr>
          <w:rFonts w:hint="eastAsia" w:ascii="楷体_GB2312" w:hAnsi="宋体" w:eastAsia="楷体_GB2312"/>
          <w:b w:val="0"/>
          <w:bCs/>
          <w:color w:val="000000"/>
          <w:sz w:val="24"/>
          <w:highlight w:val="none"/>
        </w:rPr>
        <w:t>、产品的终止与清算</w:t>
      </w:r>
      <w:r>
        <w:rPr>
          <w:rFonts w:hint="eastAsia" w:ascii="楷体_GB2312" w:hAnsi="宋体" w:eastAsia="楷体_GB2312" w:cs="Times New Roman"/>
          <w:color w:val="000000"/>
          <w:sz w:val="24"/>
          <w:highlight w:val="none"/>
          <w:u w:val="none"/>
          <w:lang w:val="en-US" w:eastAsia="zh-CN"/>
        </w:rPr>
        <w:t>”中“</w:t>
      </w:r>
      <w:r>
        <w:rPr>
          <w:rFonts w:hint="eastAsia" w:ascii="楷体_GB2312" w:hAnsi="宋体" w:eastAsia="楷体_GB2312"/>
          <w:color w:val="000000"/>
          <w:sz w:val="24"/>
          <w:highlight w:val="none"/>
        </w:rPr>
        <w:t>（一）产品的</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w:t>
      </w:r>
      <w:r>
        <w:rPr>
          <w:rFonts w:hint="eastAsia" w:ascii="楷体_GB2312" w:hAnsi="宋体" w:eastAsia="楷体_GB2312" w:cs="Times New Roman"/>
          <w:color w:val="000000"/>
          <w:sz w:val="24"/>
          <w:highlight w:val="none"/>
          <w:u w:val="none"/>
          <w:lang w:val="en-US" w:eastAsia="zh-CN"/>
        </w:rPr>
        <w:t>”约定的情况时，</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产品管理人</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终止本理财产品的，</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auto"/>
          <w:sz w:val="24"/>
          <w:highlight w:val="none"/>
        </w:rPr>
        <w:t>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公告本理财产品终止日</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.清算期：指自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发布相关信息公告通知投资者。</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理财产品进入清算期后不再计算收益。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）其他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1.不可抗力：指</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理财产品各方不能预见、不能避免且不能克服的客观情况，该事件妨碍、影响或延误任何一方依</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理财产品销售文件履行其全部或部分义务。该事件包括但不限于：</w:t>
      </w:r>
    </w:p>
    <w:p>
      <w:pPr>
        <w:pStyle w:val="40"/>
        <w:ind w:firstLine="480" w:firstLineChars="200"/>
        <w:rPr>
          <w:rFonts w:ascii="楷体_GB2312" w:hAnsi="宋体" w:eastAsia="楷体_GB2312"/>
          <w:highlight w:val="none"/>
        </w:rPr>
      </w:pPr>
      <w:r>
        <w:rPr>
          <w:rFonts w:ascii="楷体_GB2312" w:hAnsi="宋体" w:eastAsia="楷体_GB2312"/>
          <w:highlight w:val="none"/>
        </w:rPr>
        <w:t>（1）地震、台风、海啸、洪水、火灾、停电、瘟疫；</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（2）战争、政变、恐怖主义行动、骚乱、罢工；</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（3）新的适用法律或国家政策的颁布或实施、对原适用法律或国家政策的修改；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（4）</w:t>
      </w:r>
      <w:r>
        <w:rPr>
          <w:rFonts w:hint="eastAsia" w:ascii="楷体_GB2312" w:eastAsia="楷体_GB2312"/>
          <w:color w:val="000000"/>
          <w:sz w:val="24"/>
          <w:highlight w:val="none"/>
        </w:rPr>
        <w:t>国家金融监督管理总局</w:t>
      </w:r>
      <w:r>
        <w:rPr>
          <w:rFonts w:ascii="楷体_GB2312" w:hAnsi="宋体" w:eastAsia="楷体_GB2312" w:cs="宋体"/>
          <w:color w:val="000000"/>
          <w:kern w:val="0"/>
          <w:sz w:val="24"/>
          <w:highlight w:val="none"/>
        </w:rPr>
        <w:t>或其他有权机关要求终止</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理财产品（该等要求不可归责于任何一方）；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（5）因</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理财产品各方和/或其关联方运营网络系统遭受黑客攻击、电信部门技术调整或故障等原因而造成的</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理财产品各方和/或其关联方之服务、营业的中断或者延迟。</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2.元：指人民币元。</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3.适用法律法规：指在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签署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4.时间：受理时间、信息公布的相关时间以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业务处理系统记录的北京时间为准。</w:t>
      </w:r>
    </w:p>
    <w:p>
      <w:pPr>
        <w:pStyle w:val="3"/>
        <w:ind w:left="0" w:leftChars="0" w:firstLine="482" w:firstLineChars="200"/>
        <w:rPr>
          <w:b/>
          <w:bCs/>
          <w:highlight w:val="none"/>
        </w:rPr>
      </w:pPr>
      <w:r>
        <w:rPr>
          <w:rFonts w:hint="eastAsia" w:ascii="楷体_GB2312" w:hAnsi="宋体" w:eastAsia="楷体_GB2312"/>
          <w:b/>
          <w:bCs/>
          <w:color w:val="000000"/>
          <w:sz w:val="24"/>
          <w:highlight w:val="none"/>
        </w:rPr>
        <w:t>★</w:t>
      </w:r>
      <w:r>
        <w:rPr>
          <w:rFonts w:hint="eastAsia" w:ascii="楷体_GB2312" w:eastAsia="楷体_GB2312"/>
          <w:b/>
          <w:bCs/>
          <w:color w:val="000000"/>
          <w:sz w:val="24"/>
          <w:szCs w:val="24"/>
          <w:highlight w:val="none"/>
        </w:rPr>
        <w:t>三、产品概况和基本要素</w:t>
      </w:r>
    </w:p>
    <w:tbl>
      <w:tblPr>
        <w:tblStyle w:val="22"/>
        <w:tblW w:w="908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8"/>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color w:val="000000"/>
                <w:sz w:val="24"/>
                <w:highlight w:val="none"/>
              </w:rPr>
            </w:pPr>
            <w:r>
              <w:rPr>
                <w:rFonts w:hint="eastAsia" w:ascii="楷体_GB2312" w:eastAsia="楷体_GB2312"/>
                <w:bCs/>
                <w:color w:val="000000"/>
                <w:sz w:val="24"/>
                <w:highlight w:val="none"/>
              </w:rPr>
              <w:t>产品名称</w:t>
            </w:r>
          </w:p>
        </w:tc>
        <w:tc>
          <w:tcPr>
            <w:tcW w:w="6656" w:type="dxa"/>
            <w:vAlign w:val="center"/>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北银理财</w:t>
            </w:r>
            <w:r>
              <w:rPr>
                <w:rFonts w:hint="eastAsia" w:ascii="楷体_GB2312" w:hAnsi="宋体" w:eastAsia="楷体_GB2312" w:cs="Times New Roman"/>
                <w:color w:val="000000"/>
                <w:sz w:val="24"/>
                <w:highlight w:val="none"/>
                <w:lang w:val="en-US" w:eastAsia="zh-CN"/>
              </w:rPr>
              <w:t>京华远见春系列易淘金3号现金管理类</w:t>
            </w:r>
            <w:r>
              <w:rPr>
                <w:rFonts w:ascii="楷体_GB2312" w:hAnsi="宋体" w:eastAsia="楷体_GB2312"/>
                <w:color w:val="000000"/>
                <w:sz w:val="24"/>
                <w:highlight w:val="none"/>
              </w:rPr>
              <w:t>理财</w:t>
            </w:r>
            <w:r>
              <w:rPr>
                <w:rFonts w:hint="eastAsia" w:ascii="楷体_GB2312" w:hAnsi="宋体" w:eastAsia="楷体_GB2312"/>
                <w:color w:val="000000"/>
                <w:sz w:val="24"/>
                <w:highlight w:val="none"/>
                <w:lang w:val="en-US" w:eastAsia="zh-CN"/>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产品销售名称</w:t>
            </w:r>
          </w:p>
        </w:tc>
        <w:tc>
          <w:tcPr>
            <w:tcW w:w="6656" w:type="dxa"/>
            <w:vAlign w:val="top"/>
          </w:tcPr>
          <w:p>
            <w:pPr>
              <w:rPr>
                <w:rFonts w:hint="default" w:ascii="楷体_GB2312" w:hAnsi="宋体" w:eastAsia="楷体_GB2312"/>
                <w:color w:val="000000"/>
                <w:sz w:val="24"/>
                <w:highlight w:val="none"/>
                <w:lang w:val="en-US"/>
              </w:rPr>
            </w:pPr>
            <w:r>
              <w:rPr>
                <w:rFonts w:hint="eastAsia" w:ascii="楷体_GB2312" w:eastAsia="楷体_GB2312"/>
                <w:bCs/>
                <w:color w:val="000000"/>
                <w:sz w:val="24"/>
                <w:highlight w:val="none"/>
                <w:lang w:val="en-US" w:eastAsia="zh-CN"/>
              </w:rPr>
              <w:t>FS类份额</w:t>
            </w:r>
            <w:r>
              <w:rPr>
                <w:rFonts w:hint="eastAsia" w:ascii="楷体_GB2312" w:eastAsia="楷体_GB2312"/>
                <w:bCs/>
                <w:color w:val="000000"/>
                <w:sz w:val="24"/>
                <w:highlight w:val="none"/>
              </w:rPr>
              <w:t>：</w:t>
            </w:r>
            <w:r>
              <w:rPr>
                <w:rFonts w:hint="eastAsia" w:ascii="楷体_GB2312" w:hAnsi="宋体" w:eastAsia="楷体_GB2312" w:cs="Times New Roman"/>
                <w:color w:val="000000"/>
                <w:sz w:val="24"/>
                <w:highlight w:val="none"/>
                <w:lang w:val="en-US" w:eastAsia="zh-CN"/>
              </w:rPr>
              <w:t>北银理财易淘金3号丰收系列份额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产品代码</w:t>
            </w:r>
          </w:p>
        </w:tc>
        <w:tc>
          <w:tcPr>
            <w:tcW w:w="6656" w:type="dxa"/>
            <w:vAlign w:val="top"/>
          </w:tcPr>
          <w:p>
            <w:pPr>
              <w:rPr>
                <w:rFonts w:hint="default" w:ascii="楷体_GB2312" w:hAnsi="宋体" w:eastAsia="楷体_GB2312"/>
                <w:color w:val="000000"/>
                <w:sz w:val="24"/>
                <w:highlight w:val="none"/>
                <w:lang w:val="en-US" w:eastAsia="zh-CN"/>
              </w:rPr>
            </w:pPr>
            <w:r>
              <w:rPr>
                <w:rFonts w:hint="eastAsia" w:ascii="楷体_GB2312" w:hAnsi="宋体" w:eastAsia="楷体_GB2312"/>
                <w:color w:val="auto"/>
                <w:sz w:val="24"/>
                <w:highlight w:val="none"/>
                <w:lang w:val="en-US" w:eastAsia="zh-CN"/>
              </w:rPr>
              <w:t>TG01231017</w:t>
            </w:r>
            <w:r>
              <w:rPr>
                <w:rFonts w:hint="eastAsia" w:ascii="楷体_GB2312" w:hAnsi="宋体" w:eastAsia="楷体_GB2312"/>
                <w:color w:val="000000"/>
                <w:sz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产品销售代码</w:t>
            </w:r>
          </w:p>
        </w:tc>
        <w:tc>
          <w:tcPr>
            <w:tcW w:w="6656" w:type="dxa"/>
            <w:vAlign w:val="top"/>
          </w:tcPr>
          <w:p>
            <w:pPr>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FS类份额</w:t>
            </w:r>
            <w:r>
              <w:rPr>
                <w:rFonts w:hint="eastAsia" w:ascii="楷体_GB2312" w:hAnsi="宋体" w:eastAsia="楷体_GB2312"/>
                <w:color w:val="000000"/>
                <w:sz w:val="24"/>
                <w:highlight w:val="none"/>
              </w:rPr>
              <w:t>：</w:t>
            </w:r>
            <w:r>
              <w:rPr>
                <w:rFonts w:hint="eastAsia" w:ascii="楷体_GB2312" w:hAnsi="宋体" w:eastAsia="楷体_GB2312"/>
                <w:color w:val="auto"/>
                <w:sz w:val="24"/>
                <w:highlight w:val="none"/>
                <w:lang w:val="en-US" w:eastAsia="zh-CN"/>
              </w:rPr>
              <w:t>TG01231017FS</w:t>
            </w:r>
            <w:r>
              <w:rPr>
                <w:rFonts w:hint="eastAsia" w:ascii="楷体_GB2312" w:hAnsi="宋体" w:eastAsia="楷体_GB2312"/>
                <w:color w:val="000000"/>
                <w:sz w:val="24"/>
                <w:highlight w:val="none"/>
                <w:lang w:val="en-US" w:eastAsia="zh-CN"/>
              </w:rPr>
              <w:t xml:space="preserve">            </w:t>
            </w:r>
            <w:r>
              <w:rPr>
                <w:rFonts w:hint="eastAsia" w:ascii="楷体_GB2312" w:hAnsi="宋体" w:eastAsia="楷体_GB2312"/>
                <w:color w:val="000000"/>
                <w:sz w:val="24"/>
                <w:highlight w:val="none"/>
              </w:rPr>
              <w:t xml:space="preserve">  </w:t>
            </w:r>
            <w:r>
              <w:rPr>
                <w:rFonts w:hint="eastAsia" w:ascii="楷体_GB2312" w:hAnsi="宋体" w:eastAsia="楷体_GB2312"/>
                <w:color w:val="000000"/>
                <w:sz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产品登记编码</w:t>
            </w:r>
          </w:p>
        </w:tc>
        <w:tc>
          <w:tcPr>
            <w:tcW w:w="6656" w:type="dxa"/>
            <w:vAlign w:val="top"/>
          </w:tcPr>
          <w:p>
            <w:pPr>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产品登记编码：</w:t>
            </w:r>
            <w:r>
              <w:rPr>
                <w:rFonts w:hint="eastAsia" w:ascii="楷体_GB2312" w:hAnsi="宋体" w:eastAsia="楷体_GB2312"/>
                <w:color w:val="auto"/>
                <w:sz w:val="24"/>
                <w:highlight w:val="none"/>
                <w:lang w:val="en-US" w:eastAsia="zh-CN"/>
              </w:rPr>
              <w:t>Z7008923000178</w:t>
            </w:r>
            <w:r>
              <w:rPr>
                <w:rFonts w:hint="eastAsia" w:ascii="楷体_GB2312" w:hAnsi="宋体" w:eastAsia="楷体_GB2312"/>
                <w:color w:val="000000"/>
                <w:sz w:val="24"/>
                <w:highlight w:val="none"/>
                <w:lang w:val="en-US" w:eastAsia="zh-CN"/>
              </w:rPr>
              <w:t xml:space="preserve">                 </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（投资者可依据该</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登记编码在“中国理财网”查询</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产品信息</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“中国理财网”网址：</w:t>
            </w:r>
            <w:r>
              <w:rPr>
                <w:rFonts w:hint="eastAsia"/>
                <w:color w:val="000000"/>
                <w:highlight w:val="none"/>
              </w:rPr>
              <w:fldChar w:fldCharType="begin"/>
            </w:r>
            <w:r>
              <w:rPr>
                <w:color w:val="000000"/>
                <w:highlight w:val="none"/>
              </w:rPr>
              <w:instrText xml:space="preserve"> HYPERLINK "http://www.chinawealth.com.cn/" </w:instrText>
            </w:r>
            <w:r>
              <w:rPr>
                <w:rFonts w:hint="eastAsia"/>
                <w:color w:val="000000"/>
                <w:highlight w:val="none"/>
              </w:rPr>
              <w:fldChar w:fldCharType="separate"/>
            </w:r>
            <w:r>
              <w:rPr>
                <w:rFonts w:hint="eastAsia" w:ascii="楷体_GB2312" w:hAnsi="宋体" w:eastAsia="楷体_GB2312"/>
                <w:color w:val="000000"/>
                <w:sz w:val="24"/>
                <w:highlight w:val="none"/>
              </w:rPr>
              <w:t>www.chinawealth.com.cn</w:t>
            </w:r>
            <w:r>
              <w:rPr>
                <w:rFonts w:hint="eastAsia" w:ascii="楷体_GB2312" w:hAnsi="宋体" w:eastAsia="楷体_GB2312"/>
                <w:color w:val="000000"/>
                <w:sz w:val="24"/>
                <w:highlight w:val="none"/>
              </w:rPr>
              <w:fldChar w:fldCharType="end"/>
            </w:r>
            <w:r>
              <w:rPr>
                <w:rFonts w:ascii="楷体_GB2312" w:hAnsi="宋体" w:eastAsia="楷体_GB2312"/>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2428" w:type="dxa"/>
            <w:vAlign w:val="center"/>
          </w:tcPr>
          <w:p>
            <w:pPr>
              <w:snapToGrid w:val="0"/>
              <w:rPr>
                <w:rFonts w:ascii="楷体_GB2312" w:eastAsia="楷体_GB2312"/>
                <w:bCs/>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产品份额类别</w:t>
            </w:r>
          </w:p>
        </w:tc>
        <w:tc>
          <w:tcPr>
            <w:tcW w:w="6656" w:type="dxa"/>
            <w:vAlign w:val="top"/>
          </w:tcPr>
          <w:p>
            <w:pPr>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根据投资者购买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理财产品的金额、</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、代销机构等因素，</w:t>
            </w:r>
            <w:r>
              <w:rPr>
                <w:rFonts w:hint="default" w:ascii="楷体_GB2312" w:hAnsi="宋体" w:eastAsia="楷体_GB2312" w:cs="Times New Roman"/>
                <w:color w:val="000000"/>
                <w:sz w:val="24"/>
                <w:highlight w:val="none"/>
              </w:rPr>
              <w:t>对</w:t>
            </w:r>
            <w:r>
              <w:rPr>
                <w:rFonts w:hint="default" w:ascii="楷体_GB2312" w:hAnsi="宋体" w:eastAsia="楷体_GB2312" w:cs="Times New Roman"/>
                <w:color w:val="000000"/>
                <w:sz w:val="24"/>
                <w:highlight w:val="none"/>
                <w:lang w:val="en-US" w:eastAsia="zh-CN"/>
              </w:rPr>
              <w:t>本</w:t>
            </w:r>
            <w:r>
              <w:rPr>
                <w:rFonts w:hint="default" w:ascii="楷体_GB2312" w:hAnsi="宋体" w:eastAsia="楷体_GB2312" w:cs="Times New Roman"/>
                <w:color w:val="000000"/>
                <w:sz w:val="24"/>
                <w:highlight w:val="none"/>
              </w:rPr>
              <w:t>理财产品份额设置不同的理财产品份额类别</w:t>
            </w:r>
            <w:r>
              <w:rPr>
                <w:rFonts w:hint="eastAsia" w:ascii="楷体_GB2312" w:hAnsi="宋体" w:eastAsia="楷体_GB2312"/>
                <w:color w:val="000000"/>
                <w:sz w:val="24"/>
                <w:highlight w:val="none"/>
              </w:rPr>
              <w:t>。</w:t>
            </w:r>
          </w:p>
          <w:p>
            <w:pPr>
              <w:rPr>
                <w:rFonts w:ascii="楷体_GB2312" w:hAnsi="宋体" w:eastAsia="楷体_GB2312"/>
                <w:color w:val="000000"/>
                <w:sz w:val="24"/>
                <w:highlight w:val="none"/>
              </w:rPr>
            </w:pPr>
            <w:r>
              <w:rPr>
                <w:rFonts w:ascii="楷体_GB2312" w:hAnsi="宋体" w:eastAsia="楷体_GB2312"/>
                <w:color w:val="000000"/>
                <w:sz w:val="24"/>
                <w:highlight w:val="none"/>
              </w:rPr>
              <w:t>2.</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可能设置不同的理财产品份额，每类理财产品份额可能将单独设置以下内容：</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）产品销售名称</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2</w:t>
            </w:r>
            <w:r>
              <w:rPr>
                <w:rFonts w:hint="eastAsia" w:ascii="楷体_GB2312" w:hAnsi="宋体" w:eastAsia="楷体_GB2312"/>
                <w:color w:val="000000"/>
                <w:sz w:val="24"/>
                <w:highlight w:val="none"/>
              </w:rPr>
              <w:t>）产品销售代码</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3</w:t>
            </w:r>
            <w:r>
              <w:rPr>
                <w:rFonts w:hint="eastAsia" w:ascii="楷体_GB2312" w:hAnsi="宋体" w:eastAsia="楷体_GB2312"/>
                <w:color w:val="000000"/>
                <w:sz w:val="24"/>
                <w:highlight w:val="none"/>
              </w:rPr>
              <w:t>）代销机构</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渠道客群</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5</w:t>
            </w:r>
            <w:r>
              <w:rPr>
                <w:rFonts w:hint="eastAsia" w:ascii="楷体_GB2312" w:hAnsi="宋体" w:eastAsia="楷体_GB2312"/>
                <w:color w:val="000000"/>
                <w:sz w:val="24"/>
                <w:highlight w:val="none"/>
              </w:rPr>
              <w:t>）销售手续费率</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申购投资起点金额及递增金额</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）单笔最大购买金额、累计购买金额、最少赎回份额等认购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申购和赎回的数量限制</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）最低持有份额</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份额募集</w:t>
            </w:r>
            <w:r>
              <w:rPr>
                <w:rFonts w:hint="eastAsia" w:ascii="楷体_GB2312" w:hAnsi="宋体" w:eastAsia="楷体_GB2312"/>
                <w:color w:val="000000"/>
                <w:sz w:val="24"/>
                <w:highlight w:val="none"/>
              </w:rPr>
              <w:t>上限</w:t>
            </w:r>
          </w:p>
          <w:p>
            <w:pPr>
              <w:rPr>
                <w:rFonts w:ascii="楷体_GB2312" w:hAnsi="宋体" w:eastAsia="楷体_GB2312"/>
                <w:b/>
                <w:color w:val="000000"/>
                <w:sz w:val="24"/>
                <w:highlight w:val="none"/>
              </w:rPr>
            </w:pPr>
            <w:r>
              <w:rPr>
                <w:rFonts w:ascii="楷体_GB2312" w:hAnsi="宋体" w:eastAsia="楷体_GB2312"/>
                <w:b/>
                <w:color w:val="000000"/>
                <w:sz w:val="24"/>
                <w:highlight w:val="none"/>
              </w:rPr>
              <w:t>3.</w:t>
            </w:r>
            <w:r>
              <w:rPr>
                <w:rFonts w:hint="eastAsia" w:ascii="楷体_GB2312" w:hAnsi="宋体" w:eastAsia="楷体_GB2312"/>
                <w:b/>
                <w:color w:val="000000"/>
                <w:sz w:val="24"/>
                <w:highlight w:val="none"/>
              </w:rPr>
              <w:t>投资者可根据实际情况自行选择认购</w:t>
            </w:r>
            <w:r>
              <w:rPr>
                <w:rFonts w:ascii="楷体_GB2312" w:hAnsi="宋体" w:eastAsia="楷体_GB2312"/>
                <w:b/>
                <w:color w:val="000000"/>
                <w:sz w:val="24"/>
                <w:highlight w:val="none"/>
              </w:rPr>
              <w:t>/</w:t>
            </w:r>
            <w:r>
              <w:rPr>
                <w:rFonts w:hint="eastAsia" w:ascii="楷体_GB2312" w:hAnsi="宋体" w:eastAsia="楷体_GB2312"/>
                <w:b/>
                <w:color w:val="000000"/>
                <w:sz w:val="24"/>
                <w:highlight w:val="none"/>
              </w:rPr>
              <w:t>申购的产品份额类别。</w:t>
            </w:r>
          </w:p>
          <w:p>
            <w:pPr>
              <w:rPr>
                <w:rFonts w:ascii="楷体_GB2312" w:hAnsi="宋体" w:eastAsia="楷体_GB2312"/>
                <w:b/>
                <w:color w:val="000000"/>
                <w:sz w:val="24"/>
                <w:highlight w:val="none"/>
              </w:rPr>
            </w:pPr>
            <w:r>
              <w:rPr>
                <w:rFonts w:hint="eastAsia" w:ascii="楷体_GB2312" w:hAnsi="宋体" w:eastAsia="楷体_GB2312"/>
                <w:b/>
                <w:color w:val="000000"/>
                <w:sz w:val="24"/>
                <w:highlight w:val="none"/>
              </w:rPr>
              <w:t>不同类别的理财产品份额可能在信息披露渠道、销售手续费率等方面存在差异，具体以</w:t>
            </w:r>
            <w:r>
              <w:rPr>
                <w:rFonts w:hint="eastAsia" w:ascii="楷体_GB2312" w:hAnsi="宋体" w:eastAsia="楷体_GB2312"/>
                <w:b/>
                <w:color w:val="000000"/>
                <w:sz w:val="24"/>
                <w:highlight w:val="none"/>
                <w:lang w:val="en-US" w:eastAsia="zh-CN"/>
              </w:rPr>
              <w:t>其</w:t>
            </w:r>
            <w:r>
              <w:rPr>
                <w:rFonts w:hint="eastAsia" w:ascii="楷体_GB2312" w:hAnsi="宋体" w:eastAsia="楷体_GB2312"/>
                <w:b/>
                <w:color w:val="000000"/>
                <w:sz w:val="24"/>
                <w:highlight w:val="none"/>
              </w:rPr>
              <w:t>对应的理财产品</w:t>
            </w:r>
            <w:r>
              <w:rPr>
                <w:rFonts w:hint="eastAsia" w:ascii="楷体_GB2312" w:hAnsi="宋体" w:eastAsia="楷体_GB2312"/>
                <w:b/>
                <w:color w:val="000000"/>
                <w:sz w:val="24"/>
                <w:highlight w:val="none"/>
                <w:lang w:val="en-US" w:eastAsia="zh-CN"/>
              </w:rPr>
              <w:t>销售</w:t>
            </w:r>
            <w:r>
              <w:rPr>
                <w:rFonts w:hint="eastAsia" w:ascii="楷体_GB2312" w:hAnsi="宋体" w:eastAsia="楷体_GB2312"/>
                <w:b/>
                <w:color w:val="000000"/>
                <w:sz w:val="24"/>
                <w:highlight w:val="none"/>
              </w:rPr>
              <w:t>文件之约定为准。</w:t>
            </w:r>
          </w:p>
          <w:p>
            <w:pPr>
              <w:rPr>
                <w:rFonts w:ascii="楷体_GB2312" w:hAnsi="宋体" w:eastAsia="楷体_GB2312"/>
                <w:b/>
                <w:color w:val="000000"/>
                <w:sz w:val="24"/>
                <w:highlight w:val="none"/>
              </w:rPr>
            </w:pPr>
            <w:r>
              <w:rPr>
                <w:rFonts w:hint="eastAsia" w:ascii="楷体_GB2312" w:hAnsi="宋体" w:eastAsia="楷体_GB2312"/>
                <w:b/>
                <w:color w:val="000000"/>
                <w:sz w:val="24"/>
                <w:highlight w:val="none"/>
              </w:rPr>
              <w:t>本理财产品</w:t>
            </w:r>
            <w:r>
              <w:rPr>
                <w:rFonts w:hint="eastAsia" w:ascii="楷体_GB2312" w:hAnsi="宋体" w:eastAsia="楷体_GB2312"/>
                <w:b/>
                <w:color w:val="000000"/>
                <w:sz w:val="24"/>
                <w:highlight w:val="none"/>
                <w:lang w:val="en-US" w:eastAsia="zh-CN"/>
              </w:rPr>
              <w:t>销售</w:t>
            </w:r>
            <w:r>
              <w:rPr>
                <w:rFonts w:hint="eastAsia" w:ascii="楷体_GB2312" w:hAnsi="宋体" w:eastAsia="楷体_GB2312"/>
                <w:b/>
                <w:color w:val="000000"/>
                <w:sz w:val="24"/>
                <w:highlight w:val="none"/>
              </w:rPr>
              <w:t>文件所列示产品份额类别仅为</w:t>
            </w:r>
            <w:r>
              <w:rPr>
                <w:rFonts w:hint="eastAsia" w:ascii="楷体_GB2312" w:hAnsi="宋体" w:eastAsia="楷体_GB2312"/>
                <w:b/>
                <w:color w:val="000000"/>
                <w:sz w:val="24"/>
                <w:highlight w:val="none"/>
                <w:lang w:eastAsia="zh-CN"/>
              </w:rPr>
              <w:t>本理财产品</w:t>
            </w:r>
            <w:r>
              <w:rPr>
                <w:rFonts w:hint="eastAsia" w:ascii="楷体_GB2312" w:hAnsi="宋体" w:eastAsia="楷体_GB2312"/>
                <w:b/>
                <w:color w:val="000000"/>
                <w:sz w:val="24"/>
                <w:highlight w:val="none"/>
              </w:rPr>
              <w:t>项下某一类产品份额类别，其他类别的产品份额项下相关约定以</w:t>
            </w:r>
            <w:r>
              <w:rPr>
                <w:rFonts w:hint="eastAsia" w:ascii="楷体_GB2312" w:hAnsi="宋体" w:eastAsia="楷体_GB2312"/>
                <w:b/>
                <w:color w:val="000000"/>
                <w:sz w:val="24"/>
                <w:highlight w:val="none"/>
                <w:lang w:val="en-US" w:eastAsia="zh-CN"/>
              </w:rPr>
              <w:t>其</w:t>
            </w:r>
            <w:r>
              <w:rPr>
                <w:rFonts w:hint="eastAsia" w:ascii="楷体_GB2312" w:hAnsi="宋体" w:eastAsia="楷体_GB2312"/>
                <w:b/>
                <w:color w:val="000000"/>
                <w:sz w:val="24"/>
                <w:highlight w:val="none"/>
              </w:rPr>
              <w:t>对应的理财产品</w:t>
            </w:r>
            <w:r>
              <w:rPr>
                <w:rFonts w:hint="eastAsia" w:ascii="楷体_GB2312" w:hAnsi="宋体" w:eastAsia="楷体_GB2312"/>
                <w:b/>
                <w:color w:val="000000"/>
                <w:sz w:val="24"/>
                <w:highlight w:val="none"/>
                <w:lang w:val="en-US" w:eastAsia="zh-CN"/>
              </w:rPr>
              <w:t>销售</w:t>
            </w:r>
            <w:r>
              <w:rPr>
                <w:rFonts w:hint="eastAsia" w:ascii="楷体_GB2312" w:hAnsi="宋体" w:eastAsia="楷体_GB2312"/>
                <w:b/>
                <w:color w:val="000000"/>
                <w:sz w:val="24"/>
                <w:highlight w:val="none"/>
              </w:rPr>
              <w:t>文件及</w:t>
            </w:r>
            <w:r>
              <w:rPr>
                <w:rFonts w:hint="eastAsia" w:ascii="楷体_GB2312" w:hAnsi="宋体" w:eastAsia="楷体_GB2312"/>
                <w:b/>
                <w:color w:val="000000"/>
                <w:sz w:val="24"/>
                <w:highlight w:val="none"/>
                <w:lang w:eastAsia="zh-CN"/>
              </w:rPr>
              <w:t>产品管理人</w:t>
            </w:r>
            <w:r>
              <w:rPr>
                <w:rFonts w:hint="eastAsia" w:ascii="楷体_GB2312" w:hAnsi="宋体" w:eastAsia="楷体_GB2312"/>
                <w:b/>
                <w:color w:val="000000"/>
                <w:sz w:val="24"/>
                <w:highlight w:val="none"/>
              </w:rPr>
              <w:t>的信息披露为准。</w:t>
            </w:r>
          </w:p>
          <w:p>
            <w:pPr>
              <w:rPr>
                <w:rFonts w:ascii="楷体_GB2312" w:hAnsi="宋体" w:eastAsia="楷体_GB2312"/>
                <w:color w:val="000000"/>
                <w:sz w:val="24"/>
                <w:highlight w:val="none"/>
              </w:rPr>
            </w:pPr>
            <w:r>
              <w:rPr>
                <w:rFonts w:hint="eastAsia" w:ascii="楷体_GB2312" w:hAnsi="宋体" w:eastAsia="楷体_GB2312"/>
                <w:b/>
                <w:color w:val="000000"/>
                <w:sz w:val="24"/>
                <w:highlight w:val="none"/>
                <w:lang w:eastAsia="zh-CN"/>
              </w:rPr>
              <w:t>产品管理人</w:t>
            </w:r>
            <w:r>
              <w:rPr>
                <w:rFonts w:hint="eastAsia" w:ascii="楷体_GB2312" w:hAnsi="宋体" w:eastAsia="楷体_GB2312"/>
                <w:b/>
                <w:color w:val="000000"/>
                <w:sz w:val="24"/>
                <w:highlight w:val="none"/>
              </w:rPr>
              <w:t>有权在本理财产品项下增设新的产品份额类别，届时，</w:t>
            </w:r>
            <w:r>
              <w:rPr>
                <w:rFonts w:hint="eastAsia" w:ascii="楷体_GB2312" w:hAnsi="宋体" w:eastAsia="楷体_GB2312"/>
                <w:b/>
                <w:color w:val="000000"/>
                <w:sz w:val="24"/>
                <w:highlight w:val="none"/>
                <w:lang w:eastAsia="zh-CN"/>
              </w:rPr>
              <w:t>产品管理人</w:t>
            </w:r>
            <w:r>
              <w:rPr>
                <w:rFonts w:hint="eastAsia" w:ascii="楷体_GB2312" w:hAnsi="宋体" w:eastAsia="楷体_GB2312"/>
                <w:b/>
                <w:color w:val="000000"/>
                <w:sz w:val="24"/>
                <w:highlight w:val="none"/>
              </w:rPr>
              <w:t>将依据本理财产品</w:t>
            </w:r>
            <w:r>
              <w:rPr>
                <w:rFonts w:hint="eastAsia" w:ascii="楷体_GB2312" w:hAnsi="宋体" w:eastAsia="楷体_GB2312"/>
                <w:b/>
                <w:color w:val="000000"/>
                <w:sz w:val="24"/>
                <w:highlight w:val="none"/>
                <w:lang w:val="en-US" w:eastAsia="zh-CN"/>
              </w:rPr>
              <w:t>销售</w:t>
            </w:r>
            <w:r>
              <w:rPr>
                <w:rFonts w:hint="eastAsia" w:ascii="楷体_GB2312" w:hAnsi="宋体" w:eastAsia="楷体_GB2312"/>
                <w:b/>
                <w:color w:val="000000"/>
                <w:sz w:val="24"/>
                <w:highlight w:val="none"/>
              </w:rPr>
              <w:t>文件的约定进行信息披露。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投资及收益币种</w:t>
            </w:r>
          </w:p>
        </w:tc>
        <w:tc>
          <w:tcPr>
            <w:tcW w:w="6656" w:type="dxa"/>
            <w:vAlign w:val="top"/>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募集方式</w:t>
            </w:r>
          </w:p>
        </w:tc>
        <w:tc>
          <w:tcPr>
            <w:tcW w:w="6656" w:type="dxa"/>
            <w:vAlign w:val="top"/>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lang w:val="en-US" w:eastAsia="zh-CN"/>
              </w:rPr>
              <w:t>产品</w:t>
            </w:r>
            <w:r>
              <w:rPr>
                <w:rFonts w:hint="eastAsia" w:ascii="楷体_GB2312" w:eastAsia="楷体_GB2312"/>
                <w:bCs/>
                <w:color w:val="000000"/>
                <w:sz w:val="24"/>
                <w:highlight w:val="none"/>
              </w:rPr>
              <w:t>运作</w:t>
            </w:r>
            <w:r>
              <w:rPr>
                <w:rFonts w:hint="eastAsia" w:ascii="楷体_GB2312" w:eastAsia="楷体_GB2312"/>
                <w:bCs/>
                <w:color w:val="000000"/>
                <w:sz w:val="24"/>
                <w:highlight w:val="none"/>
                <w:lang w:val="en-US" w:eastAsia="zh-CN"/>
              </w:rPr>
              <w:t>模</w:t>
            </w:r>
            <w:r>
              <w:rPr>
                <w:rFonts w:hint="eastAsia" w:ascii="楷体_GB2312" w:eastAsia="楷体_GB2312"/>
                <w:bCs/>
                <w:color w:val="000000"/>
                <w:sz w:val="24"/>
                <w:highlight w:val="none"/>
              </w:rPr>
              <w:t>式</w:t>
            </w:r>
          </w:p>
        </w:tc>
        <w:tc>
          <w:tcPr>
            <w:tcW w:w="6656" w:type="dxa"/>
            <w:vAlign w:val="top"/>
          </w:tcPr>
          <w:p>
            <w:pPr>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开放式</w:t>
            </w:r>
            <w:r>
              <w:rPr>
                <w:rFonts w:hint="eastAsia" w:ascii="楷体_GB2312" w:hAnsi="宋体" w:eastAsia="楷体_GB2312"/>
                <w:color w:val="000000"/>
                <w:sz w:val="24"/>
                <w:highlight w:val="none"/>
                <w:lang w:val="en-US" w:eastAsia="zh-CN"/>
              </w:rPr>
              <w:t>净值型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hAnsi="宋体" w:eastAsia="楷体_GB2312"/>
                <w:b/>
                <w:bCs/>
                <w:color w:val="000000"/>
                <w:sz w:val="24"/>
                <w:highlight w:val="none"/>
              </w:rPr>
              <w:t>★</w:t>
            </w:r>
            <w:r>
              <w:rPr>
                <w:rFonts w:hint="eastAsia" w:ascii="楷体_GB2312" w:eastAsia="楷体_GB2312"/>
                <w:bCs/>
                <w:color w:val="000000"/>
                <w:sz w:val="24"/>
                <w:highlight w:val="none"/>
              </w:rPr>
              <w:t>产品类型</w:t>
            </w:r>
          </w:p>
        </w:tc>
        <w:tc>
          <w:tcPr>
            <w:tcW w:w="6656" w:type="dxa"/>
            <w:vAlign w:val="top"/>
          </w:tcPr>
          <w:p>
            <w:pPr>
              <w:rPr>
                <w:rFonts w:hint="eastAsia" w:ascii="楷体_GB2312" w:hAnsi="宋体" w:eastAsia="楷体_GB2312"/>
                <w:color w:val="000000"/>
                <w:sz w:val="24"/>
                <w:highlight w:val="none"/>
                <w:lang w:eastAsia="zh-CN"/>
              </w:rPr>
            </w:pPr>
            <w:r>
              <w:rPr>
                <w:rFonts w:ascii="楷体_GB2312" w:hAnsi="宋体" w:eastAsia="楷体_GB2312"/>
                <w:color w:val="000000"/>
                <w:sz w:val="24"/>
                <w:highlight w:val="none"/>
              </w:rPr>
              <w:t>固定收益类</w:t>
            </w:r>
            <w:r>
              <w:rPr>
                <w:rFonts w:hint="eastAsia" w:ascii="楷体_GB2312" w:hAnsi="宋体" w:eastAsia="楷体_GB2312"/>
                <w:color w:val="000000"/>
                <w:sz w:val="24"/>
                <w:highlight w:val="none"/>
                <w:lang w:eastAsia="zh-CN"/>
              </w:rPr>
              <w:t>、</w:t>
            </w:r>
            <w:r>
              <w:rPr>
                <w:rFonts w:hint="eastAsia" w:ascii="楷体_GB2312" w:hAnsi="楷体" w:eastAsia="楷体_GB2312"/>
                <w:b w:val="0"/>
                <w:bCs w:val="0"/>
                <w:color w:val="000000"/>
                <w:sz w:val="24"/>
                <w:highlight w:val="none"/>
                <w:lang w:eastAsia="zh-Hans"/>
              </w:rPr>
              <w:t>非保本浮动收益</w:t>
            </w:r>
            <w:r>
              <w:rPr>
                <w:rFonts w:hint="eastAsia" w:ascii="楷体_GB2312" w:hAnsi="楷体" w:eastAsia="楷体_GB2312"/>
                <w:b w:val="0"/>
                <w:bCs w:val="0"/>
                <w:color w:val="000000"/>
                <w:sz w:val="24"/>
                <w:highlight w:val="none"/>
                <w:lang w:val="en-US" w:eastAsia="zh-CN"/>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适合的投资者</w:t>
            </w:r>
          </w:p>
        </w:tc>
        <w:tc>
          <w:tcPr>
            <w:tcW w:w="6656" w:type="dxa"/>
            <w:vAlign w:val="top"/>
          </w:tcPr>
          <w:p>
            <w:pPr>
              <w:rPr>
                <w:rFonts w:hint="eastAsia" w:ascii="楷体_GB2312" w:hAnsi="宋体" w:eastAsia="楷体_GB2312" w:cs="Times New Roman"/>
                <w:color w:val="000000"/>
                <w:sz w:val="24"/>
                <w:szCs w:val="24"/>
                <w:highlight w:val="none"/>
              </w:rPr>
            </w:pPr>
            <w:r>
              <w:rPr>
                <w:rFonts w:hint="eastAsia" w:ascii="楷体_GB2312" w:hAnsi="宋体" w:eastAsia="楷体_GB2312" w:cs="Times New Roman"/>
                <w:color w:val="000000"/>
                <w:sz w:val="24"/>
                <w:szCs w:val="24"/>
                <w:highlight w:val="none"/>
              </w:rPr>
              <w:t>符合相关法律法规、监管规定要求的自然人、法人和其他组织。自然人</w:t>
            </w:r>
            <w:r>
              <w:rPr>
                <w:rFonts w:hint="eastAsia" w:ascii="楷体_GB2312" w:hAnsi="宋体" w:eastAsia="楷体_GB2312" w:cs="Times New Roman"/>
                <w:color w:val="000000"/>
                <w:sz w:val="24"/>
                <w:szCs w:val="24"/>
                <w:highlight w:val="none"/>
                <w:lang w:val="en-US" w:eastAsia="zh-CN"/>
              </w:rPr>
              <w:t>投资者</w:t>
            </w:r>
            <w:r>
              <w:rPr>
                <w:rFonts w:hint="eastAsia" w:ascii="楷体_GB2312" w:hAnsi="宋体" w:eastAsia="楷体_GB2312" w:cs="Times New Roman"/>
                <w:color w:val="000000"/>
                <w:sz w:val="24"/>
                <w:szCs w:val="24"/>
                <w:highlight w:val="none"/>
              </w:rPr>
              <w:t>经</w:t>
            </w:r>
            <w:r>
              <w:rPr>
                <w:rFonts w:hint="eastAsia" w:ascii="楷体_GB2312" w:hAnsi="宋体" w:eastAsia="楷体_GB2312" w:cs="Times New Roman"/>
                <w:color w:val="000000"/>
                <w:sz w:val="24"/>
                <w:szCs w:val="24"/>
                <w:highlight w:val="none"/>
                <w:lang w:val="en-US" w:eastAsia="zh-CN"/>
              </w:rPr>
              <w:t>代理销售</w:t>
            </w:r>
            <w:r>
              <w:rPr>
                <w:rFonts w:hint="eastAsia" w:ascii="楷体_GB2312" w:hAnsi="宋体" w:eastAsia="楷体_GB2312" w:cs="Times New Roman"/>
                <w:color w:val="000000"/>
                <w:sz w:val="24"/>
                <w:szCs w:val="24"/>
                <w:highlight w:val="none"/>
              </w:rPr>
              <w:t>机构</w:t>
            </w:r>
            <w:r>
              <w:rPr>
                <w:rFonts w:hint="eastAsia" w:ascii="楷体_GB2312" w:hAnsi="宋体" w:eastAsia="楷体_GB2312" w:cs="Times New Roman"/>
                <w:color w:val="000000"/>
                <w:sz w:val="24"/>
                <w:szCs w:val="24"/>
                <w:highlight w:val="none"/>
                <w:lang w:val="en-US" w:eastAsia="zh-CN"/>
              </w:rPr>
              <w:t>评估</w:t>
            </w:r>
            <w:r>
              <w:rPr>
                <w:rFonts w:hint="eastAsia" w:ascii="楷体_GB2312" w:hAnsi="宋体" w:eastAsia="楷体_GB2312" w:cs="Times New Roman"/>
                <w:color w:val="000000"/>
                <w:sz w:val="24"/>
                <w:szCs w:val="24"/>
                <w:highlight w:val="none"/>
              </w:rPr>
              <w:t>的个人投资者风险承受能力等级</w:t>
            </w:r>
            <w:r>
              <w:rPr>
                <w:rFonts w:hint="eastAsia" w:ascii="楷体_GB2312" w:hAnsi="宋体" w:eastAsia="楷体_GB2312" w:cs="Times New Roman"/>
                <w:color w:val="000000"/>
                <w:sz w:val="24"/>
                <w:szCs w:val="24"/>
                <w:highlight w:val="none"/>
                <w:lang w:val="en-US" w:eastAsia="zh-CN"/>
              </w:rPr>
              <w:t>须</w:t>
            </w:r>
            <w:r>
              <w:rPr>
                <w:rFonts w:hint="eastAsia" w:ascii="楷体_GB2312" w:hAnsi="宋体" w:eastAsia="楷体_GB2312" w:cs="Times New Roman"/>
                <w:color w:val="000000"/>
                <w:sz w:val="24"/>
                <w:szCs w:val="24"/>
                <w:highlight w:val="none"/>
              </w:rPr>
              <w:t>不低于本理财产品风险评级</w:t>
            </w:r>
            <w:r>
              <w:rPr>
                <w:rFonts w:hint="eastAsia" w:ascii="楷体_GB2312" w:hAnsi="宋体" w:eastAsia="楷体_GB2312" w:cs="Times New Roman"/>
                <w:color w:val="000000"/>
                <w:sz w:val="24"/>
                <w:szCs w:val="24"/>
                <w:highlight w:val="none"/>
                <w:lang w:val="en-US" w:eastAsia="zh-CN"/>
              </w:rPr>
              <w:t>结果</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eastAsia="zh-CN"/>
              </w:rPr>
              <w:t>本理财产品</w:t>
            </w:r>
            <w:r>
              <w:rPr>
                <w:rFonts w:hint="eastAsia" w:ascii="楷体_GB2312" w:hAnsi="宋体" w:eastAsia="楷体_GB2312" w:cs="Times New Roman"/>
                <w:color w:val="000000"/>
                <w:sz w:val="24"/>
                <w:szCs w:val="24"/>
                <w:highlight w:val="none"/>
              </w:rPr>
              <w:t>通过代销机构销售的，销售客群最终以代销机构要求为准）。</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b/>
                <w:color w:val="000000"/>
                <w:sz w:val="24"/>
                <w:highlight w:val="none"/>
              </w:rPr>
              <w:t>本理财产品不允许单一投资者持有份额超过本理财产品总份额的50%。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hint="eastAsia" w:ascii="楷体_GB2312" w:eastAsia="楷体_GB2312"/>
                <w:bCs/>
                <w:color w:val="000000"/>
                <w:sz w:val="24"/>
                <w:highlight w:val="none"/>
                <w:lang w:eastAsia="zh-CN"/>
              </w:rPr>
            </w:pPr>
            <w:r>
              <w:rPr>
                <w:rFonts w:hint="eastAsia" w:ascii="楷体_GB2312" w:eastAsia="楷体_GB2312"/>
                <w:bCs/>
                <w:color w:val="000000"/>
                <w:sz w:val="24"/>
                <w:highlight w:val="none"/>
                <w:lang w:eastAsia="zh-CN"/>
              </w:rPr>
              <w:t>产品管理人</w:t>
            </w:r>
          </w:p>
        </w:tc>
        <w:tc>
          <w:tcPr>
            <w:tcW w:w="6656" w:type="dxa"/>
            <w:vAlign w:val="top"/>
          </w:tcPr>
          <w:p>
            <w:pPr>
              <w:rPr>
                <w:rFonts w:ascii="楷体_GB2312" w:hAnsi="宋体" w:eastAsia="楷体_GB2312"/>
                <w:color w:val="000000"/>
                <w:sz w:val="24"/>
                <w:highlight w:val="none"/>
              </w:rPr>
            </w:pPr>
            <w:r>
              <w:rPr>
                <w:rFonts w:ascii="楷体_GB2312" w:hAnsi="宋体" w:eastAsia="楷体_GB2312"/>
                <w:color w:val="000000"/>
                <w:sz w:val="24"/>
                <w:highlight w:val="none"/>
              </w:rPr>
              <w:t>北银理财有限责任公司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hint="default" w:ascii="楷体_GB2312" w:eastAsia="楷体_GB2312"/>
                <w:bCs/>
                <w:color w:val="000000"/>
                <w:sz w:val="24"/>
                <w:highlight w:val="none"/>
                <w:lang w:val="en-US" w:eastAsia="zh-CN"/>
              </w:rPr>
            </w:pPr>
            <w:r>
              <w:rPr>
                <w:rFonts w:hint="eastAsia" w:ascii="楷体_GB2312" w:eastAsia="楷体_GB2312"/>
                <w:bCs/>
                <w:color w:val="000000"/>
                <w:sz w:val="24"/>
                <w:highlight w:val="none"/>
                <w:lang w:val="en-US" w:eastAsia="zh-CN"/>
              </w:rPr>
              <w:t>产品托管人</w:t>
            </w:r>
          </w:p>
        </w:tc>
        <w:tc>
          <w:tcPr>
            <w:tcW w:w="6656" w:type="dxa"/>
            <w:vAlign w:val="top"/>
          </w:tcPr>
          <w:p>
            <w:pPr>
              <w:rPr>
                <w:rFonts w:hint="default" w:ascii="楷体_GB2312" w:hAnsi="宋体" w:eastAsia="楷体_GB2312"/>
                <w:color w:val="000000"/>
                <w:sz w:val="24"/>
                <w:highlight w:val="none"/>
                <w:lang w:val="en-US"/>
              </w:rPr>
            </w:pPr>
            <w:r>
              <w:rPr>
                <w:rFonts w:hint="eastAsia" w:ascii="楷体_GB2312" w:hAnsi="宋体" w:eastAsia="楷体_GB2312"/>
                <w:color w:val="000000"/>
                <w:sz w:val="24"/>
                <w:highlight w:val="none"/>
                <w:lang w:val="en-US" w:eastAsia="zh-CN"/>
              </w:rPr>
              <w:t xml:space="preserve">北京银行股份有限公司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代销机构</w:t>
            </w:r>
          </w:p>
        </w:tc>
        <w:tc>
          <w:tcPr>
            <w:tcW w:w="6656" w:type="dxa"/>
            <w:vAlign w:val="top"/>
          </w:tcPr>
          <w:p>
            <w:pPr>
              <w:rPr>
                <w:rFonts w:hint="default" w:ascii="楷体_GB2312" w:hAnsi="楷体" w:eastAsia="楷体_GB2312"/>
                <w:color w:val="000000"/>
                <w:sz w:val="24"/>
                <w:highlight w:val="none"/>
                <w:lang w:val="en-US"/>
              </w:rPr>
            </w:pPr>
            <w:r>
              <w:rPr>
                <w:rFonts w:hint="eastAsia" w:ascii="楷体_GB2312" w:hAnsi="楷体" w:eastAsia="楷体_GB2312"/>
                <w:color w:val="000000"/>
                <w:sz w:val="24"/>
                <w:highlight w:val="none"/>
                <w:lang w:val="en-US" w:eastAsia="zh-CN"/>
              </w:rPr>
              <w:t>FS类份额</w:t>
            </w:r>
            <w:r>
              <w:rPr>
                <w:rFonts w:hint="eastAsia" w:ascii="楷体_GB2312" w:hAnsi="楷体" w:eastAsia="楷体_GB2312"/>
                <w:color w:val="000000"/>
                <w:sz w:val="24"/>
                <w:highlight w:val="none"/>
              </w:rPr>
              <w:t>：</w:t>
            </w:r>
            <w:r>
              <w:rPr>
                <w:rFonts w:hint="eastAsia" w:ascii="楷体_GB2312" w:hAnsi="楷体" w:eastAsia="楷体_GB2312"/>
                <w:color w:val="auto"/>
                <w:sz w:val="24"/>
                <w:highlight w:val="none"/>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建德农村商业银行股份有限公司、杭州联合农村商业银行股份有限公司、浙江浦江农村商业银行股份有限公司、浙江临安农村商业银行股份有限公司、浙江诸暨农村商业银行股份有限公司、浙江富阳农村商业银行股份有限公司、宁波余姚农村商业银行股份有限公司、浙江上虞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浙江衢州柯城农村商业银行股份有限公司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浙江松阳农村商业银行股份有限公司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浙江江山农村商业银行股份有限公司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浙江义乌农村商业银行股份有限公司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浙江桐庐农村商业银行股份有限公司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宁波慈溪农村商业银行股份有限公司</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rPr>
              <w:t>浙江新昌农村商业银行股份有限公司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lang w:val="en-US" w:eastAsia="zh-CN"/>
              </w:rPr>
              <w:t>产品</w:t>
            </w:r>
            <w:r>
              <w:rPr>
                <w:rFonts w:hint="eastAsia" w:ascii="楷体_GB2312" w:eastAsia="楷体_GB2312"/>
                <w:bCs/>
                <w:color w:val="000000"/>
                <w:sz w:val="24"/>
                <w:highlight w:val="none"/>
              </w:rPr>
              <w:t>风险评级</w:t>
            </w:r>
          </w:p>
        </w:tc>
        <w:tc>
          <w:tcPr>
            <w:tcW w:w="6656" w:type="dxa"/>
            <w:vAlign w:val="top"/>
          </w:tcPr>
          <w:p>
            <w:pPr>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低</w:t>
            </w:r>
            <w:r>
              <w:rPr>
                <w:rFonts w:ascii="楷体_GB2312" w:hAnsi="宋体" w:eastAsia="楷体_GB2312"/>
                <w:color w:val="000000"/>
                <w:sz w:val="24"/>
                <w:highlight w:val="none"/>
              </w:rPr>
              <w:t>风险产品（PR</w:t>
            </w:r>
            <w:r>
              <w:rPr>
                <w:rFonts w:hint="eastAsia" w:ascii="楷体_GB2312" w:hAnsi="宋体" w:eastAsia="楷体_GB2312"/>
                <w:color w:val="000000"/>
                <w:sz w:val="24"/>
                <w:highlight w:val="none"/>
              </w:rPr>
              <w:t>1）（本</w:t>
            </w:r>
            <w:r>
              <w:rPr>
                <w:rFonts w:hint="eastAsia" w:ascii="楷体_GB2312" w:hAnsi="宋体" w:eastAsia="楷体_GB2312"/>
                <w:color w:val="000000"/>
                <w:sz w:val="24"/>
                <w:highlight w:val="none"/>
                <w:lang w:val="en-US" w:eastAsia="zh-CN"/>
              </w:rPr>
              <w:t>风险</w:t>
            </w:r>
            <w:r>
              <w:rPr>
                <w:rFonts w:hint="eastAsia" w:ascii="楷体_GB2312" w:hAnsi="宋体" w:eastAsia="楷体_GB2312"/>
                <w:color w:val="000000"/>
                <w:sz w:val="24"/>
                <w:highlight w:val="none"/>
              </w:rPr>
              <w:t>评级为北银理财内部评级，仅供参考）</w:t>
            </w:r>
          </w:p>
          <w:p>
            <w:pPr>
              <w:rPr>
                <w:rFonts w:ascii="楷体_GB2312" w:hAnsi="宋体" w:eastAsia="楷体_GB2312"/>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本理财产品通过代销机构渠道销售的，理财产品评级应当以代销机构最终披露的评级结果为准。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产品规模</w:t>
            </w:r>
          </w:p>
        </w:tc>
        <w:tc>
          <w:tcPr>
            <w:tcW w:w="6656" w:type="dxa"/>
            <w:vAlign w:val="top"/>
          </w:tcPr>
          <w:p>
            <w:pPr>
              <w:pStyle w:val="40"/>
              <w:jc w:val="both"/>
              <w:rPr>
                <w:rFonts w:ascii="楷体_GB2312" w:hAnsi="Times New Roman" w:eastAsia="楷体_GB2312" w:cs="Times New Roman"/>
                <w:bCs/>
                <w:color w:val="000000"/>
                <w:kern w:val="2"/>
                <w:highlight w:val="none"/>
              </w:rPr>
            </w:pPr>
            <w:r>
              <w:rPr>
                <w:rFonts w:hint="eastAsia" w:ascii="楷体_GB2312" w:hAnsi="楷体" w:eastAsia="楷体_GB2312"/>
                <w:color w:val="000000"/>
                <w:highlight w:val="none"/>
              </w:rPr>
              <w:t>★</w:t>
            </w:r>
            <w:r>
              <w:rPr>
                <w:rFonts w:hint="eastAsia" w:ascii="楷体_GB2312" w:hAnsi="Times New Roman" w:eastAsia="楷体_GB2312" w:cs="Times New Roman"/>
                <w:bCs/>
                <w:color w:val="000000"/>
                <w:kern w:val="2"/>
                <w:highlight w:val="none"/>
                <w:lang w:eastAsia="zh-CN"/>
              </w:rPr>
              <w:t>产品管理人</w:t>
            </w:r>
            <w:r>
              <w:rPr>
                <w:rFonts w:hint="eastAsia" w:ascii="楷体_GB2312" w:hAnsi="Times New Roman" w:eastAsia="楷体_GB2312" w:cs="Times New Roman"/>
                <w:bCs/>
                <w:color w:val="000000"/>
                <w:kern w:val="2"/>
                <w:highlight w:val="none"/>
              </w:rPr>
              <w:t>可根据市场和</w:t>
            </w:r>
            <w:r>
              <w:rPr>
                <w:rFonts w:hint="eastAsia" w:ascii="楷体_GB2312" w:hAnsi="Times New Roman" w:eastAsia="楷体_GB2312" w:cs="Times New Roman"/>
                <w:bCs/>
                <w:color w:val="000000"/>
                <w:kern w:val="2"/>
                <w:highlight w:val="none"/>
                <w:lang w:eastAsia="zh-CN"/>
              </w:rPr>
              <w:t>本理财</w:t>
            </w:r>
            <w:r>
              <w:rPr>
                <w:rFonts w:hint="eastAsia" w:ascii="楷体_GB2312" w:hAnsi="Times New Roman" w:eastAsia="楷体_GB2312" w:cs="Times New Roman"/>
                <w:bCs/>
                <w:color w:val="000000"/>
                <w:kern w:val="2"/>
                <w:highlight w:val="none"/>
              </w:rPr>
              <w:t>产品运行情况调整产品规模上下限。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销售区域</w:t>
            </w:r>
          </w:p>
        </w:tc>
        <w:tc>
          <w:tcPr>
            <w:tcW w:w="6656" w:type="dxa"/>
            <w:vAlign w:val="center"/>
          </w:tcPr>
          <w:p>
            <w:pPr>
              <w:snapToGrid w:val="0"/>
              <w:rPr>
                <w:rFonts w:hint="default" w:ascii="楷体_GB2312" w:eastAsia="楷体_GB2312"/>
                <w:bCs/>
                <w:color w:val="000000"/>
                <w:sz w:val="24"/>
                <w:highlight w:val="none"/>
                <w:lang w:val="en-US" w:eastAsia="zh-CN"/>
              </w:rPr>
            </w:pPr>
            <w:r>
              <w:rPr>
                <w:rFonts w:hint="eastAsia" w:ascii="楷体_GB2312" w:eastAsia="楷体_GB2312"/>
                <w:bCs/>
                <w:color w:val="000000"/>
                <w:sz w:val="24"/>
                <w:highlight w:val="none"/>
                <w:lang w:val="en-US" w:eastAsia="zh-CN"/>
              </w:rPr>
              <w:t>FS类份额</w:t>
            </w:r>
            <w:r>
              <w:rPr>
                <w:rFonts w:hint="eastAsia" w:ascii="楷体_GB2312" w:eastAsia="楷体_GB2312"/>
                <w:bCs/>
                <w:color w:val="000000"/>
                <w:sz w:val="24"/>
                <w:highlight w:val="none"/>
              </w:rPr>
              <w:t>：</w:t>
            </w:r>
            <w:r>
              <w:rPr>
                <w:rFonts w:hint="eastAsia" w:ascii="楷体_GB2312" w:eastAsia="楷体_GB2312"/>
                <w:bCs/>
                <w:color w:val="000000"/>
                <w:sz w:val="24"/>
                <w:highlight w:val="none"/>
                <w:lang w:val="en-US" w:eastAsia="zh-CN"/>
              </w:rPr>
              <w:t xml:space="preserve">全国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募集期</w:t>
            </w:r>
          </w:p>
        </w:tc>
        <w:tc>
          <w:tcPr>
            <w:tcW w:w="6656" w:type="dxa"/>
            <w:vAlign w:val="center"/>
          </w:tcPr>
          <w:p>
            <w:pPr>
              <w:rPr>
                <w:rFonts w:hint="eastAsia" w:ascii="楷体_GB2312" w:hAnsi="宋体" w:eastAsia="楷体_GB2312"/>
                <w:color w:val="auto"/>
                <w:sz w:val="24"/>
                <w:highlight w:val="none"/>
              </w:rPr>
            </w:pPr>
            <w:r>
              <w:rPr>
                <w:rFonts w:hint="default" w:ascii="楷体_GB2312" w:hAnsi="宋体" w:eastAsia="楷体_GB2312"/>
                <w:color w:val="auto"/>
                <w:sz w:val="24"/>
                <w:highlight w:val="none"/>
                <w:lang w:val="en-US"/>
              </w:rPr>
              <w:t>2024</w:t>
            </w:r>
            <w:r>
              <w:rPr>
                <w:rFonts w:hint="eastAsia" w:ascii="楷体_GB2312" w:hAnsi="宋体" w:eastAsia="楷体_GB2312"/>
                <w:color w:val="auto"/>
                <w:sz w:val="24"/>
                <w:highlight w:val="none"/>
              </w:rPr>
              <w:t>年</w:t>
            </w:r>
            <w:r>
              <w:rPr>
                <w:rFonts w:hint="default" w:ascii="楷体_GB2312" w:hAnsi="宋体" w:eastAsia="楷体_GB2312"/>
                <w:color w:val="auto"/>
                <w:sz w:val="24"/>
                <w:highlight w:val="none"/>
                <w:lang w:val="en-US"/>
              </w:rPr>
              <w:t>2</w:t>
            </w:r>
            <w:r>
              <w:rPr>
                <w:rFonts w:hint="eastAsia" w:ascii="楷体_GB2312" w:hAnsi="宋体" w:eastAsia="楷体_GB2312"/>
                <w:color w:val="auto"/>
                <w:sz w:val="24"/>
                <w:highlight w:val="none"/>
              </w:rPr>
              <w:t>月</w:t>
            </w:r>
            <w:r>
              <w:rPr>
                <w:rFonts w:hint="default" w:ascii="楷体_GB2312" w:hAnsi="宋体" w:eastAsia="楷体_GB2312"/>
                <w:color w:val="auto"/>
                <w:sz w:val="24"/>
                <w:highlight w:val="none"/>
                <w:lang w:val="en-US"/>
              </w:rPr>
              <w:t>29</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rPr>
              <w:t>9</w:t>
            </w:r>
            <w:r>
              <w:rPr>
                <w:rFonts w:hint="eastAsia" w:ascii="楷体_GB2312" w:hAnsi="宋体" w:eastAsia="楷体_GB2312"/>
                <w:color w:val="auto"/>
                <w:sz w:val="24"/>
                <w:highlight w:val="none"/>
                <w:lang w:val="en-US" w:eastAsia="zh-CN"/>
              </w:rPr>
              <w:t>：</w:t>
            </w:r>
            <w:r>
              <w:rPr>
                <w:rFonts w:hint="default" w:ascii="楷体_GB2312" w:hAnsi="宋体" w:eastAsia="楷体_GB2312"/>
                <w:color w:val="auto"/>
                <w:sz w:val="24"/>
                <w:highlight w:val="none"/>
                <w:lang w:val="en-US" w:eastAsia="zh-CN"/>
              </w:rPr>
              <w:t>00</w:t>
            </w:r>
            <w:r>
              <w:rPr>
                <w:rFonts w:hint="eastAsia" w:ascii="楷体_GB2312" w:hAnsi="宋体" w:eastAsia="楷体_GB2312"/>
                <w:color w:val="auto"/>
                <w:sz w:val="24"/>
                <w:highlight w:val="none"/>
              </w:rPr>
              <w:t>至</w:t>
            </w:r>
            <w:r>
              <w:rPr>
                <w:rFonts w:hint="default" w:ascii="楷体_GB2312" w:hAnsi="宋体" w:eastAsia="楷体_GB2312"/>
                <w:color w:val="auto"/>
                <w:sz w:val="24"/>
                <w:highlight w:val="none"/>
                <w:lang w:val="en-US"/>
              </w:rPr>
              <w:t>2024</w:t>
            </w:r>
            <w:r>
              <w:rPr>
                <w:rFonts w:hint="eastAsia" w:ascii="楷体_GB2312" w:hAnsi="宋体" w:eastAsia="楷体_GB2312"/>
                <w:color w:val="auto"/>
                <w:sz w:val="24"/>
                <w:highlight w:val="none"/>
              </w:rPr>
              <w:t>年</w:t>
            </w:r>
            <w:r>
              <w:rPr>
                <w:rFonts w:hint="default" w:ascii="楷体_GB2312" w:hAnsi="宋体" w:eastAsia="楷体_GB2312"/>
                <w:color w:val="auto"/>
                <w:sz w:val="24"/>
                <w:highlight w:val="none"/>
                <w:lang w:val="en-US"/>
              </w:rPr>
              <w:t>2</w:t>
            </w:r>
            <w:r>
              <w:rPr>
                <w:rFonts w:hint="eastAsia" w:ascii="楷体_GB2312" w:hAnsi="宋体" w:eastAsia="楷体_GB2312"/>
                <w:color w:val="auto"/>
                <w:sz w:val="24"/>
                <w:highlight w:val="none"/>
              </w:rPr>
              <w:t>月</w:t>
            </w:r>
            <w:r>
              <w:rPr>
                <w:rFonts w:hint="default" w:ascii="楷体_GB2312" w:hAnsi="宋体" w:eastAsia="楷体_GB2312"/>
                <w:color w:val="auto"/>
                <w:sz w:val="24"/>
                <w:highlight w:val="none"/>
                <w:lang w:val="en-US"/>
              </w:rPr>
              <w:t>29</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rPr>
              <w:t>17</w:t>
            </w:r>
            <w:r>
              <w:rPr>
                <w:rFonts w:hint="eastAsia" w:ascii="楷体_GB2312" w:hAnsi="宋体" w:eastAsia="楷体_GB2312"/>
                <w:color w:val="auto"/>
                <w:sz w:val="24"/>
                <w:highlight w:val="none"/>
                <w:lang w:val="en-US" w:eastAsia="zh-CN"/>
              </w:rPr>
              <w:t>：</w:t>
            </w:r>
            <w:r>
              <w:rPr>
                <w:rFonts w:hint="default" w:ascii="楷体_GB2312" w:hAnsi="宋体" w:eastAsia="楷体_GB2312"/>
                <w:color w:val="auto"/>
                <w:sz w:val="24"/>
                <w:highlight w:val="none"/>
                <w:lang w:val="en-US" w:eastAsia="zh-CN"/>
              </w:rPr>
              <w:t>00</w:t>
            </w:r>
            <w:r>
              <w:rPr>
                <w:rFonts w:hint="eastAsia" w:ascii="楷体_GB2312" w:hAnsi="宋体" w:eastAsia="楷体_GB2312"/>
                <w:color w:val="auto"/>
                <w:sz w:val="24"/>
                <w:highlight w:val="none"/>
              </w:rPr>
              <w:t>。</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募集期开市/闭市时间具体以代理销售机构为准）</w:t>
            </w:r>
          </w:p>
          <w:p>
            <w:pPr>
              <w:rPr>
                <w:rFonts w:ascii="楷体_GB2312" w:hAnsi="宋体" w:eastAsia="楷体_GB2312"/>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有权根据市场情况提前结束或延长募集期并相应调整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w:t>
            </w:r>
          </w:p>
          <w:p>
            <w:pPr>
              <w:rPr>
                <w:rFonts w:ascii="楷体_GB2312" w:eastAsia="楷体_GB2312"/>
                <w:bCs/>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如经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判断需提前结束或延长募集期，</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本理财产品销售文件约定的信息披露渠道</w:t>
            </w:r>
            <w:r>
              <w:rPr>
                <w:rFonts w:hint="eastAsia" w:ascii="楷体_GB2312" w:hAnsi="宋体" w:eastAsia="楷体_GB2312"/>
                <w:color w:val="000000"/>
                <w:sz w:val="24"/>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428" w:type="dxa"/>
            <w:vAlign w:val="center"/>
          </w:tcPr>
          <w:p>
            <w:p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rPr>
              <w:t>认购</w:t>
            </w:r>
          </w:p>
        </w:tc>
        <w:tc>
          <w:tcPr>
            <w:tcW w:w="6656" w:type="dxa"/>
            <w:vAlign w:val="center"/>
          </w:tcPr>
          <w:p>
            <w:p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rPr>
              <w:t>投资者可在募集期</w:t>
            </w:r>
            <w:r>
              <w:rPr>
                <w:rFonts w:hint="eastAsia" w:ascii="楷体_GB2312" w:hAnsi="Times New Roman" w:eastAsia="楷体_GB2312" w:cs="Times New Roman"/>
                <w:bCs/>
                <w:color w:val="000000"/>
                <w:sz w:val="24"/>
                <w:highlight w:val="none"/>
                <w:lang w:val="en-US" w:eastAsia="zh-CN"/>
              </w:rPr>
              <w:t>规定时间</w:t>
            </w:r>
            <w:r>
              <w:rPr>
                <w:rFonts w:hint="eastAsia" w:ascii="楷体_GB2312" w:hAnsi="Times New Roman" w:eastAsia="楷体_GB2312" w:cs="Times New Roman"/>
                <w:bCs/>
                <w:color w:val="000000"/>
                <w:sz w:val="24"/>
                <w:highlight w:val="none"/>
              </w:rPr>
              <w:t>内购买本</w:t>
            </w:r>
            <w:r>
              <w:rPr>
                <w:rFonts w:hint="eastAsia" w:ascii="楷体_GB2312" w:hAnsi="Times New Roman" w:eastAsia="楷体_GB2312" w:cs="Times New Roman"/>
                <w:bCs/>
                <w:color w:val="000000"/>
                <w:sz w:val="24"/>
                <w:highlight w:val="none"/>
                <w:lang w:val="en-US" w:eastAsia="zh-CN"/>
              </w:rPr>
              <w:t>理财</w:t>
            </w:r>
            <w:r>
              <w:rPr>
                <w:rFonts w:hint="eastAsia" w:ascii="楷体_GB2312" w:hAnsi="Times New Roman" w:eastAsia="楷体_GB2312" w:cs="Times New Roman"/>
                <w:bCs/>
                <w:color w:val="000000"/>
                <w:sz w:val="24"/>
                <w:highlight w:val="none"/>
              </w:rPr>
              <w:t>产品，投资者认购资金将被实时冻结，并于</w:t>
            </w:r>
            <w:r>
              <w:rPr>
                <w:rFonts w:hint="eastAsia" w:ascii="楷体_GB2312" w:hAnsi="Times New Roman" w:eastAsia="楷体_GB2312" w:cs="Times New Roman"/>
                <w:bCs/>
                <w:color w:val="000000"/>
                <w:sz w:val="24"/>
                <w:highlight w:val="none"/>
                <w:lang w:eastAsia="zh-CN"/>
              </w:rPr>
              <w:t>本</w:t>
            </w:r>
            <w:r>
              <w:rPr>
                <w:rFonts w:hint="eastAsia" w:ascii="楷体_GB2312" w:hAnsi="Times New Roman" w:eastAsia="楷体_GB2312" w:cs="Times New Roman"/>
                <w:bCs/>
                <w:color w:val="000000"/>
                <w:sz w:val="24"/>
                <w:highlight w:val="none"/>
                <w:lang w:val="en-US" w:eastAsia="zh-CN"/>
              </w:rPr>
              <w:t>理财</w:t>
            </w:r>
            <w:r>
              <w:rPr>
                <w:rFonts w:hint="eastAsia" w:ascii="楷体_GB2312" w:hAnsi="Times New Roman" w:eastAsia="楷体_GB2312" w:cs="Times New Roman"/>
                <w:bCs/>
                <w:color w:val="000000"/>
                <w:sz w:val="24"/>
                <w:highlight w:val="none"/>
              </w:rPr>
              <w:t>产品成立日由代销机构划款，</w:t>
            </w:r>
            <w:r>
              <w:rPr>
                <w:rFonts w:hint="eastAsia" w:ascii="楷体_GB2312" w:hAnsi="Times New Roman" w:eastAsia="楷体_GB2312" w:cs="Times New Roman"/>
                <w:bCs/>
                <w:color w:val="000000"/>
                <w:sz w:val="24"/>
                <w:highlight w:val="none"/>
                <w:lang w:eastAsia="zh-CN"/>
              </w:rPr>
              <w:t>产品管理人</w:t>
            </w:r>
            <w:r>
              <w:rPr>
                <w:rFonts w:hint="eastAsia" w:ascii="楷体_GB2312" w:hAnsi="Times New Roman" w:eastAsia="楷体_GB2312" w:cs="Times New Roman"/>
                <w:bCs/>
                <w:color w:val="000000"/>
                <w:sz w:val="24"/>
                <w:highlight w:val="none"/>
              </w:rPr>
              <w:t>在</w:t>
            </w:r>
            <w:r>
              <w:rPr>
                <w:rFonts w:hint="eastAsia" w:ascii="楷体_GB2312" w:hAnsi="Times New Roman" w:eastAsia="楷体_GB2312" w:cs="Times New Roman"/>
                <w:bCs/>
                <w:color w:val="000000"/>
                <w:sz w:val="24"/>
                <w:highlight w:val="none"/>
                <w:lang w:eastAsia="zh-CN"/>
              </w:rPr>
              <w:t>本理财</w:t>
            </w:r>
            <w:r>
              <w:rPr>
                <w:rFonts w:hint="eastAsia" w:ascii="楷体_GB2312" w:hAnsi="Times New Roman" w:eastAsia="楷体_GB2312" w:cs="Times New Roman"/>
                <w:bCs/>
                <w:color w:val="000000"/>
                <w:sz w:val="24"/>
                <w:highlight w:val="none"/>
              </w:rPr>
              <w:t>产品成立日确认产品份额。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 w:hRule="atLeast"/>
        </w:trPr>
        <w:tc>
          <w:tcPr>
            <w:tcW w:w="2428" w:type="dxa"/>
            <w:vAlign w:val="center"/>
          </w:tcPr>
          <w:p>
            <w:p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rPr>
              <w:t>成立日</w:t>
            </w:r>
          </w:p>
        </w:tc>
        <w:tc>
          <w:tcPr>
            <w:tcW w:w="6656" w:type="dxa"/>
            <w:vAlign w:val="center"/>
          </w:tcPr>
          <w:p>
            <w:pPr>
              <w:rPr>
                <w:rFonts w:hint="eastAsia" w:ascii="楷体_GB2312" w:hAnsi="Times New Roman" w:eastAsia="楷体_GB2312" w:cs="Times New Roman"/>
                <w:bCs/>
                <w:color w:val="auto"/>
                <w:sz w:val="24"/>
                <w:highlight w:val="none"/>
                <w:lang w:eastAsia="zh-CN"/>
              </w:rPr>
            </w:pPr>
            <w:r>
              <w:rPr>
                <w:rFonts w:hint="default" w:ascii="楷体_GB2312" w:hAnsi="Times New Roman" w:eastAsia="楷体_GB2312" w:cs="Times New Roman"/>
                <w:bCs/>
                <w:color w:val="auto"/>
                <w:sz w:val="24"/>
                <w:highlight w:val="none"/>
                <w:lang w:val="en-US"/>
              </w:rPr>
              <w:t>2024</w:t>
            </w:r>
            <w:r>
              <w:rPr>
                <w:rFonts w:hint="eastAsia" w:ascii="楷体_GB2312" w:hAnsi="Times New Roman" w:eastAsia="楷体_GB2312" w:cs="Times New Roman"/>
                <w:bCs/>
                <w:color w:val="auto"/>
                <w:sz w:val="24"/>
                <w:highlight w:val="none"/>
              </w:rPr>
              <w:t>年</w:t>
            </w:r>
            <w:r>
              <w:rPr>
                <w:rFonts w:hint="default" w:ascii="楷体_GB2312" w:hAnsi="Times New Roman" w:eastAsia="楷体_GB2312" w:cs="Times New Roman"/>
                <w:bCs/>
                <w:color w:val="auto"/>
                <w:sz w:val="24"/>
                <w:highlight w:val="none"/>
                <w:lang w:val="en-US"/>
              </w:rPr>
              <w:t>3</w:t>
            </w:r>
            <w:r>
              <w:rPr>
                <w:rFonts w:hint="eastAsia" w:ascii="楷体_GB2312" w:hAnsi="Times New Roman" w:eastAsia="楷体_GB2312" w:cs="Times New Roman"/>
                <w:bCs/>
                <w:color w:val="auto"/>
                <w:sz w:val="24"/>
                <w:highlight w:val="none"/>
              </w:rPr>
              <w:t>月</w:t>
            </w:r>
            <w:r>
              <w:rPr>
                <w:rFonts w:hint="default" w:ascii="楷体_GB2312" w:hAnsi="Times New Roman" w:eastAsia="楷体_GB2312" w:cs="Times New Roman"/>
                <w:bCs/>
                <w:color w:val="auto"/>
                <w:sz w:val="24"/>
                <w:highlight w:val="none"/>
                <w:lang w:val="en-US"/>
              </w:rPr>
              <w:t>1</w:t>
            </w:r>
            <w:r>
              <w:rPr>
                <w:rFonts w:hint="eastAsia" w:ascii="楷体_GB2312" w:hAnsi="Times New Roman" w:eastAsia="楷体_GB2312" w:cs="Times New Roman"/>
                <w:bCs/>
                <w:color w:val="auto"/>
                <w:sz w:val="24"/>
                <w:highlight w:val="none"/>
              </w:rPr>
              <w:t>日</w:t>
            </w:r>
            <w:r>
              <w:rPr>
                <w:rFonts w:hint="eastAsia" w:ascii="楷体_GB2312" w:hAnsi="Times New Roman" w:eastAsia="楷体_GB2312" w:cs="Times New Roman"/>
                <w:bCs/>
                <w:color w:val="auto"/>
                <w:sz w:val="24"/>
                <w:highlight w:val="none"/>
                <w:lang w:eastAsia="zh-CN"/>
              </w:rPr>
              <w:t>。</w:t>
            </w:r>
          </w:p>
          <w:p>
            <w:pPr>
              <w:rPr>
                <w:rFonts w:hint="eastAsia" w:ascii="楷体_GB2312" w:hAnsi="宋体" w:eastAsia="楷体_GB2312"/>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产品管理人有权根据市场情况提前结束或延长募集期并相应调整本理财产品成立日。</w:t>
            </w:r>
          </w:p>
          <w:p>
            <w:pPr>
              <w:rPr>
                <w:rFonts w:hint="eastAsia" w:ascii="楷体_GB2312" w:hAnsi="Times New Roman" w:eastAsia="楷体_GB2312" w:cs="Times New Roman"/>
                <w:bCs/>
                <w:color w:val="000000"/>
                <w:sz w:val="24"/>
                <w:highlight w:val="none"/>
                <w:lang w:eastAsia="zh-CN"/>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lang w:val="en-US" w:eastAsia="zh-CN"/>
              </w:rPr>
              <w:t>如经产品管理人判断需提前结束或延长募集期，产品管理人将提前1个工作日在本理财产品销售文件约定的信息披露渠道公告。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产品单位面值</w:t>
            </w:r>
          </w:p>
        </w:tc>
        <w:tc>
          <w:tcPr>
            <w:tcW w:w="6656"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本理财产品的</w:t>
            </w:r>
            <w:r>
              <w:rPr>
                <w:rFonts w:hint="eastAsia" w:ascii="楷体_GB2312" w:eastAsia="楷体_GB2312"/>
                <w:bCs/>
                <w:color w:val="000000"/>
                <w:sz w:val="24"/>
                <w:highlight w:val="none"/>
                <w:lang w:val="en-US" w:eastAsia="zh-CN"/>
              </w:rPr>
              <w:t>初始产品</w:t>
            </w:r>
            <w:r>
              <w:rPr>
                <w:rFonts w:hint="eastAsia" w:ascii="楷体_GB2312" w:eastAsia="楷体_GB2312"/>
                <w:bCs/>
                <w:color w:val="000000"/>
                <w:sz w:val="24"/>
                <w:highlight w:val="none"/>
              </w:rPr>
              <w:t>单位</w:t>
            </w:r>
            <w:r>
              <w:rPr>
                <w:rFonts w:hint="eastAsia" w:ascii="楷体_GB2312" w:eastAsia="楷体_GB2312"/>
                <w:bCs/>
                <w:color w:val="000000"/>
                <w:sz w:val="24"/>
                <w:highlight w:val="none"/>
                <w:lang w:val="en-US" w:eastAsia="zh-CN"/>
              </w:rPr>
              <w:t>面</w:t>
            </w:r>
            <w:r>
              <w:rPr>
                <w:rFonts w:hint="eastAsia" w:ascii="楷体_GB2312" w:eastAsia="楷体_GB2312"/>
                <w:bCs/>
                <w:color w:val="000000"/>
                <w:sz w:val="24"/>
                <w:highlight w:val="none"/>
              </w:rPr>
              <w:t>值为1</w:t>
            </w:r>
            <w:r>
              <w:rPr>
                <w:rFonts w:hint="default" w:ascii="楷体_GB2312" w:eastAsia="楷体_GB2312"/>
                <w:bCs/>
                <w:color w:val="000000"/>
                <w:sz w:val="24"/>
                <w:highlight w:val="none"/>
                <w:lang w:val="en-US"/>
              </w:rPr>
              <w:t>.00</w:t>
            </w:r>
            <w:r>
              <w:rPr>
                <w:rFonts w:hint="eastAsia" w:ascii="楷体_GB2312" w:eastAsia="楷体_GB2312"/>
                <w:bCs/>
                <w:color w:val="000000"/>
                <w:sz w:val="24"/>
                <w:highlight w:val="none"/>
              </w:rPr>
              <w:t>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投资起点</w:t>
            </w:r>
          </w:p>
        </w:tc>
        <w:tc>
          <w:tcPr>
            <w:tcW w:w="6656"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lang w:val="en-US" w:eastAsia="zh-CN"/>
              </w:rPr>
              <w:t>FS类份额</w:t>
            </w:r>
            <w:r>
              <w:rPr>
                <w:rFonts w:hint="eastAsia" w:ascii="楷体_GB2312" w:eastAsia="楷体_GB2312"/>
                <w:bCs/>
                <w:color w:val="000000"/>
                <w:sz w:val="24"/>
                <w:highlight w:val="none"/>
              </w:rPr>
              <w:t>：投资起点为</w:t>
            </w:r>
            <w:r>
              <w:rPr>
                <w:rFonts w:hint="default" w:ascii="楷体_GB2312" w:eastAsia="楷体_GB2312"/>
                <w:bCs/>
                <w:color w:val="000000"/>
                <w:sz w:val="24"/>
                <w:highlight w:val="none"/>
                <w:lang w:val="en-US"/>
              </w:rPr>
              <w:t>0.01</w:t>
            </w:r>
            <w:r>
              <w:rPr>
                <w:rFonts w:hint="eastAsia" w:ascii="楷体_GB2312" w:eastAsia="楷体_GB2312"/>
                <w:bCs/>
                <w:color w:val="000000"/>
                <w:sz w:val="24"/>
                <w:highlight w:val="none"/>
              </w:rPr>
              <w:t>元，并以0.01元为单位递增。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开放日（T日）</w:t>
            </w:r>
          </w:p>
        </w:tc>
        <w:tc>
          <w:tcPr>
            <w:tcW w:w="6656" w:type="dxa"/>
            <w:vAlign w:val="center"/>
          </w:tcPr>
          <w:p>
            <w:pPr>
              <w:rPr>
                <w:color w:val="000000"/>
                <w:highlight w:val="none"/>
              </w:rPr>
            </w:pPr>
            <w:r>
              <w:rPr>
                <w:rFonts w:hint="default" w:ascii="楷体_GB2312" w:hAnsi="Times New Roman" w:eastAsia="楷体_GB2312" w:cs="Times New Roman"/>
                <w:bCs/>
                <w:color w:val="000000"/>
                <w:sz w:val="24"/>
                <w:highlight w:val="none"/>
              </w:rPr>
              <w:t>自</w:t>
            </w:r>
            <w:r>
              <w:rPr>
                <w:rFonts w:hint="eastAsia" w:ascii="楷体_GB2312" w:hAnsi="Times New Roman" w:eastAsia="楷体_GB2312" w:cs="Times New Roman"/>
                <w:bCs/>
                <w:color w:val="000000"/>
                <w:sz w:val="24"/>
                <w:highlight w:val="none"/>
                <w:lang w:val="en-US" w:eastAsia="zh-CN"/>
              </w:rPr>
              <w:t>本理财</w:t>
            </w:r>
            <w:r>
              <w:rPr>
                <w:rFonts w:hint="default" w:ascii="楷体_GB2312" w:hAnsi="Times New Roman" w:eastAsia="楷体_GB2312" w:cs="Times New Roman"/>
                <w:bCs/>
                <w:color w:val="000000"/>
                <w:sz w:val="24"/>
                <w:highlight w:val="none"/>
              </w:rPr>
              <w:t>产品成立日</w:t>
            </w:r>
            <w:r>
              <w:rPr>
                <w:rFonts w:ascii="楷体_GB2312" w:eastAsia="楷体_GB2312"/>
                <w:bCs/>
                <w:color w:val="000000"/>
                <w:sz w:val="24"/>
                <w:highlight w:val="none"/>
              </w:rPr>
              <w:t>后</w:t>
            </w:r>
            <w:r>
              <w:rPr>
                <w:rFonts w:hint="default" w:ascii="楷体_GB2312" w:hAnsi="Times New Roman" w:eastAsia="楷体_GB2312" w:cs="Times New Roman"/>
                <w:bCs/>
                <w:color w:val="000000"/>
                <w:sz w:val="24"/>
                <w:highlight w:val="none"/>
              </w:rPr>
              <w:t>每个证券交易所交易日（如为节假日则相应顺延至下一交易日）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申购与赎回</w:t>
            </w:r>
          </w:p>
        </w:tc>
        <w:tc>
          <w:tcPr>
            <w:tcW w:w="6656" w:type="dxa"/>
            <w:vAlign w:val="center"/>
          </w:tcPr>
          <w:p>
            <w:pPr>
              <w:numPr>
                <w:ilvl w:val="0"/>
                <w:numId w:val="0"/>
              </w:num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lang w:val="en-US" w:eastAsia="zh-CN"/>
              </w:rPr>
              <w:t>1.</w:t>
            </w:r>
            <w:r>
              <w:rPr>
                <w:rFonts w:hint="eastAsia" w:ascii="楷体_GB2312" w:hAnsi="Times New Roman" w:eastAsia="楷体_GB2312" w:cs="Times New Roman"/>
                <w:bCs/>
                <w:color w:val="000000"/>
                <w:sz w:val="24"/>
                <w:highlight w:val="none"/>
              </w:rPr>
              <w:t>申购和赎回的受理：</w:t>
            </w:r>
          </w:p>
          <w:p>
            <w:pPr>
              <w:numPr>
                <w:ilvl w:val="0"/>
                <w:numId w:val="0"/>
              </w:num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rPr>
              <w:t>投资者可在</w:t>
            </w:r>
            <w:r>
              <w:rPr>
                <w:rFonts w:hint="eastAsia" w:ascii="楷体_GB2312" w:hAnsi="Times New Roman" w:eastAsia="楷体_GB2312" w:cs="Times New Roman"/>
                <w:bCs/>
                <w:color w:val="000000"/>
                <w:sz w:val="24"/>
                <w:highlight w:val="none"/>
                <w:lang w:val="en-US" w:eastAsia="zh-CN"/>
              </w:rPr>
              <w:t>本理财</w:t>
            </w:r>
            <w:r>
              <w:rPr>
                <w:rFonts w:hint="eastAsia" w:ascii="楷体_GB2312" w:hAnsi="Times New Roman" w:eastAsia="楷体_GB2312" w:cs="Times New Roman"/>
                <w:bCs/>
                <w:color w:val="000000"/>
                <w:sz w:val="24"/>
                <w:highlight w:val="none"/>
              </w:rPr>
              <w:t>产品</w:t>
            </w:r>
            <w:r>
              <w:rPr>
                <w:rFonts w:hint="eastAsia" w:ascii="楷体_GB2312" w:hAnsi="Times New Roman" w:eastAsia="楷体_GB2312" w:cs="Times New Roman"/>
                <w:bCs/>
                <w:color w:val="000000"/>
                <w:sz w:val="24"/>
                <w:highlight w:val="none"/>
                <w:lang w:eastAsia="zh-CN"/>
              </w:rPr>
              <w:t>开放日</w:t>
            </w:r>
            <w:r>
              <w:rPr>
                <w:rFonts w:hint="eastAsia" w:ascii="楷体_GB2312" w:hAnsi="Times New Roman" w:eastAsia="楷体_GB2312" w:cs="Times New Roman"/>
                <w:bCs/>
                <w:color w:val="000000"/>
                <w:sz w:val="24"/>
                <w:highlight w:val="none"/>
              </w:rPr>
              <w:t>内提出申购</w:t>
            </w:r>
            <w:r>
              <w:rPr>
                <w:rFonts w:hint="eastAsia" w:ascii="楷体_GB2312" w:hAnsi="Times New Roman" w:eastAsia="楷体_GB2312" w:cs="Times New Roman"/>
                <w:bCs/>
                <w:color w:val="000000"/>
                <w:sz w:val="24"/>
                <w:highlight w:val="none"/>
                <w:lang w:val="en-US" w:eastAsia="zh-CN"/>
              </w:rPr>
              <w:t>或</w:t>
            </w:r>
            <w:r>
              <w:rPr>
                <w:rFonts w:hint="eastAsia" w:ascii="楷体_GB2312" w:hAnsi="Times New Roman" w:eastAsia="楷体_GB2312" w:cs="Times New Roman"/>
                <w:bCs/>
                <w:color w:val="000000"/>
                <w:sz w:val="24"/>
                <w:highlight w:val="none"/>
              </w:rPr>
              <w:t>赎回申请。</w:t>
            </w:r>
            <w:r>
              <w:rPr>
                <w:rFonts w:hint="eastAsia" w:ascii="楷体_GB2312" w:hAnsi="Times New Roman" w:eastAsia="楷体_GB2312" w:cs="Times New Roman"/>
                <w:bCs/>
                <w:color w:val="000000"/>
                <w:sz w:val="24"/>
                <w:highlight w:val="none"/>
                <w:lang w:eastAsia="zh-CN"/>
              </w:rPr>
              <w:t>产品管理人</w:t>
            </w:r>
            <w:r>
              <w:rPr>
                <w:rFonts w:hint="eastAsia" w:ascii="楷体_GB2312" w:hAnsi="Times New Roman" w:eastAsia="楷体_GB2312" w:cs="Times New Roman"/>
                <w:bCs/>
                <w:color w:val="000000"/>
                <w:sz w:val="24"/>
                <w:highlight w:val="none"/>
                <w:lang w:eastAsia="zh-Hans"/>
              </w:rPr>
              <w:t>公告暂停开放的日期除外。</w:t>
            </w:r>
          </w:p>
          <w:p>
            <w:pPr>
              <w:numPr>
                <w:ilvl w:val="0"/>
                <w:numId w:val="0"/>
              </w:numPr>
              <w:snapToGrid w:val="0"/>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rPr>
              <w:t>投资者</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w:t>
            </w:r>
            <w:r>
              <w:rPr>
                <w:rFonts w:hint="eastAsia" w:ascii="楷体_GB2312" w:hAnsi="Times New Roman" w:eastAsia="楷体_GB2312" w:cs="Times New Roman"/>
                <w:bCs/>
                <w:color w:val="000000"/>
                <w:sz w:val="24"/>
                <w:highlight w:val="none"/>
              </w:rPr>
              <w:t>提出申购申请后，投资资金将实时冻结，并于申购确认日扣划。</w:t>
            </w:r>
            <w:r>
              <w:rPr>
                <w:rFonts w:hint="eastAsia" w:ascii="楷体_GB2312" w:hAnsi="Times New Roman" w:eastAsia="楷体_GB2312" w:cs="Times New Roman"/>
                <w:b/>
                <w:bCs w:val="0"/>
                <w:color w:val="000000"/>
                <w:sz w:val="24"/>
                <w:highlight w:val="none"/>
              </w:rPr>
              <w:t>资金冻结期间将按照代销机构公布的人民币活期存款利率计算活期存款利息，该利息不作为申购资金扣收。</w:t>
            </w:r>
          </w:p>
          <w:p>
            <w:pPr>
              <w:numPr>
                <w:ilvl w:val="0"/>
                <w:numId w:val="0"/>
              </w:numPr>
              <w:rPr>
                <w:rFonts w:hint="eastAsia" w:ascii="楷体_GB2312" w:hAnsi="Times New Roman" w:eastAsia="楷体_GB2312" w:cs="Times New Roman"/>
                <w:b/>
                <w:bCs w:val="0"/>
                <w:color w:val="000000"/>
                <w:sz w:val="24"/>
                <w:highlight w:val="none"/>
              </w:rPr>
            </w:pPr>
            <w:r>
              <w:rPr>
                <w:rFonts w:hint="eastAsia" w:ascii="楷体_GB2312" w:hAnsi="Times New Roman" w:eastAsia="楷体_GB2312" w:cs="Times New Roman"/>
                <w:b/>
                <w:bCs w:val="0"/>
                <w:color w:val="000000"/>
                <w:sz w:val="24"/>
                <w:highlight w:val="none"/>
              </w:rPr>
              <w:t>2.申购和赎回的确认：投资者在开放日17：00（不含）之前提出的申购或赎回申请，产品管理人在开放日的下一个交易日（T+1日）对满足条件的有效申购或赎回申请予以确认；投资者在开放日17：00（含）之后或非开放日提出的申购或赎回申请，产品管理人将在投资者提出申购或赎回申请之后的产品最近一个开放日的下一个交易日（T+2日）对满足条件的有效申购或赎回申请予以确认。产品管理人确认投资者申购申请的，投资者自申购确认日起持有本理财产品份额；产品管理人确认投资者赎回申请的，投资者自赎回确认日起不再持有本理财产品份额，赎回资金原则上将于赎回确认日当日内</w:t>
            </w:r>
            <w:r>
              <w:rPr>
                <w:rFonts w:hint="eastAsia" w:ascii="楷体_GB2312" w:hAnsi="Times New Roman" w:eastAsia="楷体_GB2312" w:cs="Times New Roman"/>
                <w:b/>
                <w:bCs w:val="0"/>
                <w:color w:val="000000"/>
                <w:sz w:val="24"/>
                <w:highlight w:val="none"/>
                <w:lang w:val="en-US" w:eastAsia="zh-CN"/>
              </w:rPr>
              <w:t>划转至代销机构清算账户</w:t>
            </w:r>
            <w:r>
              <w:rPr>
                <w:rFonts w:hint="eastAsia" w:ascii="楷体_GB2312" w:hAnsi="Times New Roman" w:eastAsia="楷体_GB2312" w:cs="Times New Roman"/>
                <w:b/>
                <w:bCs w:val="0"/>
                <w:color w:val="000000"/>
                <w:sz w:val="24"/>
                <w:highlight w:val="none"/>
              </w:rPr>
              <w:t>，</w:t>
            </w:r>
            <w:r>
              <w:rPr>
                <w:rFonts w:hint="eastAsia" w:ascii="楷体_GB2312" w:hAnsi="Times New Roman" w:eastAsia="楷体_GB2312" w:cs="Times New Roman"/>
                <w:b/>
                <w:bCs w:val="0"/>
                <w:color w:val="000000"/>
                <w:sz w:val="24"/>
                <w:highlight w:val="none"/>
                <w:lang w:val="en-US" w:eastAsia="zh-CN"/>
              </w:rPr>
              <w:t>投资者赎回资金的</w:t>
            </w:r>
            <w:r>
              <w:rPr>
                <w:rFonts w:hint="eastAsia" w:ascii="楷体_GB2312" w:hAnsi="Times New Roman" w:eastAsia="楷体_GB2312" w:cs="Times New Roman"/>
                <w:b/>
                <w:bCs w:val="0"/>
                <w:color w:val="000000"/>
                <w:sz w:val="24"/>
                <w:highlight w:val="none"/>
              </w:rPr>
              <w:t>具体到账时间以代销机构</w:t>
            </w:r>
            <w:r>
              <w:rPr>
                <w:rFonts w:hint="eastAsia" w:ascii="楷体_GB2312" w:hAnsi="Times New Roman" w:eastAsia="楷体_GB2312" w:cs="Times New Roman"/>
                <w:b/>
                <w:bCs w:val="0"/>
                <w:color w:val="000000"/>
                <w:sz w:val="24"/>
                <w:highlight w:val="none"/>
                <w:lang w:val="en-US" w:eastAsia="zh-CN"/>
              </w:rPr>
              <w:t>划付规则</w:t>
            </w:r>
            <w:r>
              <w:rPr>
                <w:rFonts w:hint="eastAsia" w:ascii="楷体_GB2312" w:hAnsi="Times New Roman" w:eastAsia="楷体_GB2312" w:cs="Times New Roman"/>
                <w:b/>
                <w:bCs w:val="0"/>
                <w:color w:val="000000"/>
                <w:sz w:val="24"/>
                <w:highlight w:val="none"/>
              </w:rPr>
              <w:t>为准。</w:t>
            </w:r>
          </w:p>
          <w:p>
            <w:pPr>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lang w:val="en-US" w:eastAsia="zh-CN"/>
              </w:rPr>
              <w:t>3.</w:t>
            </w:r>
            <w:r>
              <w:rPr>
                <w:rFonts w:hint="eastAsia" w:ascii="楷体_GB2312" w:hAnsi="Times New Roman" w:eastAsia="楷体_GB2312" w:cs="Times New Roman"/>
                <w:bCs/>
                <w:color w:val="000000"/>
                <w:sz w:val="24"/>
                <w:highlight w:val="none"/>
              </w:rPr>
              <w:t>申购/赎回价格：</w:t>
            </w:r>
            <w:r>
              <w:rPr>
                <w:rFonts w:hint="eastAsia" w:ascii="楷体_GB2312" w:hAnsi="Times New Roman" w:eastAsia="楷体_GB2312" w:cs="Times New Roman"/>
                <w:bCs/>
                <w:color w:val="000000"/>
                <w:sz w:val="24"/>
                <w:highlight w:val="none"/>
                <w:lang w:val="en-US" w:eastAsia="zh-CN"/>
              </w:rPr>
              <w:t>本理财</w:t>
            </w:r>
            <w:r>
              <w:rPr>
                <w:rFonts w:hint="eastAsia" w:ascii="楷体_GB2312" w:hAnsi="Times New Roman" w:eastAsia="楷体_GB2312" w:cs="Times New Roman"/>
                <w:bCs/>
                <w:color w:val="000000"/>
                <w:sz w:val="24"/>
                <w:highlight w:val="none"/>
              </w:rPr>
              <w:t>产品开放日的产品单位净值。</w:t>
            </w:r>
          </w:p>
          <w:p>
            <w:pPr>
              <w:rPr>
                <w:rFonts w:hint="eastAsia" w:ascii="楷体_GB2312" w:hAnsi="Times New Roman" w:eastAsia="楷体_GB2312" w:cs="Times New Roman"/>
                <w:bCs/>
                <w:color w:val="000000"/>
                <w:sz w:val="24"/>
                <w:highlight w:val="none"/>
              </w:rPr>
            </w:pPr>
            <w:r>
              <w:rPr>
                <w:rFonts w:hint="eastAsia" w:ascii="楷体_GB2312" w:hAnsi="Times New Roman" w:eastAsia="楷体_GB2312" w:cs="Times New Roman"/>
                <w:bCs/>
                <w:color w:val="000000"/>
                <w:sz w:val="24"/>
                <w:highlight w:val="none"/>
                <w:lang w:val="en-US" w:eastAsia="zh-CN"/>
              </w:rPr>
              <w:t>4.</w:t>
            </w:r>
            <w:r>
              <w:rPr>
                <w:rFonts w:hint="eastAsia" w:ascii="楷体_GB2312" w:hAnsi="Times New Roman" w:eastAsia="楷体_GB2312" w:cs="Times New Roman"/>
                <w:bCs/>
                <w:color w:val="000000"/>
                <w:sz w:val="24"/>
                <w:highlight w:val="none"/>
              </w:rPr>
              <w:t>巨额赎回：在</w:t>
            </w:r>
            <w:r>
              <w:rPr>
                <w:rFonts w:hint="eastAsia" w:ascii="楷体_GB2312" w:hAnsi="Times New Roman" w:eastAsia="楷体_GB2312" w:cs="Times New Roman"/>
                <w:bCs/>
                <w:color w:val="000000"/>
                <w:sz w:val="24"/>
                <w:highlight w:val="none"/>
                <w:lang w:val="en-US" w:eastAsia="zh-CN"/>
              </w:rPr>
              <w:t>本理财</w:t>
            </w:r>
            <w:r>
              <w:rPr>
                <w:rFonts w:hint="eastAsia" w:ascii="楷体_GB2312" w:hAnsi="Times New Roman" w:eastAsia="楷体_GB2312" w:cs="Times New Roman"/>
                <w:bCs/>
                <w:color w:val="000000"/>
                <w:sz w:val="24"/>
                <w:highlight w:val="none"/>
              </w:rPr>
              <w:t>产品的单个开放日，净赎回申请（即产品赎回有效申请份额总数扣除产品申购有效申请份额总数后的差额）超过</w:t>
            </w:r>
            <w:r>
              <w:rPr>
                <w:rFonts w:hint="eastAsia" w:ascii="楷体_GB2312" w:hAnsi="Times New Roman" w:eastAsia="楷体_GB2312" w:cs="Times New Roman"/>
                <w:bCs/>
                <w:color w:val="000000"/>
                <w:sz w:val="24"/>
                <w:highlight w:val="none"/>
                <w:lang w:val="en-US" w:eastAsia="zh-CN"/>
              </w:rPr>
              <w:t>前</w:t>
            </w:r>
            <w:r>
              <w:rPr>
                <w:rFonts w:hint="eastAsia" w:ascii="楷体_GB2312" w:hAnsi="Times New Roman" w:eastAsia="楷体_GB2312" w:cs="Times New Roman"/>
                <w:bCs/>
                <w:color w:val="000000"/>
                <w:sz w:val="24"/>
                <w:highlight w:val="none"/>
              </w:rPr>
              <w:t>一日</w:t>
            </w:r>
            <w:r>
              <w:rPr>
                <w:rFonts w:hint="eastAsia" w:ascii="楷体_GB2312" w:hAnsi="Times New Roman" w:eastAsia="楷体_GB2312" w:cs="Times New Roman"/>
                <w:bCs/>
                <w:color w:val="000000"/>
                <w:sz w:val="24"/>
                <w:highlight w:val="none"/>
                <w:lang w:val="en-US" w:eastAsia="zh-CN"/>
              </w:rPr>
              <w:t>终本理财</w:t>
            </w:r>
            <w:r>
              <w:rPr>
                <w:rFonts w:hint="eastAsia" w:ascii="楷体_GB2312" w:hAnsi="Times New Roman" w:eastAsia="楷体_GB2312" w:cs="Times New Roman"/>
                <w:bCs/>
                <w:color w:val="000000"/>
                <w:sz w:val="24"/>
                <w:highlight w:val="none"/>
              </w:rPr>
              <w:t>产品总份额的10％时，即为巨额赎回。</w:t>
            </w:r>
          </w:p>
          <w:p>
            <w:pPr>
              <w:snapToGrid w:val="0"/>
              <w:rPr>
                <w:color w:val="000000"/>
                <w:highlight w:val="none"/>
              </w:rPr>
            </w:pPr>
            <w:r>
              <w:rPr>
                <w:rFonts w:hint="eastAsia" w:ascii="楷体_GB2312" w:hAnsi="宋体" w:eastAsia="楷体_GB2312"/>
                <w:b/>
                <w:bCs/>
                <w:color w:val="000000"/>
                <w:sz w:val="24"/>
                <w:highlight w:val="none"/>
              </w:rPr>
              <w:t>★申购</w:t>
            </w:r>
            <w:r>
              <w:rPr>
                <w:rFonts w:hint="eastAsia" w:ascii="楷体_GB2312" w:hAnsi="宋体" w:eastAsia="楷体_GB2312"/>
                <w:b/>
                <w:bCs/>
                <w:color w:val="000000"/>
                <w:sz w:val="24"/>
                <w:highlight w:val="none"/>
                <w:lang w:val="en-US" w:eastAsia="zh-CN"/>
              </w:rPr>
              <w:t>与</w:t>
            </w:r>
            <w:r>
              <w:rPr>
                <w:rFonts w:hint="eastAsia" w:ascii="楷体_GB2312" w:hAnsi="宋体" w:eastAsia="楷体_GB2312"/>
                <w:b/>
                <w:bCs/>
                <w:color w:val="000000"/>
                <w:sz w:val="24"/>
                <w:highlight w:val="none"/>
              </w:rPr>
              <w:t>赎回</w:t>
            </w:r>
            <w:r>
              <w:rPr>
                <w:rFonts w:hint="eastAsia" w:ascii="楷体_GB2312" w:hAnsi="宋体" w:eastAsia="楷体_GB2312"/>
                <w:b/>
                <w:bCs/>
                <w:color w:val="000000"/>
                <w:sz w:val="24"/>
                <w:highlight w:val="none"/>
                <w:lang w:val="en-US" w:eastAsia="zh-CN"/>
              </w:rPr>
              <w:t>详情请见</w:t>
            </w:r>
            <w:r>
              <w:rPr>
                <w:rFonts w:hint="eastAsia" w:ascii="楷体_GB2312" w:hAnsi="宋体" w:eastAsia="楷体_GB2312"/>
                <w:b/>
                <w:bCs/>
                <w:color w:val="000000"/>
                <w:sz w:val="24"/>
                <w:szCs w:val="24"/>
                <w:highlight w:val="none"/>
                <w:lang w:val="en-US" w:eastAsia="zh-CN"/>
              </w:rPr>
              <w:t>本《</w:t>
            </w:r>
            <w:r>
              <w:rPr>
                <w:rFonts w:hint="eastAsia" w:ascii="楷体_GB2312" w:eastAsia="楷体_GB2312"/>
                <w:b/>
                <w:bCs/>
                <w:color w:val="000000"/>
                <w:sz w:val="24"/>
                <w:highlight w:val="none"/>
                <w:lang w:val="en-US" w:eastAsia="zh-CN"/>
              </w:rPr>
              <w:t>理财产品说明书</w:t>
            </w:r>
            <w:r>
              <w:rPr>
                <w:rFonts w:hint="eastAsia" w:ascii="楷体_GB2312" w:hAnsi="宋体" w:eastAsia="楷体_GB2312"/>
                <w:b/>
                <w:bCs/>
                <w:color w:val="000000"/>
                <w:sz w:val="24"/>
                <w:szCs w:val="24"/>
                <w:highlight w:val="none"/>
                <w:lang w:val="en-US" w:eastAsia="zh-CN"/>
              </w:rPr>
              <w:t>》“</w:t>
            </w:r>
            <w:r>
              <w:rPr>
                <w:rFonts w:hint="eastAsia" w:ascii="楷体_GB2312" w:hAnsi="宋体" w:eastAsia="楷体_GB2312"/>
                <w:b/>
                <w:bCs/>
                <w:color w:val="000000"/>
                <w:sz w:val="24"/>
                <w:highlight w:val="none"/>
              </w:rPr>
              <w:t>六、产品的申购和赎回</w:t>
            </w:r>
            <w:r>
              <w:rPr>
                <w:rFonts w:hint="eastAsia" w:ascii="楷体_GB2312" w:hAnsi="宋体" w:eastAsia="楷体_GB2312"/>
                <w:b/>
                <w:bCs/>
                <w:color w:val="000000"/>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收益分配</w:t>
            </w:r>
            <w:r>
              <w:rPr>
                <w:rFonts w:hint="eastAsia" w:ascii="楷体_GB2312" w:eastAsia="楷体_GB2312"/>
                <w:bCs/>
                <w:color w:val="000000"/>
                <w:sz w:val="24"/>
                <w:highlight w:val="none"/>
                <w:lang w:val="en-US" w:eastAsia="zh-CN"/>
              </w:rPr>
              <w:t>方式</w:t>
            </w:r>
          </w:p>
        </w:tc>
        <w:tc>
          <w:tcPr>
            <w:tcW w:w="6656" w:type="dxa"/>
            <w:vAlign w:val="center"/>
          </w:tcPr>
          <w:p>
            <w:pPr>
              <w:rPr>
                <w:rFonts w:hint="eastAsia" w:ascii="楷体_GB2312" w:hAnsi="宋体" w:eastAsia="楷体_GB2312"/>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红利再投资。</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rPr>
              <w:t>★</w:t>
            </w:r>
            <w:r>
              <w:rPr>
                <w:rFonts w:hint="eastAsia" w:ascii="楷体_GB2312" w:eastAsia="楷体_GB2312"/>
                <w:b/>
                <w:bCs/>
                <w:color w:val="000000"/>
                <w:sz w:val="24"/>
                <w:highlight w:val="none"/>
              </w:rPr>
              <w:t>收益分配</w:t>
            </w:r>
            <w:r>
              <w:rPr>
                <w:rFonts w:hint="eastAsia" w:ascii="楷体_GB2312" w:eastAsia="楷体_GB2312"/>
                <w:b/>
                <w:bCs/>
                <w:color w:val="000000"/>
                <w:sz w:val="24"/>
                <w:highlight w:val="none"/>
                <w:lang w:val="en-US" w:eastAsia="zh-CN"/>
              </w:rPr>
              <w:t>方式</w:t>
            </w:r>
            <w:r>
              <w:rPr>
                <w:rFonts w:hint="eastAsia" w:ascii="楷体_GB2312" w:hAnsi="宋体" w:eastAsia="楷体_GB2312"/>
                <w:b/>
                <w:bCs/>
                <w:color w:val="000000"/>
                <w:sz w:val="24"/>
                <w:highlight w:val="none"/>
                <w:lang w:val="en-US" w:eastAsia="zh-CN"/>
              </w:rPr>
              <w:t>详情请见</w:t>
            </w:r>
            <w:r>
              <w:rPr>
                <w:rFonts w:hint="eastAsia" w:ascii="楷体_GB2312" w:hAnsi="宋体" w:eastAsia="楷体_GB2312"/>
                <w:b/>
                <w:bCs/>
                <w:color w:val="000000"/>
                <w:sz w:val="24"/>
                <w:szCs w:val="24"/>
                <w:highlight w:val="none"/>
                <w:lang w:val="en-US" w:eastAsia="zh-CN"/>
              </w:rPr>
              <w:t>本《</w:t>
            </w:r>
            <w:r>
              <w:rPr>
                <w:rFonts w:hint="eastAsia" w:ascii="楷体_GB2312" w:eastAsia="楷体_GB2312"/>
                <w:b/>
                <w:bCs/>
                <w:color w:val="000000"/>
                <w:sz w:val="24"/>
                <w:highlight w:val="none"/>
                <w:lang w:val="en-US" w:eastAsia="zh-CN"/>
              </w:rPr>
              <w:t>理财产品说明书</w:t>
            </w:r>
            <w:r>
              <w:rPr>
                <w:rFonts w:hint="eastAsia" w:ascii="楷体_GB2312" w:hAnsi="宋体" w:eastAsia="楷体_GB2312"/>
                <w:b/>
                <w:bCs/>
                <w:color w:val="000000"/>
                <w:sz w:val="24"/>
                <w:szCs w:val="24"/>
                <w:highlight w:val="none"/>
                <w:lang w:val="en-US" w:eastAsia="zh-CN"/>
              </w:rPr>
              <w:t>》</w:t>
            </w:r>
            <w:r>
              <w:rPr>
                <w:rFonts w:hint="eastAsia" w:ascii="楷体_GB2312" w:hAnsi="宋体" w:eastAsia="楷体_GB2312"/>
                <w:b/>
                <w:bCs/>
                <w:color w:val="000000"/>
                <w:sz w:val="24"/>
                <w:highlight w:val="none"/>
                <w:lang w:val="en-US" w:eastAsia="zh-CN"/>
              </w:rPr>
              <w:t>“</w:t>
            </w:r>
            <w:r>
              <w:rPr>
                <w:rFonts w:hint="eastAsia" w:ascii="楷体_GB2312" w:hAnsi="宋体" w:eastAsia="楷体_GB2312"/>
                <w:b/>
                <w:bCs/>
                <w:color w:val="000000"/>
                <w:sz w:val="24"/>
                <w:highlight w:val="none"/>
              </w:rPr>
              <w:t>七、产品的收益分配</w:t>
            </w:r>
            <w:r>
              <w:rPr>
                <w:rFonts w:hint="eastAsia" w:ascii="楷体_GB2312" w:hAnsi="宋体" w:eastAsia="楷体_GB2312"/>
                <w:b/>
                <w:bCs/>
                <w:color w:val="000000"/>
                <w:sz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428" w:type="dxa"/>
            <w:vAlign w:val="center"/>
          </w:tcPr>
          <w:p>
            <w:pPr>
              <w:rPr>
                <w:rFonts w:ascii="楷体_GB2312" w:hAnsi="宋体" w:eastAsia="楷体_GB2312"/>
                <w:color w:val="000000"/>
                <w:sz w:val="24"/>
                <w:highlight w:val="none"/>
              </w:rPr>
            </w:pPr>
            <w:r>
              <w:rPr>
                <w:rFonts w:hint="eastAsia" w:ascii="楷体_GB2312" w:hAnsi="宋体" w:eastAsia="楷体_GB2312"/>
                <w:b w:val="0"/>
                <w:bCs w:val="0"/>
                <w:color w:val="000000"/>
                <w:sz w:val="24"/>
                <w:highlight w:val="none"/>
              </w:rPr>
              <w:t>★产品费用</w:t>
            </w:r>
          </w:p>
        </w:tc>
        <w:tc>
          <w:tcPr>
            <w:tcW w:w="6656" w:type="dxa"/>
            <w:vAlign w:val="center"/>
          </w:tcPr>
          <w:p>
            <w:pPr>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★1</w:t>
            </w:r>
            <w:r>
              <w:rPr>
                <w:rFonts w:ascii="楷体_GB2312" w:hAnsi="宋体" w:eastAsia="楷体_GB2312"/>
                <w:b/>
                <w:bCs/>
                <w:color w:val="000000"/>
                <w:sz w:val="24"/>
                <w:highlight w:val="none"/>
              </w:rPr>
              <w:t>.</w:t>
            </w:r>
            <w:r>
              <w:rPr>
                <w:rFonts w:hint="eastAsia" w:ascii="楷体_GB2312" w:hAnsi="宋体" w:eastAsia="楷体_GB2312"/>
                <w:b/>
                <w:bCs/>
                <w:color w:val="000000"/>
                <w:sz w:val="24"/>
                <w:highlight w:val="none"/>
              </w:rPr>
              <w:t>销售手续费率</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代销机构收取）</w:t>
            </w:r>
            <w:r>
              <w:rPr>
                <w:rFonts w:hint="eastAsia" w:ascii="楷体_GB2312" w:hAnsi="宋体" w:eastAsia="楷体_GB2312"/>
                <w:b/>
                <w:bCs/>
                <w:color w:val="000000"/>
                <w:sz w:val="24"/>
                <w:highlight w:val="none"/>
              </w:rPr>
              <w:t>：</w:t>
            </w:r>
            <w:r>
              <w:rPr>
                <w:rFonts w:hint="eastAsia" w:ascii="楷体_GB2312" w:hAnsi="宋体" w:eastAsia="楷体_GB2312"/>
                <w:color w:val="000000"/>
                <w:sz w:val="24"/>
                <w:highlight w:val="none"/>
                <w:lang w:val="en-US" w:eastAsia="zh-CN"/>
              </w:rPr>
              <w:t>FS类份额</w:t>
            </w: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0.</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%/年</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rPr>
              <w:t>★2</w:t>
            </w:r>
            <w:r>
              <w:rPr>
                <w:rFonts w:ascii="楷体_GB2312" w:hAnsi="宋体" w:eastAsia="楷体_GB2312"/>
                <w:b/>
                <w:bCs/>
                <w:color w:val="000000"/>
                <w:sz w:val="24"/>
                <w:highlight w:val="none"/>
              </w:rPr>
              <w:t>.</w:t>
            </w:r>
            <w:r>
              <w:rPr>
                <w:rFonts w:hint="eastAsia" w:ascii="楷体_GB2312" w:hAnsi="宋体" w:eastAsia="楷体_GB2312"/>
                <w:b/>
                <w:bCs/>
                <w:color w:val="000000"/>
                <w:sz w:val="24"/>
                <w:highlight w:val="none"/>
              </w:rPr>
              <w:t>固定管理费率</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产品管理人收取）</w:t>
            </w:r>
            <w:r>
              <w:rPr>
                <w:rFonts w:hint="eastAsia" w:ascii="楷体_GB2312" w:hAnsi="宋体" w:eastAsia="楷体_GB2312"/>
                <w:b/>
                <w:bCs/>
                <w:color w:val="000000"/>
                <w:sz w:val="24"/>
                <w:highlight w:val="none"/>
              </w:rPr>
              <w:t>：</w:t>
            </w:r>
            <w:r>
              <w:rPr>
                <w:rFonts w:hint="default" w:ascii="楷体_GB2312" w:hAnsi="宋体" w:eastAsia="楷体_GB2312" w:cs="Times New Roman"/>
                <w:color w:val="000000"/>
                <w:sz w:val="24"/>
                <w:highlight w:val="none"/>
                <w:lang w:val="en-US"/>
              </w:rPr>
              <w:t>0.1</w:t>
            </w:r>
            <w:r>
              <w:rPr>
                <w:rFonts w:hint="eastAsia" w:ascii="楷体_GB2312" w:hAnsi="宋体" w:eastAsia="楷体_GB2312" w:cs="Times New Roman"/>
                <w:color w:val="000000"/>
                <w:sz w:val="24"/>
                <w:highlight w:val="none"/>
                <w:lang w:val="en-US"/>
              </w:rPr>
              <w:t>%/年</w:t>
            </w:r>
          </w:p>
          <w:p>
            <w:pPr>
              <w:rPr>
                <w:rFonts w:hint="eastAsia" w:ascii="楷体_GB2312" w:hAnsi="宋体" w:eastAsia="楷体_GB2312"/>
                <w:color w:val="000000"/>
                <w:sz w:val="24"/>
                <w:highlight w:val="none"/>
                <w:lang w:eastAsia="zh-CN"/>
              </w:rPr>
            </w:pPr>
            <w:r>
              <w:rPr>
                <w:rFonts w:hint="eastAsia" w:ascii="楷体_GB2312" w:hAnsi="宋体" w:eastAsia="楷体_GB2312"/>
                <w:b/>
                <w:bCs/>
                <w:color w:val="000000"/>
                <w:sz w:val="24"/>
                <w:highlight w:val="none"/>
              </w:rPr>
              <w:t>★3</w:t>
            </w:r>
            <w:r>
              <w:rPr>
                <w:rFonts w:ascii="楷体_GB2312" w:hAnsi="宋体" w:eastAsia="楷体_GB2312"/>
                <w:b/>
                <w:bCs/>
                <w:color w:val="000000"/>
                <w:sz w:val="24"/>
                <w:highlight w:val="none"/>
              </w:rPr>
              <w:t>.</w:t>
            </w:r>
            <w:r>
              <w:rPr>
                <w:rFonts w:hint="eastAsia" w:ascii="楷体_GB2312" w:hAnsi="宋体" w:eastAsia="楷体_GB2312"/>
                <w:b/>
                <w:bCs/>
                <w:color w:val="000000"/>
                <w:sz w:val="24"/>
                <w:highlight w:val="none"/>
              </w:rPr>
              <w:t>托管费率</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产品托管人收取</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rPr>
              <w:t>：</w:t>
            </w:r>
            <w:r>
              <w:rPr>
                <w:rFonts w:hint="default" w:ascii="楷体_GB2312" w:hAnsi="宋体" w:eastAsia="楷体_GB2312" w:cs="Times New Roman"/>
                <w:color w:val="000000"/>
                <w:sz w:val="24"/>
                <w:highlight w:val="none"/>
                <w:lang w:val="en-US"/>
              </w:rPr>
              <w:t>0.03</w:t>
            </w:r>
            <w:r>
              <w:rPr>
                <w:rFonts w:hint="eastAsia" w:ascii="楷体_GB2312" w:hAnsi="宋体" w:eastAsia="楷体_GB2312" w:cs="Times New Roman"/>
                <w:color w:val="000000"/>
                <w:sz w:val="24"/>
                <w:highlight w:val="none"/>
                <w:lang w:val="en-US"/>
              </w:rPr>
              <w:t>%/年</w:t>
            </w:r>
          </w:p>
          <w:p>
            <w:pPr>
              <w:numPr>
                <w:ilvl w:val="0"/>
                <w:numId w:val="0"/>
              </w:numPr>
              <w:ind w:firstLine="0" w:firstLineChars="0"/>
              <w:rPr>
                <w:rFonts w:hint="default" w:ascii="楷体_GB2312" w:hAnsi="宋体" w:eastAsia="楷体_GB2312" w:cs="Times New Roman"/>
                <w:color w:val="000000"/>
                <w:sz w:val="24"/>
                <w:highlight w:val="none"/>
              </w:rPr>
            </w:pPr>
            <w:r>
              <w:rPr>
                <w:rFonts w:hint="eastAsia" w:ascii="楷体_GB2312" w:hAnsi="宋体" w:eastAsia="楷体_GB2312"/>
                <w:b/>
                <w:bCs/>
                <w:color w:val="000000"/>
                <w:sz w:val="24"/>
                <w:highlight w:val="none"/>
              </w:rPr>
              <w:t>★4.</w:t>
            </w:r>
            <w:r>
              <w:rPr>
                <w:rFonts w:hint="eastAsia" w:ascii="楷体_GB2312" w:hAnsi="宋体" w:eastAsia="楷体_GB2312" w:cs="Times New Roman"/>
                <w:b/>
                <w:bCs/>
                <w:color w:val="000000"/>
                <w:sz w:val="24"/>
                <w:highlight w:val="none"/>
                <w:lang w:val="en-US" w:eastAsia="zh-CN"/>
              </w:rPr>
              <w:t>强制赎回费（产品收取，如需）：</w:t>
            </w:r>
            <w:r>
              <w:rPr>
                <w:rFonts w:hint="eastAsia" w:ascii="楷体_GB2312" w:hAnsi="宋体" w:eastAsia="楷体_GB2312" w:cs="Times New Roman"/>
                <w:color w:val="000000"/>
                <w:sz w:val="24"/>
                <w:highlight w:val="none"/>
              </w:rPr>
              <w:t>本理财产品出现以下情形之一时</w:t>
            </w:r>
            <w:r>
              <w:rPr>
                <w:rFonts w:hint="eastAsia" w:ascii="楷体_GB2312" w:hAnsi="宋体" w:eastAsia="楷体_GB2312" w:cs="Times New Roman"/>
                <w:color w:val="000000"/>
                <w:sz w:val="24"/>
                <w:highlight w:val="none"/>
                <w:lang w:eastAsia="zh-CN"/>
              </w:rPr>
              <w:t>，</w:t>
            </w:r>
            <w:r>
              <w:rPr>
                <w:rFonts w:hint="eastAsia" w:ascii="楷体_GB2312" w:hAnsi="宋体" w:eastAsia="楷体_GB2312" w:cs="Times New Roman"/>
                <w:color w:val="000000"/>
                <w:sz w:val="24"/>
                <w:highlight w:val="none"/>
              </w:rPr>
              <w:t>产品管理人将收取强制赎回费：</w:t>
            </w:r>
          </w:p>
          <w:p>
            <w:pPr>
              <w:ind w:firstLine="0" w:firstLineChars="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在满足相关流动性风险管理要求的前提下，当本理财产品持有的现金、国债、中央银行票据、政策性金融债券以及5个交易日内到期的其他金融工具占本理财产品资产净值的比例合计低于5%且偏离度为负时，产品管理人应对当日单个投资者申请赎回份额超过本理财产品总份额1%以上的赎回申请征收1%的强制赎回费用，并将上述赎回费用全额计入本理财产品财产。产品管理人与产品托管人协商确认上述做法无益于本理财产品利益最大化的情形除外。</w:t>
            </w:r>
          </w:p>
          <w:p>
            <w:pPr>
              <w:ind w:firstLine="0" w:firstLineChars="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本理财产品前10名投资者的持有份额合计超过本理财产品总份额50%的，当投资组合中现金、国债、中央银行票据、政策性金融债券以及5个交易日内到期的其他金融工具占本理财产品资产净值的比例合计低于10%且偏离度为负时，产品管理人应对投资者超过本理财产品总份额1%以上的赎回申请征收1%的强制赎回费用。</w:t>
            </w:r>
          </w:p>
          <w:p>
            <w:pPr>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法律法规或监管机构另有规定的，从其规定。</w:t>
            </w:r>
          </w:p>
          <w:p>
            <w:pPr>
              <w:rPr>
                <w:rFonts w:hint="eastAsia" w:ascii="楷体_GB2312" w:hAnsi="宋体" w:eastAsia="楷体_GB2312"/>
                <w:color w:val="000000"/>
                <w:sz w:val="24"/>
                <w:highlight w:val="none"/>
              </w:rPr>
            </w:pPr>
            <w:r>
              <w:rPr>
                <w:rFonts w:hint="eastAsia" w:ascii="楷体_GB2312" w:hAnsi="宋体" w:eastAsia="楷体_GB2312"/>
                <w:b/>
                <w:bCs/>
                <w:color w:val="000000"/>
                <w:sz w:val="24"/>
                <w:highlight w:val="none"/>
              </w:rPr>
              <w:t>★</w:t>
            </w:r>
            <w:r>
              <w:rPr>
                <w:rFonts w:hint="eastAsia" w:ascii="楷体_GB2312" w:hAnsi="宋体" w:eastAsia="楷体_GB2312" w:cs="Times New Roman"/>
                <w:b/>
                <w:bCs/>
                <w:color w:val="000000"/>
                <w:sz w:val="24"/>
                <w:highlight w:val="none"/>
                <w:lang w:val="en-US" w:eastAsia="zh-CN"/>
              </w:rPr>
              <w:t>5.</w:t>
            </w:r>
            <w:r>
              <w:rPr>
                <w:rFonts w:hint="eastAsia" w:ascii="楷体_GB2312" w:hAnsi="宋体" w:eastAsia="楷体_GB2312" w:cs="Times New Roman"/>
                <w:b/>
                <w:bCs/>
                <w:color w:val="000000"/>
                <w:sz w:val="24"/>
                <w:highlight w:val="none"/>
              </w:rPr>
              <w:t>管理成本费用</w:t>
            </w:r>
            <w:r>
              <w:rPr>
                <w:rFonts w:hint="eastAsia" w:ascii="楷体_GB2312" w:hAnsi="宋体" w:eastAsia="楷体_GB2312" w:cs="Times New Roman"/>
                <w:b/>
                <w:bCs/>
                <w:color w:val="000000"/>
                <w:sz w:val="24"/>
                <w:highlight w:val="none"/>
                <w:lang w:eastAsia="zh-CN"/>
              </w:rPr>
              <w:t>（</w:t>
            </w:r>
            <w:r>
              <w:rPr>
                <w:rFonts w:hint="eastAsia" w:ascii="楷体_GB2312" w:hAnsi="宋体" w:eastAsia="楷体_GB2312" w:cs="Times New Roman"/>
                <w:b/>
                <w:bCs/>
                <w:color w:val="000000"/>
                <w:sz w:val="24"/>
                <w:highlight w:val="none"/>
                <w:lang w:val="en-US" w:eastAsia="zh-CN"/>
              </w:rPr>
              <w:t>相关机构收取</w:t>
            </w:r>
            <w:r>
              <w:rPr>
                <w:rFonts w:hint="eastAsia" w:ascii="楷体_GB2312" w:hAnsi="宋体" w:eastAsia="楷体_GB2312" w:cs="Times New Roman"/>
                <w:b/>
                <w:bCs/>
                <w:color w:val="000000"/>
                <w:sz w:val="24"/>
                <w:highlight w:val="none"/>
                <w:lang w:eastAsia="zh-CN"/>
              </w:rPr>
              <w:t>）</w:t>
            </w:r>
            <w:r>
              <w:rPr>
                <w:rFonts w:hint="eastAsia" w:ascii="楷体_GB2312" w:hAnsi="宋体" w:eastAsia="楷体_GB2312" w:cs="Times New Roman"/>
                <w:b/>
                <w:bCs/>
                <w:color w:val="000000"/>
                <w:sz w:val="24"/>
                <w:highlight w:val="none"/>
              </w:rPr>
              <w:t>：</w:t>
            </w:r>
            <w:r>
              <w:rPr>
                <w:rFonts w:hint="eastAsia" w:ascii="楷体_GB2312" w:hAnsi="宋体" w:eastAsia="楷体_GB2312"/>
                <w:color w:val="000000"/>
                <w:sz w:val="24"/>
                <w:highlight w:val="none"/>
              </w:rPr>
              <w:t>为本理财产品项下投资交易提供专属信托、保管、托管、咨询、顾问、管理等服务所产生的费用(如基金管理费、投资顾问费、信托保管费、信托报酬、各类信托费用等)和支出均属于本理财产品的管理成本费用，由相关机构(包括但不限于基金公司、信托公司、保管银行等)依照相关法律文件(包括但不限于基金合同、信托合同、保管合同、顾问协议等)约定的标准和条件扣除。</w:t>
            </w:r>
          </w:p>
          <w:p>
            <w:pPr>
              <w:rPr>
                <w:rFonts w:hint="eastAsia" w:ascii="楷体_GB2312" w:hAnsi="宋体" w:eastAsia="楷体_GB2312"/>
                <w:color w:val="000000"/>
                <w:sz w:val="24"/>
                <w:highlight w:val="none"/>
                <w:lang w:val="en-US" w:eastAsia="zh-CN"/>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6</w:t>
            </w:r>
            <w:r>
              <w:rPr>
                <w:rFonts w:hint="eastAsia" w:ascii="楷体_GB2312" w:hAnsi="宋体" w:eastAsia="楷体_GB2312"/>
                <w:b/>
                <w:bCs/>
                <w:color w:val="000000"/>
                <w:sz w:val="24"/>
                <w:highlight w:val="none"/>
              </w:rPr>
              <w:t>.</w:t>
            </w:r>
            <w:r>
              <w:rPr>
                <w:rFonts w:hint="eastAsia" w:ascii="楷体_GB2312" w:hAnsi="宋体" w:eastAsia="楷体_GB2312" w:cs="Times New Roman"/>
                <w:b/>
                <w:bCs/>
                <w:color w:val="000000"/>
                <w:sz w:val="24"/>
                <w:highlight w:val="none"/>
              </w:rPr>
              <w:t>其他成本费用</w:t>
            </w:r>
            <w:r>
              <w:rPr>
                <w:rFonts w:hint="eastAsia" w:ascii="楷体_GB2312" w:hAnsi="宋体" w:eastAsia="楷体_GB2312" w:cs="Times New Roman"/>
                <w:b/>
                <w:bCs/>
                <w:color w:val="000000"/>
                <w:sz w:val="24"/>
                <w:highlight w:val="none"/>
                <w:lang w:eastAsia="zh-CN"/>
              </w:rPr>
              <w:t>（</w:t>
            </w:r>
            <w:r>
              <w:rPr>
                <w:rFonts w:hint="eastAsia" w:ascii="楷体_GB2312" w:hAnsi="宋体" w:eastAsia="楷体_GB2312" w:cs="Times New Roman"/>
                <w:b/>
                <w:bCs/>
                <w:color w:val="000000"/>
                <w:sz w:val="24"/>
                <w:highlight w:val="none"/>
                <w:lang w:val="en-US" w:eastAsia="zh-CN"/>
              </w:rPr>
              <w:t>产品支付</w:t>
            </w:r>
            <w:r>
              <w:rPr>
                <w:rFonts w:hint="eastAsia" w:ascii="楷体_GB2312" w:hAnsi="宋体" w:eastAsia="楷体_GB2312" w:cs="Times New Roman"/>
                <w:b/>
                <w:bCs/>
                <w:color w:val="000000"/>
                <w:sz w:val="24"/>
                <w:highlight w:val="none"/>
                <w:lang w:eastAsia="zh-CN"/>
              </w:rPr>
              <w:t>）</w:t>
            </w:r>
            <w:r>
              <w:rPr>
                <w:rFonts w:hint="eastAsia" w:ascii="楷体_GB2312" w:hAnsi="宋体" w:eastAsia="楷体_GB2312" w:cs="Times New Roman"/>
                <w:b/>
                <w:bCs/>
                <w:color w:val="000000"/>
                <w:sz w:val="24"/>
                <w:highlight w:val="none"/>
              </w:rPr>
              <w:t>：</w:t>
            </w:r>
            <w:r>
              <w:rPr>
                <w:rFonts w:hint="eastAsia" w:ascii="楷体_GB2312" w:hAnsi="宋体" w:eastAsia="楷体_GB2312"/>
                <w:color w:val="000000"/>
                <w:sz w:val="24"/>
                <w:highlight w:val="none"/>
                <w:lang w:val="en-US" w:eastAsia="zh-CN"/>
              </w:rPr>
              <w:t>本理财产品运作和清算中产生的其他资金汇划费、结算费、交易手续费、注册登记费、账户服务费、进行本理财产品销售文件约定的投资而发生的交易费用、根据国家有关规定应当在本理财产品收益或资产中扣除的法定费用、本理财产品存续期间发生的信息披露费用、与本理财产品相关的会计师费（如审计费等）和律师费以及本理财产品销售文件约定可扣除的其他费用(包括交易发生的税费、手续费等)均属于本理财产品的其他成本费用，由产品管理人依照相关法律文件的约定在向投资者分配资金前从理财产品中支付。</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产品费用详情请见</w:t>
            </w:r>
            <w:r>
              <w:rPr>
                <w:rFonts w:hint="eastAsia" w:ascii="楷体_GB2312" w:hAnsi="宋体" w:eastAsia="楷体_GB2312"/>
                <w:b/>
                <w:bCs/>
                <w:color w:val="000000"/>
                <w:sz w:val="24"/>
                <w:szCs w:val="24"/>
                <w:highlight w:val="none"/>
                <w:lang w:val="en-US" w:eastAsia="zh-CN"/>
              </w:rPr>
              <w:t>本《</w:t>
            </w:r>
            <w:r>
              <w:rPr>
                <w:rFonts w:hint="eastAsia" w:ascii="楷体_GB2312" w:eastAsia="楷体_GB2312"/>
                <w:b/>
                <w:bCs/>
                <w:color w:val="000000"/>
                <w:sz w:val="24"/>
                <w:highlight w:val="none"/>
                <w:lang w:val="en-US" w:eastAsia="zh-CN"/>
              </w:rPr>
              <w:t>理财产品说明书</w:t>
            </w:r>
            <w:r>
              <w:rPr>
                <w:rFonts w:hint="eastAsia" w:ascii="楷体_GB2312" w:hAnsi="宋体" w:eastAsia="楷体_GB2312"/>
                <w:b/>
                <w:bCs/>
                <w:color w:val="000000"/>
                <w:sz w:val="24"/>
                <w:szCs w:val="24"/>
                <w:highlight w:val="none"/>
                <w:lang w:val="en-US" w:eastAsia="zh-CN"/>
              </w:rPr>
              <w:t>》“</w:t>
            </w:r>
            <w:r>
              <w:rPr>
                <w:rFonts w:hint="eastAsia" w:ascii="楷体_GB2312" w:hAnsi="宋体" w:eastAsia="楷体_GB2312"/>
                <w:b/>
                <w:bCs/>
                <w:color w:val="000000"/>
                <w:sz w:val="24"/>
                <w:highlight w:val="none"/>
              </w:rPr>
              <w:t>九、产品的费用</w:t>
            </w:r>
            <w:r>
              <w:rPr>
                <w:rFonts w:hint="eastAsia" w:ascii="楷体_GB2312" w:hAnsi="宋体" w:eastAsia="楷体_GB2312"/>
                <w:b/>
                <w:bCs/>
                <w:color w:val="000000"/>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净值及投资报告披露</w:t>
            </w:r>
          </w:p>
        </w:tc>
        <w:tc>
          <w:tcPr>
            <w:tcW w:w="6656" w:type="dxa"/>
            <w:vAlign w:val="center"/>
          </w:tcPr>
          <w:p>
            <w:pPr>
              <w:pStyle w:val="2"/>
              <w:numPr>
                <w:ilvl w:val="0"/>
                <w:numId w:val="0"/>
              </w:numPr>
              <w:ind w:left="0" w:leftChars="0" w:firstLine="0"/>
              <w:rPr>
                <w:color w:val="000000"/>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每个</w:t>
            </w:r>
            <w:r>
              <w:rPr>
                <w:rFonts w:hint="eastAsia" w:ascii="楷体_GB2312" w:hAnsi="宋体" w:eastAsia="楷体_GB2312"/>
                <w:color w:val="000000"/>
                <w:sz w:val="24"/>
                <w:highlight w:val="none"/>
              </w:rPr>
              <w:t>开放日</w:t>
            </w:r>
            <w:r>
              <w:rPr>
                <w:rFonts w:hint="eastAsia" w:ascii="楷体_GB2312" w:hAnsi="宋体" w:eastAsia="楷体_GB2312"/>
                <w:color w:val="000000"/>
                <w:sz w:val="24"/>
                <w:highlight w:val="none"/>
                <w:lang w:val="en-US" w:eastAsia="zh-CN"/>
              </w:rPr>
              <w:t>结束</w:t>
            </w:r>
            <w:r>
              <w:rPr>
                <w:rFonts w:hint="eastAsia" w:ascii="楷体_GB2312" w:hAnsi="宋体" w:eastAsia="楷体_GB2312"/>
                <w:color w:val="000000"/>
                <w:sz w:val="24"/>
                <w:highlight w:val="none"/>
              </w:rPr>
              <w:t>后2个工作日内披露开放日的产品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净值和产品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w:t>
            </w:r>
            <w:r>
              <w:rPr>
                <w:rFonts w:hint="eastAsia" w:ascii="楷体_GB2312" w:hAnsi="宋体" w:eastAsia="楷体_GB2312"/>
                <w:color w:val="000000"/>
                <w:sz w:val="24"/>
                <w:highlight w:val="none"/>
                <w:lang w:val="en-US" w:eastAsia="zh-CN"/>
              </w:rPr>
              <w:t>申购价格、赎回价格、每万份收益和七日年化收益率；</w:t>
            </w:r>
            <w:r>
              <w:rPr>
                <w:rFonts w:hint="eastAsia" w:ascii="楷体_GB2312" w:hAnsi="宋体" w:eastAsia="楷体_GB2312"/>
                <w:color w:val="000000"/>
                <w:sz w:val="24"/>
                <w:highlight w:val="none"/>
              </w:rPr>
              <w:t>在定期报告中披露</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理财产品在季度、半年和年度最后一个市场交易日的</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累计净值和</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2.每个季度结束之日起15个工作日内、上半年结束之日起60</w:t>
            </w:r>
          </w:p>
          <w:p>
            <w:pPr>
              <w:rPr>
                <w:rFonts w:ascii="楷体_GB2312" w:hAnsi="宋体" w:eastAsia="楷体_GB2312"/>
                <w:color w:val="000000"/>
                <w:sz w:val="24"/>
                <w:highlight w:val="none"/>
              </w:rPr>
            </w:pPr>
            <w:r>
              <w:rPr>
                <w:rFonts w:hint="eastAsia" w:ascii="楷体_GB2312" w:hAnsi="宋体" w:eastAsia="楷体_GB2312"/>
                <w:color w:val="000000"/>
                <w:sz w:val="24"/>
                <w:highlight w:val="none"/>
              </w:rPr>
              <w:t>个工作日内、每年结束之日起90个工作日内</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编制完成</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的季度、半年和年度报告等定期报告，并通过</w:t>
            </w:r>
            <w:r>
              <w:rPr>
                <w:rFonts w:hint="eastAsia" w:ascii="楷体_GB2312" w:hAnsi="宋体" w:eastAsia="楷体_GB2312"/>
                <w:color w:val="000000"/>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理财产品成立不足90</w:t>
            </w:r>
            <w:r>
              <w:rPr>
                <w:rFonts w:hint="eastAsia" w:ascii="楷体_GB2312" w:hAnsi="宋体" w:eastAsia="楷体_GB2312"/>
                <w:color w:val="000000"/>
                <w:sz w:val="24"/>
                <w:highlight w:val="none"/>
                <w:lang w:val="en-US" w:eastAsia="zh-CN"/>
              </w:rPr>
              <w:t>个工作</w:t>
            </w:r>
            <w:r>
              <w:rPr>
                <w:rFonts w:hint="eastAsia" w:ascii="楷体_GB2312" w:hAnsi="宋体" w:eastAsia="楷体_GB2312"/>
                <w:color w:val="000000"/>
                <w:sz w:val="24"/>
                <w:highlight w:val="none"/>
              </w:rPr>
              <w:t>日或者剩余存续期不超过90</w:t>
            </w:r>
            <w:r>
              <w:rPr>
                <w:rFonts w:hint="eastAsia" w:ascii="楷体_GB2312" w:hAnsi="宋体" w:eastAsia="楷体_GB2312"/>
                <w:color w:val="000000"/>
                <w:sz w:val="24"/>
                <w:highlight w:val="none"/>
                <w:lang w:val="en-US" w:eastAsia="zh-CN"/>
              </w:rPr>
              <w:t>个工作</w:t>
            </w:r>
            <w:r>
              <w:rPr>
                <w:rFonts w:hint="eastAsia" w:ascii="楷体_GB2312" w:hAnsi="宋体" w:eastAsia="楷体_GB2312"/>
                <w:color w:val="000000"/>
                <w:sz w:val="24"/>
                <w:highlight w:val="none"/>
              </w:rPr>
              <w:t>日的，</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可以不编制</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理财产品当期的季度、半年和年度报告。</w:t>
            </w:r>
          </w:p>
          <w:p>
            <w:pPr>
              <w:numPr>
                <w:ilvl w:val="0"/>
                <w:numId w:val="0"/>
              </w:numPr>
              <w:ind w:firstLine="0" w:firstLineChars="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保留对</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信息披露频率变更的权利。</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rPr>
              <w:t>★净值及投资报告披露</w:t>
            </w:r>
            <w:r>
              <w:rPr>
                <w:rFonts w:hint="eastAsia" w:ascii="楷体_GB2312" w:hAnsi="宋体" w:eastAsia="楷体_GB2312"/>
                <w:b/>
                <w:bCs/>
                <w:color w:val="000000"/>
                <w:sz w:val="24"/>
                <w:highlight w:val="none"/>
                <w:lang w:val="en-US" w:eastAsia="zh-CN"/>
              </w:rPr>
              <w:t>详情请见</w:t>
            </w:r>
            <w:r>
              <w:rPr>
                <w:rFonts w:hint="eastAsia" w:ascii="楷体_GB2312" w:hAnsi="宋体" w:eastAsia="楷体_GB2312"/>
                <w:b/>
                <w:bCs/>
                <w:color w:val="000000"/>
                <w:sz w:val="24"/>
                <w:szCs w:val="24"/>
                <w:highlight w:val="none"/>
                <w:lang w:val="en-US" w:eastAsia="zh-CN"/>
              </w:rPr>
              <w:t>本《</w:t>
            </w:r>
            <w:r>
              <w:rPr>
                <w:rFonts w:hint="eastAsia" w:ascii="楷体_GB2312" w:eastAsia="楷体_GB2312"/>
                <w:b/>
                <w:bCs/>
                <w:color w:val="000000"/>
                <w:sz w:val="24"/>
                <w:highlight w:val="none"/>
                <w:lang w:val="en-US" w:eastAsia="zh-CN"/>
              </w:rPr>
              <w:t>理财产品说明书</w:t>
            </w:r>
            <w:r>
              <w:rPr>
                <w:rFonts w:hint="eastAsia" w:ascii="楷体_GB2312" w:hAnsi="宋体" w:eastAsia="楷体_GB2312"/>
                <w:b/>
                <w:bCs/>
                <w:color w:val="000000"/>
                <w:sz w:val="24"/>
                <w:szCs w:val="24"/>
                <w:highlight w:val="none"/>
                <w:lang w:val="en-US" w:eastAsia="zh-CN"/>
              </w:rPr>
              <w:t>》“</w:t>
            </w:r>
            <w:r>
              <w:rPr>
                <w:rFonts w:hint="eastAsia" w:ascii="楷体_GB2312" w:hAnsi="宋体" w:eastAsia="楷体_GB2312"/>
                <w:b/>
                <w:bCs/>
                <w:color w:val="000000"/>
                <w:sz w:val="24"/>
                <w:highlight w:val="none"/>
              </w:rPr>
              <w:t>十一、产品的信息披露</w:t>
            </w:r>
            <w:r>
              <w:rPr>
                <w:rFonts w:hint="eastAsia" w:ascii="楷体_GB2312" w:hAnsi="宋体" w:eastAsia="楷体_GB2312"/>
                <w:b/>
                <w:bCs/>
                <w:color w:val="000000"/>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6" w:hRule="atLeast"/>
        </w:trPr>
        <w:tc>
          <w:tcPr>
            <w:tcW w:w="2428"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税款</w:t>
            </w:r>
          </w:p>
        </w:tc>
        <w:tc>
          <w:tcPr>
            <w:tcW w:w="6656" w:type="dxa"/>
            <w:vAlign w:val="center"/>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相关税收法律法规规定，</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运营过程中产生的税费，由</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理财产品承担。投资者从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理财产品取得的收益应纳税款由投资者自行申报及缴纳，</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不承担相关代扣代缴或纳税义务。</w:t>
            </w:r>
          </w:p>
        </w:tc>
      </w:tr>
    </w:tbl>
    <w:p>
      <w:pPr>
        <w:ind w:firstLine="482" w:firstLineChars="200"/>
        <w:rPr>
          <w:rFonts w:ascii="楷体_GB2312" w:hAnsi="宋体" w:eastAsia="楷体_GB2312"/>
          <w:b/>
          <w:color w:val="000000"/>
          <w:sz w:val="24"/>
          <w:highlight w:val="none"/>
        </w:rPr>
      </w:pPr>
      <w:r>
        <w:rPr>
          <w:rFonts w:hint="eastAsia" w:ascii="楷体_GB2312" w:hAnsi="宋体" w:eastAsia="楷体_GB2312"/>
          <w:b/>
          <w:color w:val="000000"/>
          <w:sz w:val="24"/>
          <w:highlight w:val="none"/>
        </w:rPr>
        <w:t>四、产品的投资运作</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（一）投资范围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w:t>
      </w:r>
      <w:r>
        <w:rPr>
          <w:rFonts w:hint="eastAsia" w:ascii="楷体_GB2312" w:hAnsi="宋体" w:eastAsia="楷体_GB2312" w:cs="Times New Roman"/>
          <w:color w:val="000000"/>
          <w:sz w:val="24"/>
          <w:highlight w:val="none"/>
        </w:rPr>
        <w:t>品</w:t>
      </w:r>
      <w:r>
        <w:rPr>
          <w:rFonts w:hint="eastAsia" w:ascii="楷体_GB2312" w:hAnsi="宋体" w:eastAsia="楷体_GB2312" w:cs="Times New Roman"/>
          <w:color w:val="000000"/>
          <w:sz w:val="24"/>
          <w:szCs w:val="24"/>
          <w:highlight w:val="none"/>
          <w:lang w:val="en-US" w:eastAsia="zh-CN"/>
        </w:rPr>
        <w:t>可投资于以下金融工具</w:t>
      </w:r>
      <w:r>
        <w:rPr>
          <w:rFonts w:hint="eastAsia" w:ascii="楷体_GB2312" w:hAnsi="宋体" w:eastAsia="楷体_GB2312"/>
          <w:color w:val="000000"/>
          <w:sz w:val="24"/>
          <w:highlight w:val="none"/>
        </w:rPr>
        <w:t>（实际可投资范围根据法律法规及监管规定进行调整）：</w:t>
      </w:r>
      <w:r>
        <w:rPr>
          <w:rFonts w:hint="eastAsia" w:ascii="楷体_GB2312" w:hAnsi="宋体" w:eastAsia="楷体_GB2312"/>
          <w:color w:val="000000"/>
          <w:sz w:val="24"/>
          <w:highlight w:val="none"/>
        </w:rPr>
        <w:br w:type="textWrapping"/>
      </w:r>
      <w:r>
        <w:rPr>
          <w:rFonts w:hint="eastAsia" w:ascii="楷体_GB2312" w:hAnsi="宋体" w:eastAsia="楷体_GB2312"/>
          <w:color w:val="000000"/>
          <w:sz w:val="24"/>
          <w:highlight w:val="none"/>
        </w:rPr>
        <w:t xml:space="preserve">    1.现金；</w:t>
      </w:r>
      <w:r>
        <w:rPr>
          <w:rFonts w:hint="eastAsia" w:ascii="楷体_GB2312" w:hAnsi="宋体" w:eastAsia="楷体_GB2312"/>
          <w:color w:val="000000"/>
          <w:sz w:val="24"/>
          <w:highlight w:val="none"/>
        </w:rPr>
        <w:br w:type="textWrapping"/>
      </w:r>
      <w:r>
        <w:rPr>
          <w:rFonts w:hint="eastAsia" w:ascii="楷体_GB2312" w:hAnsi="宋体" w:eastAsia="楷体_GB2312"/>
          <w:color w:val="000000"/>
          <w:sz w:val="24"/>
          <w:highlight w:val="none"/>
        </w:rPr>
        <w:t xml:space="preserve">    2.期限在1年以内（含1年）的银行存款、债券回购、中央银行票据、同业存单；</w:t>
      </w:r>
      <w:r>
        <w:rPr>
          <w:rFonts w:hint="eastAsia" w:ascii="楷体_GB2312" w:hAnsi="宋体" w:eastAsia="楷体_GB2312"/>
          <w:color w:val="000000"/>
          <w:sz w:val="24"/>
          <w:highlight w:val="none"/>
        </w:rPr>
        <w:br w:type="textWrapping"/>
      </w:r>
      <w:r>
        <w:rPr>
          <w:rFonts w:hint="eastAsia" w:ascii="楷体_GB2312" w:hAnsi="宋体" w:eastAsia="楷体_GB2312"/>
          <w:color w:val="000000"/>
          <w:sz w:val="24"/>
          <w:highlight w:val="none"/>
        </w:rPr>
        <w:t xml:space="preserve">    3.剩余期限在397天以内（含397天）的债券、在银行间市场和</w:t>
      </w:r>
      <w:r>
        <w:rPr>
          <w:rFonts w:hint="eastAsia" w:ascii="楷体_GB2312" w:hAnsi="宋体" w:eastAsia="楷体_GB2312"/>
          <w:color w:val="000000"/>
          <w:sz w:val="24"/>
          <w:highlight w:val="none"/>
          <w:lang w:eastAsia="zh-CN"/>
        </w:rPr>
        <w:t>证券</w:t>
      </w:r>
      <w:r>
        <w:rPr>
          <w:rFonts w:hint="eastAsia" w:ascii="楷体_GB2312" w:hAnsi="宋体" w:eastAsia="楷体_GB2312"/>
          <w:color w:val="000000"/>
          <w:sz w:val="24"/>
          <w:highlight w:val="none"/>
        </w:rPr>
        <w:t>交易所市场发行的资产支持证券；</w:t>
      </w:r>
      <w:r>
        <w:rPr>
          <w:rFonts w:hint="eastAsia" w:ascii="楷体_GB2312" w:hAnsi="宋体" w:eastAsia="楷体_GB2312"/>
          <w:color w:val="000000"/>
          <w:sz w:val="24"/>
          <w:highlight w:val="none"/>
        </w:rPr>
        <w:br w:type="textWrapping"/>
      </w:r>
      <w:r>
        <w:rPr>
          <w:rFonts w:hint="eastAsia" w:ascii="楷体_GB2312" w:hAnsi="宋体" w:eastAsia="楷体_GB2312"/>
          <w:color w:val="000000"/>
          <w:sz w:val="24"/>
          <w:highlight w:val="none"/>
        </w:rPr>
        <w:t xml:space="preserve">    4.</w:t>
      </w:r>
      <w:r>
        <w:rPr>
          <w:rFonts w:hint="eastAsia" w:ascii="楷体_GB2312" w:hAnsi="宋体" w:eastAsia="楷体_GB2312"/>
          <w:color w:val="000000"/>
          <w:sz w:val="24"/>
          <w:highlight w:val="none"/>
          <w:lang w:eastAsia="zh-CN"/>
        </w:rPr>
        <w:t>国家金融监督管理总局</w:t>
      </w:r>
      <w:r>
        <w:rPr>
          <w:rFonts w:hint="eastAsia" w:ascii="楷体_GB2312" w:hAnsi="宋体" w:eastAsia="楷体_GB2312"/>
          <w:color w:val="000000"/>
          <w:sz w:val="24"/>
          <w:highlight w:val="none"/>
        </w:rPr>
        <w:t>、中国人民银行认可的其他具有良好流动性的货币市场工具。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作为本理财产品的</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管理人，负责在投资范围内对</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w:t>
      </w:r>
      <w:r>
        <w:rPr>
          <w:rFonts w:hint="eastAsia" w:ascii="楷体_GB2312" w:hAnsi="宋体" w:eastAsia="楷体_GB2312"/>
          <w:color w:val="000000"/>
          <w:sz w:val="24"/>
          <w:highlight w:val="none"/>
          <w:lang w:val="en-US" w:eastAsia="zh-CN"/>
        </w:rPr>
        <w:t>的</w:t>
      </w:r>
      <w:r>
        <w:rPr>
          <w:rFonts w:ascii="楷体_GB2312" w:hAnsi="宋体" w:eastAsia="楷体_GB2312"/>
          <w:color w:val="000000"/>
          <w:sz w:val="24"/>
          <w:highlight w:val="none"/>
        </w:rPr>
        <w:t>投资进行动态配置，保留对投资目标变更的权利，若发生变更将及时进行信息披露</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（二）投资比例</w:t>
      </w:r>
    </w:p>
    <w:p>
      <w:pPr>
        <w:numPr>
          <w:ilvl w:val="0"/>
          <w:numId w:val="0"/>
        </w:numPr>
        <w:adjustRightInd/>
        <w:snapToGrid/>
        <w:spacing w:before="0" w:beforeLines="0" w:after="0" w:afterLines="0"/>
        <w:ind w:firstLine="480" w:firstLineChars="200"/>
        <w:rPr>
          <w:rFonts w:hint="eastAsia" w:ascii="楷体_GB2312" w:hAnsi="宋体" w:eastAsia="楷体_GB2312" w:cs="Times New Roman"/>
          <w:bCs w:val="0"/>
          <w:color w:val="000000"/>
          <w:sz w:val="24"/>
          <w:szCs w:val="24"/>
          <w:highlight w:val="none"/>
          <w:lang w:eastAsia="zh-CN"/>
        </w:rPr>
      </w:pPr>
      <w:r>
        <w:rPr>
          <w:rFonts w:hint="eastAsia" w:ascii="楷体_GB2312" w:hAnsi="宋体" w:eastAsia="楷体_GB2312" w:cs="Times New Roman"/>
          <w:bCs w:val="0"/>
          <w:color w:val="000000"/>
          <w:sz w:val="24"/>
          <w:szCs w:val="24"/>
          <w:highlight w:val="none"/>
          <w:lang w:val="en-US" w:eastAsia="zh-CN"/>
        </w:rPr>
        <w:t>本理财产品直接或间接投资于固定收益类资产的比例为100%。</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楷体" w:eastAsia="楷体_GB2312"/>
          <w:color w:val="000000"/>
          <w:sz w:val="24"/>
          <w:highlight w:val="none"/>
        </w:rPr>
        <w:t>★</w:t>
      </w:r>
      <w:r>
        <w:rPr>
          <w:rFonts w:hint="eastAsia" w:ascii="楷体_GB2312" w:hAnsi="宋体" w:eastAsia="楷体_GB2312"/>
          <w:color w:val="000000"/>
          <w:sz w:val="24"/>
          <w:highlight w:val="none"/>
        </w:rPr>
        <w:t>特别提示：</w:t>
      </w:r>
    </w:p>
    <w:p>
      <w:pPr>
        <w:numPr>
          <w:ilvl w:val="0"/>
          <w:numId w:val="0"/>
        </w:numPr>
        <w:ind w:firstLine="480" w:firstLineChars="200"/>
        <w:rPr>
          <w:rFonts w:hint="eastAsia" w:ascii="楷体_GB2312" w:hAnsi="宋体" w:eastAsia="楷体_GB2312"/>
          <w:bCs w:val="0"/>
          <w:color w:val="000000"/>
          <w:sz w:val="24"/>
          <w:szCs w:val="24"/>
          <w:highlight w:val="none"/>
        </w:rPr>
      </w:pPr>
      <w:r>
        <w:rPr>
          <w:rFonts w:hint="eastAsia" w:ascii="楷体_GB2312" w:hAnsi="宋体" w:eastAsia="楷体_GB2312"/>
          <w:bCs w:val="0"/>
          <w:color w:val="000000"/>
          <w:sz w:val="24"/>
          <w:szCs w:val="24"/>
          <w:highlight w:val="none"/>
          <w:lang w:val="en-US" w:eastAsia="zh-CN"/>
        </w:rPr>
        <w:t>1.</w:t>
      </w:r>
      <w:r>
        <w:rPr>
          <w:rFonts w:hint="eastAsia" w:ascii="楷体_GB2312" w:hAnsi="宋体" w:eastAsia="楷体_GB2312"/>
          <w:bCs w:val="0"/>
          <w:color w:val="000000"/>
          <w:sz w:val="24"/>
          <w:szCs w:val="24"/>
          <w:highlight w:val="none"/>
        </w:rPr>
        <w:t>非因产品管理人原因导致</w:t>
      </w:r>
      <w:r>
        <w:rPr>
          <w:rFonts w:hint="eastAsia" w:ascii="楷体_GB2312" w:hAnsi="楷体" w:eastAsia="楷体_GB2312"/>
          <w:bCs w:val="0"/>
          <w:color w:val="000000"/>
          <w:sz w:val="24"/>
          <w:szCs w:val="24"/>
          <w:highlight w:val="none"/>
        </w:rPr>
        <w:t>本理财产品</w:t>
      </w:r>
      <w:r>
        <w:rPr>
          <w:rFonts w:hint="eastAsia" w:ascii="楷体_GB2312" w:hAnsi="楷体" w:eastAsia="楷体_GB2312"/>
          <w:bCs w:val="0"/>
          <w:color w:val="000000"/>
          <w:sz w:val="24"/>
          <w:szCs w:val="24"/>
          <w:highlight w:val="none"/>
          <w:lang w:val="en-US" w:eastAsia="zh-CN"/>
        </w:rPr>
        <w:t>销售文件</w:t>
      </w:r>
      <w:r>
        <w:rPr>
          <w:rFonts w:hint="eastAsia" w:ascii="楷体_GB2312" w:hAnsi="宋体" w:eastAsia="楷体_GB2312"/>
          <w:bCs w:val="0"/>
          <w:color w:val="000000"/>
          <w:sz w:val="24"/>
          <w:szCs w:val="24"/>
          <w:highlight w:val="none"/>
        </w:rPr>
        <w:t>项下理财产品投资突破前述投资比例限制的，产品管理人将在所投资的流动性受限资产可出售、可转让或者恢复交易之日起15个交易日内调整至上述投资比例内；</w:t>
      </w:r>
    </w:p>
    <w:p>
      <w:pPr>
        <w:numPr>
          <w:ilvl w:val="0"/>
          <w:numId w:val="0"/>
        </w:numPr>
        <w:ind w:firstLine="480" w:firstLineChars="200"/>
        <w:rPr>
          <w:rFonts w:hint="eastAsia" w:ascii="楷体_GB2312" w:hAnsi="宋体" w:eastAsia="楷体_GB2312"/>
          <w:color w:val="000000"/>
          <w:sz w:val="24"/>
          <w:szCs w:val="24"/>
          <w:highlight w:val="none"/>
          <w:lang w:eastAsia="zh-CN"/>
        </w:rPr>
      </w:pPr>
      <w:r>
        <w:rPr>
          <w:rFonts w:hint="eastAsia" w:ascii="楷体_GB2312" w:hAnsi="宋体" w:eastAsia="楷体_GB2312"/>
          <w:color w:val="000000"/>
          <w:sz w:val="24"/>
          <w:szCs w:val="24"/>
          <w:highlight w:val="none"/>
          <w:lang w:val="en-US" w:eastAsia="zh-CN"/>
        </w:rPr>
        <w:t>2.</w:t>
      </w:r>
      <w:r>
        <w:rPr>
          <w:rFonts w:hint="eastAsia" w:ascii="楷体_GB2312" w:hAnsi="宋体" w:eastAsia="楷体_GB2312"/>
          <w:color w:val="000000"/>
          <w:sz w:val="24"/>
          <w:szCs w:val="24"/>
          <w:highlight w:val="none"/>
        </w:rPr>
        <w:t>在本</w:t>
      </w:r>
      <w:r>
        <w:rPr>
          <w:rFonts w:hint="eastAsia" w:ascii="楷体_GB2312" w:hAnsi="宋体" w:eastAsia="楷体_GB2312"/>
          <w:color w:val="000000"/>
          <w:sz w:val="24"/>
          <w:szCs w:val="24"/>
          <w:highlight w:val="none"/>
          <w:lang w:val="en-US" w:eastAsia="zh-CN"/>
        </w:rPr>
        <w:t>理财</w:t>
      </w:r>
      <w:r>
        <w:rPr>
          <w:rFonts w:hint="eastAsia" w:ascii="楷体_GB2312" w:hAnsi="宋体" w:eastAsia="楷体_GB2312"/>
          <w:color w:val="000000"/>
          <w:sz w:val="24"/>
          <w:szCs w:val="24"/>
          <w:highlight w:val="none"/>
        </w:rPr>
        <w:t>产品存续期内，</w:t>
      </w:r>
      <w:r>
        <w:rPr>
          <w:rFonts w:hint="eastAsia" w:ascii="楷体_GB2312" w:hAnsi="宋体" w:eastAsia="楷体_GB2312"/>
          <w:color w:val="000000"/>
          <w:sz w:val="24"/>
          <w:szCs w:val="24"/>
          <w:highlight w:val="none"/>
          <w:lang w:val="en-US" w:eastAsia="zh-CN"/>
        </w:rPr>
        <w:t>金融市场发生重大变化导致</w:t>
      </w:r>
      <w:r>
        <w:rPr>
          <w:rFonts w:hint="eastAsia" w:ascii="楷体_GB2312" w:hAnsi="宋体" w:eastAsia="楷体_GB2312"/>
          <w:color w:val="000000"/>
          <w:sz w:val="24"/>
          <w:szCs w:val="24"/>
          <w:highlight w:val="none"/>
        </w:rPr>
        <w:t>前述投资比例暂时超出</w:t>
      </w:r>
      <w:r>
        <w:rPr>
          <w:rFonts w:hint="eastAsia" w:ascii="楷体_GB2312" w:hAnsi="宋体" w:eastAsia="楷体_GB2312"/>
          <w:color w:val="000000"/>
          <w:sz w:val="24"/>
          <w:szCs w:val="24"/>
          <w:highlight w:val="none"/>
          <w:lang w:val="en-US" w:eastAsia="zh-CN"/>
        </w:rPr>
        <w:t>浮动区间</w:t>
      </w:r>
      <w:r>
        <w:rPr>
          <w:rFonts w:hint="eastAsia" w:ascii="楷体_GB2312" w:hAnsi="宋体" w:eastAsia="楷体_GB2312"/>
          <w:color w:val="000000"/>
          <w:sz w:val="24"/>
          <w:szCs w:val="24"/>
          <w:highlight w:val="none"/>
        </w:rPr>
        <w:t>且可能对</w:t>
      </w:r>
      <w:r>
        <w:rPr>
          <w:rFonts w:hint="eastAsia" w:ascii="楷体_GB2312" w:hAnsi="宋体" w:eastAsia="楷体_GB2312"/>
          <w:color w:val="000000"/>
          <w:sz w:val="24"/>
          <w:szCs w:val="24"/>
          <w:highlight w:val="none"/>
          <w:lang w:val="en-US" w:eastAsia="zh-CN"/>
        </w:rPr>
        <w:t>本理财</w:t>
      </w:r>
      <w:r>
        <w:rPr>
          <w:rFonts w:hint="eastAsia" w:ascii="楷体_GB2312" w:hAnsi="宋体" w:eastAsia="楷体_GB2312"/>
          <w:color w:val="000000"/>
          <w:sz w:val="24"/>
          <w:szCs w:val="24"/>
          <w:highlight w:val="none"/>
        </w:rPr>
        <w:t>产品</w:t>
      </w:r>
      <w:r>
        <w:rPr>
          <w:rFonts w:hint="eastAsia" w:ascii="楷体_GB2312" w:hAnsi="宋体" w:eastAsia="楷体_GB2312"/>
          <w:color w:val="000000"/>
          <w:sz w:val="24"/>
          <w:szCs w:val="24"/>
          <w:highlight w:val="none"/>
          <w:lang w:val="en-US" w:eastAsia="zh-CN"/>
        </w:rPr>
        <w:t>收益</w:t>
      </w:r>
      <w:r>
        <w:rPr>
          <w:rFonts w:hint="eastAsia" w:ascii="楷体_GB2312" w:hAnsi="宋体" w:eastAsia="楷体_GB2312"/>
          <w:color w:val="000000"/>
          <w:sz w:val="24"/>
          <w:szCs w:val="24"/>
          <w:highlight w:val="none"/>
        </w:rPr>
        <w:t>产生重大影响的，产品管理人将根据</w:t>
      </w:r>
      <w:r>
        <w:rPr>
          <w:rFonts w:hint="eastAsia" w:ascii="楷体_GB2312" w:hAnsi="楷体" w:eastAsia="楷体_GB2312"/>
          <w:bCs w:val="0"/>
          <w:color w:val="000000"/>
          <w:sz w:val="24"/>
          <w:szCs w:val="24"/>
          <w:highlight w:val="none"/>
        </w:rPr>
        <w:t>本理财产品</w:t>
      </w:r>
      <w:r>
        <w:rPr>
          <w:rFonts w:hint="eastAsia" w:ascii="楷体_GB2312" w:hAnsi="楷体" w:eastAsia="楷体_GB2312"/>
          <w:bCs w:val="0"/>
          <w:color w:val="000000"/>
          <w:sz w:val="24"/>
          <w:szCs w:val="24"/>
          <w:highlight w:val="none"/>
          <w:lang w:val="en-US" w:eastAsia="zh-CN"/>
        </w:rPr>
        <w:t>销售文件</w:t>
      </w:r>
      <w:r>
        <w:rPr>
          <w:rFonts w:hint="eastAsia" w:ascii="楷体_GB2312" w:hAnsi="宋体" w:eastAsia="楷体_GB2312"/>
          <w:color w:val="000000"/>
          <w:sz w:val="24"/>
          <w:szCs w:val="24"/>
          <w:highlight w:val="none"/>
        </w:rPr>
        <w:t>约定向投资者进行信息披露</w:t>
      </w:r>
      <w:r>
        <w:rPr>
          <w:rFonts w:hint="eastAsia" w:ascii="楷体_GB2312" w:hAnsi="宋体" w:eastAsia="楷体_GB2312"/>
          <w:color w:val="000000"/>
          <w:sz w:val="24"/>
          <w:szCs w:val="24"/>
          <w:highlight w:val="none"/>
          <w:lang w:eastAsia="zh-CN"/>
        </w:rPr>
        <w:t>。</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三</w:t>
      </w:r>
      <w:r>
        <w:rPr>
          <w:rFonts w:ascii="楷体_GB2312" w:hAnsi="宋体" w:eastAsia="楷体_GB2312"/>
          <w:color w:val="000000"/>
          <w:sz w:val="24"/>
          <w:highlight w:val="none"/>
        </w:rPr>
        <w:t>）投资策略</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本</w:t>
      </w:r>
      <w:r>
        <w:rPr>
          <w:rFonts w:hint="eastAsia" w:ascii="楷体_GB2312" w:hAnsi="Times New Roman" w:eastAsia="楷体_GB2312" w:cs="Times New Roman"/>
          <w:bCs w:val="0"/>
          <w:color w:val="000000"/>
          <w:kern w:val="0"/>
          <w:sz w:val="24"/>
          <w:szCs w:val="24"/>
          <w:highlight w:val="none"/>
          <w:lang w:val="en-US" w:eastAsia="zh-CN" w:bidi="bn-IN"/>
        </w:rPr>
        <w:t>理财</w:t>
      </w:r>
      <w:r>
        <w:rPr>
          <w:rFonts w:hint="eastAsia" w:ascii="楷体_GB2312" w:hAnsi="Times New Roman" w:eastAsia="楷体_GB2312" w:cs="Times New Roman"/>
          <w:bCs w:val="0"/>
          <w:color w:val="000000"/>
          <w:kern w:val="0"/>
          <w:sz w:val="24"/>
          <w:szCs w:val="24"/>
          <w:highlight w:val="none"/>
          <w:lang w:bidi="bn-IN"/>
        </w:rPr>
        <w:t>产品将基于宏观经济形势、货币政策、固定收益资产价格走势，确定各类投资资产的投资比例，优选投资品种，追求合理收益。其中债券投资策略主要包括：资产配置策略、信用投资策略、久期配置策略和杠杆策略。在不同时期，以上策略对组合收益和风险的贡献不尽相同，具体采用何种策略，取决于债券组合允许的风险程度。</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1.资产配置策略</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从宏观环境、政策因素、资金供求因素、证券市场基本面等角度进行综合分析，判断各类资产的市场趋势和预期风险收益，在严格控制风险的前提下，确定投资组合的投资比例，并根据宏观经济形势和市场时机的变化适时进行动态调整。</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2.信用投资策略</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根据</w:t>
      </w:r>
      <w:r>
        <w:rPr>
          <w:rFonts w:hint="eastAsia" w:ascii="楷体_GB2312" w:hAnsi="Times New Roman" w:eastAsia="楷体_GB2312" w:cs="Times New Roman"/>
          <w:bCs w:val="0"/>
          <w:color w:val="000000"/>
          <w:kern w:val="0"/>
          <w:sz w:val="24"/>
          <w:szCs w:val="24"/>
          <w:highlight w:val="none"/>
          <w:lang w:val="en-US" w:eastAsia="zh-CN" w:bidi="bn-IN"/>
        </w:rPr>
        <w:t>产品</w:t>
      </w:r>
      <w:r>
        <w:rPr>
          <w:rFonts w:hint="eastAsia" w:ascii="楷体_GB2312" w:hAnsi="Times New Roman" w:eastAsia="楷体_GB2312" w:cs="Times New Roman"/>
          <w:bCs w:val="0"/>
          <w:color w:val="000000"/>
          <w:kern w:val="0"/>
          <w:sz w:val="24"/>
          <w:szCs w:val="24"/>
          <w:highlight w:val="none"/>
          <w:lang w:bidi="bn-IN"/>
        </w:rPr>
        <w:t>管理人的内部信用评级标准，辅以外部信用评级，研究债权资产发行主体的信用状况，平衡风险与收益选择信用风险适当的主体和券种作为投资对象。</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3.久期配置策略</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本理财产品将基于对市场利率变化趋势的预判，分析债券市场的反映，并据此对债券组合的久期进行调整，从而获取利率下行导致债券价格上升带来的收益，并缓解利率上行导致债券价格下降的风险。</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bidi="bn-IN"/>
        </w:rPr>
        <w:t>4.杠杆配置策略</w:t>
      </w:r>
    </w:p>
    <w:p>
      <w:pPr>
        <w:autoSpaceDE w:val="0"/>
        <w:autoSpaceDN w:val="0"/>
        <w:adjustRightInd w:val="0"/>
        <w:snapToGrid/>
        <w:spacing w:before="0" w:beforeLines="0" w:after="0" w:afterLines="0"/>
        <w:ind w:firstLine="480" w:firstLineChars="200"/>
        <w:jc w:val="left"/>
        <w:rPr>
          <w:rFonts w:hint="eastAsia" w:ascii="楷体_GB2312" w:hAnsi="Times New Roman" w:eastAsia="楷体_GB2312" w:cs="Times New Roman"/>
          <w:bCs w:val="0"/>
          <w:color w:val="000000"/>
          <w:kern w:val="0"/>
          <w:sz w:val="24"/>
          <w:szCs w:val="24"/>
          <w:highlight w:val="none"/>
          <w:lang w:bidi="bn-IN"/>
        </w:rPr>
      </w:pPr>
      <w:r>
        <w:rPr>
          <w:rFonts w:hint="eastAsia" w:ascii="楷体_GB2312" w:hAnsi="Times New Roman" w:eastAsia="楷体_GB2312" w:cs="Times New Roman"/>
          <w:bCs w:val="0"/>
          <w:color w:val="000000"/>
          <w:kern w:val="0"/>
          <w:sz w:val="24"/>
          <w:szCs w:val="24"/>
          <w:highlight w:val="none"/>
          <w:lang w:val="en-US" w:eastAsia="zh-CN" w:bidi="bn-IN"/>
        </w:rPr>
        <w:t>产品</w:t>
      </w:r>
      <w:r>
        <w:rPr>
          <w:rFonts w:hint="eastAsia" w:ascii="楷体_GB2312" w:hAnsi="Times New Roman" w:eastAsia="楷体_GB2312" w:cs="Times New Roman"/>
          <w:bCs w:val="0"/>
          <w:color w:val="000000"/>
          <w:kern w:val="0"/>
          <w:sz w:val="24"/>
          <w:szCs w:val="24"/>
          <w:highlight w:val="none"/>
          <w:lang w:bidi="bn-IN"/>
        </w:rPr>
        <w:t>管理人根据对未来资金成本预测，通过融入短期资金，适度运用杠杆策略增厚组合收益，从而获得杠杆放大收益；</w:t>
      </w:r>
      <w:r>
        <w:rPr>
          <w:rFonts w:hint="eastAsia" w:ascii="楷体_GB2312" w:hAnsi="Times New Roman" w:eastAsia="楷体_GB2312" w:cs="Times New Roman"/>
          <w:bCs w:val="0"/>
          <w:color w:val="000000"/>
          <w:kern w:val="0"/>
          <w:sz w:val="24"/>
          <w:szCs w:val="24"/>
          <w:highlight w:val="none"/>
          <w:lang w:val="en-US" w:eastAsia="zh-CN" w:bidi="bn-IN"/>
        </w:rPr>
        <w:t>产品</w:t>
      </w:r>
      <w:r>
        <w:rPr>
          <w:rFonts w:hint="eastAsia" w:ascii="楷体_GB2312" w:hAnsi="Times New Roman" w:eastAsia="楷体_GB2312" w:cs="Times New Roman"/>
          <w:bCs w:val="0"/>
          <w:color w:val="000000"/>
          <w:kern w:val="0"/>
          <w:sz w:val="24"/>
          <w:szCs w:val="24"/>
          <w:highlight w:val="none"/>
          <w:lang w:bidi="bn-IN"/>
        </w:rPr>
        <w:t>管理人将根据市场利率水平以及对利率期限结构的预期等，对杠杆比例适时进行调整，尽可能平滑投资组合的净值波动。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（四）投资限制</w:t>
      </w:r>
    </w:p>
    <w:p>
      <w:pPr>
        <w:autoSpaceDE w:val="0"/>
        <w:autoSpaceDN w:val="0"/>
        <w:adjustRightInd w:val="0"/>
        <w:ind w:firstLine="480" w:firstLineChars="200"/>
        <w:jc w:val="left"/>
        <w:rPr>
          <w:rFonts w:hint="eastAsia" w:ascii="楷体_GB2312" w:hAnsi="Times New Roman" w:eastAsia="楷体_GB2312" w:cs="Times New Roman"/>
          <w:color w:val="000000"/>
          <w:kern w:val="0"/>
          <w:sz w:val="24"/>
          <w:highlight w:val="none"/>
          <w:lang w:bidi="bn-IN"/>
        </w:rPr>
      </w:pPr>
      <w:r>
        <w:rPr>
          <w:rFonts w:hint="eastAsia" w:ascii="楷体_GB2312" w:hAnsi="Times New Roman" w:eastAsia="楷体_GB2312" w:cs="Times New Roman"/>
          <w:color w:val="000000"/>
          <w:kern w:val="0"/>
          <w:sz w:val="24"/>
          <w:highlight w:val="none"/>
          <w:lang w:val="en-US" w:eastAsia="zh-CN" w:bidi="bn-IN"/>
        </w:rPr>
        <w:t>1.</w:t>
      </w:r>
      <w:r>
        <w:rPr>
          <w:rFonts w:hint="eastAsia" w:ascii="楷体_GB2312" w:hAnsi="Times New Roman" w:eastAsia="楷体_GB2312" w:cs="Times New Roman"/>
          <w:color w:val="000000"/>
          <w:kern w:val="0"/>
          <w:sz w:val="24"/>
          <w:highlight w:val="none"/>
          <w:lang w:bidi="bn-IN"/>
        </w:rPr>
        <w:t>本理财产品投资债券信用等级的认定：</w:t>
      </w:r>
    </w:p>
    <w:p>
      <w:pPr>
        <w:autoSpaceDE w:val="0"/>
        <w:autoSpaceDN w:val="0"/>
        <w:adjustRightInd w:val="0"/>
        <w:ind w:firstLine="480" w:firstLineChars="200"/>
        <w:jc w:val="left"/>
        <w:rPr>
          <w:rFonts w:hint="eastAsia" w:ascii="楷体_GB2312" w:hAnsi="Times New Roman" w:eastAsia="楷体_GB2312" w:cs="Times New Roman"/>
          <w:color w:val="000000"/>
          <w:sz w:val="24"/>
          <w:szCs w:val="24"/>
          <w:highlight w:val="none"/>
          <w:lang w:bidi="bn-IN"/>
        </w:rPr>
      </w:pPr>
      <w:r>
        <w:rPr>
          <w:rFonts w:hint="eastAsia" w:ascii="楷体_GB2312" w:hAnsi="Times New Roman" w:eastAsia="楷体_GB2312" w:cs="Times New Roman"/>
          <w:color w:val="000000"/>
          <w:kern w:val="0"/>
          <w:sz w:val="24"/>
          <w:highlight w:val="none"/>
          <w:lang w:val="en-US" w:eastAsia="zh-CN" w:bidi="bn-IN"/>
        </w:rPr>
        <w:t>本理财产品</w:t>
      </w:r>
      <w:r>
        <w:rPr>
          <w:rFonts w:hint="eastAsia" w:ascii="楷体_GB2312" w:hAnsi="Times New Roman" w:eastAsia="楷体_GB2312" w:cs="Times New Roman"/>
          <w:color w:val="000000"/>
          <w:kern w:val="0"/>
          <w:sz w:val="24"/>
          <w:highlight w:val="none"/>
          <w:lang w:bidi="bn-IN"/>
        </w:rPr>
        <w:t>投资债券的信用等级主要</w:t>
      </w:r>
      <w:r>
        <w:rPr>
          <w:rFonts w:hint="eastAsia" w:ascii="楷体_GB2312" w:hAnsi="Times New Roman" w:eastAsia="楷体_GB2312" w:cs="Times New Roman"/>
          <w:color w:val="000000"/>
          <w:kern w:val="0"/>
          <w:sz w:val="24"/>
          <w:highlight w:val="none"/>
          <w:lang w:val="en-US" w:eastAsia="zh-CN" w:bidi="bn-IN"/>
        </w:rPr>
        <w:t>参照外部</w:t>
      </w:r>
      <w:r>
        <w:rPr>
          <w:rFonts w:hint="eastAsia" w:ascii="楷体_GB2312" w:hAnsi="Times New Roman" w:eastAsia="楷体_GB2312" w:cs="Times New Roman"/>
          <w:color w:val="000000"/>
          <w:kern w:val="0"/>
          <w:sz w:val="24"/>
          <w:highlight w:val="none"/>
          <w:lang w:bidi="bn-IN"/>
        </w:rPr>
        <w:t>最新主体评级或债项评级</w:t>
      </w:r>
      <w:r>
        <w:rPr>
          <w:rFonts w:hint="eastAsia" w:ascii="楷体_GB2312" w:hAnsi="Times New Roman" w:eastAsia="楷体_GB2312" w:cs="Times New Roman"/>
          <w:color w:val="000000"/>
          <w:kern w:val="0"/>
          <w:sz w:val="24"/>
          <w:highlight w:val="none"/>
          <w:lang w:eastAsia="zh-CN" w:bidi="bn-IN"/>
        </w:rPr>
        <w:t>，</w:t>
      </w:r>
      <w:r>
        <w:rPr>
          <w:rFonts w:hint="eastAsia" w:ascii="楷体_GB2312" w:hAnsi="Times New Roman" w:eastAsia="楷体_GB2312" w:cs="Times New Roman"/>
          <w:color w:val="000000"/>
          <w:kern w:val="0"/>
          <w:sz w:val="24"/>
          <w:highlight w:val="none"/>
          <w:lang w:bidi="bn-IN"/>
        </w:rPr>
        <w:t>若无主体和债项评级的，则按照产</w:t>
      </w:r>
      <w:r>
        <w:rPr>
          <w:rFonts w:hint="eastAsia" w:ascii="楷体_GB2312" w:hAnsi="Times New Roman" w:eastAsia="楷体_GB2312" w:cs="Times New Roman"/>
          <w:color w:val="000000"/>
          <w:kern w:val="0"/>
          <w:sz w:val="24"/>
          <w:szCs w:val="24"/>
          <w:highlight w:val="none"/>
          <w:lang w:bidi="bn-IN"/>
        </w:rPr>
        <w:t>品管理人内部</w:t>
      </w:r>
      <w:r>
        <w:rPr>
          <w:rFonts w:hint="eastAsia" w:ascii="楷体_GB2312" w:hAnsi="Times New Roman" w:eastAsia="楷体_GB2312" w:cs="Times New Roman"/>
          <w:color w:val="000000"/>
          <w:kern w:val="0"/>
          <w:sz w:val="24"/>
          <w:szCs w:val="24"/>
          <w:highlight w:val="none"/>
          <w:lang w:val="en-US" w:eastAsia="zh-CN" w:bidi="bn-IN"/>
        </w:rPr>
        <w:t>评级</w:t>
      </w:r>
      <w:r>
        <w:rPr>
          <w:rFonts w:hint="eastAsia" w:ascii="楷体_GB2312" w:hAnsi="Times New Roman" w:eastAsia="楷体_GB2312" w:cs="Times New Roman"/>
          <w:color w:val="000000"/>
          <w:kern w:val="0"/>
          <w:sz w:val="24"/>
          <w:szCs w:val="24"/>
          <w:highlight w:val="none"/>
          <w:lang w:bidi="bn-IN"/>
        </w:rPr>
        <w:t>进行投资。</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val="en-US" w:eastAsia="zh-CN" w:bidi="bn-IN"/>
        </w:rPr>
        <w:t>2</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产品不得投资于以下金融工具：</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1</w:t>
      </w:r>
      <w:r>
        <w:rPr>
          <w:rFonts w:hint="eastAsia" w:ascii="楷体_GB2312" w:eastAsia="楷体_GB2312"/>
          <w:color w:val="000000"/>
          <w:kern w:val="0"/>
          <w:sz w:val="24"/>
          <w:highlight w:val="none"/>
          <w:lang w:bidi="bn-IN"/>
        </w:rPr>
        <w:t>）股票；</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2</w:t>
      </w:r>
      <w:r>
        <w:rPr>
          <w:rFonts w:hint="eastAsia" w:ascii="楷体_GB2312" w:eastAsia="楷体_GB2312"/>
          <w:color w:val="000000"/>
          <w:kern w:val="0"/>
          <w:sz w:val="24"/>
          <w:highlight w:val="none"/>
          <w:lang w:bidi="bn-IN"/>
        </w:rPr>
        <w:t>）可转换债券、可交换债券；</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3</w:t>
      </w:r>
      <w:r>
        <w:rPr>
          <w:rFonts w:hint="eastAsia" w:ascii="楷体_GB2312" w:eastAsia="楷体_GB2312"/>
          <w:color w:val="000000"/>
          <w:kern w:val="0"/>
          <w:sz w:val="24"/>
          <w:highlight w:val="none"/>
          <w:lang w:bidi="bn-IN"/>
        </w:rPr>
        <w:t>）以定期存款利率为基准利率的浮动利率债券，已进入最后一个利率调整期的除外；</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4</w:t>
      </w:r>
      <w:r>
        <w:rPr>
          <w:rFonts w:hint="eastAsia" w:ascii="楷体_GB2312" w:eastAsia="楷体_GB2312"/>
          <w:color w:val="000000"/>
          <w:kern w:val="0"/>
          <w:sz w:val="24"/>
          <w:highlight w:val="none"/>
          <w:lang w:bidi="bn-IN"/>
        </w:rPr>
        <w:t>）信用等级在AA+以下的债券、资产支持证券；</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5</w:t>
      </w:r>
      <w:r>
        <w:rPr>
          <w:rFonts w:hint="eastAsia" w:ascii="楷体_GB2312" w:eastAsia="楷体_GB2312"/>
          <w:color w:val="000000"/>
          <w:kern w:val="0"/>
          <w:sz w:val="24"/>
          <w:highlight w:val="none"/>
          <w:lang w:bidi="bn-IN"/>
        </w:rPr>
        <w:t>）</w:t>
      </w:r>
      <w:r>
        <w:rPr>
          <w:rFonts w:hint="eastAsia" w:ascii="楷体_GB2312" w:eastAsia="楷体_GB2312"/>
          <w:color w:val="000000"/>
          <w:kern w:val="0"/>
          <w:sz w:val="24"/>
          <w:highlight w:val="none"/>
          <w:lang w:eastAsia="zh-CN" w:bidi="bn-IN"/>
        </w:rPr>
        <w:t>国家金融监督管理总局</w:t>
      </w:r>
      <w:r>
        <w:rPr>
          <w:rFonts w:hint="eastAsia" w:ascii="楷体_GB2312" w:eastAsia="楷体_GB2312"/>
          <w:color w:val="000000"/>
          <w:kern w:val="0"/>
          <w:sz w:val="24"/>
          <w:highlight w:val="none"/>
          <w:lang w:bidi="bn-IN"/>
        </w:rPr>
        <w:t>、中国人民银行禁止投资的其他金融工具。</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val="en-US" w:eastAsia="zh-CN" w:bidi="bn-IN"/>
        </w:rPr>
        <w:t>3</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产品投资集中度要求如下：</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1</w:t>
      </w:r>
      <w:r>
        <w:rPr>
          <w:rFonts w:hint="eastAsia" w:ascii="楷体_GB2312" w:eastAsia="楷体_GB2312"/>
          <w:color w:val="000000"/>
          <w:kern w:val="0"/>
          <w:sz w:val="24"/>
          <w:highlight w:val="none"/>
          <w:lang w:bidi="bn-IN"/>
        </w:rPr>
        <w:t>）</w:t>
      </w:r>
      <w:r>
        <w:rPr>
          <w:rFonts w:hint="eastAsia" w:ascii="楷体_GB2312" w:eastAsia="楷体_GB2312"/>
          <w:color w:val="000000"/>
          <w:kern w:val="0"/>
          <w:sz w:val="24"/>
          <w:highlight w:val="none"/>
          <w:lang w:val="en-US" w:eastAsia="zh-CN" w:bidi="bn-IN"/>
        </w:rPr>
        <w:t>本理财产品</w:t>
      </w:r>
      <w:r>
        <w:rPr>
          <w:rFonts w:hint="eastAsia" w:ascii="楷体_GB2312" w:eastAsia="楷体_GB2312"/>
          <w:color w:val="000000"/>
          <w:kern w:val="0"/>
          <w:sz w:val="24"/>
          <w:highlight w:val="none"/>
          <w:lang w:bidi="bn-IN"/>
        </w:rPr>
        <w:t>投资于同一机构发行的债券及其作为原始权益人的资产支持证券的比例合计不得超过</w:t>
      </w:r>
      <w:r>
        <w:rPr>
          <w:rFonts w:hint="eastAsia" w:ascii="楷体_GB2312" w:eastAsia="楷体_GB2312"/>
          <w:color w:val="000000"/>
          <w:kern w:val="0"/>
          <w:sz w:val="24"/>
          <w:highlight w:val="none"/>
          <w:lang w:eastAsia="zh-CN" w:bidi="bn-IN"/>
        </w:rPr>
        <w:t>本理财产品</w:t>
      </w:r>
      <w:r>
        <w:rPr>
          <w:rFonts w:hint="eastAsia" w:ascii="楷体_GB2312" w:eastAsia="楷体_GB2312"/>
          <w:color w:val="000000"/>
          <w:kern w:val="0"/>
          <w:sz w:val="24"/>
          <w:highlight w:val="none"/>
          <w:lang w:bidi="bn-IN"/>
        </w:rPr>
        <w:t>资产净值的10%，投资于国债、中央银行票据、政策性金融债券的除外；</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2</w:t>
      </w:r>
      <w:r>
        <w:rPr>
          <w:rFonts w:hint="eastAsia" w:ascii="楷体_GB2312" w:eastAsia="楷体_GB2312"/>
          <w:color w:val="000000"/>
          <w:kern w:val="0"/>
          <w:sz w:val="24"/>
          <w:highlight w:val="none"/>
          <w:lang w:bidi="bn-IN"/>
        </w:rPr>
        <w:t>）</w:t>
      </w:r>
      <w:r>
        <w:rPr>
          <w:rFonts w:hint="eastAsia" w:ascii="楷体_GB2312" w:eastAsia="楷体_GB2312"/>
          <w:color w:val="000000"/>
          <w:kern w:val="0"/>
          <w:sz w:val="24"/>
          <w:highlight w:val="none"/>
          <w:lang w:val="en-US" w:eastAsia="zh-CN" w:bidi="bn-IN"/>
        </w:rPr>
        <w:t>本理财产品</w:t>
      </w:r>
      <w:r>
        <w:rPr>
          <w:rFonts w:hint="eastAsia" w:ascii="楷体_GB2312" w:eastAsia="楷体_GB2312"/>
          <w:color w:val="000000"/>
          <w:kern w:val="0"/>
          <w:sz w:val="24"/>
          <w:highlight w:val="none"/>
          <w:lang w:bidi="bn-IN"/>
        </w:rPr>
        <w:t>投资于所有主体信用评级低于AAA的机构发行的金融工具的比例合计不得超过本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产品资产净值的10%，其中单一机构发行的金融工具的比例合计不得超过本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产品资产净值的2%，本款所称金融工具包括债券、银行存款、同业存单、相关机构作为原始权益人的资产支持证券及</w:t>
      </w:r>
      <w:r>
        <w:rPr>
          <w:rFonts w:hint="eastAsia" w:ascii="楷体_GB2312" w:eastAsia="楷体_GB2312"/>
          <w:color w:val="000000"/>
          <w:kern w:val="0"/>
          <w:sz w:val="24"/>
          <w:highlight w:val="none"/>
          <w:lang w:eastAsia="zh-CN" w:bidi="bn-IN"/>
        </w:rPr>
        <w:t>国家金融监督管理总局</w:t>
      </w:r>
      <w:r>
        <w:rPr>
          <w:rFonts w:hint="eastAsia" w:ascii="楷体_GB2312" w:eastAsia="楷体_GB2312"/>
          <w:color w:val="000000"/>
          <w:kern w:val="0"/>
          <w:sz w:val="24"/>
          <w:highlight w:val="none"/>
          <w:lang w:bidi="bn-IN"/>
        </w:rPr>
        <w:t>认可的其他金融工具；</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3</w:t>
      </w:r>
      <w:r>
        <w:rPr>
          <w:rFonts w:hint="eastAsia" w:ascii="楷体_GB2312" w:eastAsia="楷体_GB2312"/>
          <w:color w:val="000000"/>
          <w:kern w:val="0"/>
          <w:sz w:val="24"/>
          <w:highlight w:val="none"/>
          <w:lang w:bidi="bn-IN"/>
        </w:rPr>
        <w:t>）</w:t>
      </w:r>
      <w:r>
        <w:rPr>
          <w:rFonts w:hint="eastAsia" w:ascii="楷体_GB2312" w:eastAsia="楷体_GB2312"/>
          <w:color w:val="000000"/>
          <w:kern w:val="0"/>
          <w:sz w:val="24"/>
          <w:highlight w:val="none"/>
          <w:lang w:val="en-US" w:eastAsia="zh-CN" w:bidi="bn-IN"/>
        </w:rPr>
        <w:t>本理财产品</w:t>
      </w:r>
      <w:r>
        <w:rPr>
          <w:rFonts w:hint="eastAsia" w:ascii="楷体_GB2312" w:eastAsia="楷体_GB2312"/>
          <w:color w:val="000000"/>
          <w:kern w:val="0"/>
          <w:sz w:val="24"/>
          <w:highlight w:val="none"/>
          <w:lang w:bidi="bn-IN"/>
        </w:rPr>
        <w:t>投资于有固定期限银行存款的比例合计不得超过本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产品资产净值的30%，投资于有存款期限，根据协议可提前支取的银行存款除外；本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产品投资于主体信用评级为AAA的同一商业银行的银行存款、同业存单占本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产品资产净值的比例合计不得超过20%；</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4</w:t>
      </w:r>
      <w:r>
        <w:rPr>
          <w:rFonts w:hint="eastAsia" w:ascii="楷体_GB2312" w:eastAsia="楷体_GB2312"/>
          <w:color w:val="000000"/>
          <w:kern w:val="0"/>
          <w:sz w:val="24"/>
          <w:highlight w:val="none"/>
          <w:lang w:bidi="bn-IN"/>
        </w:rPr>
        <w:t>）产品管理人管理的全部现金管理类</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产品投资于同一商业银行的存款、同业存单和债券，不得超过该商业银行最近一个季度末净资产的10%；</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w:t>
      </w:r>
      <w:r>
        <w:rPr>
          <w:rFonts w:ascii="楷体_GB2312" w:eastAsia="楷体_GB2312"/>
          <w:color w:val="000000"/>
          <w:kern w:val="0"/>
          <w:sz w:val="24"/>
          <w:highlight w:val="none"/>
          <w:lang w:bidi="bn-IN"/>
        </w:rPr>
        <w:t>5</w:t>
      </w:r>
      <w:r>
        <w:rPr>
          <w:rFonts w:hint="eastAsia" w:ascii="楷体_GB2312" w:eastAsia="楷体_GB2312"/>
          <w:color w:val="000000"/>
          <w:kern w:val="0"/>
          <w:sz w:val="24"/>
          <w:highlight w:val="none"/>
          <w:lang w:bidi="bn-IN"/>
        </w:rPr>
        <w:t>）产品管理人管理的现金管理类</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w:t>
      </w:r>
      <w:r>
        <w:rPr>
          <w:rFonts w:hint="eastAsia" w:ascii="楷体_GB2312" w:eastAsia="楷体_GB2312"/>
          <w:color w:val="000000"/>
          <w:kern w:val="0"/>
          <w:sz w:val="24"/>
          <w:highlight w:val="none"/>
          <w:lang w:val="en-US" w:eastAsia="zh-CN" w:bidi="bn-IN"/>
        </w:rPr>
        <w:t>拟</w:t>
      </w:r>
      <w:r>
        <w:rPr>
          <w:rFonts w:hint="eastAsia" w:ascii="楷体_GB2312" w:eastAsia="楷体_GB2312"/>
          <w:color w:val="000000"/>
          <w:kern w:val="0"/>
          <w:sz w:val="24"/>
          <w:highlight w:val="none"/>
          <w:lang w:bidi="bn-IN"/>
        </w:rPr>
        <w:t>投资于主体信用评级低于AA+的商业银行的银行存款与同业存单的，应当经产品管理人</w:t>
      </w:r>
      <w:r>
        <w:rPr>
          <w:rFonts w:hint="eastAsia" w:ascii="楷体_GB2312" w:eastAsia="楷体_GB2312"/>
          <w:color w:val="000000"/>
          <w:kern w:val="0"/>
          <w:sz w:val="24"/>
          <w:highlight w:val="none"/>
          <w:lang w:eastAsia="zh-CN" w:bidi="bn-IN"/>
        </w:rPr>
        <w:t>的</w:t>
      </w:r>
      <w:r>
        <w:rPr>
          <w:rFonts w:hint="eastAsia" w:ascii="楷体_GB2312" w:eastAsia="楷体_GB2312"/>
          <w:color w:val="000000"/>
          <w:kern w:val="0"/>
          <w:sz w:val="24"/>
          <w:highlight w:val="none"/>
          <w:lang w:bidi="bn-IN"/>
        </w:rPr>
        <w:t>董事会审议批准，相关交易应当事先告知</w:t>
      </w:r>
      <w:r>
        <w:rPr>
          <w:rFonts w:hint="eastAsia" w:ascii="楷体_GB2312" w:eastAsia="楷体_GB2312"/>
          <w:color w:val="000000"/>
          <w:kern w:val="0"/>
          <w:sz w:val="24"/>
          <w:highlight w:val="none"/>
          <w:lang w:val="en-US" w:eastAsia="zh-CN" w:bidi="bn-IN"/>
        </w:rPr>
        <w:t>产品托管人</w:t>
      </w:r>
      <w:r>
        <w:rPr>
          <w:rFonts w:hint="eastAsia" w:ascii="楷体_GB2312" w:eastAsia="楷体_GB2312"/>
          <w:color w:val="000000"/>
          <w:kern w:val="0"/>
          <w:sz w:val="24"/>
          <w:highlight w:val="none"/>
          <w:lang w:bidi="bn-IN"/>
        </w:rPr>
        <w:t>，并作为重大事项履行信息披露程序。</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hAnsi="楷体" w:eastAsia="楷体_GB2312"/>
          <w:sz w:val="24"/>
          <w:highlight w:val="none"/>
        </w:rPr>
        <w:t>★</w:t>
      </w:r>
      <w:r>
        <w:rPr>
          <w:rFonts w:hint="eastAsia" w:ascii="楷体_GB2312" w:eastAsia="楷体_GB2312"/>
          <w:color w:val="000000"/>
          <w:kern w:val="0"/>
          <w:sz w:val="24"/>
          <w:highlight w:val="none"/>
          <w:lang w:bidi="bn-IN"/>
        </w:rPr>
        <w:t>非主观因素导致突破前款各项比例限制的，</w:t>
      </w:r>
      <w:r>
        <w:rPr>
          <w:rFonts w:hint="eastAsia" w:ascii="楷体_GB2312" w:eastAsia="楷体_GB2312"/>
          <w:color w:val="000000"/>
          <w:kern w:val="0"/>
          <w:sz w:val="24"/>
          <w:highlight w:val="none"/>
          <w:lang w:val="en-US" w:eastAsia="zh-CN" w:bidi="bn-IN"/>
        </w:rPr>
        <w:t>产品管理人</w:t>
      </w:r>
      <w:r>
        <w:rPr>
          <w:rFonts w:hint="eastAsia" w:ascii="楷体_GB2312" w:eastAsia="楷体_GB2312"/>
          <w:color w:val="000000"/>
          <w:kern w:val="0"/>
          <w:sz w:val="24"/>
          <w:highlight w:val="none"/>
          <w:lang w:bidi="bn-IN"/>
        </w:rPr>
        <w:t>应当在10个交易日内调整至符合要求，</w:t>
      </w:r>
      <w:r>
        <w:rPr>
          <w:rFonts w:hint="eastAsia" w:ascii="楷体_GB2312" w:eastAsia="楷体_GB2312"/>
          <w:color w:val="000000"/>
          <w:kern w:val="0"/>
          <w:sz w:val="24"/>
          <w:highlight w:val="none"/>
          <w:lang w:eastAsia="zh-CN" w:bidi="bn-IN"/>
        </w:rPr>
        <w:t>国家金融监督管理总局</w:t>
      </w:r>
      <w:r>
        <w:rPr>
          <w:rFonts w:hint="eastAsia" w:ascii="楷体_GB2312" w:eastAsia="楷体_GB2312"/>
          <w:color w:val="000000"/>
          <w:kern w:val="0"/>
          <w:sz w:val="24"/>
          <w:highlight w:val="none"/>
          <w:lang w:bidi="bn-IN"/>
        </w:rPr>
        <w:t>规定的特殊情形除外。</w:t>
      </w:r>
    </w:p>
    <w:p>
      <w:pPr>
        <w:autoSpaceDE w:val="0"/>
        <w:autoSpaceDN w:val="0"/>
        <w:adjustRightInd w:val="0"/>
        <w:ind w:firstLine="600" w:firstLineChars="25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val="en-US" w:eastAsia="zh-CN" w:bidi="bn-IN"/>
        </w:rPr>
        <w:t>4</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w:t>
      </w:r>
      <w:r>
        <w:rPr>
          <w:rFonts w:hint="eastAsia" w:ascii="楷体_GB2312" w:eastAsia="楷体_GB2312"/>
          <w:color w:val="000000"/>
          <w:kern w:val="0"/>
          <w:sz w:val="24"/>
          <w:highlight w:val="none"/>
          <w:lang w:val="en-US" w:eastAsia="zh-CN" w:bidi="bn-IN"/>
        </w:rPr>
        <w:t>应</w:t>
      </w:r>
      <w:r>
        <w:rPr>
          <w:rFonts w:hint="eastAsia" w:ascii="楷体_GB2312" w:eastAsia="楷体_GB2312"/>
          <w:color w:val="000000"/>
          <w:kern w:val="0"/>
          <w:sz w:val="24"/>
          <w:highlight w:val="none"/>
          <w:lang w:bidi="bn-IN"/>
        </w:rPr>
        <w:t>持有</w:t>
      </w:r>
      <w:r>
        <w:rPr>
          <w:rFonts w:hint="eastAsia" w:ascii="楷体_GB2312" w:eastAsia="楷体_GB2312"/>
          <w:color w:val="000000"/>
          <w:kern w:val="0"/>
          <w:sz w:val="24"/>
          <w:highlight w:val="none"/>
          <w:lang w:val="en-US" w:eastAsia="zh-CN" w:bidi="bn-IN"/>
        </w:rPr>
        <w:t>足够的</w:t>
      </w:r>
      <w:r>
        <w:rPr>
          <w:rFonts w:hint="eastAsia" w:ascii="楷体_GB2312" w:eastAsia="楷体_GB2312"/>
          <w:color w:val="000000"/>
          <w:kern w:val="0"/>
          <w:sz w:val="24"/>
          <w:highlight w:val="none"/>
          <w:lang w:bidi="bn-IN"/>
        </w:rPr>
        <w:t>具有良好流动性的资产，</w:t>
      </w:r>
      <w:r>
        <w:rPr>
          <w:rFonts w:hint="eastAsia" w:ascii="楷体_GB2312" w:eastAsia="楷体_GB2312"/>
          <w:color w:val="000000"/>
          <w:kern w:val="0"/>
          <w:sz w:val="24"/>
          <w:highlight w:val="none"/>
          <w:lang w:val="en-US" w:eastAsia="zh-CN" w:bidi="bn-IN"/>
        </w:rPr>
        <w:t>本理财产品的投资组合应</w:t>
      </w:r>
      <w:r>
        <w:rPr>
          <w:rFonts w:hint="eastAsia" w:ascii="楷体_GB2312" w:eastAsia="楷体_GB2312"/>
          <w:color w:val="000000"/>
          <w:kern w:val="0"/>
          <w:sz w:val="24"/>
          <w:highlight w:val="none"/>
          <w:lang w:bidi="bn-IN"/>
        </w:rPr>
        <w:t>符合以下要求：</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（1）</w:t>
      </w:r>
      <w:r>
        <w:rPr>
          <w:rFonts w:hint="eastAsia" w:ascii="楷体_GB2312" w:eastAsia="楷体_GB2312"/>
          <w:color w:val="000000"/>
          <w:kern w:val="0"/>
          <w:sz w:val="24"/>
          <w:highlight w:val="none"/>
          <w:lang w:val="en-US" w:eastAsia="zh-CN" w:bidi="bn-IN"/>
        </w:rPr>
        <w:t>本理财产品</w:t>
      </w:r>
      <w:r>
        <w:rPr>
          <w:rFonts w:ascii="楷体_GB2312" w:eastAsia="楷体_GB2312"/>
          <w:color w:val="000000"/>
          <w:kern w:val="0"/>
          <w:sz w:val="24"/>
          <w:highlight w:val="none"/>
          <w:lang w:bidi="bn-IN"/>
        </w:rPr>
        <w:t>持有不低于本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产品资产净值5%的现金、国债、中央银行票据、政策性金融债券；</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（2）</w:t>
      </w:r>
      <w:r>
        <w:rPr>
          <w:rFonts w:hint="eastAsia" w:ascii="楷体_GB2312" w:eastAsia="楷体_GB2312"/>
          <w:color w:val="000000"/>
          <w:kern w:val="0"/>
          <w:sz w:val="24"/>
          <w:highlight w:val="none"/>
          <w:lang w:val="en-US" w:eastAsia="zh-CN" w:bidi="bn-IN"/>
        </w:rPr>
        <w:t>本理财产品</w:t>
      </w:r>
      <w:r>
        <w:rPr>
          <w:rFonts w:ascii="楷体_GB2312" w:eastAsia="楷体_GB2312"/>
          <w:color w:val="000000"/>
          <w:kern w:val="0"/>
          <w:sz w:val="24"/>
          <w:highlight w:val="none"/>
          <w:lang w:bidi="bn-IN"/>
        </w:rPr>
        <w:t>持有不低于本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产品资产净值10%的现金、国债、中央银行票据、政策性金融债券以及五个交易日内到期的其他金融工具；</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当前10名投资者的持有份额合计超过</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产品总份额的50%时，投资组合中现金、国债、中央银行票据、政策性金融债券以及5个交易日内到期的其他金融工具占本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产品资产净值的比例合计不得低于30%；</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当前10名投资者的持有份额合计超过</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产品总份额的20%时，投资组合中现金、国债、中央银行票据、政策性金融债券以及5个交易日内到期的其他金融工具占本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产品资产净值的比例合计不得低于20%；</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（3）</w:t>
      </w:r>
      <w:r>
        <w:rPr>
          <w:rFonts w:hint="eastAsia" w:ascii="楷体_GB2312" w:eastAsia="楷体_GB2312"/>
          <w:color w:val="000000"/>
          <w:kern w:val="0"/>
          <w:sz w:val="24"/>
          <w:highlight w:val="none"/>
          <w:lang w:val="en-US" w:eastAsia="zh-CN" w:bidi="bn-IN"/>
        </w:rPr>
        <w:t>本理财产品</w:t>
      </w:r>
      <w:r>
        <w:rPr>
          <w:rFonts w:ascii="楷体_GB2312" w:eastAsia="楷体_GB2312"/>
          <w:color w:val="000000"/>
          <w:kern w:val="0"/>
          <w:sz w:val="24"/>
          <w:highlight w:val="none"/>
          <w:lang w:bidi="bn-IN"/>
        </w:rPr>
        <w:t>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本</w:t>
      </w:r>
      <w:r>
        <w:rPr>
          <w:rFonts w:hint="eastAsia" w:ascii="楷体_GB2312" w:eastAsia="楷体_GB2312"/>
          <w:color w:val="000000"/>
          <w:kern w:val="0"/>
          <w:sz w:val="24"/>
          <w:highlight w:val="none"/>
          <w:lang w:val="en-US" w:eastAsia="zh-CN" w:bidi="bn-IN"/>
        </w:rPr>
        <w:t>理财</w:t>
      </w:r>
      <w:r>
        <w:rPr>
          <w:rFonts w:ascii="楷体_GB2312" w:eastAsia="楷体_GB2312"/>
          <w:color w:val="000000"/>
          <w:kern w:val="0"/>
          <w:sz w:val="24"/>
          <w:highlight w:val="none"/>
          <w:lang w:bidi="bn-IN"/>
        </w:rPr>
        <w:t>产品资产净值的10%；</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ascii="楷体_GB2312" w:eastAsia="楷体_GB2312"/>
          <w:color w:val="000000"/>
          <w:kern w:val="0"/>
          <w:sz w:val="24"/>
          <w:highlight w:val="none"/>
          <w:lang w:bidi="bn-IN"/>
        </w:rPr>
        <w:t>（4）</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的杠杆水平</w:t>
      </w:r>
      <w:r>
        <w:rPr>
          <w:rFonts w:hint="eastAsia" w:ascii="楷体_GB2312" w:hAnsi="宋体" w:eastAsia="楷体_GB2312"/>
          <w:color w:val="000000"/>
          <w:sz w:val="24"/>
          <w:highlight w:val="none"/>
        </w:rPr>
        <w:t>不得超过</w:t>
      </w:r>
      <w:r>
        <w:rPr>
          <w:rFonts w:ascii="楷体_GB2312" w:eastAsia="楷体_GB2312"/>
          <w:color w:val="000000"/>
          <w:kern w:val="0"/>
          <w:sz w:val="24"/>
          <w:highlight w:val="none"/>
          <w:lang w:bidi="bn-IN"/>
        </w:rPr>
        <w:t>120%，发生巨额赎回、连续3个交易日累计赎回20%以上或者连续5个交易日累计赎回30%以上的情形除外。</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hAnsi="楷体" w:eastAsia="楷体_GB2312"/>
          <w:sz w:val="24"/>
          <w:highlight w:val="none"/>
        </w:rPr>
        <w:t>★</w:t>
      </w:r>
      <w:r>
        <w:rPr>
          <w:rFonts w:ascii="楷体_GB2312" w:eastAsia="楷体_GB2312"/>
          <w:color w:val="000000"/>
          <w:kern w:val="0"/>
          <w:sz w:val="24"/>
          <w:highlight w:val="none"/>
          <w:lang w:bidi="bn-IN"/>
        </w:rPr>
        <w:t>非主观因素导致突破前款第（2）（4）项比例限制的，</w:t>
      </w:r>
      <w:r>
        <w:rPr>
          <w:rFonts w:hint="eastAsia" w:ascii="楷体_GB2312" w:eastAsia="楷体_GB2312"/>
          <w:color w:val="000000"/>
          <w:kern w:val="0"/>
          <w:sz w:val="24"/>
          <w:highlight w:val="none"/>
          <w:lang w:eastAsia="zh-CN" w:bidi="bn-IN"/>
        </w:rPr>
        <w:t>产品管理人</w:t>
      </w:r>
      <w:r>
        <w:rPr>
          <w:rFonts w:ascii="楷体_GB2312" w:eastAsia="楷体_GB2312"/>
          <w:color w:val="000000"/>
          <w:kern w:val="0"/>
          <w:sz w:val="24"/>
          <w:highlight w:val="none"/>
          <w:lang w:bidi="bn-IN"/>
        </w:rPr>
        <w:t>应当在10个交易日内调整至符合要求；非主观因素导致突破前款第（3）项比例限制的，</w:t>
      </w:r>
      <w:r>
        <w:rPr>
          <w:rFonts w:hint="eastAsia" w:ascii="楷体_GB2312" w:eastAsia="楷体_GB2312"/>
          <w:color w:val="000000"/>
          <w:kern w:val="0"/>
          <w:sz w:val="24"/>
          <w:highlight w:val="none"/>
          <w:lang w:eastAsia="zh-CN" w:bidi="bn-IN"/>
        </w:rPr>
        <w:t>产品管理人</w:t>
      </w:r>
      <w:r>
        <w:rPr>
          <w:rFonts w:ascii="楷体_GB2312" w:eastAsia="楷体_GB2312"/>
          <w:color w:val="000000"/>
          <w:kern w:val="0"/>
          <w:sz w:val="24"/>
          <w:highlight w:val="none"/>
          <w:lang w:bidi="bn-IN"/>
        </w:rPr>
        <w:t>不得主动新增流动性受限资产的投资。</w:t>
      </w:r>
    </w:p>
    <w:p>
      <w:pPr>
        <w:autoSpaceDE w:val="0"/>
        <w:autoSpaceDN w:val="0"/>
        <w:adjustRightInd w:val="0"/>
        <w:ind w:firstLine="480" w:firstLineChars="200"/>
        <w:jc w:val="left"/>
        <w:rPr>
          <w:rFonts w:ascii="楷体_GB2312" w:eastAsia="楷体_GB2312"/>
          <w:color w:val="000000"/>
          <w:kern w:val="0"/>
          <w:sz w:val="24"/>
          <w:highlight w:val="none"/>
          <w:lang w:bidi="bn-IN"/>
        </w:rPr>
      </w:pPr>
      <w:r>
        <w:rPr>
          <w:rFonts w:hint="eastAsia" w:ascii="楷体_GB2312" w:eastAsia="楷体_GB2312"/>
          <w:color w:val="000000"/>
          <w:kern w:val="0"/>
          <w:sz w:val="24"/>
          <w:highlight w:val="none"/>
          <w:lang w:val="en-US" w:eastAsia="zh-CN" w:bidi="bn-IN"/>
        </w:rPr>
        <w:t>5</w:t>
      </w:r>
      <w:r>
        <w:rPr>
          <w:rFonts w:hint="eastAsia" w:ascii="楷体_GB2312" w:eastAsia="楷体_GB2312"/>
          <w:color w:val="000000"/>
          <w:kern w:val="0"/>
          <w:sz w:val="24"/>
          <w:highlight w:val="none"/>
          <w:lang w:bidi="bn-IN"/>
        </w:rPr>
        <w:t>.本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产品投资</w:t>
      </w:r>
      <w:r>
        <w:rPr>
          <w:rFonts w:ascii="楷体_GB2312" w:eastAsia="楷体_GB2312"/>
          <w:color w:val="000000"/>
          <w:kern w:val="0"/>
          <w:sz w:val="24"/>
          <w:highlight w:val="none"/>
          <w:lang w:bidi="bn-IN"/>
        </w:rPr>
        <w:t>期限</w:t>
      </w:r>
      <w:r>
        <w:rPr>
          <w:rFonts w:hint="eastAsia" w:ascii="楷体_GB2312" w:eastAsia="楷体_GB2312"/>
          <w:color w:val="000000"/>
          <w:kern w:val="0"/>
          <w:sz w:val="24"/>
          <w:highlight w:val="none"/>
          <w:lang w:bidi="bn-IN"/>
        </w:rPr>
        <w:t>要求如下：</w:t>
      </w:r>
    </w:p>
    <w:p>
      <w:pPr>
        <w:autoSpaceDE w:val="0"/>
        <w:autoSpaceDN w:val="0"/>
        <w:adjustRightInd w:val="0"/>
        <w:ind w:firstLine="480" w:firstLineChars="200"/>
        <w:jc w:val="left"/>
        <w:rPr>
          <w:rFonts w:hint="eastAsia"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（1）本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产品投资组合的平均剩余期限不得超过120天，平均剩余存续期限不得超过240天；</w:t>
      </w:r>
    </w:p>
    <w:p>
      <w:pPr>
        <w:autoSpaceDE w:val="0"/>
        <w:autoSpaceDN w:val="0"/>
        <w:adjustRightInd w:val="0"/>
        <w:ind w:firstLine="480" w:firstLineChars="200"/>
        <w:jc w:val="left"/>
        <w:rPr>
          <w:rFonts w:hint="eastAsia" w:ascii="楷体_GB2312" w:eastAsia="楷体_GB2312"/>
          <w:color w:val="000000"/>
          <w:kern w:val="0"/>
          <w:sz w:val="24"/>
          <w:highlight w:val="none"/>
          <w:lang w:bidi="bn-IN"/>
        </w:rPr>
      </w:pPr>
      <w:r>
        <w:rPr>
          <w:rFonts w:hint="eastAsia" w:ascii="楷体_GB2312" w:eastAsia="楷体_GB2312"/>
          <w:color w:val="000000"/>
          <w:kern w:val="0"/>
          <w:sz w:val="24"/>
          <w:highlight w:val="none"/>
          <w:lang w:bidi="bn-IN"/>
        </w:rPr>
        <w:t>（2）当前10名投资者的持有份额合计超过本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产品总份额的50%时，投资组合的平均剩余期限不得超过60天，平均剩余存续期限不得超过120天；</w:t>
      </w:r>
    </w:p>
    <w:p>
      <w:pPr>
        <w:ind w:firstLine="480" w:firstLineChars="200"/>
        <w:rPr>
          <w:rFonts w:ascii="楷体_GB2312" w:hAnsi="宋体" w:eastAsia="楷体_GB2312"/>
          <w:color w:val="000000"/>
          <w:sz w:val="24"/>
          <w:highlight w:val="none"/>
        </w:rPr>
      </w:pPr>
      <w:r>
        <w:rPr>
          <w:rFonts w:hint="eastAsia" w:ascii="楷体_GB2312" w:eastAsia="楷体_GB2312"/>
          <w:color w:val="000000"/>
          <w:kern w:val="0"/>
          <w:sz w:val="24"/>
          <w:highlight w:val="none"/>
          <w:lang w:bidi="bn-IN"/>
        </w:rPr>
        <w:t>（3）当前10名投资者的持有份额合计超过本</w:t>
      </w:r>
      <w:r>
        <w:rPr>
          <w:rFonts w:hint="eastAsia" w:ascii="楷体_GB2312" w:eastAsia="楷体_GB2312"/>
          <w:color w:val="000000"/>
          <w:kern w:val="0"/>
          <w:sz w:val="24"/>
          <w:highlight w:val="none"/>
          <w:lang w:val="en-US" w:eastAsia="zh-CN" w:bidi="bn-IN"/>
        </w:rPr>
        <w:t>理财</w:t>
      </w:r>
      <w:r>
        <w:rPr>
          <w:rFonts w:hint="eastAsia" w:ascii="楷体_GB2312" w:eastAsia="楷体_GB2312"/>
          <w:color w:val="000000"/>
          <w:kern w:val="0"/>
          <w:sz w:val="24"/>
          <w:highlight w:val="none"/>
          <w:lang w:bidi="bn-IN"/>
        </w:rPr>
        <w:t>产品总份额的20%时，投资组合的平均剩余期限不得超过90天，平均剩余存续期限不得超过180天。</w:t>
      </w:r>
    </w:p>
    <w:p>
      <w:pPr>
        <w:ind w:firstLine="480" w:firstLineChars="200"/>
        <w:rPr>
          <w:rFonts w:hint="eastAsia"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s="Times New Roman"/>
          <w:bCs w:val="0"/>
          <w:color w:val="000000"/>
          <w:sz w:val="24"/>
          <w:szCs w:val="24"/>
          <w:highlight w:val="none"/>
        </w:rPr>
        <w:t>非因</w:t>
      </w:r>
      <w:r>
        <w:rPr>
          <w:rFonts w:hint="eastAsia" w:ascii="楷体_GB2312" w:hAnsi="宋体" w:eastAsia="楷体_GB2312" w:cs="Times New Roman"/>
          <w:bCs w:val="0"/>
          <w:color w:val="000000"/>
          <w:sz w:val="24"/>
          <w:szCs w:val="24"/>
          <w:highlight w:val="none"/>
          <w:lang w:val="en-US" w:eastAsia="zh-CN"/>
        </w:rPr>
        <w:t>产品管理人</w:t>
      </w:r>
      <w:r>
        <w:rPr>
          <w:rFonts w:hint="eastAsia" w:ascii="楷体_GB2312" w:hAnsi="宋体" w:eastAsia="楷体_GB2312" w:cs="Times New Roman"/>
          <w:bCs w:val="0"/>
          <w:color w:val="000000"/>
          <w:sz w:val="24"/>
          <w:szCs w:val="24"/>
          <w:highlight w:val="none"/>
        </w:rPr>
        <w:t>主观因素导致突破前款第（</w:t>
      </w:r>
      <w:r>
        <w:rPr>
          <w:rFonts w:hint="eastAsia" w:ascii="楷体_GB2312" w:hAnsi="宋体" w:eastAsia="楷体_GB2312" w:cs="Times New Roman"/>
          <w:bCs w:val="0"/>
          <w:color w:val="000000"/>
          <w:sz w:val="24"/>
          <w:szCs w:val="24"/>
          <w:highlight w:val="none"/>
          <w:lang w:eastAsia="zh-CN"/>
        </w:rPr>
        <w:t>2</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eastAsia="zh-CN"/>
        </w:rPr>
        <w:t>3</w:t>
      </w:r>
      <w:r>
        <w:rPr>
          <w:rFonts w:hint="eastAsia" w:ascii="楷体_GB2312" w:hAnsi="宋体" w:eastAsia="楷体_GB2312" w:cs="Times New Roman"/>
          <w:bCs w:val="0"/>
          <w:color w:val="000000"/>
          <w:sz w:val="24"/>
          <w:szCs w:val="24"/>
          <w:highlight w:val="none"/>
        </w:rPr>
        <w:t>）项比例限制的，</w:t>
      </w:r>
      <w:r>
        <w:rPr>
          <w:rFonts w:hint="eastAsia" w:ascii="楷体_GB2312" w:hAnsi="宋体" w:eastAsia="楷体_GB2312" w:cs="Times New Roman"/>
          <w:bCs w:val="0"/>
          <w:color w:val="000000"/>
          <w:sz w:val="24"/>
          <w:szCs w:val="24"/>
          <w:highlight w:val="none"/>
          <w:lang w:val="en-US" w:eastAsia="zh-CN"/>
        </w:rPr>
        <w:t>产品管理人</w:t>
      </w:r>
      <w:r>
        <w:rPr>
          <w:rFonts w:hint="eastAsia" w:ascii="楷体_GB2312" w:hAnsi="宋体" w:eastAsia="楷体_GB2312" w:cs="Times New Roman"/>
          <w:bCs w:val="0"/>
          <w:color w:val="000000"/>
          <w:sz w:val="24"/>
          <w:szCs w:val="24"/>
          <w:highlight w:val="none"/>
        </w:rPr>
        <w:t>应当在10个交易日内调整至符合要求，</w:t>
      </w:r>
      <w:r>
        <w:rPr>
          <w:rFonts w:hint="eastAsia" w:ascii="楷体_GB2312" w:hAnsi="宋体" w:eastAsia="楷体_GB2312" w:cs="Times New Roman"/>
          <w:bCs w:val="0"/>
          <w:color w:val="000000"/>
          <w:sz w:val="24"/>
          <w:szCs w:val="24"/>
          <w:highlight w:val="none"/>
          <w:lang w:val="en-US" w:eastAsia="zh-CN"/>
        </w:rPr>
        <w:t>国家金融监督管理总局</w:t>
      </w:r>
      <w:r>
        <w:rPr>
          <w:rFonts w:hint="eastAsia" w:ascii="楷体_GB2312" w:hAnsi="宋体" w:eastAsia="楷体_GB2312" w:cs="Times New Roman"/>
          <w:bCs w:val="0"/>
          <w:color w:val="000000"/>
          <w:sz w:val="24"/>
          <w:szCs w:val="24"/>
          <w:highlight w:val="none"/>
        </w:rPr>
        <w:t>规定的特殊情形除外。</w:t>
      </w:r>
    </w:p>
    <w:p>
      <w:pPr>
        <w:pStyle w:val="2"/>
        <w:numPr>
          <w:ilvl w:val="0"/>
          <w:numId w:val="0"/>
        </w:numPr>
        <w:ind w:left="420" w:leftChars="200" w:firstLine="0" w:firstLineChars="0"/>
        <w:rPr>
          <w:rFonts w:hint="eastAsia" w:ascii="楷体_GB2312" w:hAnsi="宋体" w:eastAsia="楷体_GB2312" w:cs="Times New Roman"/>
          <w:color w:val="000000"/>
          <w:sz w:val="24"/>
          <w:szCs w:val="24"/>
          <w:highlight w:val="none"/>
        </w:rPr>
      </w:pPr>
      <w:r>
        <w:rPr>
          <w:rFonts w:hint="eastAsia" w:ascii="楷体_GB2312" w:hAnsi="宋体" w:eastAsia="楷体_GB2312" w:cs="Times New Roman"/>
          <w:color w:val="000000"/>
          <w:sz w:val="24"/>
          <w:highlight w:val="none"/>
          <w:lang w:val="en-US" w:eastAsia="zh-CN"/>
        </w:rPr>
        <w:t>6.</w:t>
      </w:r>
      <w:r>
        <w:rPr>
          <w:rFonts w:hint="eastAsia" w:ascii="楷体_GB2312" w:hAnsi="宋体" w:eastAsia="楷体_GB2312" w:cs="Times New Roman"/>
          <w:color w:val="000000"/>
          <w:sz w:val="24"/>
          <w:szCs w:val="24"/>
          <w:highlight w:val="none"/>
        </w:rPr>
        <w:t>法律法规及国家金融监督管理总局规定的其他投资限制。</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特别提示：</w:t>
      </w:r>
    </w:p>
    <w:p>
      <w:pPr>
        <w:ind w:firstLine="480" w:firstLineChars="200"/>
        <w:rPr>
          <w:rFonts w:hint="eastAsia" w:ascii="楷体_GB2312" w:hAnsi="宋体" w:eastAsia="楷体_GB2312" w:cs="Times New Roman"/>
          <w:bCs w:val="0"/>
          <w:color w:val="000000"/>
          <w:kern w:val="2"/>
          <w:sz w:val="24"/>
          <w:szCs w:val="24"/>
          <w:highlight w:val="none"/>
          <w:lang w:val="en-US" w:eastAsia="zh-CN" w:bidi="ar-SA"/>
        </w:rPr>
      </w:pPr>
      <w:r>
        <w:rPr>
          <w:rFonts w:hint="eastAsia" w:ascii="楷体_GB2312" w:hAnsi="宋体" w:eastAsia="楷体_GB2312" w:cs="Times New Roman"/>
          <w:bCs w:val="0"/>
          <w:color w:val="000000"/>
          <w:kern w:val="2"/>
          <w:sz w:val="24"/>
          <w:szCs w:val="24"/>
          <w:highlight w:val="none"/>
          <w:lang w:val="en-US" w:eastAsia="zh-CN" w:bidi="ar-SA"/>
        </w:rPr>
        <w:t>本理财产品的上述投资限制将有可能随国家法律法规及监管政策的变化而产生变化，如发生变化，产品管理人将及时进行信息披露。</w:t>
      </w:r>
    </w:p>
    <w:p>
      <w:pPr>
        <w:autoSpaceDE w:val="0"/>
        <w:autoSpaceDN w:val="0"/>
        <w:adjustRightInd w:val="0"/>
        <w:ind w:firstLine="480" w:firstLineChars="200"/>
        <w:jc w:val="left"/>
        <w:rPr>
          <w:rFonts w:hint="eastAsia" w:ascii="楷体_GB2312" w:hAnsi="宋体" w:eastAsia="楷体_GB2312"/>
          <w:color w:val="000000"/>
          <w:sz w:val="24"/>
          <w:highlight w:val="none"/>
        </w:rPr>
      </w:pPr>
      <w:r>
        <w:rPr>
          <w:rFonts w:hint="eastAsia" w:ascii="楷体_GB2312" w:hAnsi="宋体" w:eastAsia="楷体_GB2312" w:cs="Times New Roman"/>
          <w:bCs w:val="0"/>
          <w:color w:val="000000"/>
          <w:sz w:val="24"/>
          <w:szCs w:val="24"/>
          <w:highlight w:val="none"/>
        </w:rPr>
        <w:t>在本</w:t>
      </w:r>
      <w:r>
        <w:rPr>
          <w:rFonts w:hint="eastAsia" w:ascii="楷体_GB2312" w:hAnsi="宋体" w:eastAsia="楷体_GB2312" w:cs="Times New Roman"/>
          <w:bCs w:val="0"/>
          <w:color w:val="000000"/>
          <w:sz w:val="24"/>
          <w:szCs w:val="24"/>
          <w:highlight w:val="none"/>
          <w:lang w:val="en-US" w:eastAsia="zh-CN"/>
        </w:rPr>
        <w:t>理财</w:t>
      </w:r>
      <w:r>
        <w:rPr>
          <w:rFonts w:hint="eastAsia" w:ascii="楷体_GB2312" w:hAnsi="宋体" w:eastAsia="楷体_GB2312" w:cs="Times New Roman"/>
          <w:bCs w:val="0"/>
          <w:color w:val="000000"/>
          <w:sz w:val="24"/>
          <w:szCs w:val="24"/>
          <w:highlight w:val="none"/>
        </w:rPr>
        <w:t>产品存续期内</w:t>
      </w:r>
      <w:r>
        <w:rPr>
          <w:rFonts w:hint="eastAsia" w:ascii="楷体_GB2312" w:hAnsi="宋体" w:eastAsia="楷体_GB2312" w:cs="Times New Roman"/>
          <w:bCs w:val="0"/>
          <w:color w:val="000000"/>
          <w:sz w:val="24"/>
          <w:szCs w:val="24"/>
          <w:highlight w:val="none"/>
          <w:lang w:eastAsia="zh-CN"/>
        </w:rPr>
        <w:t>，</w:t>
      </w:r>
      <w:r>
        <w:rPr>
          <w:rFonts w:hint="eastAsia" w:ascii="楷体_GB2312" w:hAnsi="宋体" w:eastAsia="楷体_GB2312" w:cs="Times New Roman"/>
          <w:bCs w:val="0"/>
          <w:color w:val="000000"/>
          <w:kern w:val="2"/>
          <w:sz w:val="24"/>
          <w:szCs w:val="24"/>
          <w:highlight w:val="none"/>
          <w:lang w:val="en-US" w:eastAsia="zh-CN" w:bidi="ar-SA"/>
        </w:rPr>
        <w:t>除法律法规另有规定或上述投资限制另有约定外，若因市场发生重大变化等</w:t>
      </w:r>
      <w:r>
        <w:rPr>
          <w:rFonts w:hint="eastAsia" w:ascii="楷体_GB2312" w:hAnsi="宋体" w:eastAsia="楷体_GB2312" w:cs="Times New Roman"/>
          <w:bCs w:val="0"/>
          <w:color w:val="000000"/>
          <w:sz w:val="24"/>
          <w:szCs w:val="24"/>
          <w:highlight w:val="none"/>
        </w:rPr>
        <w:t>非</w:t>
      </w:r>
      <w:r>
        <w:rPr>
          <w:rFonts w:hint="eastAsia" w:ascii="楷体_GB2312" w:hAnsi="宋体" w:eastAsia="楷体_GB2312" w:cs="Times New Roman"/>
          <w:bCs w:val="0"/>
          <w:color w:val="000000"/>
          <w:sz w:val="24"/>
          <w:szCs w:val="24"/>
          <w:highlight w:val="none"/>
          <w:lang w:val="en-US" w:eastAsia="zh-CN"/>
        </w:rPr>
        <w:t>产品管理人</w:t>
      </w:r>
      <w:r>
        <w:rPr>
          <w:rFonts w:hint="eastAsia" w:ascii="楷体_GB2312" w:hAnsi="宋体" w:eastAsia="楷体_GB2312" w:cs="Times New Roman"/>
          <w:bCs w:val="0"/>
          <w:color w:val="000000"/>
          <w:sz w:val="24"/>
          <w:szCs w:val="24"/>
          <w:highlight w:val="none"/>
        </w:rPr>
        <w:t>主观因素</w:t>
      </w:r>
      <w:r>
        <w:rPr>
          <w:rFonts w:hint="eastAsia" w:ascii="楷体_GB2312" w:hAnsi="宋体" w:eastAsia="楷体_GB2312" w:cs="Times New Roman"/>
          <w:bCs w:val="0"/>
          <w:color w:val="000000"/>
          <w:kern w:val="2"/>
          <w:sz w:val="24"/>
          <w:szCs w:val="24"/>
          <w:highlight w:val="none"/>
          <w:lang w:val="en-US" w:eastAsia="zh-CN" w:bidi="ar-SA"/>
        </w:rPr>
        <w:t>导致本理财产品</w:t>
      </w:r>
      <w:r>
        <w:rPr>
          <w:rFonts w:hint="eastAsia" w:ascii="楷体_GB2312" w:eastAsia="楷体_GB2312"/>
          <w:color w:val="000000"/>
          <w:kern w:val="0"/>
          <w:sz w:val="24"/>
          <w:highlight w:val="none"/>
          <w:lang w:val="en-US" w:eastAsia="zh-CN" w:bidi="bn-IN"/>
        </w:rPr>
        <w:t>突破投资限制的，</w:t>
      </w:r>
      <w:r>
        <w:rPr>
          <w:rFonts w:hint="eastAsia" w:ascii="楷体_GB2312" w:hAnsi="宋体" w:eastAsia="楷体_GB2312" w:cs="Times New Roman"/>
          <w:bCs w:val="0"/>
          <w:color w:val="000000"/>
          <w:kern w:val="2"/>
          <w:sz w:val="24"/>
          <w:szCs w:val="24"/>
          <w:highlight w:val="none"/>
          <w:lang w:val="en-US" w:eastAsia="zh-CN" w:bidi="ar-SA"/>
        </w:rPr>
        <w:t>产品管理人将恪尽职守，在以投资者获得最大利益的前提下，尽快</w:t>
      </w:r>
      <w:r>
        <w:rPr>
          <w:rFonts w:ascii="楷体_GB2312" w:eastAsia="楷体_GB2312"/>
          <w:color w:val="000000"/>
          <w:kern w:val="0"/>
          <w:sz w:val="24"/>
          <w:highlight w:val="none"/>
          <w:lang w:bidi="bn-IN"/>
        </w:rPr>
        <w:t>调整至符合要求</w:t>
      </w:r>
      <w:r>
        <w:rPr>
          <w:rFonts w:hint="eastAsia" w:ascii="楷体_GB2312" w:eastAsia="楷体_GB2312"/>
          <w:color w:val="000000"/>
          <w:kern w:val="0"/>
          <w:sz w:val="24"/>
          <w:highlight w:val="none"/>
          <w:lang w:bidi="bn-IN"/>
        </w:rPr>
        <w:t>。</w:t>
      </w:r>
    </w:p>
    <w:p>
      <w:pPr>
        <w:ind w:firstLine="240" w:firstLineChars="100"/>
        <w:rPr>
          <w:rFonts w:hint="eastAsia" w:ascii="楷体_GB2312" w:hAnsi="宋体" w:eastAsia="楷体_GB2312"/>
          <w:color w:val="000000"/>
          <w:sz w:val="24"/>
          <w:highlight w:val="none"/>
        </w:rPr>
      </w:pPr>
      <w:r>
        <w:rPr>
          <w:rFonts w:ascii="楷体_GB2312" w:hAnsi="宋体" w:eastAsia="楷体_GB2312"/>
          <w:color w:val="000000"/>
          <w:sz w:val="24"/>
          <w:highlight w:val="none"/>
        </w:rPr>
        <w:t xml:space="preserve">  </w:t>
      </w:r>
      <w:r>
        <w:rPr>
          <w:rFonts w:hint="eastAsia" w:ascii="楷体_GB2312" w:hAnsi="宋体" w:eastAsia="楷体_GB2312"/>
          <w:color w:val="000000"/>
          <w:sz w:val="24"/>
          <w:highlight w:val="none"/>
        </w:rPr>
        <w:t>（五）投资目标</w:t>
      </w:r>
    </w:p>
    <w:p>
      <w:pPr>
        <w:ind w:firstLine="480" w:firstLineChars="200"/>
        <w:rPr>
          <w:highlight w:val="none"/>
        </w:rPr>
      </w:pPr>
      <w:r>
        <w:rPr>
          <w:rFonts w:ascii="楷体_GB2312" w:hAnsi="宋体" w:eastAsia="楷体_GB2312"/>
          <w:color w:val="000000"/>
          <w:sz w:val="24"/>
          <w:highlight w:val="none"/>
        </w:rPr>
        <w:t>以投资价值分析为基础，宏观与微观、定性与定量相结合，进行主动式管理，在追求理财投资资产稳定增值的基础上，</w:t>
      </w:r>
      <w:r>
        <w:rPr>
          <w:rFonts w:hint="eastAsia" w:ascii="楷体_GB2312" w:hAnsi="宋体" w:eastAsia="楷体_GB2312"/>
          <w:color w:val="000000"/>
          <w:sz w:val="24"/>
          <w:highlight w:val="none"/>
        </w:rPr>
        <w:t>力争</w:t>
      </w:r>
      <w:r>
        <w:rPr>
          <w:rFonts w:ascii="楷体_GB2312" w:hAnsi="宋体" w:eastAsia="楷体_GB2312"/>
          <w:color w:val="000000"/>
          <w:sz w:val="24"/>
          <w:highlight w:val="none"/>
        </w:rPr>
        <w:t>为投资者获得较高的收益。</w:t>
      </w:r>
    </w:p>
    <w:p>
      <w:pPr>
        <w:ind w:firstLine="482" w:firstLineChars="200"/>
        <w:rPr>
          <w:rFonts w:hint="eastAsia" w:ascii="楷体_GB2312" w:hAnsi="宋体" w:eastAsia="楷体_GB2312"/>
          <w:b/>
          <w:color w:val="000000"/>
          <w:sz w:val="24"/>
          <w:highlight w:val="none"/>
          <w:lang w:val="en-US" w:eastAsia="zh-CN"/>
        </w:rPr>
      </w:pPr>
      <w:r>
        <w:rPr>
          <w:rFonts w:hint="eastAsia" w:ascii="楷体_GB2312" w:hAnsi="宋体" w:eastAsia="楷体_GB2312"/>
          <w:b/>
          <w:color w:val="000000"/>
          <w:sz w:val="24"/>
          <w:highlight w:val="none"/>
        </w:rPr>
        <w:t>五、产品的</w:t>
      </w:r>
      <w:r>
        <w:rPr>
          <w:rFonts w:hint="eastAsia" w:ascii="楷体_GB2312" w:hAnsi="宋体" w:eastAsia="楷体_GB2312"/>
          <w:b/>
          <w:color w:val="000000"/>
          <w:sz w:val="24"/>
          <w:highlight w:val="none"/>
          <w:lang w:val="en-US" w:eastAsia="zh-CN"/>
        </w:rPr>
        <w:t>募集</w:t>
      </w:r>
      <w:r>
        <w:rPr>
          <w:rFonts w:hint="eastAsia" w:ascii="楷体_GB2312" w:hAnsi="宋体" w:eastAsia="楷体_GB2312"/>
          <w:b/>
          <w:color w:val="000000"/>
          <w:sz w:val="24"/>
          <w:highlight w:val="none"/>
        </w:rPr>
        <w:t>和</w:t>
      </w:r>
      <w:r>
        <w:rPr>
          <w:rFonts w:hint="eastAsia" w:ascii="楷体_GB2312" w:hAnsi="宋体" w:eastAsia="楷体_GB2312"/>
          <w:b/>
          <w:color w:val="000000"/>
          <w:sz w:val="24"/>
          <w:highlight w:val="none"/>
          <w:lang w:val="en-US" w:eastAsia="zh-CN"/>
        </w:rPr>
        <w:t>认购</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（一）投资者在指定向北银理财申请购买本理财产品销售文件项下的理财产品时应已经在代销机构开立活期存款账户。</w:t>
      </w:r>
    </w:p>
    <w:p>
      <w:pPr>
        <w:ind w:firstLine="480" w:firstLineChars="200"/>
        <w:rPr>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投资者应指定其开立在代销机构的相关账户作为清算账户。该账户用于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和投资者之间根据本理财产品销售文件办理的投资金额与清算分配金额等款项收付。投资者同意，代销机构制作的该账户收款、付款记录是证明该账户项下款项收付的有效凭证。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认购金额要求：投资者购买本理财产品</w:t>
      </w:r>
      <w:r>
        <w:rPr>
          <w:rFonts w:hint="eastAsia" w:ascii="楷体_GB2312" w:hAnsi="宋体" w:eastAsia="楷体_GB2312"/>
          <w:color w:val="000000"/>
          <w:sz w:val="24"/>
          <w:highlight w:val="none"/>
          <w:lang w:val="en-US" w:eastAsia="zh-CN"/>
        </w:rPr>
        <w:t>B类</w:t>
      </w:r>
      <w:r>
        <w:rPr>
          <w:rFonts w:hint="eastAsia" w:ascii="楷体_GB2312" w:hAnsi="宋体" w:eastAsia="楷体_GB2312"/>
          <w:color w:val="000000"/>
          <w:sz w:val="24"/>
          <w:highlight w:val="none"/>
        </w:rPr>
        <w:t>份额的投资起点为人民币</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元，并以</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元为单位递增。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）认购份额的计算：认购份额=认购金额/产品单位面值，</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日的</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单位面值为1</w:t>
      </w:r>
      <w:r>
        <w:rPr>
          <w:rFonts w:hint="default" w:ascii="楷体_GB2312" w:hAnsi="宋体" w:eastAsia="楷体_GB2312"/>
          <w:color w:val="000000"/>
          <w:sz w:val="24"/>
          <w:highlight w:val="none"/>
          <w:lang w:val="en-US"/>
        </w:rPr>
        <w:t>.00</w:t>
      </w:r>
      <w:r>
        <w:rPr>
          <w:rFonts w:hint="eastAsia" w:ascii="楷体_GB2312" w:hAnsi="宋体" w:eastAsia="楷体_GB2312"/>
          <w:color w:val="000000"/>
          <w:sz w:val="24"/>
          <w:highlight w:val="none"/>
          <w:lang w:val="en-US" w:eastAsia="zh-CN"/>
        </w:rPr>
        <w:t>元</w:t>
      </w:r>
      <w:r>
        <w:rPr>
          <w:rFonts w:hint="eastAsia" w:ascii="楷体_GB2312" w:hAnsi="宋体" w:eastAsia="楷体_GB2312"/>
          <w:color w:val="000000"/>
          <w:sz w:val="24"/>
          <w:highlight w:val="none"/>
        </w:rPr>
        <w:t>，</w:t>
      </w:r>
      <w:r>
        <w:rPr>
          <w:rFonts w:hint="eastAsia" w:ascii="楷体_GB2312" w:hAnsi="仿宋" w:eastAsia="楷体_GB2312"/>
          <w:color w:val="000000"/>
          <w:sz w:val="24"/>
          <w:highlight w:val="none"/>
        </w:rPr>
        <w:t>认购份额以四舍五入的方法保留到小数点后两位。</w:t>
      </w:r>
      <w:r>
        <w:rPr>
          <w:rFonts w:hint="eastAsia" w:ascii="楷体_GB2312" w:hAnsi="宋体" w:eastAsia="楷体_GB2312"/>
          <w:color w:val="000000"/>
          <w:sz w:val="24"/>
          <w:highlight w:val="none"/>
        </w:rPr>
        <w:t>实际认购份额以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确认的份额为准。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认购费用：</w:t>
      </w: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产品暂不收取认购费</w:t>
      </w:r>
      <w:r>
        <w:rPr>
          <w:rFonts w:hint="eastAsia" w:ascii="楷体_GB2312" w:hAnsi="Arial" w:eastAsia="楷体_GB2312"/>
          <w:color w:val="000000"/>
          <w:sz w:val="24"/>
          <w:highlight w:val="none"/>
          <w:lang w:val="en-US" w:eastAsia="zh-CN"/>
        </w:rPr>
        <w:t>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rPr>
        <w:t>）受理时间和确认时间：投资者可在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产品募集期</w:t>
      </w:r>
      <w:r>
        <w:rPr>
          <w:rFonts w:hint="eastAsia" w:ascii="楷体_GB2312" w:hAnsi="宋体" w:eastAsia="楷体_GB2312"/>
          <w:color w:val="000000"/>
          <w:sz w:val="24"/>
          <w:highlight w:val="none"/>
          <w:lang w:val="en-US" w:eastAsia="zh-CN"/>
        </w:rPr>
        <w:t>规定时间</w:t>
      </w:r>
      <w:r>
        <w:rPr>
          <w:rFonts w:hint="eastAsia" w:ascii="楷体_GB2312" w:hAnsi="宋体" w:eastAsia="楷体_GB2312"/>
          <w:color w:val="000000"/>
          <w:sz w:val="24"/>
          <w:highlight w:val="none"/>
        </w:rPr>
        <w:t>内购买本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产品，投资者认购资金将被实时冻结，并于</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产品成立日由代销机构划款，</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产品成立日确认产品份额。</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rPr>
        <w:t>）募集期的利息计算：募集期内，认购资金在投资者交存至投资者清算账户后，扣划之前按代销机构公布的人民币活期存款利率计算利息，该利息不作为认购资金扣收。</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）受理渠道：投资者可通过代销机构各营业网点、代销机构手机银行等电子渠道办理理财账户的开户手续，可通过代销机构各营业网点、代销机构手机银行等电子渠道办理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理财产品的购买手续</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具体</w:t>
      </w:r>
      <w:r>
        <w:rPr>
          <w:rFonts w:hint="eastAsia" w:ascii="楷体_GB2312" w:hAnsi="宋体" w:eastAsia="楷体_GB2312"/>
          <w:color w:val="000000"/>
          <w:sz w:val="24"/>
          <w:highlight w:val="none"/>
        </w:rPr>
        <w:t>以代销机构要求为准</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九</w:t>
      </w:r>
      <w:r>
        <w:rPr>
          <w:rFonts w:hint="eastAsia" w:ascii="楷体_GB2312" w:hAnsi="宋体" w:eastAsia="楷体_GB2312"/>
          <w:color w:val="000000"/>
          <w:sz w:val="24"/>
          <w:highlight w:val="none"/>
        </w:rPr>
        <w:t>）购买撤销：投资者可在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理财产品募集期最后一日的</w:t>
      </w:r>
      <w:r>
        <w:rPr>
          <w:rFonts w:hint="default" w:ascii="楷体_GB2312" w:hAnsi="宋体" w:eastAsia="楷体_GB2312"/>
          <w:color w:val="000000"/>
          <w:sz w:val="24"/>
          <w:highlight w:val="none"/>
          <w:lang w:val="en-US"/>
        </w:rPr>
        <w:t>17</w:t>
      </w:r>
      <w:r>
        <w:rPr>
          <w:rFonts w:hint="eastAsia" w:ascii="楷体_GB2312" w:hAnsi="宋体" w:eastAsia="楷体_GB2312"/>
          <w:color w:val="000000"/>
          <w:sz w:val="24"/>
          <w:highlight w:val="none"/>
          <w:lang w:val="en-US" w:eastAsia="zh-CN"/>
        </w:rPr>
        <w:t>：</w:t>
      </w:r>
      <w:r>
        <w:rPr>
          <w:rFonts w:hint="default" w:ascii="楷体_GB2312" w:hAnsi="宋体" w:eastAsia="楷体_GB2312"/>
          <w:color w:val="000000"/>
          <w:sz w:val="24"/>
          <w:highlight w:val="none"/>
          <w:lang w:val="en-US" w:eastAsia="zh-CN"/>
        </w:rPr>
        <w:t>00</w:t>
      </w:r>
      <w:r>
        <w:rPr>
          <w:rFonts w:hint="eastAsia" w:ascii="楷体_GB2312" w:hAnsi="宋体" w:eastAsia="楷体_GB2312"/>
          <w:color w:val="000000"/>
          <w:sz w:val="24"/>
          <w:highlight w:val="none"/>
        </w:rPr>
        <w:t>前撤销认购交易，撤销后的资金原则上将于2个工作日内到账，具体到账时间以代销机构提示为准。</w:t>
      </w:r>
      <w:r>
        <w:rPr>
          <w:rFonts w:hint="eastAsia" w:ascii="楷体_GB2312" w:hAnsi="宋体" w:eastAsia="楷体_GB2312"/>
          <w:b/>
          <w:bCs/>
          <w:color w:val="000000"/>
          <w:sz w:val="24"/>
          <w:highlight w:val="none"/>
          <w:u w:val="single"/>
          <w:lang w:val="en-US" w:eastAsia="zh-CN"/>
        </w:rPr>
        <w:t>本</w:t>
      </w:r>
      <w:r>
        <w:rPr>
          <w:rFonts w:hint="eastAsia" w:ascii="楷体_GB2312" w:hAnsi="宋体" w:eastAsia="楷体_GB2312"/>
          <w:b/>
          <w:bCs/>
          <w:color w:val="000000"/>
          <w:sz w:val="24"/>
          <w:highlight w:val="none"/>
          <w:u w:val="single"/>
        </w:rPr>
        <w:t>理财产品募集期结束后，投资者不能撤销购买</w:t>
      </w:r>
      <w:r>
        <w:rPr>
          <w:rFonts w:hint="eastAsia" w:ascii="楷体_GB2312" w:hAnsi="宋体" w:eastAsia="楷体_GB2312"/>
          <w:b/>
          <w:bCs/>
          <w:color w:val="000000"/>
          <w:sz w:val="24"/>
          <w:highlight w:val="none"/>
          <w:u w:val="single"/>
          <w:lang w:eastAsia="zh-CN"/>
        </w:rPr>
        <w:t>本理财产品</w:t>
      </w:r>
      <w:r>
        <w:rPr>
          <w:rFonts w:hint="eastAsia" w:ascii="楷体_GB2312" w:hAnsi="宋体" w:eastAsia="楷体_GB2312"/>
          <w:b/>
          <w:bCs/>
          <w:color w:val="000000"/>
          <w:sz w:val="24"/>
          <w:highlight w:val="none"/>
          <w:u w:val="singl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十</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本理财产品募集期届满或产品管理人提前/延迟结束募集期时，若募集资金</w:t>
      </w:r>
      <w:r>
        <w:rPr>
          <w:rFonts w:hint="eastAsia" w:ascii="楷体_GB2312" w:hAnsi="宋体" w:eastAsia="楷体_GB2312"/>
          <w:color w:val="000000"/>
          <w:sz w:val="24"/>
          <w:highlight w:val="none"/>
          <w:lang w:val="en-US" w:eastAsia="zh-CN"/>
        </w:rPr>
        <w:t>满足产品</w:t>
      </w:r>
      <w:r>
        <w:rPr>
          <w:rFonts w:hint="eastAsia" w:ascii="楷体_GB2312" w:hAnsi="宋体" w:eastAsia="楷体_GB2312"/>
          <w:color w:val="000000"/>
          <w:sz w:val="24"/>
          <w:highlight w:val="none"/>
          <w:lang w:eastAsia="zh-CN"/>
        </w:rPr>
        <w:t>募集</w:t>
      </w:r>
      <w:r>
        <w:rPr>
          <w:rFonts w:hint="eastAsia" w:ascii="楷体_GB2312" w:hAnsi="宋体" w:eastAsia="楷体_GB2312"/>
          <w:color w:val="000000"/>
          <w:sz w:val="24"/>
          <w:highlight w:val="none"/>
          <w:lang w:val="en-US" w:eastAsia="zh-CN"/>
        </w:rPr>
        <w:t>规模</w:t>
      </w:r>
      <w:r>
        <w:rPr>
          <w:rFonts w:hint="eastAsia" w:ascii="楷体_GB2312" w:hAnsi="楷体" w:eastAsia="楷体_GB2312"/>
          <w:sz w:val="24"/>
          <w:highlight w:val="none"/>
        </w:rPr>
        <w:t>上限或/及下限</w:t>
      </w:r>
      <w:r>
        <w:rPr>
          <w:rFonts w:hint="eastAsia" w:ascii="楷体_GB2312" w:hAnsi="楷体" w:eastAsia="楷体_GB2312"/>
          <w:sz w:val="24"/>
          <w:highlight w:val="none"/>
          <w:lang w:val="en-US" w:eastAsia="zh-CN"/>
        </w:rPr>
        <w:t>的要求</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且不存在其他因素导致产品不成立的</w:t>
      </w:r>
      <w:r>
        <w:rPr>
          <w:rFonts w:hint="eastAsia" w:ascii="楷体_GB2312" w:hAnsi="宋体" w:eastAsia="楷体_GB2312"/>
          <w:color w:val="000000"/>
          <w:sz w:val="24"/>
          <w:highlight w:val="none"/>
          <w:lang w:eastAsia="zh-CN"/>
        </w:rPr>
        <w:t>，则本理财产品成立；否则，本理财产品不成立。</w:t>
      </w:r>
      <w:r>
        <w:rPr>
          <w:rFonts w:hint="eastAsia" w:ascii="楷体_GB2312" w:hAnsi="宋体" w:eastAsia="楷体_GB2312"/>
          <w:color w:val="000000"/>
          <w:sz w:val="24"/>
          <w:highlight w:val="none"/>
        </w:rPr>
        <w:t>若</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理财产品不成立，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将于原定</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产品成立日起2个工作日内将投资者</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理财</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资金退回代销机构，由代销机构退回投资者，</w:t>
      </w:r>
      <w:r>
        <w:rPr>
          <w:rFonts w:hint="eastAsia" w:ascii="楷体_GB2312" w:hAnsi="宋体" w:eastAsia="楷体_GB2312"/>
          <w:b/>
          <w:bCs/>
          <w:color w:val="000000"/>
          <w:sz w:val="24"/>
          <w:highlight w:val="none"/>
          <w:lang w:val="en-US" w:eastAsia="zh-CN"/>
        </w:rPr>
        <w:t>本理财产品</w:t>
      </w:r>
      <w:r>
        <w:rPr>
          <w:rFonts w:hint="eastAsia" w:ascii="楷体_GB2312" w:hAnsi="宋体" w:eastAsia="楷体_GB2312"/>
          <w:b/>
          <w:bCs/>
          <w:color w:val="000000"/>
          <w:sz w:val="24"/>
          <w:highlight w:val="none"/>
        </w:rPr>
        <w:t>募集期结束后至理财</w:t>
      </w:r>
      <w:r>
        <w:rPr>
          <w:rFonts w:hint="eastAsia" w:ascii="楷体_GB2312" w:hAnsi="宋体" w:eastAsia="楷体_GB2312"/>
          <w:b/>
          <w:bCs/>
          <w:color w:val="000000"/>
          <w:sz w:val="24"/>
          <w:highlight w:val="none"/>
          <w:lang w:val="en-US" w:eastAsia="zh-CN"/>
        </w:rPr>
        <w:t>投资</w:t>
      </w:r>
      <w:r>
        <w:rPr>
          <w:rFonts w:hint="eastAsia" w:ascii="楷体_GB2312" w:hAnsi="宋体" w:eastAsia="楷体_GB2312"/>
          <w:b/>
          <w:bCs/>
          <w:color w:val="000000"/>
          <w:sz w:val="24"/>
          <w:highlight w:val="none"/>
        </w:rPr>
        <w:t>资金退回到账日期间不计付利息</w:t>
      </w:r>
      <w:r>
        <w:rPr>
          <w:rFonts w:hint="eastAsia" w:ascii="楷体_GB2312" w:hAnsi="宋体" w:eastAsia="楷体_GB2312"/>
          <w:color w:val="000000"/>
          <w:sz w:val="24"/>
          <w:highlight w:val="none"/>
        </w:rPr>
        <w:t>。</w:t>
      </w:r>
    </w:p>
    <w:p>
      <w:pPr>
        <w:ind w:firstLine="482" w:firstLineChars="200"/>
        <w:rPr>
          <w:rFonts w:ascii="楷体_GB2312" w:hAnsi="宋体" w:eastAsia="楷体_GB2312"/>
          <w:b/>
          <w:color w:val="000000"/>
          <w:sz w:val="24"/>
          <w:highlight w:val="none"/>
        </w:rPr>
      </w:pPr>
      <w:r>
        <w:rPr>
          <w:rFonts w:hint="eastAsia" w:ascii="楷体_GB2312" w:hAnsi="宋体" w:eastAsia="楷体_GB2312"/>
          <w:b/>
          <w:color w:val="000000"/>
          <w:sz w:val="24"/>
          <w:highlight w:val="none"/>
        </w:rPr>
        <w:t>六、产品的申购和赎回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（一）申购/赎回规则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1.本理财产品采用金额申购、份额赎回的原则，即申购以金额申请，赎回以份额申请。</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2.投资者可在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产品开放</w:t>
      </w:r>
      <w:r>
        <w:rPr>
          <w:rFonts w:hint="eastAsia" w:ascii="楷体_GB2312" w:hAnsi="宋体" w:eastAsia="楷体_GB2312"/>
          <w:color w:val="000000"/>
          <w:sz w:val="24"/>
          <w:highlight w:val="none"/>
          <w:lang w:val="en-US" w:eastAsia="zh-CN"/>
        </w:rPr>
        <w:t>日</w:t>
      </w:r>
      <w:r>
        <w:rPr>
          <w:rFonts w:hint="eastAsia" w:ascii="楷体_GB2312" w:hAnsi="宋体" w:eastAsia="楷体_GB2312"/>
          <w:color w:val="000000"/>
          <w:sz w:val="24"/>
          <w:highlight w:val="none"/>
        </w:rPr>
        <w:t>内提出申购/赎回申请</w:t>
      </w:r>
      <w:r>
        <w:rPr>
          <w:rFonts w:hint="eastAsia" w:ascii="楷体_GB2312" w:hAnsi="宋体" w:eastAsia="楷体_GB2312"/>
          <w:color w:val="000000"/>
          <w:sz w:val="24"/>
          <w:highlight w:val="none"/>
          <w:lang w:eastAsia="zh-CN"/>
        </w:rPr>
        <w:t>，</w:t>
      </w:r>
      <w:r>
        <w:rPr>
          <w:rFonts w:hint="eastAsia" w:ascii="楷体_GB2312" w:hAnsi="Times New Roman" w:eastAsia="楷体_GB2312" w:cs="Times New Roman"/>
          <w:bCs/>
          <w:color w:val="000000"/>
          <w:sz w:val="24"/>
          <w:highlight w:val="none"/>
          <w:lang w:eastAsia="zh-CN"/>
        </w:rPr>
        <w:t>产品管理人</w:t>
      </w:r>
      <w:r>
        <w:rPr>
          <w:rFonts w:hint="eastAsia" w:ascii="楷体_GB2312" w:hAnsi="Times New Roman" w:eastAsia="楷体_GB2312" w:cs="Times New Roman"/>
          <w:bCs/>
          <w:color w:val="000000"/>
          <w:sz w:val="24"/>
          <w:highlight w:val="none"/>
          <w:lang w:eastAsia="zh-Hans"/>
        </w:rPr>
        <w:t>公告暂停开放的日期除外</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内提出的申购/赎回申请，在开放日17：00之前可以撤销，具体是否可撤销以代销机构提示为准。撤销后的申购资金将于2个工作日内到账，具体到账时间以代销机构提示为准。</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内提出的申购/赎回申请，</w:t>
      </w:r>
      <w:r>
        <w:rPr>
          <w:rFonts w:hint="eastAsia" w:ascii="楷体_GB2312" w:hAnsi="宋体" w:eastAsia="楷体_GB2312"/>
          <w:color w:val="000000"/>
          <w:sz w:val="24"/>
          <w:highlight w:val="none"/>
          <w:lang w:val="en-US" w:eastAsia="zh-CN"/>
        </w:rPr>
        <w:t>在</w:t>
      </w:r>
      <w:r>
        <w:rPr>
          <w:rFonts w:hint="eastAsia" w:ascii="楷体_GB2312" w:hAnsi="宋体" w:eastAsia="楷体_GB2312"/>
          <w:color w:val="000000"/>
          <w:sz w:val="24"/>
          <w:highlight w:val="none"/>
          <w:lang w:eastAsia="zh-CN"/>
        </w:rPr>
        <w:t>开放日</w:t>
      </w:r>
      <w:r>
        <w:rPr>
          <w:rFonts w:hint="default" w:ascii="楷体_GB2312" w:hAnsi="宋体" w:eastAsia="楷体_GB2312"/>
          <w:color w:val="000000"/>
          <w:sz w:val="24"/>
          <w:highlight w:val="none"/>
          <w:lang w:val="en-US" w:eastAsia="zh-CN"/>
        </w:rPr>
        <w:t>17:00</w:t>
      </w:r>
      <w:r>
        <w:rPr>
          <w:rFonts w:hint="eastAsia" w:ascii="楷体_GB2312" w:hAnsi="宋体" w:eastAsia="楷体_GB2312"/>
          <w:color w:val="000000"/>
          <w:sz w:val="24"/>
          <w:highlight w:val="none"/>
        </w:rPr>
        <w:t>之后不能撤销。</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投资者申购、赎回本理财</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时，采用“确定价”原则，即</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理财产品申购申请和赎回申请提交时，适用的产品单位净值都</w:t>
      </w:r>
      <w:r>
        <w:rPr>
          <w:rFonts w:hint="eastAsia" w:ascii="楷体_GB2312" w:hAnsi="宋体" w:eastAsia="楷体_GB2312"/>
          <w:color w:val="000000"/>
          <w:sz w:val="24"/>
          <w:highlight w:val="none"/>
        </w:rPr>
        <w:t>为1</w:t>
      </w:r>
      <w:r>
        <w:rPr>
          <w:rFonts w:hint="default" w:ascii="楷体_GB2312" w:hAnsi="宋体" w:eastAsia="楷体_GB2312"/>
          <w:color w:val="000000"/>
          <w:sz w:val="24"/>
          <w:highlight w:val="none"/>
          <w:lang w:val="en-US"/>
        </w:rPr>
        <w:t>.00</w:t>
      </w:r>
      <w:r>
        <w:rPr>
          <w:rFonts w:hint="eastAsia" w:ascii="楷体_GB2312" w:hAnsi="宋体" w:eastAsia="楷体_GB2312"/>
          <w:color w:val="000000"/>
          <w:sz w:val="24"/>
          <w:highlight w:val="none"/>
          <w:lang w:val="en-US" w:eastAsia="zh-CN"/>
        </w:rPr>
        <w:t>元</w:t>
      </w:r>
      <w:r>
        <w:rPr>
          <w:rFonts w:hint="eastAsia" w:ascii="楷体_GB2312" w:hAnsi="宋体" w:eastAsia="楷体_GB2312"/>
          <w:color w:val="000000"/>
          <w:sz w:val="24"/>
          <w:highlight w:val="none"/>
        </w:rPr>
        <w:t>人民币。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（二）申购/赎回的数额限制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1.申购金额要求：</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lang w:val="en-US" w:eastAsia="zh-CN"/>
        </w:rPr>
        <w:t>FS类份额</w:t>
      </w:r>
      <w:r>
        <w:rPr>
          <w:rFonts w:hint="eastAsia" w:ascii="楷体_GB2312" w:hAnsi="宋体" w:eastAsia="楷体_GB2312"/>
          <w:color w:val="000000"/>
          <w:sz w:val="24"/>
          <w:highlight w:val="none"/>
        </w:rPr>
        <w:t>申购起点金额为</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元，并以</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元为单位递增。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2.赎回份额要求：投资者可以选择全部赎回或部分赎回本理财产品，本理财产品</w:t>
      </w:r>
      <w:r>
        <w:rPr>
          <w:rFonts w:hint="eastAsia" w:ascii="楷体_GB2312" w:hAnsi="宋体" w:eastAsia="楷体_GB2312"/>
          <w:color w:val="000000"/>
          <w:sz w:val="24"/>
          <w:highlight w:val="none"/>
          <w:lang w:val="en-US" w:eastAsia="zh-CN"/>
        </w:rPr>
        <w:t>FS类份额</w:t>
      </w:r>
      <w:r>
        <w:rPr>
          <w:rFonts w:hint="eastAsia" w:ascii="楷体_GB2312" w:hAnsi="宋体" w:eastAsia="楷体_GB2312"/>
          <w:color w:val="000000"/>
          <w:sz w:val="24"/>
          <w:highlight w:val="none"/>
        </w:rPr>
        <w:t>最低赎回份额为</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份，投资者最低持有份额为</w:t>
      </w:r>
      <w:r>
        <w:rPr>
          <w:rFonts w:hint="default" w:ascii="楷体_GB2312" w:hAnsi="宋体" w:eastAsia="楷体_GB2312"/>
          <w:color w:val="000000"/>
          <w:sz w:val="24"/>
          <w:highlight w:val="none"/>
          <w:lang w:val="en-US"/>
        </w:rPr>
        <w:t>0.01</w:t>
      </w:r>
      <w:r>
        <w:rPr>
          <w:rFonts w:hint="eastAsia" w:ascii="楷体_GB2312" w:hAnsi="宋体" w:eastAsia="楷体_GB2312"/>
          <w:color w:val="000000"/>
          <w:sz w:val="24"/>
          <w:highlight w:val="none"/>
        </w:rPr>
        <w:t>份。若投资者申请部分赎回后，其持有的剩余产品份额少于</w:t>
      </w:r>
      <w:r>
        <w:rPr>
          <w:rFonts w:hint="eastAsia" w:ascii="楷体_GB2312" w:hAnsi="宋体" w:eastAsia="楷体_GB2312"/>
          <w:color w:val="000000"/>
          <w:sz w:val="24"/>
          <w:highlight w:val="none"/>
          <w:lang w:val="en-US" w:eastAsia="zh-CN"/>
        </w:rPr>
        <w:t>最低持有</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额</w:t>
      </w:r>
      <w:r>
        <w:rPr>
          <w:rFonts w:hint="eastAsia" w:ascii="楷体_GB2312" w:hAnsi="宋体" w:eastAsia="楷体_GB2312"/>
          <w:color w:val="000000"/>
          <w:sz w:val="24"/>
          <w:highlight w:val="none"/>
        </w:rPr>
        <w:t>，投资者应申请全额赎回</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理财产品，否则该部分赎回申请将不被受理。</w:t>
      </w:r>
    </w:p>
    <w:p>
      <w:pPr>
        <w:numPr>
          <w:ilvl w:val="0"/>
          <w:numId w:val="0"/>
        </w:numPr>
        <w:ind w:firstLine="480" w:firstLineChars="200"/>
        <w:rPr>
          <w:rFonts w:ascii="楷体_GB2312" w:hAnsi="仿宋" w:eastAsia="楷体_GB2312"/>
          <w:color w:val="000000"/>
          <w:sz w:val="24"/>
          <w:highlight w:val="none"/>
        </w:rPr>
      </w:pPr>
      <w:r>
        <w:rPr>
          <w:rFonts w:hint="eastAsia" w:ascii="楷体_GB2312" w:hAnsi="宋体" w:eastAsia="楷体_GB2312"/>
          <w:color w:val="000000"/>
          <w:sz w:val="24"/>
          <w:highlight w:val="none"/>
          <w:lang w:val="en-US" w:eastAsia="zh-CN"/>
        </w:rPr>
        <w:t>3</w:t>
      </w:r>
      <w:r>
        <w:rPr>
          <w:rFonts w:ascii="楷体_GB2312" w:hAnsi="宋体" w:eastAsia="楷体_GB2312"/>
          <w:color w:val="000000"/>
          <w:sz w:val="24"/>
          <w:highlight w:val="none"/>
        </w:rPr>
        <w:t>.</w:t>
      </w:r>
      <w:r>
        <w:rPr>
          <w:rFonts w:hint="eastAsia" w:ascii="楷体_GB2312" w:hAnsi="仿宋" w:eastAsia="楷体_GB2312"/>
          <w:color w:val="000000"/>
          <w:sz w:val="24"/>
          <w:highlight w:val="none"/>
          <w:lang w:eastAsia="zh-CN"/>
        </w:rPr>
        <w:t>产品管理人</w:t>
      </w:r>
      <w:r>
        <w:rPr>
          <w:rFonts w:hint="eastAsia" w:ascii="楷体_GB2312" w:hAnsi="仿宋" w:eastAsia="楷体_GB2312"/>
          <w:color w:val="000000"/>
          <w:sz w:val="24"/>
          <w:highlight w:val="none"/>
        </w:rPr>
        <w:t>在不损害理财产品份额持有人权益的情况下有权更改上述原则，但最迟须在新的原则实施前</w:t>
      </w:r>
      <w:r>
        <w:rPr>
          <w:rFonts w:hint="default" w:ascii="楷体_GB2312" w:hAnsi="仿宋" w:eastAsia="楷体_GB2312"/>
          <w:color w:val="000000"/>
          <w:sz w:val="24"/>
          <w:highlight w:val="none"/>
          <w:lang w:val="en-US"/>
        </w:rPr>
        <w:t>1</w:t>
      </w:r>
      <w:r>
        <w:rPr>
          <w:rFonts w:hint="eastAsia" w:ascii="楷体_GB2312" w:hAnsi="仿宋" w:eastAsia="楷体_GB2312"/>
          <w:color w:val="000000"/>
          <w:sz w:val="24"/>
          <w:highlight w:val="none"/>
        </w:rPr>
        <w:t>个工作日予以公告。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（三）申购/赎回的受理和确认</w:t>
      </w:r>
    </w:p>
    <w:p>
      <w:pPr>
        <w:pStyle w:val="9"/>
        <w:rPr>
          <w:rFonts w:ascii="楷体_GB2312" w:hAnsi="宋体" w:eastAsia="楷体_GB2312"/>
          <w:color w:val="000000"/>
          <w:sz w:val="24"/>
          <w:highlight w:val="none"/>
        </w:rPr>
      </w:pPr>
      <w:r>
        <w:rPr>
          <w:rFonts w:hint="eastAsia" w:ascii="楷体_GB2312" w:hAnsi="宋体" w:eastAsia="楷体_GB2312"/>
          <w:color w:val="000000"/>
          <w:sz w:val="24"/>
          <w:highlight w:val="none"/>
        </w:rPr>
        <w:t xml:space="preserve">    1.投资者在提交申购</w:t>
      </w:r>
      <w:r>
        <w:rPr>
          <w:rFonts w:hint="eastAsia" w:ascii="楷体_GB2312" w:hAnsi="宋体" w:eastAsia="楷体_GB2312"/>
          <w:color w:val="000000"/>
          <w:sz w:val="24"/>
          <w:highlight w:val="none"/>
          <w:lang w:val="en-US" w:eastAsia="zh-CN"/>
        </w:rPr>
        <w:t>申请</w:t>
      </w:r>
      <w:r>
        <w:rPr>
          <w:rFonts w:hint="eastAsia" w:ascii="楷体_GB2312" w:hAnsi="宋体" w:eastAsia="楷体_GB2312"/>
          <w:color w:val="000000"/>
          <w:sz w:val="24"/>
          <w:highlight w:val="none"/>
        </w:rPr>
        <w:t>时须按代</w:t>
      </w:r>
      <w:r>
        <w:rPr>
          <w:rFonts w:hint="eastAsia" w:ascii="楷体_GB2312" w:hAnsi="宋体" w:eastAsia="楷体_GB2312"/>
          <w:color w:val="000000"/>
          <w:sz w:val="24"/>
          <w:highlight w:val="none"/>
          <w:lang w:val="en-US" w:eastAsia="zh-CN"/>
        </w:rPr>
        <w:t>销机构</w:t>
      </w:r>
      <w:r>
        <w:rPr>
          <w:rFonts w:hint="eastAsia" w:ascii="楷体_GB2312" w:hAnsi="宋体" w:eastAsia="楷体_GB2312"/>
          <w:color w:val="000000"/>
          <w:sz w:val="24"/>
          <w:highlight w:val="none"/>
        </w:rPr>
        <w:t>规定的方式备足申购资金，投资者在提交赎回申请时须持有足够的理财产品份额，否则所提交的申购</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rPr>
        <w:t>赎回申请将失败。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2.申购采用全额缴款方式。若申购不成功，</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将投资者已缴付的申购款项退还给投资者。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3.申购的扣款和确认时间</w:t>
      </w:r>
    </w:p>
    <w:p>
      <w:pPr>
        <w:ind w:firstLine="482" w:firstLineChars="200"/>
        <w:rPr>
          <w:rFonts w:hint="eastAsia"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内提出申购申请后，投资资金将实时冻结，并于申购确认日扣划，资金冻结期间将按照代销机构公布的人民币活期存款利率计算活期存款利息，该利息不作为申购资金扣收。</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default" w:ascii="楷体_GB2312" w:hAnsi="宋体" w:eastAsia="楷体_GB2312"/>
          <w:color w:val="000000"/>
          <w:sz w:val="24"/>
          <w:highlight w:val="none"/>
          <w:lang w:val="en-US"/>
        </w:rPr>
        <w:t>17</w:t>
      </w:r>
      <w:r>
        <w:rPr>
          <w:rFonts w:hint="eastAsia" w:ascii="楷体_GB2312" w:hAnsi="宋体" w:eastAsia="楷体_GB2312"/>
          <w:color w:val="000000"/>
          <w:sz w:val="24"/>
          <w:highlight w:val="none"/>
        </w:rPr>
        <w:t>：00（不含）之前提出的申购申请，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在开放日的下一个</w:t>
      </w:r>
      <w:r>
        <w:rPr>
          <w:rFonts w:hint="eastAsia" w:ascii="楷体_GB2312" w:hAnsi="宋体" w:eastAsia="楷体_GB2312"/>
          <w:color w:val="000000"/>
          <w:sz w:val="24"/>
          <w:highlight w:val="none"/>
          <w:lang w:val="en-US" w:eastAsia="zh-CN"/>
        </w:rPr>
        <w:t>交易</w:t>
      </w:r>
      <w:r>
        <w:rPr>
          <w:rFonts w:hint="eastAsia" w:ascii="楷体_GB2312" w:hAnsi="宋体" w:eastAsia="楷体_GB2312"/>
          <w:color w:val="000000"/>
          <w:sz w:val="24"/>
          <w:highlight w:val="none"/>
        </w:rPr>
        <w:t>日对满足条件的有效申购申请予以确认；投资者在开放日</w:t>
      </w:r>
      <w:r>
        <w:rPr>
          <w:rFonts w:hint="default" w:ascii="楷体_GB2312" w:hAnsi="宋体" w:eastAsia="楷体_GB2312"/>
          <w:color w:val="000000"/>
          <w:sz w:val="24"/>
          <w:highlight w:val="none"/>
          <w:lang w:val="en-US"/>
        </w:rPr>
        <w:t>17</w:t>
      </w:r>
      <w:r>
        <w:rPr>
          <w:rFonts w:hint="eastAsia" w:ascii="楷体_GB2312" w:hAnsi="宋体" w:eastAsia="楷体_GB2312"/>
          <w:color w:val="000000"/>
          <w:sz w:val="24"/>
          <w:highlight w:val="none"/>
        </w:rPr>
        <w:t>：00（含）之后或非</w:t>
      </w:r>
      <w:r>
        <w:rPr>
          <w:rFonts w:hint="eastAsia" w:ascii="楷体_GB2312" w:hAnsi="宋体" w:eastAsia="楷体_GB2312"/>
          <w:color w:val="000000"/>
          <w:sz w:val="24"/>
          <w:highlight w:val="none"/>
          <w:lang w:val="en-US" w:eastAsia="zh-CN"/>
        </w:rPr>
        <w:t>开放</w:t>
      </w:r>
      <w:r>
        <w:rPr>
          <w:rFonts w:hint="eastAsia" w:ascii="楷体_GB2312" w:hAnsi="宋体" w:eastAsia="楷体_GB2312"/>
          <w:color w:val="000000"/>
          <w:sz w:val="24"/>
          <w:highlight w:val="none"/>
        </w:rPr>
        <w:t>日提出的申购申请，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将在投资者提出申购申请之后的产品最近一个开放日的下一个</w:t>
      </w:r>
      <w:r>
        <w:rPr>
          <w:rFonts w:hint="eastAsia" w:ascii="楷体_GB2312" w:hAnsi="宋体" w:eastAsia="楷体_GB2312"/>
          <w:color w:val="000000"/>
          <w:sz w:val="24"/>
          <w:highlight w:val="none"/>
          <w:lang w:val="en-US" w:eastAsia="zh-CN"/>
        </w:rPr>
        <w:t>交易</w:t>
      </w:r>
      <w:r>
        <w:rPr>
          <w:rFonts w:hint="eastAsia" w:ascii="楷体_GB2312" w:hAnsi="宋体" w:eastAsia="楷体_GB2312"/>
          <w:color w:val="000000"/>
          <w:sz w:val="24"/>
          <w:highlight w:val="none"/>
        </w:rPr>
        <w:t>日对满足条件的有效申购申请予以确认。</w:t>
      </w:r>
    </w:p>
    <w:p>
      <w:pPr>
        <w:ind w:firstLine="480" w:firstLineChars="200"/>
        <w:rPr>
          <w:rFonts w:ascii="楷体_GB2312" w:hAnsi="宋体" w:eastAsia="楷体_GB2312"/>
          <w:color w:val="000000"/>
          <w:sz w:val="24"/>
          <w:highlight w:val="none"/>
        </w:rPr>
      </w:pPr>
      <w:r>
        <w:rPr>
          <w:rFonts w:hint="eastAsia" w:ascii="楷体_GB2312" w:hAnsi="Times New Roman" w:eastAsia="楷体_GB2312" w:cs="Times New Roman"/>
          <w:bCs/>
          <w:color w:val="000000"/>
          <w:sz w:val="24"/>
          <w:highlight w:val="none"/>
          <w:lang w:eastAsia="zh-CN"/>
        </w:rPr>
        <w:t>产品管理人</w:t>
      </w:r>
      <w:r>
        <w:rPr>
          <w:rFonts w:hint="eastAsia" w:ascii="楷体_GB2312" w:hAnsi="Times New Roman" w:eastAsia="楷体_GB2312" w:cs="Times New Roman"/>
          <w:bCs/>
          <w:color w:val="000000"/>
          <w:sz w:val="24"/>
          <w:highlight w:val="none"/>
        </w:rPr>
        <w:t>确认投资者申购申请的，投资者自申购确认日起持有</w:t>
      </w:r>
      <w:r>
        <w:rPr>
          <w:rFonts w:hint="eastAsia" w:ascii="楷体_GB2312" w:hAnsi="Times New Roman" w:eastAsia="楷体_GB2312" w:cs="Times New Roman"/>
          <w:bCs/>
          <w:color w:val="000000"/>
          <w:sz w:val="24"/>
          <w:highlight w:val="none"/>
          <w:lang w:val="en-US" w:eastAsia="zh-CN"/>
        </w:rPr>
        <w:t>本</w:t>
      </w:r>
      <w:r>
        <w:rPr>
          <w:rFonts w:hint="eastAsia" w:ascii="楷体_GB2312" w:hAnsi="Times New Roman" w:eastAsia="楷体_GB2312" w:cs="Times New Roman"/>
          <w:bCs/>
          <w:color w:val="000000"/>
          <w:sz w:val="24"/>
          <w:highlight w:val="none"/>
        </w:rPr>
        <w:t>理财产品份额</w:t>
      </w:r>
      <w:r>
        <w:rPr>
          <w:rFonts w:hint="eastAsia" w:ascii="楷体_GB2312" w:hAnsi="Times New Roman" w:eastAsia="楷体_GB2312" w:cs="Times New Roman"/>
          <w:bCs/>
          <w:color w:val="000000"/>
          <w:sz w:val="24"/>
          <w:highlight w:val="none"/>
          <w:lang w:eastAsia="zh-CN"/>
        </w:rPr>
        <w:t>。</w:t>
      </w:r>
      <w:r>
        <w:rPr>
          <w:rFonts w:hint="eastAsia" w:ascii="楷体_GB2312" w:hAnsi="宋体" w:eastAsia="楷体_GB2312"/>
          <w:color w:val="000000"/>
          <w:sz w:val="24"/>
          <w:highlight w:val="none"/>
        </w:rPr>
        <w:t>投资者实际申购份额以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确认份额为准。申购份额=申购金额÷产品单位净值，</w:t>
      </w:r>
      <w:r>
        <w:rPr>
          <w:rFonts w:hint="eastAsia" w:ascii="楷体_GB2312" w:hAnsi="仿宋" w:eastAsia="楷体_GB2312" w:cs="宋体"/>
          <w:color w:val="000000"/>
          <w:kern w:val="0"/>
          <w:sz w:val="24"/>
          <w:highlight w:val="none"/>
        </w:rPr>
        <w:t>申购份额以四舍五入的方法保留到小数点后两位。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4.赎回的确认和到账时间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default" w:ascii="楷体_GB2312" w:hAnsi="宋体" w:eastAsia="楷体_GB2312"/>
          <w:color w:val="000000"/>
          <w:sz w:val="24"/>
          <w:highlight w:val="none"/>
          <w:lang w:val="en-US"/>
        </w:rPr>
        <w:t>17</w:t>
      </w:r>
      <w:r>
        <w:rPr>
          <w:rFonts w:hint="eastAsia" w:ascii="楷体_GB2312" w:hAnsi="宋体" w:eastAsia="楷体_GB2312"/>
          <w:color w:val="000000"/>
          <w:sz w:val="24"/>
          <w:highlight w:val="none"/>
        </w:rPr>
        <w:t>：00（不含）之前提出的赎回申请，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在开放日的下一个</w:t>
      </w:r>
      <w:r>
        <w:rPr>
          <w:rFonts w:hint="eastAsia" w:ascii="楷体_GB2312" w:hAnsi="宋体" w:eastAsia="楷体_GB2312"/>
          <w:color w:val="000000"/>
          <w:sz w:val="24"/>
          <w:highlight w:val="none"/>
          <w:lang w:val="en-US" w:eastAsia="zh-CN"/>
        </w:rPr>
        <w:t>交易</w:t>
      </w:r>
      <w:r>
        <w:rPr>
          <w:rFonts w:hint="eastAsia" w:ascii="楷体_GB2312" w:hAnsi="宋体" w:eastAsia="楷体_GB2312"/>
          <w:color w:val="000000"/>
          <w:sz w:val="24"/>
          <w:highlight w:val="none"/>
        </w:rPr>
        <w:t>日对满足条件的有效赎回申请予以确认；投资者在开放日17：00（含）之后或非</w:t>
      </w:r>
      <w:r>
        <w:rPr>
          <w:rFonts w:hint="eastAsia" w:ascii="楷体_GB2312" w:hAnsi="宋体" w:eastAsia="楷体_GB2312"/>
          <w:color w:val="000000"/>
          <w:sz w:val="24"/>
          <w:highlight w:val="none"/>
          <w:lang w:val="en-US" w:eastAsia="zh-CN"/>
        </w:rPr>
        <w:t>开放</w:t>
      </w:r>
      <w:r>
        <w:rPr>
          <w:rFonts w:hint="eastAsia" w:ascii="楷体_GB2312" w:hAnsi="宋体" w:eastAsia="楷体_GB2312"/>
          <w:color w:val="000000"/>
          <w:sz w:val="24"/>
          <w:highlight w:val="none"/>
        </w:rPr>
        <w:t>日提出的赎回申请，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w:t>
      </w:r>
      <w:r>
        <w:rPr>
          <w:rFonts w:hint="eastAsia" w:ascii="楷体_GB2312" w:hAnsi="宋体" w:eastAsia="楷体_GB2312"/>
          <w:color w:val="000000"/>
          <w:sz w:val="24"/>
          <w:highlight w:val="none"/>
          <w:lang w:eastAsia="zh-CN"/>
        </w:rPr>
        <w:t>投资者</w:t>
      </w:r>
      <w:r>
        <w:rPr>
          <w:rFonts w:hint="eastAsia" w:ascii="楷体_GB2312" w:hAnsi="宋体" w:eastAsia="楷体_GB2312"/>
          <w:color w:val="000000"/>
          <w:sz w:val="24"/>
          <w:highlight w:val="none"/>
        </w:rPr>
        <w:t>提出赎回申请之后的产品最近一个开放日的下一个</w:t>
      </w:r>
      <w:r>
        <w:rPr>
          <w:rFonts w:hint="eastAsia" w:ascii="楷体_GB2312" w:hAnsi="宋体" w:eastAsia="楷体_GB2312"/>
          <w:color w:val="000000"/>
          <w:sz w:val="24"/>
          <w:highlight w:val="none"/>
          <w:lang w:val="en-US" w:eastAsia="zh-CN"/>
        </w:rPr>
        <w:t>交易</w:t>
      </w:r>
      <w:r>
        <w:rPr>
          <w:rFonts w:hint="eastAsia" w:ascii="楷体_GB2312" w:hAnsi="宋体" w:eastAsia="楷体_GB2312"/>
          <w:color w:val="000000"/>
          <w:sz w:val="24"/>
          <w:highlight w:val="none"/>
        </w:rPr>
        <w:t>日对满足条件的有效赎回申请予以确认。</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投资者实际赎回份额以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确认份额为准，赎回金额=赎回份额</w:t>
      </w:r>
      <w:r>
        <w:rPr>
          <w:rFonts w:hint="eastAsia" w:ascii="楷体_GB2312" w:hAnsi="仿宋" w:eastAsia="楷体_GB2312"/>
          <w:color w:val="000000"/>
          <w:sz w:val="24"/>
          <w:highlight w:val="none"/>
        </w:rPr>
        <w:t>×</w:t>
      </w:r>
      <w:r>
        <w:rPr>
          <w:rFonts w:hint="eastAsia" w:ascii="楷体_GB2312" w:hAnsi="宋体" w:eastAsia="楷体_GB2312"/>
          <w:color w:val="000000"/>
          <w:sz w:val="24"/>
          <w:highlight w:val="none"/>
        </w:rPr>
        <w:t>产品单位净值，</w:t>
      </w:r>
      <w:r>
        <w:rPr>
          <w:rFonts w:hint="eastAsia" w:ascii="楷体_GB2312" w:hAnsi="仿宋" w:eastAsia="楷体_GB2312" w:cs="宋体"/>
          <w:color w:val="000000"/>
          <w:kern w:val="0"/>
          <w:sz w:val="24"/>
          <w:highlight w:val="none"/>
        </w:rPr>
        <w:t>赎回金额以四舍五入</w:t>
      </w:r>
      <w:r>
        <w:rPr>
          <w:rFonts w:hint="eastAsia" w:ascii="楷体_GB2312" w:hAnsi="仿宋" w:eastAsia="楷体_GB2312" w:cs="宋体"/>
          <w:color w:val="000000"/>
          <w:kern w:val="0"/>
          <w:sz w:val="24"/>
          <w:highlight w:val="none"/>
          <w:lang w:val="en-US" w:eastAsia="zh-CN"/>
        </w:rPr>
        <w:t>的</w:t>
      </w:r>
      <w:r>
        <w:rPr>
          <w:rFonts w:hint="eastAsia" w:ascii="楷体_GB2312" w:hAnsi="仿宋" w:eastAsia="楷体_GB2312" w:cs="宋体"/>
          <w:color w:val="000000"/>
          <w:kern w:val="0"/>
          <w:sz w:val="24"/>
          <w:highlight w:val="none"/>
        </w:rPr>
        <w:t>方</w:t>
      </w:r>
      <w:r>
        <w:rPr>
          <w:rFonts w:hint="eastAsia" w:ascii="楷体_GB2312" w:hAnsi="仿宋" w:eastAsia="楷体_GB2312" w:cs="宋体"/>
          <w:color w:val="000000"/>
          <w:kern w:val="0"/>
          <w:sz w:val="24"/>
          <w:highlight w:val="none"/>
          <w:lang w:val="en-US" w:eastAsia="zh-CN"/>
        </w:rPr>
        <w:t>法</w:t>
      </w:r>
      <w:r>
        <w:rPr>
          <w:rFonts w:hint="eastAsia" w:ascii="楷体_GB2312" w:hAnsi="仿宋" w:eastAsia="楷体_GB2312" w:cs="宋体"/>
          <w:color w:val="000000"/>
          <w:kern w:val="0"/>
          <w:sz w:val="24"/>
          <w:highlight w:val="none"/>
        </w:rPr>
        <w:t>保留到小数点后两位。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确认投资者赎回申请的，投资者自赎回确认日起不再持有</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理财产品份额，赎回资金原则上将于赎回确认日当日内划转至代销机构清算账户，投资者赎回资金的具体到账时间以代销机构划付规则为准。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存续期内</w:t>
      </w:r>
      <w:r>
        <w:rPr>
          <w:rFonts w:hint="eastAsia" w:ascii="楷体_GB2312" w:hAnsi="宋体" w:eastAsia="楷体_GB2312"/>
          <w:color w:val="000000"/>
          <w:sz w:val="24"/>
          <w:highlight w:val="none"/>
        </w:rPr>
        <w:t>，如遇有权机关冻结投资者持有的本理财产品份额的，产品管理人应按照有权机关要求进行操作。</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（四）巨额赎回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1.巨额赎回的认定</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在本理财产品的单个开放日，净赎回申请（即产品赎回有效申请份额总数扣除</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申购有效申请份额总数后的差额）超过前一日终</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理财产品总份额的10％时，为巨额赎回。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2.巨额赎回的处理方式</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发生巨额赎回时，产品管理人有权根据本理财产品当时的投资运作情况决定采取全额赎回、部分赎回等流动性风险应对措施。关于巨额赎回的相关情况，产品管理人将在巨额赎回发生后3个交易日内通过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（1）全额赎回：当本理财产品可以兑付投资者（或称“份额持有人”）的全部赎回申请时，将在赎回确认日按投资者申请赎回份额执行正常赎回程序。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部分赎回：产品管理人在赎回确认日当日办理的赎回份额不低于前一日终本理财产品总份额的10%的前提下，对其余赎回申请有权暂停接受或延期办理。本理财产品连续2个以上开放日发生巨额赎回的，除有权采取以上措施外，对于已经接受的赎回申请，产品管理人有权延缓支付赎回款项，但延缓期限不得超过20个工作日。对该理财产品单个份额持有人的赎回申请，产品管理人有权按照其申请赎回份额占赎回确认日当日申请赎回总份额的比例，确定该单个份额持有人当日办理的赎回份额。</w:t>
      </w:r>
      <w:r>
        <w:rPr>
          <w:rFonts w:hint="eastAsia" w:ascii="楷体_GB2312" w:hAnsi="宋体" w:eastAsia="楷体_GB2312"/>
          <w:color w:val="000000"/>
          <w:sz w:val="24"/>
          <w:highlight w:val="none"/>
          <w:lang w:val="en-US" w:eastAsia="zh-CN"/>
        </w:rPr>
        <w:t>本理财产品份额持有人可以在</w:t>
      </w:r>
      <w:r>
        <w:rPr>
          <w:rFonts w:hint="eastAsia" w:ascii="楷体_GB2312" w:hAnsi="宋体" w:eastAsia="楷体_GB2312"/>
          <w:color w:val="000000"/>
          <w:sz w:val="24"/>
          <w:highlight w:val="none"/>
        </w:rPr>
        <w:t>申请赎回时选择将当日未获办理部分予以撤销（具体交易功能以</w:t>
      </w:r>
      <w:r>
        <w:rPr>
          <w:rFonts w:hint="eastAsia" w:ascii="楷体_GB2312" w:hAnsi="宋体" w:eastAsia="楷体_GB2312"/>
          <w:color w:val="000000"/>
          <w:sz w:val="24"/>
          <w:highlight w:val="none"/>
          <w:lang w:val="en-US" w:eastAsia="zh-CN"/>
        </w:rPr>
        <w:t>代销机构</w:t>
      </w:r>
      <w:r>
        <w:rPr>
          <w:rFonts w:hint="eastAsia" w:ascii="楷体_GB2312" w:hAnsi="宋体" w:eastAsia="楷体_GB2312"/>
          <w:color w:val="000000"/>
          <w:sz w:val="24"/>
          <w:highlight w:val="none"/>
        </w:rPr>
        <w:t>规定为准），</w:t>
      </w:r>
      <w:r>
        <w:rPr>
          <w:rFonts w:hint="eastAsia" w:ascii="楷体_GB2312" w:hAnsi="宋体" w:eastAsia="楷体_GB2312"/>
          <w:color w:val="000000"/>
          <w:sz w:val="24"/>
          <w:highlight w:val="none"/>
          <w:lang w:val="en-US" w:eastAsia="zh-CN"/>
        </w:rPr>
        <w:t>未选择撤销的，</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000000"/>
          <w:sz w:val="24"/>
          <w:highlight w:val="none"/>
        </w:rPr>
        <w:t>当日未获办理部分延迟至下一个开放日办理（赎回价格为下一个开放日</w:t>
      </w:r>
      <w:r>
        <w:rPr>
          <w:rFonts w:hint="eastAsia" w:ascii="楷体_GB2312" w:hAnsi="宋体" w:eastAsia="楷体_GB2312"/>
          <w:color w:val="000000"/>
          <w:sz w:val="24"/>
          <w:highlight w:val="none"/>
          <w:lang w:val="en-US" w:eastAsia="zh-CN"/>
        </w:rPr>
        <w:t>当日</w:t>
      </w:r>
      <w:r>
        <w:rPr>
          <w:rFonts w:hint="eastAsia" w:ascii="楷体_GB2312" w:hAnsi="宋体" w:eastAsia="楷体_GB2312"/>
          <w:color w:val="000000"/>
          <w:sz w:val="24"/>
          <w:highlight w:val="none"/>
        </w:rPr>
        <w:t>的产品单位净值）或暂停接受当日未获办理</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赎回申请。</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（五）拒绝或暂停申购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拒绝接受或暂停接受投资者的申购申请：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产品无法正常运作；</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产品募集规模上限；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.投资者申购超过个人</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机构投资者持有上限；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产品资产规模过大，</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无法找到合适的投资品种，或继续接受申购可能对</w:t>
      </w:r>
      <w:r>
        <w:rPr>
          <w:rFonts w:hint="eastAsia" w:ascii="楷体_GB2312" w:hAnsi="宋体" w:eastAsia="楷体_GB2312"/>
          <w:color w:val="000000"/>
          <w:sz w:val="24"/>
          <w:highlight w:val="none"/>
          <w:lang w:val="en-US" w:eastAsia="zh-CN"/>
        </w:rPr>
        <w:t>本理财产品的</w:t>
      </w:r>
      <w:r>
        <w:rPr>
          <w:rFonts w:hint="eastAsia" w:ascii="楷体_GB2312" w:hAnsi="宋体" w:eastAsia="楷体_GB2312"/>
          <w:color w:val="000000"/>
          <w:sz w:val="24"/>
          <w:highlight w:val="none"/>
        </w:rPr>
        <w:t>业绩产生负面影响，从而损害现有产品份额持有人利益；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认为接受申购申请可能对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理财产品存量投资者利益构成重大不利影响时，或者基于投资运作与风险控制需要；</w:t>
      </w:r>
    </w:p>
    <w:p>
      <w:pPr>
        <w:ind w:firstLine="480" w:firstLineChars="200"/>
        <w:rPr>
          <w:rFonts w:ascii="楷体_GB2312" w:hAnsi="宋体" w:eastAsia="楷体_GB2312"/>
          <w:color w:val="000000"/>
          <w:sz w:val="24"/>
          <w:highlight w:val="none"/>
        </w:rPr>
      </w:pPr>
      <w:bookmarkStart w:id="1" w:name="_Hlk146069622"/>
      <w:r>
        <w:rPr>
          <w:rFonts w:hint="eastAsia" w:ascii="楷体_GB2312" w:hAnsi="宋体" w:eastAsia="楷体_GB2312"/>
          <w:color w:val="000000"/>
          <w:sz w:val="24"/>
          <w:highlight w:val="none"/>
          <w:lang w:val="en-US" w:eastAsia="zh-CN"/>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本理财产品不允许单一投资者持有份额超过本理财产品总份额的50%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非因</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主观因素导致突破前款规定比例限制的，在单一投资者持有比例降至50%以下之前，</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不得再接受该投资者对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申购</w:t>
      </w:r>
      <w:r>
        <w:rPr>
          <w:rFonts w:hint="eastAsia" w:ascii="楷体_GB2312" w:hAnsi="宋体" w:eastAsia="楷体_GB2312"/>
          <w:color w:val="000000"/>
          <w:sz w:val="24"/>
          <w:highlight w:val="none"/>
        </w:rPr>
        <w:t>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ascii="楷体_GB2312" w:hAnsi="宋体" w:eastAsia="楷体_GB2312"/>
          <w:color w:val="000000"/>
          <w:sz w:val="24"/>
          <w:highlight w:val="none"/>
        </w:rPr>
        <w:t>.当影子定价确定的</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理财产品资产净值与摊余成本法计算的</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理财产品资产净值正偏离度绝对值达到0.5%时</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应</w:t>
      </w:r>
      <w:r>
        <w:rPr>
          <w:rFonts w:hint="eastAsia" w:ascii="楷体_GB2312" w:hAnsi="宋体" w:eastAsia="楷体_GB2312"/>
          <w:color w:val="000000"/>
          <w:sz w:val="24"/>
          <w:highlight w:val="none"/>
          <w:lang w:val="en-US" w:eastAsia="zh-CN"/>
        </w:rPr>
        <w:t>当</w:t>
      </w:r>
      <w:r>
        <w:rPr>
          <w:rFonts w:hint="eastAsia" w:ascii="楷体_GB2312" w:hAnsi="宋体" w:eastAsia="楷体_GB2312"/>
          <w:color w:val="000000"/>
          <w:sz w:val="24"/>
          <w:highlight w:val="none"/>
        </w:rPr>
        <w:t>暂停接受</w:t>
      </w:r>
      <w:r>
        <w:rPr>
          <w:rFonts w:hint="eastAsia" w:ascii="楷体_GB2312" w:hAnsi="宋体" w:eastAsia="楷体_GB2312"/>
          <w:color w:val="000000"/>
          <w:sz w:val="24"/>
          <w:highlight w:val="none"/>
          <w:lang w:val="en-US" w:eastAsia="zh-CN"/>
        </w:rPr>
        <w:t>投资者的申购申请</w:t>
      </w:r>
      <w:r>
        <w:rPr>
          <w:rFonts w:hint="eastAsia" w:ascii="楷体_GB2312" w:hAnsi="宋体" w:eastAsia="楷体_GB2312"/>
          <w:color w:val="000000"/>
          <w:sz w:val="24"/>
          <w:highlight w:val="none"/>
        </w:rPr>
        <w:t>；</w:t>
      </w:r>
    </w:p>
    <w:bookmarkEnd w:id="1"/>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.法律法规规定或本理财产品销售文件约定的其他情形。</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（六）</w:t>
      </w:r>
      <w:r>
        <w:rPr>
          <w:rFonts w:hint="eastAsia" w:ascii="楷体_GB2312" w:hAnsi="宋体" w:eastAsia="楷体_GB2312"/>
          <w:color w:val="000000"/>
          <w:sz w:val="24"/>
          <w:highlight w:val="none"/>
        </w:rPr>
        <w:t>拒绝或暂停赎回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拒绝接受或暂停接受投资者的赎回申请：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无法正常运作或不能按时支付赎回款项；</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hint="eastAsia" w:ascii="楷体_GB2312" w:hAnsi="宋体" w:eastAsia="楷体_GB2312"/>
          <w:color w:val="000000"/>
          <w:sz w:val="24"/>
          <w:highlight w:val="none"/>
          <w:lang w:eastAsia="zh-CN"/>
        </w:rPr>
      </w:pPr>
      <w:r>
        <w:rPr>
          <w:rFonts w:hint="eastAsia" w:ascii="楷体_GB2312" w:hAnsi="仿宋" w:eastAsia="楷体_GB2312"/>
          <w:color w:val="000000"/>
          <w:sz w:val="24"/>
          <w:highlight w:val="none"/>
          <w:lang w:val="en-US" w:eastAsia="zh-CN"/>
        </w:rPr>
        <w:t>3.发生巨额赎回时，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产品管理人在赎回确认日当日办理的赎回份额不低于前一日终本理财产品总份额的10%的前提下，有权暂停接受其余赎回申请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产品连续2个</w:t>
      </w:r>
      <w:r>
        <w:rPr>
          <w:rFonts w:hint="eastAsia" w:ascii="楷体_GB2312" w:hAnsi="宋体" w:eastAsia="楷体_GB2312"/>
          <w:color w:val="000000"/>
          <w:sz w:val="24"/>
          <w:highlight w:val="none"/>
          <w:lang w:val="en-US" w:eastAsia="zh-CN"/>
        </w:rPr>
        <w:t>及以上</w:t>
      </w:r>
      <w:r>
        <w:rPr>
          <w:rFonts w:hint="eastAsia" w:ascii="楷体_GB2312" w:hAnsi="宋体" w:eastAsia="楷体_GB2312"/>
          <w:color w:val="000000"/>
          <w:sz w:val="24"/>
          <w:highlight w:val="none"/>
        </w:rPr>
        <w:t>开放日发生巨额赎回；</w:t>
      </w:r>
    </w:p>
    <w:p>
      <w:pPr>
        <w:pStyle w:val="2"/>
        <w:ind w:left="0" w:leftChars="0" w:firstLine="480" w:firstLineChars="200"/>
        <w:rPr>
          <w:highlight w:val="none"/>
        </w:rPr>
      </w:pPr>
      <w:r>
        <w:rPr>
          <w:rFonts w:hint="eastAsia" w:ascii="楷体_GB2312" w:hAnsi="宋体" w:eastAsia="楷体_GB2312"/>
          <w:color w:val="000000"/>
          <w:sz w:val="24"/>
          <w:highlight w:val="none"/>
          <w:lang w:val="en-US" w:eastAsia="zh-CN"/>
        </w:rPr>
        <w:t>5.本理财产品在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6.</w:t>
      </w:r>
      <w:r>
        <w:rPr>
          <w:rFonts w:ascii="楷体_GB2312" w:hAnsi="宋体" w:eastAsia="楷体_GB2312"/>
          <w:color w:val="000000"/>
          <w:sz w:val="24"/>
          <w:highlight w:val="none"/>
        </w:rPr>
        <w:t>当影子定价确定的</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理财产品资产净值与摊余成本法计算的</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理财产品资产净值负偏离度绝对值连续两个交易日超过0.5%时</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产品管理人有权选择</w:t>
      </w:r>
      <w:r>
        <w:rPr>
          <w:rFonts w:hint="eastAsia" w:ascii="楷体_GB2312" w:hAnsi="宋体" w:eastAsia="楷体_GB2312"/>
          <w:color w:val="000000"/>
          <w:sz w:val="24"/>
          <w:highlight w:val="none"/>
        </w:rPr>
        <w:t>暂停接受所有赎回申请并终止</w:t>
      </w:r>
      <w:r>
        <w:rPr>
          <w:rFonts w:hint="eastAsia" w:ascii="楷体_GB2312" w:hAnsi="宋体" w:eastAsia="楷体_GB2312"/>
          <w:color w:val="000000"/>
          <w:sz w:val="24"/>
          <w:highlight w:val="none"/>
          <w:lang w:val="en-US" w:eastAsia="zh-CN"/>
        </w:rPr>
        <w:t>本理财产品销售文件</w:t>
      </w:r>
      <w:r>
        <w:rPr>
          <w:rFonts w:hint="eastAsia" w:ascii="楷体_GB2312" w:hAnsi="宋体" w:eastAsia="楷体_GB2312"/>
          <w:color w:val="000000"/>
          <w:sz w:val="24"/>
          <w:highlight w:val="none"/>
        </w:rPr>
        <w:t>进行财产清算</w:t>
      </w:r>
      <w:r>
        <w:rPr>
          <w:rFonts w:hint="eastAsia" w:ascii="楷体_GB2312" w:hAnsi="宋体" w:eastAsia="楷体_GB2312"/>
          <w:color w:val="000000"/>
          <w:sz w:val="24"/>
          <w:highlight w:val="none"/>
          <w:lang w:eastAsia="zh-CN"/>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当本理财产品每日确认且需当日支付的净赎回申请超过前一工作日本理财产品7个工作日可变现资产的可变现价值时；</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认为继续接受赎回可能对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业绩产生较大负面影响的情形；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★（七）延期办理赎回申请</w:t>
      </w:r>
    </w:p>
    <w:p>
      <w:pPr>
        <w:pStyle w:val="2"/>
        <w:ind w:left="0" w:leftChars="0" w:firstLine="480" w:firstLineChars="200"/>
        <w:rPr>
          <w:rFonts w:hint="eastAsia" w:eastAsia="楷体_GB2312"/>
          <w:highlight w:val="none"/>
          <w:lang w:eastAsia="zh-CN"/>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延期办理赎回申请</w:t>
      </w:r>
      <w:r>
        <w:rPr>
          <w:rFonts w:hint="eastAsia" w:ascii="楷体_GB2312" w:hAnsi="宋体" w:eastAsia="楷体_GB2312"/>
          <w:color w:val="000000"/>
          <w:sz w:val="24"/>
          <w:highlight w:val="none"/>
          <w:lang w:eastAsia="zh-CN"/>
        </w:rPr>
        <w:t>：</w:t>
      </w:r>
    </w:p>
    <w:p>
      <w:pPr>
        <w:numPr>
          <w:ilvl w:val="0"/>
          <w:numId w:val="0"/>
        </w:num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val="en-US" w:eastAsia="zh-CN"/>
        </w:rPr>
        <w:t>1.单个</w:t>
      </w:r>
      <w:r>
        <w:rPr>
          <w:rFonts w:hint="eastAsia" w:ascii="楷体_GB2312" w:hAnsi="宋体" w:eastAsia="楷体_GB2312"/>
          <w:color w:val="000000"/>
          <w:sz w:val="24"/>
          <w:highlight w:val="none"/>
        </w:rPr>
        <w:t>投资者在单个开放日申请赎回份额超过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产品总份额10%的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产品管理人有权选择</w:t>
      </w:r>
      <w:r>
        <w:rPr>
          <w:rFonts w:hint="eastAsia" w:ascii="楷体_GB2312" w:hAnsi="宋体" w:eastAsia="楷体_GB2312"/>
          <w:color w:val="000000"/>
          <w:sz w:val="24"/>
          <w:highlight w:val="none"/>
        </w:rPr>
        <w:t>延期办理部分赎回申请</w:t>
      </w:r>
      <w:r>
        <w:rPr>
          <w:rFonts w:hint="eastAsia" w:ascii="楷体_GB2312" w:hAnsi="宋体" w:eastAsia="楷体_GB2312"/>
          <w:color w:val="000000"/>
          <w:sz w:val="24"/>
          <w:highlight w:val="none"/>
          <w:lang w:eastAsia="zh-CN"/>
        </w:rPr>
        <w:t>；</w:t>
      </w:r>
    </w:p>
    <w:p>
      <w:pPr>
        <w:pStyle w:val="2"/>
        <w:numPr>
          <w:ilvl w:val="0"/>
          <w:numId w:val="0"/>
        </w:numPr>
        <w:ind w:left="0" w:leftChars="0" w:firstLine="480" w:firstLineChars="200"/>
        <w:rPr>
          <w:rFonts w:hint="eastAsia" w:ascii="楷体_GB2312" w:hAnsi="宋体" w:eastAsia="楷体_GB2312"/>
          <w:color w:val="000000"/>
          <w:sz w:val="24"/>
          <w:highlight w:val="none"/>
          <w:lang w:eastAsia="zh-CN"/>
        </w:rPr>
      </w:pPr>
      <w:r>
        <w:rPr>
          <w:rFonts w:hint="eastAsia" w:ascii="楷体_GB2312" w:hAnsi="仿宋" w:eastAsia="楷体_GB2312"/>
          <w:color w:val="000000"/>
          <w:sz w:val="24"/>
          <w:highlight w:val="none"/>
          <w:lang w:val="en-US" w:eastAsia="zh-CN"/>
        </w:rPr>
        <w:t>2.发生巨额赎回时，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产品管理人在赎回确认日当日办理的赎回份额不低于前一日终本理财产品总份额的10%的前提下，有权延期办理其余赎回申请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3.为保护投资者利益，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认为需要延期办理赎回申请的情形</w:t>
      </w:r>
      <w:r>
        <w:rPr>
          <w:rFonts w:hint="eastAsia" w:ascii="楷体_GB2312" w:hAnsi="宋体" w:eastAsia="楷体_GB2312"/>
          <w:color w:val="000000"/>
          <w:sz w:val="24"/>
          <w:highlight w:val="none"/>
          <w:lang w:eastAsia="zh-CN"/>
        </w:rPr>
        <w:t>；</w:t>
      </w:r>
    </w:p>
    <w:p>
      <w:pPr>
        <w:ind w:firstLine="480" w:firstLineChars="200"/>
        <w:rPr>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产品赎回确认日遇非工作日顺延至下一工作日，投资者</w:t>
      </w:r>
      <w:r>
        <w:rPr>
          <w:rFonts w:hint="eastAsia" w:ascii="楷体_GB2312" w:hAnsi="宋体" w:eastAsia="楷体_GB2312"/>
          <w:color w:val="000000"/>
          <w:sz w:val="24"/>
          <w:highlight w:val="none"/>
          <w:lang w:val="en-US" w:eastAsia="zh-CN"/>
        </w:rPr>
        <w:t>赎回款项</w:t>
      </w:r>
      <w:r>
        <w:rPr>
          <w:rFonts w:hint="eastAsia" w:ascii="楷体_GB2312" w:hAnsi="宋体" w:eastAsia="楷体_GB2312"/>
          <w:color w:val="000000"/>
          <w:sz w:val="24"/>
          <w:highlight w:val="none"/>
        </w:rPr>
        <w:t>兑付将相应调整；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2.因市场成交量不足、资产限制赎回、暂停交易、交易对手缺乏意愿等原因，导致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产品项下对应的投资标的无法及时变现；</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3.因资金在途等原因，导致未能及时收回资金；</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接受赎回申请后无法兑付；</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5.发生暂停理财产品估值</w:t>
      </w:r>
      <w:r>
        <w:rPr>
          <w:rFonts w:hint="eastAsia" w:ascii="楷体_GB2312" w:hAnsi="宋体" w:eastAsia="楷体_GB2312"/>
          <w:color w:val="000000"/>
          <w:sz w:val="24"/>
          <w:highlight w:val="none"/>
          <w:lang w:eastAsia="zh-CN"/>
        </w:rPr>
        <w:t>的情形</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6.本理财产品连续2个及以上</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发生巨额赎回的，对于已经接受的投资者赎回申请，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可以延缓支付赎回款项，延缓期限不超过20个工作日；</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7.</w:t>
      </w:r>
      <w:bookmarkStart w:id="2" w:name="_Hlk146059245"/>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在前</w:t>
      </w:r>
      <w:r>
        <w:rPr>
          <w:rFonts w:hint="eastAsia" w:ascii="楷体_GB2312" w:hAnsi="宋体" w:eastAsia="楷体_GB2312"/>
          <w:color w:val="000000"/>
          <w:sz w:val="24"/>
          <w:highlight w:val="none"/>
        </w:rPr>
        <w:t>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w:t>
      </w:r>
      <w:r>
        <w:rPr>
          <w:rFonts w:hint="eastAsia" w:ascii="楷体_GB2312" w:hAnsi="宋体" w:eastAsia="楷体_GB2312"/>
          <w:color w:val="000000"/>
          <w:sz w:val="24"/>
          <w:highlight w:val="none"/>
          <w:lang w:eastAsia="zh-CN"/>
        </w:rPr>
        <w:t>；</w:t>
      </w:r>
      <w:bookmarkEnd w:id="2"/>
    </w:p>
    <w:p>
      <w:pPr>
        <w:pStyle w:val="2"/>
        <w:ind w:left="0" w:leftChars="0" w:firstLine="480" w:firstLineChars="200"/>
        <w:rPr>
          <w:rFonts w:hint="eastAsia" w:eastAsia="楷体_GB2312"/>
          <w:highlight w:val="none"/>
          <w:lang w:val="en-US" w:eastAsia="zh-CN"/>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单个</w:t>
      </w:r>
      <w:r>
        <w:rPr>
          <w:rFonts w:hint="eastAsia" w:ascii="楷体_GB2312" w:hAnsi="宋体" w:eastAsia="楷体_GB2312"/>
          <w:color w:val="000000"/>
          <w:sz w:val="24"/>
          <w:highlight w:val="none"/>
        </w:rPr>
        <w:t>投资者在单个开放日申请赎回份额超过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产品总份额10%的</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val="en-US" w:eastAsia="zh-CN"/>
        </w:rPr>
        <w:t>9</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认为需要延续支付赎回款项的情形</w:t>
      </w:r>
      <w:r>
        <w:rPr>
          <w:rFonts w:hint="eastAsia" w:ascii="楷体_GB2312" w:hAnsi="宋体" w:eastAsia="楷体_GB2312"/>
          <w:color w:val="000000"/>
          <w:sz w:val="24"/>
          <w:highlight w:val="none"/>
          <w:lang w:eastAsia="zh-CN"/>
        </w:rPr>
        <w:t>；</w:t>
      </w:r>
    </w:p>
    <w:p>
      <w:pPr>
        <w:ind w:firstLine="480" w:firstLineChars="200"/>
        <w:rPr>
          <w:rFonts w:hint="default"/>
          <w:highlight w:val="none"/>
          <w:lang w:val="en-US" w:eastAsia="zh-CN"/>
        </w:rPr>
      </w:pP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仿宋" w:eastAsia="楷体_GB2312"/>
          <w:color w:val="000000"/>
          <w:sz w:val="24"/>
          <w:highlight w:val="none"/>
        </w:rPr>
      </w:pPr>
      <w:r>
        <w:rPr>
          <w:rFonts w:hint="eastAsia" w:ascii="楷体_GB2312" w:hAnsi="仿宋" w:eastAsia="楷体_GB2312"/>
          <w:color w:val="000000"/>
          <w:sz w:val="24"/>
          <w:highlight w:val="none"/>
        </w:rPr>
        <w:t>★</w:t>
      </w:r>
      <w:r>
        <w:rPr>
          <w:rFonts w:hint="eastAsia" w:ascii="楷体_GB2312" w:hAnsi="仿宋" w:eastAsia="楷体_GB2312"/>
          <w:b/>
          <w:color w:val="000000"/>
          <w:sz w:val="24"/>
          <w:highlight w:val="none"/>
        </w:rPr>
        <w:t>特别提示：</w:t>
      </w:r>
      <w:r>
        <w:rPr>
          <w:rFonts w:hint="eastAsia" w:ascii="楷体_GB2312" w:hAnsi="宋体" w:eastAsia="楷体_GB2312" w:cs="Times New Roman"/>
          <w:color w:val="000000"/>
          <w:sz w:val="24"/>
          <w:highlight w:val="none"/>
          <w:lang w:val="en-US" w:eastAsia="zh-CN"/>
        </w:rPr>
        <w:t>除上述</w:t>
      </w:r>
      <w:r>
        <w:rPr>
          <w:rFonts w:hint="eastAsia" w:ascii="楷体_GB2312" w:hAnsi="宋体" w:eastAsia="楷体_GB2312" w:cs="Times New Roman"/>
          <w:color w:val="000000"/>
          <w:sz w:val="24"/>
          <w:highlight w:val="none"/>
        </w:rPr>
        <w:t>流动性风险应</w:t>
      </w:r>
      <w:r>
        <w:rPr>
          <w:rFonts w:hint="eastAsia" w:ascii="楷体_GB2312" w:hAnsi="仿宋" w:eastAsia="楷体_GB2312" w:cs="Times New Roman"/>
          <w:color w:val="000000"/>
          <w:sz w:val="24"/>
          <w:highlight w:val="none"/>
        </w:rPr>
        <w:t>对措施</w:t>
      </w:r>
      <w:r>
        <w:rPr>
          <w:rFonts w:hint="eastAsia" w:ascii="楷体_GB2312" w:hAnsi="仿宋" w:eastAsia="楷体_GB2312" w:cs="Times New Roman"/>
          <w:color w:val="000000"/>
          <w:sz w:val="24"/>
          <w:highlight w:val="none"/>
          <w:lang w:val="en-US" w:eastAsia="zh-CN"/>
        </w:rPr>
        <w:t>外，本理财产品的产品管理人还可根据实际业务情况，采取收取短期赎回费、暂停理财产品估值、</w:t>
      </w:r>
      <w:r>
        <w:rPr>
          <w:rFonts w:hint="eastAsia" w:ascii="楷体_GB2312" w:hAnsi="仿宋" w:eastAsia="楷体_GB2312" w:cs="Times New Roman"/>
          <w:bCs w:val="0"/>
          <w:color w:val="000000"/>
          <w:sz w:val="24"/>
          <w:highlight w:val="none"/>
        </w:rPr>
        <w:t>设定单一投资者</w:t>
      </w:r>
      <w:r>
        <w:rPr>
          <w:rFonts w:hint="eastAsia" w:ascii="楷体_GB2312" w:hAnsi="仿宋" w:eastAsia="楷体_GB2312" w:cs="Times New Roman"/>
          <w:bCs w:val="0"/>
          <w:color w:val="000000"/>
          <w:sz w:val="24"/>
          <w:highlight w:val="none"/>
          <w:lang w:val="en-US" w:eastAsia="zh-CN"/>
        </w:rPr>
        <w:t>持有金额</w:t>
      </w:r>
      <w:r>
        <w:rPr>
          <w:rFonts w:hint="eastAsia" w:ascii="楷体_GB2312" w:hAnsi="仿宋" w:eastAsia="楷体_GB2312" w:cs="Times New Roman"/>
          <w:bCs w:val="0"/>
          <w:color w:val="000000"/>
          <w:sz w:val="24"/>
          <w:highlight w:val="none"/>
        </w:rPr>
        <w:t>上限</w:t>
      </w:r>
      <w:r>
        <w:rPr>
          <w:rFonts w:hint="eastAsia" w:ascii="楷体_GB2312" w:hAnsi="仿宋" w:eastAsia="楷体_GB2312" w:cs="Times New Roman"/>
          <w:color w:val="000000"/>
          <w:sz w:val="24"/>
          <w:highlight w:val="none"/>
          <w:lang w:val="en-US" w:eastAsia="zh-CN"/>
        </w:rPr>
        <w:t>等</w:t>
      </w:r>
      <w:r>
        <w:rPr>
          <w:rFonts w:hint="eastAsia" w:ascii="楷体_GB2312" w:hAnsi="仿宋" w:eastAsia="楷体_GB2312" w:cs="Times New Roman"/>
          <w:color w:val="000000"/>
          <w:sz w:val="24"/>
          <w:highlight w:val="none"/>
        </w:rPr>
        <w:t>国家金融监督管理总局</w:t>
      </w:r>
      <w:r>
        <w:rPr>
          <w:rFonts w:hint="eastAsia" w:ascii="楷体_GB2312" w:hAnsi="仿宋" w:eastAsia="楷体_GB2312" w:cs="Times New Roman"/>
          <w:color w:val="000000"/>
          <w:sz w:val="24"/>
          <w:highlight w:val="none"/>
          <w:lang w:val="en-US" w:eastAsia="zh-CN"/>
        </w:rPr>
        <w:t>规定的其他流动性风险应对措</w:t>
      </w:r>
      <w:r>
        <w:rPr>
          <w:rFonts w:hint="eastAsia" w:ascii="楷体_GB2312" w:hAnsi="宋体" w:eastAsia="楷体_GB2312" w:cs="Times New Roman"/>
          <w:color w:val="000000"/>
          <w:sz w:val="24"/>
          <w:highlight w:val="none"/>
          <w:lang w:val="en-US" w:eastAsia="zh-CN"/>
        </w:rPr>
        <w:t>施</w:t>
      </w:r>
      <w:r>
        <w:rPr>
          <w:rFonts w:hint="eastAsia" w:ascii="楷体_GB2312" w:hAnsi="宋体" w:eastAsia="楷体_GB2312" w:cs="Times New Roman"/>
          <w:bCs w:val="0"/>
          <w:color w:val="000000"/>
          <w:sz w:val="24"/>
          <w:highlight w:val="none"/>
          <w:lang w:eastAsia="zh-CN"/>
        </w:rPr>
        <w:t>。</w:t>
      </w:r>
      <w:r>
        <w:rPr>
          <w:rFonts w:hint="eastAsia" w:ascii="楷体_GB2312" w:hAnsi="宋体" w:eastAsia="楷体_GB2312" w:cs="Times New Roman"/>
          <w:bCs w:val="0"/>
          <w:color w:val="000000"/>
          <w:sz w:val="24"/>
          <w:highlight w:val="none"/>
          <w:lang w:val="en-US" w:eastAsia="zh-CN"/>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numPr>
          <w:ilvl w:val="0"/>
          <w:numId w:val="0"/>
        </w:num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lang w:eastAsia="zh-CN"/>
        </w:rPr>
        <w:t>（</w:t>
      </w:r>
      <w:r>
        <w:rPr>
          <w:rFonts w:hint="eastAsia" w:ascii="楷体_GB2312" w:hAnsi="仿宋" w:eastAsia="楷体_GB2312"/>
          <w:color w:val="000000"/>
          <w:sz w:val="24"/>
          <w:highlight w:val="none"/>
          <w:lang w:val="en-US" w:eastAsia="zh-CN"/>
        </w:rPr>
        <w:t>九</w:t>
      </w:r>
      <w:r>
        <w:rPr>
          <w:rFonts w:hint="eastAsia" w:ascii="楷体_GB2312" w:hAnsi="仿宋" w:eastAsia="楷体_GB2312"/>
          <w:color w:val="000000"/>
          <w:sz w:val="24"/>
          <w:highlight w:val="none"/>
          <w:lang w:eastAsia="zh-CN"/>
        </w:rPr>
        <w:t>）</w:t>
      </w:r>
      <w:r>
        <w:rPr>
          <w:rFonts w:hint="eastAsia" w:ascii="楷体_GB2312" w:hAnsi="仿宋" w:eastAsia="楷体_GB2312"/>
          <w:color w:val="000000"/>
          <w:sz w:val="24"/>
          <w:highlight w:val="none"/>
        </w:rPr>
        <w:t>申购与赎回的计算</w:t>
      </w:r>
    </w:p>
    <w:p>
      <w:pPr>
        <w:ind w:firstLine="480" w:firstLineChars="200"/>
        <w:rPr>
          <w:rFonts w:ascii="楷体_GB2312" w:hAnsi="仿宋" w:eastAsia="楷体_GB2312"/>
          <w:b/>
          <w:color w:val="000000"/>
          <w:sz w:val="24"/>
          <w:highlight w:val="none"/>
        </w:rPr>
      </w:pPr>
      <w:r>
        <w:rPr>
          <w:rFonts w:hint="eastAsia" w:ascii="楷体_GB2312" w:hAnsi="仿宋" w:eastAsia="楷体_GB2312"/>
          <w:bCs/>
          <w:color w:val="000000"/>
          <w:sz w:val="24"/>
          <w:highlight w:val="none"/>
        </w:rPr>
        <w:t>1.申购份额的计算</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申购份额=申购金额</w:t>
      </w:r>
      <w:r>
        <w:rPr>
          <w:rFonts w:ascii="Arial" w:hAnsi="Arial" w:eastAsia="楷体_GB2312" w:cs="Arial"/>
          <w:color w:val="000000"/>
          <w:sz w:val="24"/>
          <w:highlight w:val="none"/>
        </w:rPr>
        <w:t>÷</w:t>
      </w:r>
      <w:r>
        <w:rPr>
          <w:rFonts w:hint="eastAsia" w:ascii="楷体_GB2312" w:hAnsi="仿宋" w:eastAsia="楷体_GB2312"/>
          <w:color w:val="000000"/>
          <w:sz w:val="24"/>
          <w:highlight w:val="none"/>
        </w:rPr>
        <w:t>产品单位净值=申购金额</w:t>
      </w:r>
      <w:r>
        <w:rPr>
          <w:rFonts w:ascii="Arial" w:hAnsi="Arial" w:eastAsia="楷体_GB2312" w:cs="Arial"/>
          <w:color w:val="000000"/>
          <w:sz w:val="24"/>
          <w:highlight w:val="none"/>
        </w:rPr>
        <w:t>÷</w:t>
      </w:r>
      <w:r>
        <w:rPr>
          <w:rFonts w:ascii="楷体_GB2312" w:hAnsi="仿宋" w:eastAsia="楷体_GB2312"/>
          <w:color w:val="000000"/>
          <w:sz w:val="24"/>
          <w:highlight w:val="none"/>
        </w:rPr>
        <w:t>1.0</w:t>
      </w:r>
      <w:r>
        <w:rPr>
          <w:rFonts w:hint="eastAsia" w:ascii="楷体_GB2312" w:hAnsi="仿宋" w:eastAsia="楷体_GB2312"/>
          <w:color w:val="000000"/>
          <w:sz w:val="24"/>
          <w:highlight w:val="none"/>
        </w:rPr>
        <w:t>0</w:t>
      </w:r>
      <w:r>
        <w:rPr>
          <w:rFonts w:ascii="楷体_GB2312" w:hAnsi="仿宋" w:eastAsia="楷体_GB2312"/>
          <w:color w:val="000000"/>
          <w:sz w:val="24"/>
          <w:highlight w:val="none"/>
        </w:rPr>
        <w:t>，</w:t>
      </w:r>
      <w:r>
        <w:rPr>
          <w:rFonts w:hint="eastAsia" w:ascii="楷体_GB2312" w:hAnsi="仿宋" w:eastAsia="楷体_GB2312"/>
          <w:color w:val="000000"/>
          <w:sz w:val="24"/>
          <w:highlight w:val="none"/>
        </w:rPr>
        <w:t>申购份额以四舍五入</w:t>
      </w:r>
      <w:r>
        <w:rPr>
          <w:rFonts w:hint="eastAsia" w:ascii="楷体_GB2312" w:hAnsi="仿宋" w:eastAsia="楷体_GB2312"/>
          <w:color w:val="000000"/>
          <w:sz w:val="24"/>
          <w:highlight w:val="none"/>
          <w:lang w:eastAsia="zh-CN"/>
        </w:rPr>
        <w:t>的方法</w:t>
      </w:r>
      <w:r>
        <w:rPr>
          <w:rFonts w:hint="eastAsia" w:ascii="楷体_GB2312" w:hAnsi="仿宋" w:eastAsia="楷体_GB2312"/>
          <w:color w:val="000000"/>
          <w:sz w:val="24"/>
          <w:highlight w:val="none"/>
        </w:rPr>
        <w:t>保留到小数点后两位。</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示例：假定某投资者投资100万元人民币申购本理财产品，则其可得到的申购份额计算如下：</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申购份额=100万元人民币</w:t>
      </w:r>
      <w:r>
        <w:rPr>
          <w:rFonts w:ascii="Arial" w:hAnsi="Arial" w:eastAsia="楷体_GB2312" w:cs="Arial"/>
          <w:color w:val="000000"/>
          <w:sz w:val="24"/>
          <w:highlight w:val="none"/>
        </w:rPr>
        <w:t>÷</w:t>
      </w:r>
      <w:r>
        <w:rPr>
          <w:rFonts w:hint="eastAsia" w:ascii="楷体_GB2312" w:hAnsi="仿宋" w:eastAsia="楷体_GB2312"/>
          <w:color w:val="000000"/>
          <w:sz w:val="24"/>
          <w:highlight w:val="none"/>
        </w:rPr>
        <w:t>1.00=1000000.00份</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2.赎回金额的计算</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A.全部赎回：</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赎回金额=赎回份</w:t>
      </w:r>
      <w:r>
        <w:rPr>
          <w:rFonts w:hint="eastAsia" w:ascii="楷体_GB2312" w:hAnsi="仿宋" w:eastAsia="楷体_GB2312"/>
          <w:color w:val="000000"/>
          <w:sz w:val="24"/>
          <w:highlight w:val="none"/>
          <w:lang w:val="en-US" w:eastAsia="zh-CN"/>
        </w:rPr>
        <w:t>额</w:t>
      </w:r>
      <w:r>
        <w:rPr>
          <w:rFonts w:hint="eastAsia" w:ascii="楷体_GB2312" w:hAnsi="仿宋" w:eastAsia="楷体_GB2312"/>
          <w:color w:val="000000"/>
          <w:sz w:val="24"/>
          <w:highlight w:val="none"/>
        </w:rPr>
        <w:t>×产品单位净值+赎回份额对应未付理财收益=赎回份额×</w:t>
      </w:r>
      <w:r>
        <w:rPr>
          <w:rFonts w:ascii="楷体_GB2312" w:hAnsi="仿宋" w:eastAsia="楷体_GB2312"/>
          <w:color w:val="000000"/>
          <w:sz w:val="24"/>
          <w:highlight w:val="none"/>
        </w:rPr>
        <w:t>1.</w:t>
      </w:r>
      <w:r>
        <w:rPr>
          <w:rFonts w:hint="eastAsia" w:ascii="楷体_GB2312" w:hAnsi="仿宋" w:eastAsia="楷体_GB2312"/>
          <w:color w:val="000000"/>
          <w:sz w:val="24"/>
          <w:highlight w:val="none"/>
        </w:rPr>
        <w:t>0</w:t>
      </w:r>
      <w:r>
        <w:rPr>
          <w:rFonts w:ascii="楷体_GB2312" w:hAnsi="仿宋" w:eastAsia="楷体_GB2312"/>
          <w:color w:val="000000"/>
          <w:sz w:val="24"/>
          <w:highlight w:val="none"/>
        </w:rPr>
        <w:t>0</w:t>
      </w:r>
      <w:r>
        <w:rPr>
          <w:rFonts w:hint="eastAsia" w:ascii="楷体_GB2312" w:hAnsi="仿宋" w:eastAsia="楷体_GB2312"/>
          <w:color w:val="000000"/>
          <w:sz w:val="24"/>
          <w:highlight w:val="none"/>
        </w:rPr>
        <w:t>+赎回份额对应未付理财收益，赎回金额以四舍五入</w:t>
      </w:r>
      <w:r>
        <w:rPr>
          <w:rFonts w:hint="eastAsia" w:ascii="楷体_GB2312" w:hAnsi="仿宋" w:eastAsia="楷体_GB2312"/>
          <w:color w:val="000000"/>
          <w:sz w:val="24"/>
          <w:highlight w:val="none"/>
          <w:lang w:val="en-US" w:eastAsia="zh-CN"/>
        </w:rPr>
        <w:t>的方法</w:t>
      </w:r>
      <w:r>
        <w:rPr>
          <w:rFonts w:hint="eastAsia" w:ascii="楷体_GB2312" w:hAnsi="仿宋" w:eastAsia="楷体_GB2312"/>
          <w:color w:val="000000"/>
          <w:sz w:val="24"/>
          <w:highlight w:val="none"/>
        </w:rPr>
        <w:t>保留到小数点后两位。</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示例：假定某投资者持有100000份理财产品份额，赎回份额对应未付理财收益为8元，投资者赎回100000份理财产品份额，则其可得到的赎回金额计算如下：</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赎回金额=100000×</w:t>
      </w:r>
      <w:r>
        <w:rPr>
          <w:rFonts w:ascii="楷体_GB2312" w:hAnsi="仿宋" w:eastAsia="楷体_GB2312"/>
          <w:color w:val="000000"/>
          <w:sz w:val="24"/>
          <w:highlight w:val="none"/>
        </w:rPr>
        <w:t>1.</w:t>
      </w:r>
      <w:r>
        <w:rPr>
          <w:rFonts w:hint="eastAsia" w:ascii="楷体_GB2312" w:hAnsi="仿宋" w:eastAsia="楷体_GB2312"/>
          <w:color w:val="000000"/>
          <w:sz w:val="24"/>
          <w:highlight w:val="none"/>
        </w:rPr>
        <w:t>0</w:t>
      </w:r>
      <w:r>
        <w:rPr>
          <w:rFonts w:ascii="楷体_GB2312" w:hAnsi="仿宋" w:eastAsia="楷体_GB2312"/>
          <w:color w:val="000000"/>
          <w:sz w:val="24"/>
          <w:highlight w:val="none"/>
        </w:rPr>
        <w:t>0</w:t>
      </w:r>
      <w:r>
        <w:rPr>
          <w:rFonts w:hint="eastAsia" w:ascii="楷体_GB2312" w:hAnsi="仿宋" w:eastAsia="楷体_GB2312"/>
          <w:color w:val="000000"/>
          <w:sz w:val="24"/>
          <w:highlight w:val="none"/>
        </w:rPr>
        <w:t>+8=100008元人民币</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B.部分赎回：</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赎回金额=赎回份</w:t>
      </w:r>
      <w:r>
        <w:rPr>
          <w:rFonts w:hint="eastAsia" w:ascii="楷体_GB2312" w:hAnsi="仿宋" w:eastAsia="楷体_GB2312"/>
          <w:color w:val="000000"/>
          <w:sz w:val="24"/>
          <w:highlight w:val="none"/>
          <w:lang w:val="en-US" w:eastAsia="zh-CN"/>
        </w:rPr>
        <w:t>额</w:t>
      </w:r>
      <w:r>
        <w:rPr>
          <w:rFonts w:hint="eastAsia" w:ascii="楷体_GB2312" w:hAnsi="仿宋" w:eastAsia="楷体_GB2312"/>
          <w:color w:val="000000"/>
          <w:sz w:val="24"/>
          <w:highlight w:val="none"/>
        </w:rPr>
        <w:t>×产品单位净值=赎回份额×</w:t>
      </w:r>
      <w:r>
        <w:rPr>
          <w:rFonts w:ascii="楷体_GB2312" w:hAnsi="仿宋" w:eastAsia="楷体_GB2312"/>
          <w:color w:val="000000"/>
          <w:sz w:val="24"/>
          <w:highlight w:val="none"/>
        </w:rPr>
        <w:t>1.</w:t>
      </w:r>
      <w:r>
        <w:rPr>
          <w:rFonts w:hint="eastAsia" w:ascii="楷体_GB2312" w:hAnsi="仿宋" w:eastAsia="楷体_GB2312"/>
          <w:color w:val="000000"/>
          <w:sz w:val="24"/>
          <w:highlight w:val="none"/>
        </w:rPr>
        <w:t>0</w:t>
      </w:r>
      <w:r>
        <w:rPr>
          <w:rFonts w:ascii="楷体_GB2312" w:hAnsi="仿宋" w:eastAsia="楷体_GB2312"/>
          <w:color w:val="000000"/>
          <w:sz w:val="24"/>
          <w:highlight w:val="none"/>
        </w:rPr>
        <w:t>0</w:t>
      </w:r>
      <w:r>
        <w:rPr>
          <w:rFonts w:hint="eastAsia" w:ascii="楷体_GB2312" w:hAnsi="仿宋" w:eastAsia="楷体_GB2312"/>
          <w:color w:val="000000"/>
          <w:sz w:val="24"/>
          <w:highlight w:val="none"/>
        </w:rPr>
        <w:t>，赎回金额以四舍五入</w:t>
      </w:r>
      <w:r>
        <w:rPr>
          <w:rFonts w:hint="eastAsia" w:ascii="楷体_GB2312" w:hAnsi="仿宋" w:eastAsia="楷体_GB2312"/>
          <w:color w:val="000000"/>
          <w:sz w:val="24"/>
          <w:highlight w:val="none"/>
          <w:lang w:val="en-US" w:eastAsia="zh-CN"/>
        </w:rPr>
        <w:t>的方法</w:t>
      </w:r>
      <w:r>
        <w:rPr>
          <w:rFonts w:hint="eastAsia" w:ascii="楷体_GB2312" w:hAnsi="仿宋" w:eastAsia="楷体_GB2312"/>
          <w:color w:val="000000"/>
          <w:sz w:val="24"/>
          <w:highlight w:val="none"/>
        </w:rPr>
        <w:t>保留到小数点后两位。</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示例：假定某投资者持有100000份理财产品份额，赎回份额对应未付理财收益为8元，投资者赎回50000份理财产品份额，则其可得到的赎回金额计算如下：</w:t>
      </w:r>
    </w:p>
    <w:p>
      <w:pPr>
        <w:ind w:firstLine="480" w:firstLineChars="200"/>
        <w:rPr>
          <w:rFonts w:ascii="楷体_GB2312" w:hAnsi="仿宋" w:eastAsia="楷体_GB2312"/>
          <w:color w:val="000000"/>
          <w:sz w:val="24"/>
          <w:highlight w:val="none"/>
        </w:rPr>
      </w:pPr>
      <w:r>
        <w:rPr>
          <w:rFonts w:hint="eastAsia" w:ascii="楷体_GB2312" w:hAnsi="仿宋" w:eastAsia="楷体_GB2312"/>
          <w:color w:val="000000"/>
          <w:sz w:val="24"/>
          <w:highlight w:val="none"/>
        </w:rPr>
        <w:t>赎回金额=50000×</w:t>
      </w:r>
      <w:r>
        <w:rPr>
          <w:rFonts w:ascii="楷体_GB2312" w:hAnsi="仿宋" w:eastAsia="楷体_GB2312"/>
          <w:color w:val="000000"/>
          <w:sz w:val="24"/>
          <w:highlight w:val="none"/>
        </w:rPr>
        <w:t>1.</w:t>
      </w:r>
      <w:r>
        <w:rPr>
          <w:rFonts w:hint="eastAsia" w:ascii="楷体_GB2312" w:hAnsi="仿宋" w:eastAsia="楷体_GB2312"/>
          <w:color w:val="000000"/>
          <w:sz w:val="24"/>
          <w:highlight w:val="none"/>
        </w:rPr>
        <w:t>0</w:t>
      </w:r>
      <w:r>
        <w:rPr>
          <w:rFonts w:ascii="楷体_GB2312" w:hAnsi="仿宋" w:eastAsia="楷体_GB2312"/>
          <w:color w:val="000000"/>
          <w:sz w:val="24"/>
          <w:highlight w:val="none"/>
        </w:rPr>
        <w:t>0</w:t>
      </w:r>
      <w:r>
        <w:rPr>
          <w:rFonts w:hint="eastAsia" w:ascii="楷体_GB2312" w:hAnsi="仿宋" w:eastAsia="楷体_GB2312"/>
          <w:color w:val="000000"/>
          <w:sz w:val="24"/>
          <w:highlight w:val="none"/>
        </w:rPr>
        <w:t>=50000元人民币</w:t>
      </w:r>
    </w:p>
    <w:p>
      <w:pPr>
        <w:ind w:firstLine="480" w:firstLineChars="200"/>
        <w:rPr>
          <w:rFonts w:hint="eastAsia" w:ascii="楷体_GB2312" w:hAnsi="仿宋" w:eastAsia="楷体_GB2312"/>
          <w:color w:val="000000"/>
          <w:sz w:val="24"/>
          <w:highlight w:val="none"/>
        </w:rPr>
      </w:pPr>
      <w:r>
        <w:rPr>
          <w:rFonts w:hint="eastAsia" w:ascii="楷体_GB2312" w:hAnsi="仿宋" w:eastAsia="楷体_GB2312"/>
          <w:color w:val="000000"/>
          <w:sz w:val="24"/>
          <w:highlight w:val="none"/>
        </w:rPr>
        <w:t>注：发生本</w:t>
      </w:r>
      <w:r>
        <w:rPr>
          <w:rFonts w:hint="eastAsia" w:ascii="楷体_GB2312" w:hAnsi="仿宋"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w:t>
      </w:r>
      <w:r>
        <w:rPr>
          <w:rFonts w:hint="eastAsia" w:ascii="楷体_GB2312" w:hAnsi="仿宋" w:eastAsia="楷体_GB2312"/>
          <w:color w:val="000000"/>
          <w:sz w:val="24"/>
          <w:highlight w:val="none"/>
        </w:rPr>
        <w:t>产品说明书</w:t>
      </w:r>
      <w:r>
        <w:rPr>
          <w:rFonts w:hint="eastAsia" w:ascii="楷体_GB2312" w:hAnsi="仿宋" w:eastAsia="楷体_GB2312"/>
          <w:color w:val="000000"/>
          <w:sz w:val="24"/>
          <w:highlight w:val="none"/>
          <w:lang w:eastAsia="zh-CN"/>
        </w:rPr>
        <w:t>》</w:t>
      </w:r>
      <w:r>
        <w:rPr>
          <w:rFonts w:hint="eastAsia" w:ascii="楷体_GB2312" w:eastAsia="楷体_GB2312"/>
          <w:bCs/>
          <w:sz w:val="24"/>
          <w:highlight w:val="none"/>
          <w:lang w:val="en-US" w:eastAsia="zh-CN"/>
        </w:rPr>
        <w:t>“</w:t>
      </w:r>
      <w:r>
        <w:rPr>
          <w:rFonts w:hint="eastAsia" w:ascii="楷体_GB2312" w:eastAsia="楷体_GB2312"/>
          <w:bCs/>
          <w:sz w:val="24"/>
          <w:highlight w:val="none"/>
        </w:rPr>
        <w:t>九、产品的费用</w:t>
      </w:r>
      <w:r>
        <w:rPr>
          <w:rFonts w:hint="eastAsia" w:ascii="楷体_GB2312" w:eastAsia="楷体_GB2312"/>
          <w:bCs/>
          <w:sz w:val="24"/>
          <w:highlight w:val="none"/>
          <w:lang w:val="en-US" w:eastAsia="zh-CN"/>
        </w:rPr>
        <w:t>”中“</w:t>
      </w:r>
      <w:r>
        <w:rPr>
          <w:rFonts w:hint="eastAsia" w:ascii="楷体_GB2312" w:eastAsia="楷体_GB2312"/>
          <w:bCs/>
          <w:sz w:val="24"/>
          <w:highlight w:val="none"/>
        </w:rPr>
        <w:t>（二）费用计提方法、计提标准和支付方式</w:t>
      </w:r>
      <w:r>
        <w:rPr>
          <w:rFonts w:hint="eastAsia" w:ascii="楷体_GB2312" w:eastAsia="楷体_GB2312"/>
          <w:bCs/>
          <w:sz w:val="24"/>
          <w:highlight w:val="none"/>
          <w:lang w:val="en-US" w:eastAsia="zh-CN"/>
        </w:rPr>
        <w:t>”条款</w:t>
      </w:r>
      <w:r>
        <w:rPr>
          <w:rFonts w:hint="eastAsia" w:ascii="楷体_GB2312" w:hAnsi="仿宋" w:eastAsia="楷体_GB2312"/>
          <w:color w:val="000000"/>
          <w:sz w:val="24"/>
          <w:highlight w:val="none"/>
        </w:rPr>
        <w:t>约定的触发强制赎回费的情形</w:t>
      </w:r>
      <w:r>
        <w:rPr>
          <w:rFonts w:hint="eastAsia" w:ascii="楷体_GB2312" w:hAnsi="仿宋" w:eastAsia="楷体_GB2312"/>
          <w:color w:val="000000"/>
          <w:sz w:val="24"/>
          <w:highlight w:val="none"/>
          <w:lang w:val="en-US" w:eastAsia="zh-CN"/>
        </w:rPr>
        <w:t>时</w:t>
      </w:r>
      <w:r>
        <w:rPr>
          <w:rFonts w:hint="eastAsia" w:ascii="楷体_GB2312" w:hAnsi="仿宋" w:eastAsia="楷体_GB2312"/>
          <w:color w:val="000000"/>
          <w:sz w:val="24"/>
          <w:highlight w:val="none"/>
        </w:rPr>
        <w:t>，产品管理人</w:t>
      </w:r>
      <w:r>
        <w:rPr>
          <w:rFonts w:hint="eastAsia" w:ascii="楷体_GB2312" w:hAnsi="仿宋" w:eastAsia="楷体_GB2312"/>
          <w:color w:val="000000"/>
          <w:sz w:val="24"/>
          <w:highlight w:val="none"/>
          <w:lang w:val="en-US" w:eastAsia="zh-CN"/>
        </w:rPr>
        <w:t>将</w:t>
      </w:r>
      <w:r>
        <w:rPr>
          <w:rFonts w:hint="eastAsia" w:ascii="楷体_GB2312" w:hAnsi="仿宋" w:eastAsia="楷体_GB2312"/>
          <w:color w:val="000000"/>
          <w:sz w:val="24"/>
          <w:highlight w:val="none"/>
        </w:rPr>
        <w:t>从赎回金额中扣除</w:t>
      </w:r>
      <w:r>
        <w:rPr>
          <w:rFonts w:hint="eastAsia" w:ascii="楷体_GB2312" w:hAnsi="仿宋" w:eastAsia="楷体_GB2312"/>
          <w:color w:val="000000"/>
          <w:sz w:val="24"/>
          <w:highlight w:val="none"/>
          <w:lang w:val="en-US" w:eastAsia="zh-CN"/>
        </w:rPr>
        <w:t>应收取的强制</w:t>
      </w:r>
      <w:r>
        <w:rPr>
          <w:rFonts w:hint="eastAsia" w:ascii="楷体_GB2312" w:hAnsi="仿宋" w:eastAsia="楷体_GB2312"/>
          <w:color w:val="000000"/>
          <w:sz w:val="24"/>
          <w:highlight w:val="none"/>
        </w:rPr>
        <w:t>赎回费用。</w:t>
      </w:r>
    </w:p>
    <w:p>
      <w:pPr>
        <w:ind w:firstLine="480" w:firstLineChars="200"/>
        <w:rPr>
          <w:rFonts w:ascii="楷体_GB2312" w:hAnsi="Arial" w:eastAsia="楷体_GB2312"/>
          <w:b w:val="0"/>
          <w:color w:val="000000"/>
          <w:sz w:val="24"/>
          <w:highlight w:val="none"/>
        </w:rPr>
      </w:pPr>
      <w:r>
        <w:rPr>
          <w:rFonts w:hint="eastAsia" w:ascii="楷体_GB2312" w:hAnsi="仿宋" w:eastAsia="楷体_GB2312"/>
          <w:b w:val="0"/>
          <w:bCs w:val="0"/>
          <w:color w:val="000000"/>
          <w:sz w:val="24"/>
          <w:highlight w:val="none"/>
        </w:rPr>
        <w:t>（</w:t>
      </w:r>
      <w:r>
        <w:rPr>
          <w:rFonts w:hint="eastAsia" w:ascii="楷体_GB2312" w:hAnsi="仿宋" w:eastAsia="楷体_GB2312"/>
          <w:b w:val="0"/>
          <w:bCs w:val="0"/>
          <w:color w:val="000000"/>
          <w:sz w:val="24"/>
          <w:highlight w:val="none"/>
          <w:lang w:val="en-US" w:eastAsia="zh-CN"/>
        </w:rPr>
        <w:t>十</w:t>
      </w:r>
      <w:r>
        <w:rPr>
          <w:rFonts w:hint="eastAsia" w:ascii="楷体_GB2312" w:hAnsi="仿宋" w:eastAsia="楷体_GB2312"/>
          <w:b w:val="0"/>
          <w:bCs w:val="0"/>
          <w:color w:val="000000"/>
          <w:sz w:val="24"/>
          <w:highlight w:val="none"/>
        </w:rPr>
        <w:t>）</w:t>
      </w:r>
      <w:r>
        <w:rPr>
          <w:rFonts w:hint="eastAsia" w:ascii="楷体_GB2312" w:hAnsi="仿宋" w:eastAsia="楷体_GB2312"/>
          <w:b w:val="0"/>
          <w:color w:val="000000"/>
          <w:sz w:val="24"/>
          <w:highlight w:val="none"/>
        </w:rPr>
        <w:t>申购费用</w:t>
      </w:r>
    </w:p>
    <w:p>
      <w:pPr>
        <w:snapToGrid w:val="0"/>
        <w:ind w:firstLine="480" w:firstLineChars="200"/>
        <w:rPr>
          <w:rFonts w:hint="eastAsia" w:ascii="楷体_GB2312" w:hAnsi="Arial" w:eastAsia="楷体_GB2312"/>
          <w:color w:val="000000"/>
          <w:sz w:val="24"/>
          <w:highlight w:val="none"/>
          <w:lang w:val="en-US" w:eastAsia="zh-CN"/>
        </w:rPr>
      </w:pP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产品暂不收取申购费</w:t>
      </w:r>
      <w:r>
        <w:rPr>
          <w:rFonts w:hint="eastAsia" w:ascii="楷体_GB2312" w:hAnsi="Arial" w:eastAsia="楷体_GB2312"/>
          <w:color w:val="000000"/>
          <w:sz w:val="24"/>
          <w:highlight w:val="none"/>
          <w:lang w:val="en-US" w:eastAsia="zh-CN"/>
        </w:rPr>
        <w:t>用</w:t>
      </w:r>
      <w:r>
        <w:rPr>
          <w:rFonts w:hint="eastAsia" w:ascii="楷体_GB2312" w:hAnsi="Arial" w:eastAsia="楷体_GB2312"/>
          <w:color w:val="000000"/>
          <w:sz w:val="24"/>
          <w:highlight w:val="none"/>
        </w:rPr>
        <w:t>。</w:t>
      </w:r>
    </w:p>
    <w:p>
      <w:pPr>
        <w:ind w:firstLine="480" w:firstLineChars="200"/>
        <w:rPr>
          <w:rFonts w:ascii="楷体_GB2312" w:eastAsia="楷体_GB2312"/>
          <w:b w:val="0"/>
          <w:bCs/>
          <w:sz w:val="24"/>
          <w:highlight w:val="none"/>
        </w:rPr>
      </w:pPr>
      <w:r>
        <w:rPr>
          <w:rFonts w:hint="eastAsia" w:ascii="楷体_GB2312" w:eastAsia="楷体_GB2312"/>
          <w:b w:val="0"/>
          <w:bCs/>
          <w:color w:val="000000"/>
          <w:sz w:val="24"/>
          <w:highlight w:val="none"/>
        </w:rPr>
        <w:t>（十</w:t>
      </w:r>
      <w:r>
        <w:rPr>
          <w:rFonts w:hint="eastAsia" w:ascii="楷体_GB2312" w:eastAsia="楷体_GB2312"/>
          <w:b w:val="0"/>
          <w:bCs/>
          <w:color w:val="000000"/>
          <w:sz w:val="24"/>
          <w:highlight w:val="none"/>
          <w:lang w:val="en-US" w:eastAsia="zh-CN"/>
        </w:rPr>
        <w:t>一</w:t>
      </w:r>
      <w:r>
        <w:rPr>
          <w:rFonts w:hint="eastAsia" w:ascii="楷体_GB2312" w:eastAsia="楷体_GB2312"/>
          <w:b w:val="0"/>
          <w:bCs/>
          <w:color w:val="000000"/>
          <w:sz w:val="24"/>
          <w:highlight w:val="none"/>
        </w:rPr>
        <w:t>）赎回费用</w:t>
      </w:r>
    </w:p>
    <w:p>
      <w:pPr>
        <w:ind w:firstLine="480"/>
        <w:rPr>
          <w:rFonts w:hint="eastAsia" w:ascii="楷体_GB2312" w:eastAsia="楷体_GB2312"/>
          <w:bCs/>
          <w:sz w:val="24"/>
          <w:highlight w:val="none"/>
          <w:lang w:val="en-US" w:eastAsia="zh-CN"/>
        </w:rPr>
      </w:pPr>
      <w:r>
        <w:rPr>
          <w:rFonts w:hint="eastAsia" w:ascii="楷体_GB2312" w:eastAsia="楷体_GB2312"/>
          <w:bCs/>
          <w:sz w:val="24"/>
          <w:highlight w:val="none"/>
          <w:lang w:val="en-US" w:eastAsia="zh-CN"/>
        </w:rPr>
        <w:t>1.原则上，本理财产品暂不收取赎回费用。</w:t>
      </w:r>
    </w:p>
    <w:p>
      <w:pPr>
        <w:ind w:firstLine="480" w:firstLineChars="200"/>
        <w:rPr>
          <w:rFonts w:hint="eastAsia" w:ascii="楷体_GB2312" w:eastAsia="楷体_GB2312"/>
          <w:bCs/>
          <w:sz w:val="24"/>
          <w:highlight w:val="none"/>
          <w:lang w:val="en-US" w:eastAsia="zh-CN"/>
        </w:rPr>
      </w:pPr>
      <w:r>
        <w:rPr>
          <w:rFonts w:hint="eastAsia" w:ascii="楷体_GB2312" w:eastAsia="楷体_GB2312"/>
          <w:bCs/>
          <w:sz w:val="24"/>
          <w:highlight w:val="none"/>
          <w:lang w:val="en-US" w:eastAsia="zh-CN"/>
        </w:rPr>
        <w:t>2.特殊情况下，</w:t>
      </w:r>
      <w:r>
        <w:rPr>
          <w:rFonts w:hint="eastAsia" w:ascii="楷体_GB2312" w:hAnsi="仿宋" w:eastAsia="楷体_GB2312"/>
          <w:color w:val="000000"/>
          <w:sz w:val="24"/>
          <w:highlight w:val="none"/>
        </w:rPr>
        <w:t>发生本</w:t>
      </w:r>
      <w:r>
        <w:rPr>
          <w:rFonts w:hint="eastAsia" w:ascii="楷体_GB2312" w:hAnsi="仿宋"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w:t>
      </w:r>
      <w:r>
        <w:rPr>
          <w:rFonts w:hint="eastAsia" w:ascii="楷体_GB2312" w:hAnsi="仿宋" w:eastAsia="楷体_GB2312"/>
          <w:color w:val="000000"/>
          <w:sz w:val="24"/>
          <w:highlight w:val="none"/>
        </w:rPr>
        <w:t>产品说明书</w:t>
      </w:r>
      <w:r>
        <w:rPr>
          <w:rFonts w:hint="eastAsia" w:ascii="楷体_GB2312" w:hAnsi="仿宋" w:eastAsia="楷体_GB2312"/>
          <w:color w:val="000000"/>
          <w:sz w:val="24"/>
          <w:highlight w:val="none"/>
          <w:lang w:eastAsia="zh-CN"/>
        </w:rPr>
        <w:t>》</w:t>
      </w:r>
      <w:r>
        <w:rPr>
          <w:rFonts w:hint="eastAsia" w:ascii="楷体_GB2312" w:eastAsia="楷体_GB2312"/>
          <w:bCs/>
          <w:sz w:val="24"/>
          <w:highlight w:val="none"/>
          <w:lang w:val="en-US" w:eastAsia="zh-CN"/>
        </w:rPr>
        <w:t>“</w:t>
      </w:r>
      <w:r>
        <w:rPr>
          <w:rFonts w:hint="eastAsia" w:ascii="楷体_GB2312" w:eastAsia="楷体_GB2312"/>
          <w:bCs/>
          <w:sz w:val="24"/>
          <w:highlight w:val="none"/>
        </w:rPr>
        <w:t>九、产品的费用</w:t>
      </w:r>
      <w:r>
        <w:rPr>
          <w:rFonts w:hint="eastAsia" w:ascii="楷体_GB2312" w:eastAsia="楷体_GB2312"/>
          <w:bCs/>
          <w:sz w:val="24"/>
          <w:highlight w:val="none"/>
          <w:lang w:val="en-US" w:eastAsia="zh-CN"/>
        </w:rPr>
        <w:t>”中“</w:t>
      </w:r>
      <w:r>
        <w:rPr>
          <w:rFonts w:hint="eastAsia" w:ascii="楷体_GB2312" w:eastAsia="楷体_GB2312"/>
          <w:bCs/>
          <w:sz w:val="24"/>
          <w:highlight w:val="none"/>
        </w:rPr>
        <w:t>（二）费用计提方法、计提标准和支付方式</w:t>
      </w:r>
      <w:r>
        <w:rPr>
          <w:rFonts w:hint="eastAsia" w:ascii="楷体_GB2312" w:eastAsia="楷体_GB2312"/>
          <w:bCs/>
          <w:sz w:val="24"/>
          <w:highlight w:val="none"/>
          <w:lang w:val="en-US" w:eastAsia="zh-CN"/>
        </w:rPr>
        <w:t>”条款</w:t>
      </w:r>
      <w:r>
        <w:rPr>
          <w:rFonts w:hint="eastAsia" w:ascii="楷体_GB2312" w:hAnsi="仿宋" w:eastAsia="楷体_GB2312"/>
          <w:color w:val="000000"/>
          <w:sz w:val="24"/>
          <w:highlight w:val="none"/>
        </w:rPr>
        <w:t>约定的触发强制赎回费的情形</w:t>
      </w:r>
      <w:r>
        <w:rPr>
          <w:rFonts w:hint="eastAsia" w:ascii="楷体_GB2312" w:hAnsi="仿宋" w:eastAsia="楷体_GB2312"/>
          <w:color w:val="000000"/>
          <w:sz w:val="24"/>
          <w:highlight w:val="none"/>
          <w:lang w:val="en-US" w:eastAsia="zh-CN"/>
        </w:rPr>
        <w:t>时，</w:t>
      </w:r>
      <w:r>
        <w:rPr>
          <w:rFonts w:hint="eastAsia" w:ascii="楷体_GB2312" w:eastAsia="楷体_GB2312"/>
          <w:bCs/>
          <w:sz w:val="24"/>
          <w:highlight w:val="none"/>
          <w:lang w:eastAsia="zh-CN"/>
        </w:rPr>
        <w:t>产品管理人</w:t>
      </w:r>
      <w:r>
        <w:rPr>
          <w:rFonts w:hint="eastAsia" w:ascii="楷体_GB2312" w:eastAsia="楷体_GB2312"/>
          <w:bCs/>
          <w:sz w:val="24"/>
          <w:highlight w:val="none"/>
        </w:rPr>
        <w:t>将收取强制赎回费</w:t>
      </w:r>
      <w:r>
        <w:rPr>
          <w:rFonts w:hint="eastAsia" w:ascii="楷体_GB2312" w:eastAsia="楷体_GB2312"/>
          <w:bCs/>
          <w:sz w:val="24"/>
          <w:highlight w:val="none"/>
          <w:lang w:val="en-US" w:eastAsia="zh-CN"/>
        </w:rPr>
        <w:t>用，具体请见</w:t>
      </w:r>
      <w:r>
        <w:rPr>
          <w:rFonts w:hint="eastAsia" w:ascii="楷体_GB2312" w:hAnsi="仿宋" w:eastAsia="楷体_GB2312"/>
          <w:color w:val="000000"/>
          <w:sz w:val="24"/>
          <w:highlight w:val="none"/>
        </w:rPr>
        <w:t>本</w:t>
      </w:r>
      <w:r>
        <w:rPr>
          <w:rFonts w:hint="eastAsia" w:ascii="楷体_GB2312" w:hAnsi="仿宋"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w:t>
      </w:r>
      <w:r>
        <w:rPr>
          <w:rFonts w:hint="eastAsia" w:ascii="楷体_GB2312" w:hAnsi="仿宋" w:eastAsia="楷体_GB2312"/>
          <w:color w:val="000000"/>
          <w:sz w:val="24"/>
          <w:highlight w:val="none"/>
        </w:rPr>
        <w:t>产品说明书</w:t>
      </w:r>
      <w:r>
        <w:rPr>
          <w:rFonts w:hint="eastAsia" w:ascii="楷体_GB2312" w:hAnsi="仿宋" w:eastAsia="楷体_GB2312"/>
          <w:color w:val="000000"/>
          <w:sz w:val="24"/>
          <w:highlight w:val="none"/>
          <w:lang w:eastAsia="zh-CN"/>
        </w:rPr>
        <w:t>》</w:t>
      </w:r>
      <w:r>
        <w:rPr>
          <w:rFonts w:hint="eastAsia" w:ascii="楷体_GB2312" w:eastAsia="楷体_GB2312"/>
          <w:bCs/>
          <w:sz w:val="24"/>
          <w:highlight w:val="none"/>
          <w:lang w:val="en-US" w:eastAsia="zh-CN"/>
        </w:rPr>
        <w:t>“</w:t>
      </w:r>
      <w:r>
        <w:rPr>
          <w:rFonts w:hint="eastAsia" w:ascii="楷体_GB2312" w:eastAsia="楷体_GB2312"/>
          <w:bCs/>
          <w:sz w:val="24"/>
          <w:highlight w:val="none"/>
        </w:rPr>
        <w:t>九、产品的费用</w:t>
      </w:r>
      <w:r>
        <w:rPr>
          <w:rFonts w:hint="eastAsia" w:ascii="楷体_GB2312" w:eastAsia="楷体_GB2312"/>
          <w:bCs/>
          <w:sz w:val="24"/>
          <w:highlight w:val="none"/>
          <w:lang w:val="en-US" w:eastAsia="zh-CN"/>
        </w:rPr>
        <w:t>”部分。</w:t>
      </w:r>
    </w:p>
    <w:p>
      <w:pPr>
        <w:ind w:firstLine="482" w:firstLineChars="200"/>
        <w:rPr>
          <w:rFonts w:ascii="楷体_GB2312" w:hAnsi="宋体" w:eastAsia="楷体_GB2312"/>
          <w:b/>
          <w:bCs/>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b/>
          <w:bCs/>
          <w:color w:val="000000"/>
          <w:sz w:val="24"/>
          <w:highlight w:val="none"/>
        </w:rPr>
        <w:t>七、产品的收益分配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（一）本理财产品净收益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本理财产品净收益为本理财产品收益扣除国家有关规定及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w:t>
      </w:r>
      <w:r>
        <w:rPr>
          <w:rFonts w:hint="eastAsia" w:ascii="楷体_GB2312" w:hAnsi="宋体" w:eastAsia="楷体_GB2312"/>
          <w:color w:val="000000"/>
          <w:sz w:val="24"/>
          <w:highlight w:val="none"/>
        </w:rPr>
        <w:t>约定可以在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产品收益中扣除的费用后的余额。</w:t>
      </w:r>
    </w:p>
    <w:p>
      <w:pPr>
        <w:pStyle w:val="36"/>
        <w:numPr>
          <w:ilvl w:val="0"/>
          <w:numId w:val="0"/>
        </w:numPr>
        <w:ind w:firstLine="482" w:firstLineChars="200"/>
        <w:rPr>
          <w:rFonts w:ascii="楷体_GB2312" w:eastAsia="楷体_GB2312"/>
          <w:color w:val="000000"/>
          <w:kern w:val="2"/>
          <w:sz w:val="24"/>
          <w:szCs w:val="24"/>
          <w:highlight w:val="none"/>
        </w:rPr>
      </w:pPr>
      <w:r>
        <w:rPr>
          <w:rFonts w:hint="eastAsia" w:ascii="楷体_GB2312" w:eastAsia="楷体_GB2312"/>
          <w:b/>
          <w:color w:val="000000"/>
          <w:sz w:val="24"/>
          <w:szCs w:val="24"/>
          <w:highlight w:val="none"/>
        </w:rPr>
        <w:t>（二）每万份收益和七日年化收益率</w:t>
      </w:r>
    </w:p>
    <w:p>
      <w:pPr>
        <w:pStyle w:val="36"/>
        <w:ind w:firstLine="480" w:firstLineChars="200"/>
        <w:rPr>
          <w:rFonts w:ascii="楷体_GB2312" w:eastAsia="楷体_GB2312"/>
          <w:color w:val="000000"/>
          <w:kern w:val="2"/>
          <w:sz w:val="24"/>
          <w:szCs w:val="24"/>
          <w:highlight w:val="none"/>
        </w:rPr>
      </w:pPr>
      <w:r>
        <w:rPr>
          <w:rFonts w:hint="eastAsia" w:ascii="楷体_GB2312" w:eastAsia="楷体_GB2312"/>
          <w:color w:val="000000"/>
          <w:kern w:val="2"/>
          <w:sz w:val="24"/>
          <w:szCs w:val="24"/>
          <w:highlight w:val="none"/>
          <w:lang w:eastAsia="zh-CN"/>
        </w:rPr>
        <w:t>本理财产品</w:t>
      </w:r>
      <w:r>
        <w:rPr>
          <w:rFonts w:hint="eastAsia" w:ascii="楷体_GB2312" w:eastAsia="楷体_GB2312"/>
          <w:color w:val="000000"/>
          <w:kern w:val="2"/>
          <w:sz w:val="24"/>
          <w:szCs w:val="24"/>
          <w:highlight w:val="none"/>
        </w:rPr>
        <w:t>类型</w:t>
      </w:r>
      <w:r>
        <w:rPr>
          <w:rFonts w:hint="eastAsia" w:ascii="楷体_GB2312" w:eastAsia="楷体_GB2312"/>
          <w:color w:val="000000"/>
          <w:kern w:val="2"/>
          <w:sz w:val="24"/>
          <w:szCs w:val="24"/>
          <w:highlight w:val="none"/>
          <w:lang w:eastAsia="zh-CN"/>
        </w:rPr>
        <w:t>为</w:t>
      </w:r>
      <w:r>
        <w:rPr>
          <w:rFonts w:hint="eastAsia" w:ascii="楷体_GB2312" w:eastAsia="楷体_GB2312"/>
          <w:color w:val="000000"/>
          <w:kern w:val="2"/>
          <w:sz w:val="24"/>
          <w:szCs w:val="24"/>
          <w:highlight w:val="none"/>
        </w:rPr>
        <w:t>固定收益类</w:t>
      </w:r>
      <w:r>
        <w:rPr>
          <w:rFonts w:hint="eastAsia" w:ascii="楷体_GB2312" w:eastAsia="楷体_GB2312"/>
          <w:color w:val="000000"/>
          <w:kern w:val="2"/>
          <w:sz w:val="24"/>
          <w:szCs w:val="24"/>
          <w:highlight w:val="none"/>
          <w:lang w:eastAsia="zh-CN"/>
        </w:rPr>
        <w:t>、</w:t>
      </w:r>
      <w:r>
        <w:rPr>
          <w:rFonts w:hint="eastAsia" w:ascii="楷体_GB2312" w:eastAsia="楷体_GB2312"/>
          <w:color w:val="000000"/>
          <w:kern w:val="2"/>
          <w:sz w:val="24"/>
          <w:szCs w:val="24"/>
          <w:highlight w:val="none"/>
        </w:rPr>
        <w:t>非保本浮动收益</w:t>
      </w:r>
      <w:r>
        <w:rPr>
          <w:rFonts w:hint="eastAsia" w:ascii="楷体_GB2312" w:eastAsia="楷体_GB2312"/>
          <w:color w:val="000000"/>
          <w:kern w:val="2"/>
          <w:sz w:val="24"/>
          <w:szCs w:val="24"/>
          <w:highlight w:val="none"/>
          <w:lang w:val="en-US" w:eastAsia="zh-CN"/>
        </w:rPr>
        <w:t>型</w:t>
      </w:r>
      <w:r>
        <w:rPr>
          <w:rFonts w:hint="eastAsia" w:ascii="楷体_GB2312" w:eastAsia="楷体_GB2312"/>
          <w:color w:val="000000"/>
          <w:kern w:val="2"/>
          <w:sz w:val="24"/>
          <w:szCs w:val="24"/>
          <w:highlight w:val="none"/>
        </w:rPr>
        <w:t>理财产品，</w:t>
      </w:r>
      <w:r>
        <w:rPr>
          <w:rFonts w:hint="eastAsia" w:ascii="楷体_GB2312" w:eastAsia="楷体_GB2312"/>
          <w:color w:val="000000"/>
          <w:kern w:val="2"/>
          <w:sz w:val="24"/>
          <w:szCs w:val="24"/>
          <w:highlight w:val="none"/>
          <w:lang w:eastAsia="zh-CN"/>
        </w:rPr>
        <w:t>本理财产品</w:t>
      </w:r>
      <w:r>
        <w:rPr>
          <w:rFonts w:hint="eastAsia" w:ascii="楷体_GB2312" w:eastAsia="楷体_GB2312"/>
          <w:color w:val="000000"/>
          <w:kern w:val="2"/>
          <w:sz w:val="24"/>
          <w:szCs w:val="24"/>
          <w:highlight w:val="none"/>
        </w:rPr>
        <w:t>每万份收益和七日年化收益率根据市场利率的变化以及</w:t>
      </w:r>
      <w:r>
        <w:rPr>
          <w:rFonts w:hint="eastAsia" w:ascii="楷体_GB2312" w:eastAsia="楷体_GB2312"/>
          <w:color w:val="000000"/>
          <w:kern w:val="2"/>
          <w:sz w:val="24"/>
          <w:szCs w:val="24"/>
          <w:highlight w:val="none"/>
          <w:lang w:eastAsia="zh-CN"/>
        </w:rPr>
        <w:t>产品管理人</w:t>
      </w:r>
      <w:r>
        <w:rPr>
          <w:rFonts w:hint="eastAsia" w:ascii="楷体_GB2312" w:eastAsia="楷体_GB2312"/>
          <w:color w:val="000000"/>
          <w:kern w:val="2"/>
          <w:sz w:val="24"/>
          <w:szCs w:val="24"/>
          <w:highlight w:val="none"/>
        </w:rPr>
        <w:t>实际投资运作的情况计算，计算方式如下：</w:t>
      </w:r>
    </w:p>
    <w:p>
      <w:pPr>
        <w:pStyle w:val="36"/>
        <w:ind w:firstLine="480" w:firstLineChars="200"/>
        <w:rPr>
          <w:rFonts w:ascii="Arial" w:hAnsi="Arial" w:eastAsia="楷体_GB2312" w:cs="Arial"/>
          <w:color w:val="000000"/>
          <w:kern w:val="2"/>
          <w:sz w:val="24"/>
          <w:szCs w:val="24"/>
          <w:highlight w:val="none"/>
        </w:rPr>
      </w:pPr>
      <w:r>
        <w:rPr>
          <w:rFonts w:hint="eastAsia" w:ascii="楷体_GB2312" w:eastAsia="楷体_GB2312"/>
          <w:color w:val="000000"/>
          <w:kern w:val="2"/>
          <w:sz w:val="24"/>
          <w:szCs w:val="24"/>
          <w:highlight w:val="none"/>
        </w:rPr>
        <w:t>当日每万份收益=当日产品净收益/当日产品份额总额</w:t>
      </w:r>
      <w:r>
        <w:rPr>
          <w:rFonts w:ascii="Arial" w:hAnsi="Arial" w:eastAsia="楷体_GB2312" w:cs="Arial"/>
          <w:color w:val="000000"/>
          <w:kern w:val="2"/>
          <w:sz w:val="24"/>
          <w:szCs w:val="24"/>
          <w:highlight w:val="none"/>
        </w:rPr>
        <w:t>×</w:t>
      </w:r>
      <w:r>
        <w:rPr>
          <w:rFonts w:hint="eastAsia" w:ascii="Arial" w:hAnsi="Arial" w:eastAsia="楷体_GB2312" w:cs="Arial"/>
          <w:color w:val="000000"/>
          <w:kern w:val="2"/>
          <w:sz w:val="24"/>
          <w:szCs w:val="24"/>
          <w:highlight w:val="none"/>
        </w:rPr>
        <w:t>10000</w:t>
      </w:r>
    </w:p>
    <w:p>
      <w:pPr>
        <w:pStyle w:val="36"/>
        <w:ind w:firstLine="480" w:firstLineChars="200"/>
        <w:rPr>
          <w:rFonts w:ascii="Arial" w:hAnsi="Arial" w:eastAsia="楷体_GB2312" w:cs="Arial"/>
          <w:color w:val="000000"/>
          <w:kern w:val="2"/>
          <w:sz w:val="24"/>
          <w:szCs w:val="24"/>
          <w:highlight w:val="none"/>
        </w:rPr>
      </w:pPr>
      <w:r>
        <w:rPr>
          <w:rFonts w:hint="eastAsia" w:ascii="Arial" w:hAnsi="Arial" w:eastAsia="楷体_GB2312" w:cs="Arial"/>
          <w:color w:val="000000"/>
          <w:kern w:val="2"/>
          <w:sz w:val="24"/>
          <w:szCs w:val="24"/>
          <w:highlight w:val="none"/>
        </w:rPr>
        <w:t>以上收益计算保留到小数点后</w:t>
      </w:r>
      <w:r>
        <w:rPr>
          <w:rFonts w:ascii="Arial" w:hAnsi="Arial" w:eastAsia="楷体_GB2312" w:cs="Arial"/>
          <w:color w:val="000000"/>
          <w:kern w:val="2"/>
          <w:sz w:val="24"/>
          <w:szCs w:val="24"/>
          <w:highlight w:val="none"/>
        </w:rPr>
        <w:t>4</w:t>
      </w:r>
      <w:r>
        <w:rPr>
          <w:rFonts w:hint="eastAsia" w:ascii="Arial" w:hAnsi="Arial" w:eastAsia="楷体_GB2312" w:cs="Arial"/>
          <w:color w:val="000000"/>
          <w:kern w:val="2"/>
          <w:sz w:val="24"/>
          <w:szCs w:val="24"/>
          <w:highlight w:val="none"/>
        </w:rPr>
        <w:t>位，小数点后第5位</w:t>
      </w:r>
      <w:r>
        <w:rPr>
          <w:rFonts w:hint="eastAsia" w:ascii="Arial" w:hAnsi="Arial" w:eastAsia="楷体_GB2312" w:cs="Arial"/>
          <w:color w:val="000000"/>
          <w:kern w:val="2"/>
          <w:sz w:val="24"/>
          <w:szCs w:val="24"/>
          <w:highlight w:val="none"/>
          <w:lang w:val="en-US" w:eastAsia="zh-CN"/>
        </w:rPr>
        <w:t>及之后位数</w:t>
      </w:r>
      <w:r>
        <w:rPr>
          <w:rFonts w:hint="eastAsia" w:ascii="Arial" w:hAnsi="Arial" w:eastAsia="楷体_GB2312" w:cs="Arial"/>
          <w:color w:val="000000"/>
          <w:kern w:val="2"/>
          <w:sz w:val="24"/>
          <w:szCs w:val="24"/>
          <w:highlight w:val="none"/>
        </w:rPr>
        <w:t>舍</w:t>
      </w:r>
      <w:r>
        <w:rPr>
          <w:rFonts w:hint="eastAsia" w:ascii="Arial" w:hAnsi="Arial" w:eastAsia="楷体_GB2312" w:cs="Arial"/>
          <w:color w:val="000000"/>
          <w:kern w:val="2"/>
          <w:sz w:val="24"/>
          <w:szCs w:val="24"/>
          <w:highlight w:val="none"/>
          <w:lang w:val="en-US" w:eastAsia="zh-CN"/>
        </w:rPr>
        <w:t>去</w:t>
      </w:r>
      <w:r>
        <w:rPr>
          <w:rFonts w:hint="eastAsia" w:ascii="楷体_GB2312" w:eastAsia="楷体_GB2312"/>
          <w:color w:val="000000"/>
          <w:kern w:val="2"/>
          <w:sz w:val="24"/>
          <w:szCs w:val="24"/>
          <w:highlight w:val="none"/>
          <w:lang w:val="en-US" w:eastAsia="zh-CN"/>
        </w:rPr>
        <w:t>（不进行四舍五入）</w:t>
      </w:r>
      <w:r>
        <w:rPr>
          <w:rFonts w:hint="eastAsia" w:ascii="Arial" w:hAnsi="Arial" w:eastAsia="楷体_GB2312" w:cs="Arial"/>
          <w:color w:val="000000"/>
          <w:kern w:val="2"/>
          <w:sz w:val="24"/>
          <w:szCs w:val="24"/>
          <w:highlight w:val="none"/>
        </w:rPr>
        <w:t>。</w:t>
      </w:r>
    </w:p>
    <w:p>
      <w:pPr>
        <w:pStyle w:val="36"/>
        <w:ind w:firstLine="480" w:firstLineChars="200"/>
        <w:rPr>
          <w:rFonts w:hAnsi="Cambria Math"/>
          <w:color w:val="000000"/>
          <w:kern w:val="2"/>
          <w:sz w:val="24"/>
          <w:szCs w:val="24"/>
          <w:highlight w:val="none"/>
        </w:rPr>
      </w:pPr>
      <w:r>
        <w:rPr>
          <w:rFonts w:hint="eastAsia" w:ascii="Arial" w:hAnsi="Arial" w:eastAsia="楷体_GB2312" w:cs="Arial"/>
          <w:color w:val="000000"/>
          <w:kern w:val="2"/>
          <w:sz w:val="24"/>
          <w:szCs w:val="24"/>
          <w:highlight w:val="none"/>
        </w:rPr>
        <w:t>七日年化收益率（%）=</w:t>
      </w:r>
      <w:r>
        <w:rPr>
          <w:rFonts w:hint="eastAsia" w:hAnsi="Cambria Math"/>
          <w:color w:val="000000"/>
          <w:kern w:val="2"/>
          <w:sz w:val="24"/>
          <w:szCs w:val="24"/>
          <w:highlight w:val="none"/>
        </w:rPr>
        <w:t xml:space="preserve"> </w:t>
      </w:r>
      <w:r>
        <w:rPr>
          <w:rFonts w:hAnsi="Cambria Math"/>
          <w:color w:val="000000"/>
          <w:kern w:val="2"/>
          <w:sz w:val="24"/>
          <w:szCs w:val="24"/>
          <w:highlight w:val="none"/>
        </w:rPr>
        <w:drawing>
          <wp:inline distT="0" distB="0" distL="114300" distR="114300">
            <wp:extent cx="2476500" cy="409575"/>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tretch>
                      <a:fillRect/>
                    </a:stretch>
                  </pic:blipFill>
                  <pic:spPr>
                    <a:xfrm>
                      <a:off x="0" y="0"/>
                      <a:ext cx="2476500" cy="409575"/>
                    </a:xfrm>
                    <a:prstGeom prst="rect">
                      <a:avLst/>
                    </a:prstGeom>
                    <a:noFill/>
                    <a:ln>
                      <a:noFill/>
                    </a:ln>
                  </pic:spPr>
                </pic:pic>
              </a:graphicData>
            </a:graphic>
          </wp:inline>
        </w:drawing>
      </w:r>
    </w:p>
    <w:p>
      <w:pPr>
        <w:pStyle w:val="36"/>
        <w:ind w:firstLine="480" w:firstLineChars="200"/>
        <w:rPr>
          <w:rFonts w:hint="eastAsia" w:ascii="楷体_GB2312" w:eastAsia="宋体"/>
          <w:color w:val="000000"/>
          <w:kern w:val="2"/>
          <w:sz w:val="24"/>
          <w:szCs w:val="24"/>
          <w:highlight w:val="none"/>
          <w:lang w:eastAsia="zh-CN"/>
        </w:rPr>
      </w:pPr>
      <w:r>
        <w:rPr>
          <w:rFonts w:hint="eastAsia" w:ascii="楷体_GB2312" w:eastAsia="楷体_GB2312"/>
          <w:color w:val="000000"/>
          <w:kern w:val="2"/>
          <w:sz w:val="24"/>
          <w:szCs w:val="24"/>
          <w:highlight w:val="none"/>
        </w:rPr>
        <w:t>其中，R</w:t>
      </w:r>
      <w:r>
        <w:rPr>
          <w:rFonts w:hint="eastAsia" w:ascii="楷体_GB2312" w:eastAsia="楷体_GB2312"/>
          <w:color w:val="000000"/>
          <w:kern w:val="2"/>
          <w:sz w:val="24"/>
          <w:szCs w:val="24"/>
          <w:highlight w:val="none"/>
          <w:vertAlign w:val="subscript"/>
        </w:rPr>
        <w:t>i</w:t>
      </w:r>
      <w:r>
        <w:rPr>
          <w:rFonts w:hint="eastAsia" w:ascii="楷体_GB2312" w:eastAsia="楷体_GB2312"/>
          <w:color w:val="000000"/>
          <w:kern w:val="2"/>
          <w:sz w:val="24"/>
          <w:szCs w:val="24"/>
          <w:highlight w:val="none"/>
        </w:rPr>
        <w:t>是最近第i个自然日（i=1,2,3</w:t>
      </w:r>
      <w:r>
        <w:rPr>
          <w:rFonts w:ascii="Arial" w:hAnsi="Arial" w:eastAsia="楷体_GB2312" w:cs="Arial"/>
          <w:color w:val="000000"/>
          <w:kern w:val="2"/>
          <w:sz w:val="24"/>
          <w:szCs w:val="24"/>
          <w:highlight w:val="none"/>
        </w:rPr>
        <w:t>…</w:t>
      </w:r>
      <w:r>
        <w:rPr>
          <w:rFonts w:hint="eastAsia" w:ascii="楷体_GB2312" w:eastAsia="楷体_GB2312"/>
          <w:color w:val="000000"/>
          <w:kern w:val="2"/>
          <w:sz w:val="24"/>
          <w:szCs w:val="24"/>
          <w:highlight w:val="none"/>
        </w:rPr>
        <w:t>7）的每万份收益，七日年化收益率保留到小数点后2位，小数点后第3位</w:t>
      </w:r>
      <w:r>
        <w:rPr>
          <w:rFonts w:hint="eastAsia" w:ascii="楷体_GB2312" w:eastAsia="楷体_GB2312"/>
          <w:color w:val="000000"/>
          <w:kern w:val="2"/>
          <w:sz w:val="24"/>
          <w:szCs w:val="24"/>
          <w:highlight w:val="none"/>
          <w:lang w:val="en-US" w:eastAsia="zh-CN"/>
        </w:rPr>
        <w:t>及之后位数</w:t>
      </w:r>
      <w:r>
        <w:rPr>
          <w:rFonts w:hint="eastAsia" w:ascii="楷体_GB2312" w:eastAsia="楷体_GB2312"/>
          <w:color w:val="000000"/>
          <w:kern w:val="2"/>
          <w:sz w:val="24"/>
          <w:szCs w:val="24"/>
          <w:highlight w:val="none"/>
        </w:rPr>
        <w:t>舍</w:t>
      </w:r>
      <w:r>
        <w:rPr>
          <w:rFonts w:hint="eastAsia" w:ascii="楷体_GB2312" w:eastAsia="楷体_GB2312"/>
          <w:color w:val="000000"/>
          <w:kern w:val="2"/>
          <w:sz w:val="24"/>
          <w:szCs w:val="24"/>
          <w:highlight w:val="none"/>
          <w:lang w:val="en-US" w:eastAsia="zh-CN"/>
        </w:rPr>
        <w:t>去（不进行四舍五入）</w:t>
      </w:r>
      <w:r>
        <w:rPr>
          <w:rFonts w:hint="eastAsia" w:ascii="楷体_GB2312" w:eastAsia="楷体_GB2312"/>
          <w:color w:val="000000"/>
          <w:kern w:val="2"/>
          <w:sz w:val="24"/>
          <w:szCs w:val="24"/>
          <w:highlight w:val="none"/>
        </w:rPr>
        <w:t>。</w:t>
      </w:r>
    </w:p>
    <w:p>
      <w:pPr>
        <w:pStyle w:val="36"/>
        <w:ind w:firstLine="480" w:firstLineChars="200"/>
        <w:rPr>
          <w:rFonts w:ascii="楷体_GB2312" w:eastAsia="楷体_GB2312"/>
          <w:color w:val="000000"/>
          <w:kern w:val="2"/>
          <w:sz w:val="24"/>
          <w:szCs w:val="24"/>
          <w:highlight w:val="none"/>
        </w:rPr>
      </w:pPr>
      <w:r>
        <w:rPr>
          <w:rFonts w:hint="eastAsia" w:ascii="楷体_GB2312" w:eastAsia="楷体_GB2312"/>
          <w:color w:val="000000"/>
          <w:kern w:val="2"/>
          <w:sz w:val="24"/>
          <w:szCs w:val="24"/>
          <w:highlight w:val="none"/>
          <w:lang w:eastAsia="zh-CN"/>
        </w:rPr>
        <w:t>本理财产品</w:t>
      </w:r>
      <w:r>
        <w:rPr>
          <w:rFonts w:hint="eastAsia" w:ascii="楷体_GB2312" w:eastAsia="楷体_GB2312"/>
          <w:color w:val="000000"/>
          <w:kern w:val="2"/>
          <w:sz w:val="24"/>
          <w:szCs w:val="24"/>
          <w:highlight w:val="none"/>
        </w:rPr>
        <w:t>每万份收益和七日年化收益率仅供投资者购买时决策参考或作为测算收益参考，</w:t>
      </w:r>
      <w:r>
        <w:rPr>
          <w:rFonts w:hint="eastAsia" w:ascii="楷体_GB2312" w:eastAsia="楷体_GB2312"/>
          <w:color w:val="000000"/>
          <w:kern w:val="2"/>
          <w:sz w:val="24"/>
          <w:szCs w:val="24"/>
          <w:highlight w:val="none"/>
          <w:lang w:val="en-US" w:eastAsia="zh-CN"/>
        </w:rPr>
        <w:t>本</w:t>
      </w:r>
      <w:r>
        <w:rPr>
          <w:rFonts w:hint="eastAsia" w:ascii="楷体_GB2312" w:eastAsia="楷体_GB2312"/>
          <w:color w:val="000000"/>
          <w:kern w:val="2"/>
          <w:sz w:val="24"/>
          <w:szCs w:val="24"/>
          <w:highlight w:val="none"/>
        </w:rPr>
        <w:t>理财产品过往业绩不代表其未来表现，不等于</w:t>
      </w:r>
      <w:r>
        <w:rPr>
          <w:rFonts w:hint="eastAsia" w:ascii="楷体_GB2312" w:eastAsia="楷体_GB2312"/>
          <w:color w:val="000000"/>
          <w:kern w:val="2"/>
          <w:sz w:val="24"/>
          <w:szCs w:val="24"/>
          <w:highlight w:val="none"/>
          <w:lang w:val="en-US" w:eastAsia="zh-CN"/>
        </w:rPr>
        <w:t>本</w:t>
      </w:r>
      <w:r>
        <w:rPr>
          <w:rFonts w:hint="eastAsia" w:ascii="楷体_GB2312" w:eastAsia="楷体_GB2312"/>
          <w:color w:val="000000"/>
          <w:kern w:val="2"/>
          <w:sz w:val="24"/>
          <w:szCs w:val="24"/>
          <w:highlight w:val="none"/>
        </w:rPr>
        <w:t>理财产品实际收益</w:t>
      </w:r>
      <w:r>
        <w:rPr>
          <w:rFonts w:hint="eastAsia" w:ascii="楷体_GB2312" w:eastAsia="楷体_GB2312"/>
          <w:color w:val="000000"/>
          <w:kern w:val="2"/>
          <w:sz w:val="24"/>
          <w:szCs w:val="24"/>
          <w:highlight w:val="none"/>
          <w:lang w:eastAsia="zh-CN"/>
        </w:rPr>
        <w:t>，</w:t>
      </w:r>
      <w:r>
        <w:rPr>
          <w:rFonts w:hint="eastAsia" w:ascii="楷体_GB2312" w:eastAsia="楷体_GB2312"/>
          <w:color w:val="000000"/>
          <w:kern w:val="2"/>
          <w:sz w:val="24"/>
          <w:szCs w:val="24"/>
          <w:highlight w:val="none"/>
        </w:rPr>
        <w:t>也不构成</w:t>
      </w:r>
      <w:r>
        <w:rPr>
          <w:rFonts w:hint="eastAsia" w:ascii="楷体_GB2312" w:eastAsia="楷体_GB2312"/>
          <w:color w:val="000000"/>
          <w:kern w:val="2"/>
          <w:sz w:val="24"/>
          <w:szCs w:val="24"/>
          <w:highlight w:val="none"/>
          <w:lang w:eastAsia="zh-CN"/>
        </w:rPr>
        <w:t>产品管理人</w:t>
      </w:r>
      <w:r>
        <w:rPr>
          <w:rFonts w:hint="eastAsia" w:ascii="楷体_GB2312" w:eastAsia="楷体_GB2312"/>
          <w:color w:val="000000"/>
          <w:kern w:val="2"/>
          <w:sz w:val="24"/>
          <w:szCs w:val="24"/>
          <w:highlight w:val="none"/>
        </w:rPr>
        <w:t>对</w:t>
      </w:r>
      <w:r>
        <w:rPr>
          <w:rFonts w:hint="eastAsia" w:ascii="楷体_GB2312" w:eastAsia="楷体_GB2312"/>
          <w:color w:val="000000"/>
          <w:kern w:val="2"/>
          <w:sz w:val="24"/>
          <w:szCs w:val="24"/>
          <w:highlight w:val="none"/>
          <w:lang w:eastAsia="zh-CN"/>
        </w:rPr>
        <w:t>本理财产品</w:t>
      </w:r>
      <w:r>
        <w:rPr>
          <w:rFonts w:hint="eastAsia" w:ascii="楷体_GB2312" w:eastAsia="楷体_GB2312"/>
          <w:color w:val="000000"/>
          <w:kern w:val="2"/>
          <w:sz w:val="24"/>
          <w:szCs w:val="24"/>
          <w:highlight w:val="none"/>
        </w:rPr>
        <w:t>收益的任何承诺或保证，理财收益以</w:t>
      </w:r>
      <w:r>
        <w:rPr>
          <w:rFonts w:hint="eastAsia" w:ascii="楷体_GB2312" w:eastAsia="楷体_GB2312"/>
          <w:color w:val="000000"/>
          <w:kern w:val="2"/>
          <w:sz w:val="24"/>
          <w:szCs w:val="24"/>
          <w:highlight w:val="none"/>
          <w:lang w:eastAsia="zh-CN"/>
        </w:rPr>
        <w:t>产品管理人</w:t>
      </w:r>
      <w:r>
        <w:rPr>
          <w:rFonts w:hint="eastAsia" w:ascii="楷体_GB2312" w:eastAsia="楷体_GB2312"/>
          <w:color w:val="000000"/>
          <w:kern w:val="2"/>
          <w:sz w:val="24"/>
          <w:szCs w:val="24"/>
          <w:highlight w:val="none"/>
        </w:rPr>
        <w:t>实际支付为准</w:t>
      </w:r>
      <w:r>
        <w:rPr>
          <w:rFonts w:hint="eastAsia" w:ascii="楷体_GB2312" w:eastAsia="楷体_GB2312"/>
          <w:color w:val="000000"/>
          <w:kern w:val="2"/>
          <w:sz w:val="24"/>
          <w:szCs w:val="24"/>
          <w:highlight w:val="none"/>
          <w:lang w:eastAsia="zh-CN"/>
        </w:rPr>
        <w:t>，</w:t>
      </w:r>
      <w:r>
        <w:rPr>
          <w:rFonts w:hint="eastAsia" w:ascii="楷体_GB2312" w:eastAsia="楷体_GB2312"/>
          <w:color w:val="000000"/>
          <w:kern w:val="2"/>
          <w:sz w:val="24"/>
          <w:szCs w:val="24"/>
          <w:highlight w:val="none"/>
        </w:rPr>
        <w:t>投资须谨慎</w:t>
      </w:r>
      <w:r>
        <w:rPr>
          <w:rFonts w:hint="eastAsia" w:ascii="楷体_GB2312" w:eastAsia="楷体_GB2312"/>
          <w:color w:val="000000"/>
          <w:kern w:val="2"/>
          <w:sz w:val="24"/>
          <w:szCs w:val="24"/>
          <w:highlight w:val="none"/>
          <w:lang w:eastAsia="zh-CN"/>
        </w:rPr>
        <w:t>。</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（三）收益分配方案</w:t>
      </w:r>
    </w:p>
    <w:p>
      <w:pPr>
        <w:snapToGrid w:val="0"/>
        <w:ind w:firstLine="540" w:firstLineChars="225"/>
        <w:rPr>
          <w:rFonts w:ascii="楷体_GB2312" w:eastAsia="楷体_GB2312"/>
          <w:color w:val="000000"/>
          <w:sz w:val="24"/>
          <w:highlight w:val="none"/>
        </w:rPr>
      </w:pPr>
      <w:r>
        <w:rPr>
          <w:rFonts w:hint="eastAsia" w:ascii="楷体_GB2312" w:eastAsia="楷体_GB2312"/>
          <w:color w:val="000000"/>
          <w:sz w:val="24"/>
          <w:highlight w:val="none"/>
        </w:rPr>
        <w:t>每一理财产品份额享有同等分配权。</w:t>
      </w: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收益分配方式为红利再投资，每日收益结转份额，投资者可通过赎回</w:t>
      </w:r>
      <w:r>
        <w:rPr>
          <w:rFonts w:hint="eastAsia" w:ascii="楷体_GB2312" w:eastAsia="楷体_GB2312"/>
          <w:color w:val="000000"/>
          <w:sz w:val="24"/>
          <w:highlight w:val="none"/>
          <w:lang w:val="en-US" w:eastAsia="zh-CN"/>
        </w:rPr>
        <w:t>其持有的本</w:t>
      </w:r>
      <w:r>
        <w:rPr>
          <w:rFonts w:hint="eastAsia" w:ascii="楷体_GB2312" w:eastAsia="楷体_GB2312"/>
          <w:color w:val="000000"/>
          <w:sz w:val="24"/>
          <w:highlight w:val="none"/>
        </w:rPr>
        <w:t>理财产品份额获得现金收益。</w:t>
      </w:r>
    </w:p>
    <w:p>
      <w:pPr>
        <w:snapToGrid w:val="0"/>
        <w:ind w:firstLine="540" w:firstLineChars="225"/>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根据每日收益情况，将当日收益全部计提，若当日净收益大于零时，则增加投资者持有的产品份额；若当日净收益等于零时，则保持投资者持有的产品份额不变；</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将采取必要措施尽量避免</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产品净收益小于零，若当日净收益小于零时，将缩减投资者持有的产品份额。具体以</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理财产品实际收益为准，</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每日为投资者计提当日理财收益，每日结转份额。</w:t>
      </w:r>
    </w:p>
    <w:p>
      <w:pPr>
        <w:snapToGrid w:val="0"/>
        <w:ind w:firstLine="540" w:firstLineChars="225"/>
        <w:rPr>
          <w:rFonts w:hint="eastAsia"/>
          <w:highlight w:val="none"/>
        </w:rPr>
      </w:pPr>
      <w:r>
        <w:rPr>
          <w:rFonts w:hint="eastAsia" w:ascii="楷体_GB2312" w:hAnsi="宋体" w:eastAsia="楷体_GB2312" w:cs="Times New Roman"/>
          <w:color w:val="000000"/>
          <w:sz w:val="24"/>
          <w:highlight w:val="none"/>
        </w:rPr>
        <w:t>收益分配的计算保留到小数点后2位，小数点后第3位及之后位数舍去（不进行四舍五入），因去尾形成的余额进行再次分配，直至分完为止。当投资者持有份额较低时，由于估值方法和收益结转规则导致投资者可能无法取得收益。</w:t>
      </w:r>
    </w:p>
    <w:p>
      <w:pPr>
        <w:ind w:firstLine="482" w:firstLineChars="200"/>
        <w:rPr>
          <w:rFonts w:ascii="楷体_GB2312" w:hAnsi="宋体" w:eastAsia="楷体_GB2312"/>
          <w:b/>
          <w:color w:val="000000"/>
          <w:sz w:val="24"/>
          <w:highlight w:val="none"/>
        </w:rPr>
      </w:pPr>
      <w:r>
        <w:rPr>
          <w:rFonts w:hint="eastAsia" w:ascii="楷体_GB2312" w:hAnsi="宋体" w:eastAsia="楷体_GB2312"/>
          <w:b/>
          <w:color w:val="000000"/>
          <w:sz w:val="24"/>
          <w:highlight w:val="none"/>
        </w:rPr>
        <w:t>八、产品的终止与清算</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（一）产品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提前终止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存续期内如</w:t>
      </w:r>
      <w:r>
        <w:rPr>
          <w:rFonts w:hint="eastAsia" w:ascii="楷体_GB2312" w:hAnsi="宋体" w:eastAsia="楷体_GB2312"/>
          <w:color w:val="000000"/>
          <w:sz w:val="24"/>
          <w:highlight w:val="none"/>
          <w:lang w:eastAsia="zh-CN"/>
        </w:rPr>
        <w:t>出现以下情况，产品管理人有权提前终止本理财产品：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1.由于监管机构要求或法律法规规定需要终止本理财产品；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2.因自然灾害、疫情、严重传染病、金融市场危机、战争、国家政策变化等不可抗力因素及/或意外事件导致本理财产品无法正常运作或产品管理人无法继续履行本理财产品销售文件约定事项；</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3.遇有市场出现剧烈波动、异常风险事件等情形导致本理财产品收益出现大幅波动或严重影响本理财产品的资产安全；</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4.因理财资金被有权机关扣划等原因导致本理财产品剩余资产无法满足相关法律法规规定、所投资市场要求或协议等相关法律文件约定，或者继续存续无法实现投资目标；</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5.相关投资合作机构或运用理财资金的第三方主体实施符合法律法规规定或协议等相关文件约定的行为导致本理财产品被动终止；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6.产品管理人根据市场情况认为需要终止本理财产品。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产品管理人提前终止本理财产品的，应提前</w:t>
      </w:r>
      <w:r>
        <w:rPr>
          <w:rFonts w:hint="default"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lang w:eastAsia="zh-CN"/>
        </w:rPr>
        <w:t>公告本理财产品终止日及本理财产品终止后的理财本金及收益到账日，并</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本理财产品销售文件约定的信息披露渠道进行公告。</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（二）产品的清算</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1.在本理财产品终止日，</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按</w:t>
      </w:r>
      <w:r>
        <w:rPr>
          <w:rFonts w:hint="eastAsia" w:ascii="楷体_GB2312" w:hAnsi="宋体" w:eastAsia="楷体_GB2312"/>
          <w:color w:val="000000"/>
          <w:sz w:val="24"/>
          <w:highlight w:val="none"/>
          <w:lang w:val="en-US" w:eastAsia="zh-CN"/>
        </w:rPr>
        <w:t>终止日前一个交易日投资者</w:t>
      </w:r>
      <w:r>
        <w:rPr>
          <w:rFonts w:hint="eastAsia" w:ascii="楷体_GB2312" w:hAnsi="宋体" w:eastAsia="楷体_GB2312"/>
          <w:color w:val="000000"/>
          <w:sz w:val="24"/>
          <w:highlight w:val="none"/>
        </w:rPr>
        <w:t>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理财产品单位净值之乘积向投资者进行分配，分配时不收取赎回费。本理财产品终止日不</w:t>
      </w:r>
      <w:r>
        <w:rPr>
          <w:rFonts w:hint="eastAsia" w:ascii="楷体_GB2312" w:hAnsi="宋体" w:eastAsia="楷体_GB2312"/>
          <w:color w:val="000000"/>
          <w:sz w:val="24"/>
          <w:highlight w:val="none"/>
          <w:lang w:val="en-US" w:eastAsia="zh-CN"/>
        </w:rPr>
        <w:t>再</w:t>
      </w:r>
      <w:r>
        <w:rPr>
          <w:rFonts w:hint="eastAsia" w:ascii="楷体_GB2312" w:hAnsi="宋体" w:eastAsia="楷体_GB2312"/>
          <w:color w:val="000000"/>
          <w:sz w:val="24"/>
          <w:highlight w:val="none"/>
        </w:rPr>
        <w:t>计算收益</w:t>
      </w:r>
      <w:r>
        <w:rPr>
          <w:rFonts w:hint="eastAsia" w:ascii="楷体_GB2312" w:hAnsi="宋体" w:eastAsia="楷体_GB2312"/>
          <w:color w:val="000000"/>
          <w:sz w:val="24"/>
          <w:highlight w:val="none"/>
          <w:lang w:eastAsia="zh-CN"/>
        </w:rPr>
        <w:t>。</w:t>
      </w:r>
    </w:p>
    <w:p>
      <w:pPr>
        <w:ind w:firstLine="480" w:firstLineChars="200"/>
        <w:rPr>
          <w:rFonts w:ascii="Times New Roman" w:hAnsi="Times New Roman" w:eastAsia="宋体"/>
          <w:sz w:val="20"/>
          <w:highlight w:val="none"/>
        </w:rPr>
      </w:pPr>
      <w:r>
        <w:rPr>
          <w:rFonts w:hint="eastAsia" w:ascii="楷体_GB2312" w:hAnsi="宋体" w:eastAsia="楷体_GB2312"/>
          <w:color w:val="000000"/>
          <w:sz w:val="24"/>
          <w:highlight w:val="none"/>
        </w:rPr>
        <w:t>2.自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发布相关信息公告通知投资者。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理财产品进入清算期后不再计算收益。</w:t>
      </w:r>
    </w:p>
    <w:p>
      <w:pPr>
        <w:ind w:firstLine="480"/>
        <w:rPr>
          <w:rFonts w:ascii="楷体_GB2312" w:hAnsi="宋体" w:eastAsia="楷体_GB2312"/>
          <w:b/>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color w:val="000000"/>
          <w:sz w:val="24"/>
          <w:highlight w:val="none"/>
        </w:rPr>
        <w:t>九、产品的费用</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（一）费用的种类</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的费用包括销售手续费、固定管理费、托管费</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强制赎回费（如有）</w:t>
      </w:r>
      <w:r>
        <w:rPr>
          <w:rFonts w:hint="eastAsia" w:ascii="楷体_GB2312" w:hAnsi="宋体" w:eastAsia="楷体_GB2312"/>
          <w:color w:val="000000"/>
          <w:sz w:val="24"/>
          <w:highlight w:val="none"/>
        </w:rPr>
        <w:t>以及应当在理财财产中列支的其他费用。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（二）费用计提方法、计提标准和支付方式</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1.销售手续费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理财财产的销售手续费计算方法如下：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H＝E×【各类份额的年销售手续费率】%÷365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H为每日应计提的销售手续费。</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color w:val="000000"/>
          <w:sz w:val="24"/>
          <w:highlight w:val="none"/>
        </w:rPr>
        <w:t>E为</w:t>
      </w:r>
      <w:r>
        <w:rPr>
          <w:rFonts w:hint="eastAsia" w:ascii="楷体_GB2312" w:hAnsi="宋体" w:eastAsia="楷体_GB2312" w:cs="Times New Roman"/>
          <w:color w:val="000000"/>
          <w:sz w:val="24"/>
          <w:highlight w:val="none"/>
          <w:lang w:val="en-US" w:eastAsia="zh-CN"/>
        </w:rPr>
        <w:t>本理财产品当日产品份额</w:t>
      </w:r>
      <w:r>
        <w:rPr>
          <w:rFonts w:hint="eastAsia" w:ascii="楷体_GB2312" w:hAnsi="宋体" w:eastAsia="楷体_GB2312" w:cs="Times New Roman"/>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销售手续费原则上按日计提，由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本</w:t>
      </w:r>
      <w:r>
        <w:rPr>
          <w:rFonts w:hint="eastAsia" w:ascii="楷体_GB2312" w:hAnsi="宋体" w:eastAsia="楷体_GB2312"/>
          <w:b/>
          <w:bCs/>
          <w:color w:val="000000"/>
          <w:sz w:val="24"/>
          <w:highlight w:val="none"/>
        </w:rPr>
        <w:t>理财</w:t>
      </w:r>
      <w:r>
        <w:rPr>
          <w:rFonts w:hint="eastAsia" w:ascii="楷体_GB2312" w:hAnsi="宋体" w:eastAsia="楷体_GB2312"/>
          <w:b/>
          <w:bCs/>
          <w:color w:val="000000"/>
          <w:sz w:val="24"/>
          <w:highlight w:val="none"/>
          <w:lang w:val="en-US" w:eastAsia="zh-CN"/>
        </w:rPr>
        <w:t>产品代理</w:t>
      </w:r>
      <w:r>
        <w:rPr>
          <w:rFonts w:hint="eastAsia" w:ascii="楷体_GB2312" w:hAnsi="宋体" w:eastAsia="楷体_GB2312"/>
          <w:b/>
          <w:bCs/>
          <w:color w:val="000000"/>
          <w:sz w:val="24"/>
          <w:highlight w:val="none"/>
        </w:rPr>
        <w:t>销售机构。</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2.固定管理费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理财财产的固定管理费计算方法如下：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H＝E×【年固定管理费率】%÷365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w:t>
      </w:r>
      <w:r>
        <w:rPr>
          <w:rFonts w:hint="eastAsia" w:ascii="楷体_GB2312" w:hAnsi="宋体" w:eastAsia="楷体_GB2312"/>
          <w:color w:val="000000"/>
          <w:sz w:val="24"/>
          <w:highlight w:val="none"/>
          <w:lang w:val="en-US" w:eastAsia="zh-CN"/>
        </w:rPr>
        <w:t>固定</w:t>
      </w:r>
      <w:r>
        <w:rPr>
          <w:rFonts w:hint="eastAsia" w:ascii="楷体_GB2312" w:hAnsi="宋体" w:eastAsia="楷体_GB2312"/>
          <w:color w:val="000000"/>
          <w:sz w:val="24"/>
          <w:highlight w:val="none"/>
        </w:rPr>
        <w:t>管理费。</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color w:val="000000"/>
          <w:sz w:val="24"/>
          <w:highlight w:val="none"/>
        </w:rPr>
        <w:t>E为</w:t>
      </w:r>
      <w:r>
        <w:rPr>
          <w:rFonts w:hint="eastAsia" w:ascii="楷体_GB2312" w:hAnsi="宋体" w:eastAsia="楷体_GB2312" w:cs="Times New Roman"/>
          <w:color w:val="000000"/>
          <w:sz w:val="24"/>
          <w:highlight w:val="none"/>
          <w:lang w:val="en-US" w:eastAsia="zh-CN"/>
        </w:rPr>
        <w:t>本理财产品当日产品份额</w:t>
      </w:r>
      <w:r>
        <w:rPr>
          <w:rFonts w:hint="eastAsia" w:ascii="楷体_GB2312" w:hAnsi="宋体" w:eastAsia="楷体_GB2312" w:cs="Times New Roman"/>
          <w:color w:val="000000"/>
          <w:sz w:val="24"/>
          <w:highlight w:val="none"/>
        </w:rPr>
        <w:t>。</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固定管理费原则上按日计提，由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eastAsia="zh-CN"/>
        </w:rPr>
        <w:t>产品管理人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★3.托管费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理财财产的托管费计算方法如下：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H＝E×【年托管费率】%÷365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H为每日应计提的托管费。</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color w:val="000000"/>
          <w:sz w:val="24"/>
          <w:highlight w:val="none"/>
        </w:rPr>
        <w:t>E为</w:t>
      </w:r>
      <w:r>
        <w:rPr>
          <w:rFonts w:hint="eastAsia" w:ascii="楷体_GB2312" w:hAnsi="宋体" w:eastAsia="楷体_GB2312" w:cs="Times New Roman"/>
          <w:color w:val="000000"/>
          <w:sz w:val="24"/>
          <w:highlight w:val="none"/>
          <w:lang w:val="en-US" w:eastAsia="zh-CN"/>
        </w:rPr>
        <w:t>本理财产品当日产品份额</w:t>
      </w:r>
      <w:r>
        <w:rPr>
          <w:rFonts w:hint="eastAsia" w:ascii="楷体_GB2312" w:hAnsi="宋体" w:eastAsia="楷体_GB2312" w:cs="Times New Roman"/>
          <w:color w:val="000000"/>
          <w:sz w:val="24"/>
          <w:highlight w:val="none"/>
        </w:rPr>
        <w:t>。</w:t>
      </w:r>
    </w:p>
    <w:p>
      <w:pPr>
        <w:ind w:firstLine="480" w:firstLineChars="200"/>
        <w:rPr>
          <w:rFonts w:hint="eastAsia" w:ascii="楷体_GB2312" w:hAnsi="宋体" w:eastAsia="楷体_GB2312"/>
          <w:b/>
          <w:bCs/>
          <w:color w:val="000000"/>
          <w:sz w:val="24"/>
          <w:highlight w:val="none"/>
        </w:rPr>
      </w:pPr>
      <w:r>
        <w:rPr>
          <w:rFonts w:hint="eastAsia" w:ascii="楷体_GB2312" w:hAnsi="宋体" w:eastAsia="楷体_GB2312"/>
          <w:color w:val="000000"/>
          <w:sz w:val="24"/>
          <w:highlight w:val="none"/>
        </w:rPr>
        <w:t>托管费原则上按日计提，由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产品</w:t>
      </w:r>
      <w:r>
        <w:rPr>
          <w:rFonts w:hint="eastAsia" w:ascii="楷体_GB2312" w:hAnsi="宋体" w:eastAsia="楷体_GB2312"/>
          <w:b/>
          <w:bCs/>
          <w:color w:val="000000"/>
          <w:sz w:val="24"/>
          <w:highlight w:val="none"/>
        </w:rPr>
        <w:t>托管</w:t>
      </w:r>
      <w:r>
        <w:rPr>
          <w:rFonts w:hint="eastAsia" w:ascii="楷体_GB2312" w:hAnsi="宋体" w:eastAsia="楷体_GB2312"/>
          <w:b/>
          <w:bCs/>
          <w:color w:val="000000"/>
          <w:sz w:val="24"/>
          <w:highlight w:val="none"/>
          <w:lang w:eastAsia="zh-CN"/>
        </w:rPr>
        <w:t>人</w:t>
      </w:r>
      <w:r>
        <w:rPr>
          <w:rFonts w:hint="eastAsia" w:ascii="楷体_GB2312" w:hAnsi="宋体" w:eastAsia="楷体_GB2312"/>
          <w:b/>
          <w:bCs/>
          <w:color w:val="000000"/>
          <w:sz w:val="24"/>
          <w:highlight w:val="none"/>
        </w:rPr>
        <w:t>。</w:t>
      </w:r>
    </w:p>
    <w:p>
      <w:pPr>
        <w:ind w:firstLine="482" w:firstLineChars="200"/>
        <w:rPr>
          <w:rFonts w:hint="eastAsia" w:ascii="楷体_GB2312" w:hAnsi="宋体" w:eastAsia="楷体_GB2312" w:cs="Times New Roman"/>
          <w:b/>
          <w:bCs/>
          <w:color w:val="000000"/>
          <w:sz w:val="24"/>
          <w:highlight w:val="none"/>
          <w:lang w:val="en-US" w:eastAsia="zh-CN"/>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4.</w:t>
      </w:r>
      <w:r>
        <w:rPr>
          <w:rFonts w:hint="eastAsia" w:ascii="楷体_GB2312" w:hAnsi="宋体" w:eastAsia="楷体_GB2312" w:cs="Times New Roman"/>
          <w:b/>
          <w:bCs/>
          <w:color w:val="000000"/>
          <w:sz w:val="24"/>
          <w:highlight w:val="none"/>
          <w:lang w:val="en-US" w:eastAsia="zh-CN"/>
        </w:rPr>
        <w:t>强制赎回费</w:t>
      </w:r>
    </w:p>
    <w:p>
      <w:pPr>
        <w:numPr>
          <w:ilvl w:val="0"/>
          <w:numId w:val="0"/>
        </w:numPr>
        <w:ind w:firstLine="480" w:firstLineChars="200"/>
        <w:rPr>
          <w:rFonts w:hint="default" w:ascii="楷体_GB2312" w:hAnsi="宋体" w:eastAsia="楷体_GB2312" w:cs="Times New Roman"/>
          <w:color w:val="000000"/>
          <w:sz w:val="24"/>
          <w:highlight w:val="none"/>
        </w:rPr>
      </w:pPr>
      <w:r>
        <w:rPr>
          <w:rFonts w:hint="eastAsia" w:ascii="楷体_GB2312" w:hAnsi="宋体" w:eastAsia="楷体_GB2312" w:cs="Times New Roman"/>
          <w:color w:val="000000"/>
          <w:sz w:val="24"/>
          <w:highlight w:val="none"/>
        </w:rPr>
        <w:t>本理财产品出现以下情形之一时</w:t>
      </w:r>
      <w:r>
        <w:rPr>
          <w:rFonts w:hint="eastAsia" w:ascii="楷体_GB2312" w:hAnsi="宋体" w:eastAsia="楷体_GB2312" w:cs="Times New Roman"/>
          <w:color w:val="000000"/>
          <w:sz w:val="24"/>
          <w:highlight w:val="none"/>
          <w:lang w:eastAsia="zh-CN"/>
        </w:rPr>
        <w:t>，</w:t>
      </w:r>
      <w:r>
        <w:rPr>
          <w:rFonts w:hint="eastAsia" w:ascii="楷体_GB2312" w:hAnsi="宋体" w:eastAsia="楷体_GB2312" w:cs="Times New Roman"/>
          <w:color w:val="000000"/>
          <w:sz w:val="24"/>
          <w:highlight w:val="none"/>
        </w:rPr>
        <w:t>产品管理人将收取强制赎回费：</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在满足相关流动性风险管理要求的前提下，当本理财产品持有的现金、国债、中央银行票据、政策性金融债券以及5个交易日内到期的其他金融工具占本理财产品资产净值的比例合计低于5%且偏离度为负时，产品管理人应对当日单个投资者申请赎回份额超过本理财产品总份额1%以上的赎回申请征收1%的强制赎回费用，并将上述赎回费用全额计入本理财产品财产。产品管理人与产品托管人协商确认上述做法无益于本理财产品利益最大化的情形除外。</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本理财产品前10名投资者的持有份额合计超过本理财产品总份额50%的，当投资组合中现金、国债、中央银行票据、政策性金融债券以及5个交易日内到期的其他金融工具占本理财产品资产净值的比例合计低于10%且偏离度为负时，产品管理人应对投资者超过本理财产品总份额1%以上的赎回申请征收1%的强制赎回费用。</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法律法规或监管机构另有规定的，从其规定。</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default" w:ascii="楷体_GB2312" w:hAnsi="宋体" w:eastAsia="楷体_GB2312"/>
          <w:b/>
          <w:bCs/>
          <w:color w:val="000000"/>
          <w:sz w:val="24"/>
          <w:highlight w:val="none"/>
          <w:lang w:val="en-US"/>
        </w:rPr>
        <w:t>5.</w:t>
      </w:r>
      <w:r>
        <w:rPr>
          <w:rFonts w:hint="eastAsia" w:ascii="楷体_GB2312" w:hAnsi="宋体" w:eastAsia="楷体_GB2312"/>
          <w:b/>
          <w:bCs/>
          <w:color w:val="000000"/>
          <w:sz w:val="24"/>
          <w:highlight w:val="none"/>
        </w:rPr>
        <w:t>其他费用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（1）管理成本费用：为本理财产品</w:t>
      </w:r>
      <w:r>
        <w:rPr>
          <w:rFonts w:hint="eastAsia" w:ascii="楷体_GB2312" w:hAnsi="宋体" w:eastAsia="楷体_GB2312"/>
          <w:color w:val="000000"/>
          <w:sz w:val="24"/>
          <w:highlight w:val="none"/>
          <w:lang w:val="en-US" w:eastAsia="zh-CN"/>
        </w:rPr>
        <w:t>项</w:t>
      </w:r>
      <w:r>
        <w:rPr>
          <w:rFonts w:hint="eastAsia" w:ascii="楷体_GB2312" w:hAnsi="宋体" w:eastAsia="楷体_GB2312"/>
          <w:color w:val="000000"/>
          <w:sz w:val="24"/>
          <w:highlight w:val="none"/>
        </w:rPr>
        <w:t>下投资交易提供专属信托、保管、托管、咨询、顾问、管理等服务所产生的费用(如</w:t>
      </w:r>
      <w:r>
        <w:rPr>
          <w:rFonts w:hint="eastAsia" w:ascii="楷体_GB2312" w:hAnsi="宋体" w:eastAsia="楷体_GB2312"/>
          <w:color w:val="000000"/>
          <w:sz w:val="24"/>
          <w:highlight w:val="none"/>
          <w:lang w:val="en-US" w:eastAsia="zh-CN"/>
        </w:rPr>
        <w:t>基金管理费、</w:t>
      </w:r>
      <w:r>
        <w:rPr>
          <w:rFonts w:hint="eastAsia" w:ascii="楷体_GB2312" w:hAnsi="宋体" w:eastAsia="楷体_GB2312"/>
          <w:color w:val="000000"/>
          <w:sz w:val="24"/>
          <w:highlight w:val="none"/>
        </w:rPr>
        <w:t>投资顾问费、信托保管费、信托报酬、各类信托费用等)和支出均属于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管理</w:t>
      </w:r>
      <w:r>
        <w:rPr>
          <w:rFonts w:hint="eastAsia" w:ascii="楷体_GB2312" w:hAnsi="宋体" w:eastAsia="楷体_GB2312"/>
          <w:color w:val="000000"/>
          <w:sz w:val="24"/>
          <w:highlight w:val="none"/>
        </w:rPr>
        <w:t>成本费用，由相关机构(包括但不限于</w:t>
      </w:r>
      <w:r>
        <w:rPr>
          <w:rFonts w:hint="eastAsia" w:ascii="楷体_GB2312" w:hAnsi="宋体" w:eastAsia="楷体_GB2312"/>
          <w:color w:val="000000"/>
          <w:sz w:val="24"/>
          <w:highlight w:val="none"/>
          <w:lang w:val="en-US" w:eastAsia="zh-CN"/>
        </w:rPr>
        <w:t>基金公司、</w:t>
      </w:r>
      <w:r>
        <w:rPr>
          <w:rFonts w:hint="eastAsia" w:ascii="楷体_GB2312" w:hAnsi="宋体" w:eastAsia="楷体_GB2312"/>
          <w:color w:val="000000"/>
          <w:sz w:val="24"/>
          <w:highlight w:val="none"/>
        </w:rPr>
        <w:t>信托公司、保管银行等)依照相关法律文件(包括但不限于</w:t>
      </w:r>
      <w:r>
        <w:rPr>
          <w:rFonts w:hint="eastAsia" w:ascii="楷体_GB2312" w:hAnsi="宋体" w:eastAsia="楷体_GB2312"/>
          <w:color w:val="000000"/>
          <w:sz w:val="24"/>
          <w:highlight w:val="none"/>
          <w:lang w:val="en-US" w:eastAsia="zh-CN"/>
        </w:rPr>
        <w:t>基金合同、</w:t>
      </w:r>
      <w:r>
        <w:rPr>
          <w:rFonts w:hint="eastAsia" w:ascii="楷体_GB2312" w:hAnsi="宋体" w:eastAsia="楷体_GB2312"/>
          <w:color w:val="000000"/>
          <w:sz w:val="24"/>
          <w:highlight w:val="none"/>
        </w:rPr>
        <w:t>信托合同、保管合同、顾问协议等)约定的标准和条件</w:t>
      </w:r>
      <w:r>
        <w:rPr>
          <w:rFonts w:hint="eastAsia" w:ascii="楷体_GB2312" w:hAnsi="宋体" w:eastAsia="楷体_GB2312"/>
          <w:color w:val="000000"/>
          <w:sz w:val="24"/>
          <w:highlight w:val="none"/>
          <w:lang w:val="en-US" w:eastAsia="zh-CN"/>
        </w:rPr>
        <w:t>扣除</w:t>
      </w:r>
      <w:r>
        <w:rPr>
          <w:rFonts w:hint="eastAsia" w:ascii="楷体_GB2312" w:hAnsi="宋体" w:eastAsia="楷体_GB2312"/>
          <w:color w:val="000000"/>
          <w:sz w:val="24"/>
          <w:highlight w:val="none"/>
        </w:rPr>
        <w:t>。</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（2）其他成本费用：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产品运作和清算中产生的其他资金汇划费、结算费、交易手续费、注册登记费、账户服务费、进行</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w:t>
      </w:r>
      <w:r>
        <w:rPr>
          <w:rFonts w:hint="eastAsia" w:ascii="楷体_GB2312" w:hAnsi="宋体" w:eastAsia="楷体_GB2312"/>
          <w:color w:val="000000"/>
          <w:sz w:val="24"/>
          <w:highlight w:val="none"/>
          <w:lang w:val="en-US" w:eastAsia="zh-CN"/>
        </w:rPr>
        <w:t>约</w:t>
      </w:r>
      <w:r>
        <w:rPr>
          <w:rFonts w:hint="eastAsia" w:ascii="楷体_GB2312" w:hAnsi="宋体" w:eastAsia="楷体_GB2312"/>
          <w:color w:val="000000"/>
          <w:sz w:val="24"/>
          <w:highlight w:val="none"/>
        </w:rPr>
        <w:t>定的投资而发生的交易费用、根据国家有关规定应当在</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理财产品收益或资产中扣除的法定费用、</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存续期间发生的信息披露费用、与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理财产品相关的会计师费</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如审计费等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和律师费以及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理财产品销售文件约定可扣除的其他费用(包括交易发生的税费、手续费等)均属于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其他</w:t>
      </w:r>
      <w:r>
        <w:rPr>
          <w:rFonts w:hint="eastAsia" w:ascii="楷体_GB2312" w:hAnsi="宋体" w:eastAsia="楷体_GB2312"/>
          <w:color w:val="000000"/>
          <w:sz w:val="24"/>
          <w:highlight w:val="none"/>
        </w:rPr>
        <w:t>成本费用，由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依照相关法律文件的约定在向投资者分配资金前从</w:t>
      </w:r>
      <w:r>
        <w:rPr>
          <w:rFonts w:hint="eastAsia" w:ascii="楷体_GB2312" w:hAnsi="宋体" w:eastAsia="楷体_GB2312"/>
          <w:color w:val="000000"/>
          <w:sz w:val="24"/>
          <w:highlight w:val="none"/>
          <w:lang w:val="en-US" w:eastAsia="zh-CN"/>
        </w:rPr>
        <w:t>理财产品中支付</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）特别说明</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本理财产品销售文件项下北银理财所收取的费用为含税价格，相关税率按照国家法律法规规定执行。北银理财有权根据法律法规、监管规定、国家有关政策及市场情况调整前述收费项目、标准、条件、方式等具体收费内容。对于新增、调高或降低的相关内容，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在</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向投资者披露，并于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确定的施行日期开</w:t>
      </w:r>
      <w:r>
        <w:rPr>
          <w:rFonts w:hint="eastAsia" w:ascii="楷体_GB2312" w:hAnsi="宋体" w:eastAsia="楷体_GB2312" w:cs="Times New Roman"/>
          <w:color w:val="000000"/>
          <w:sz w:val="24"/>
          <w:highlight w:val="none"/>
        </w:rPr>
        <w:t>始施行。</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2" w:firstLineChars="200"/>
        <w:rPr>
          <w:rFonts w:ascii="楷体_GB2312" w:hAnsi="宋体" w:eastAsia="楷体_GB2312"/>
          <w:b/>
          <w:color w:val="000000"/>
          <w:sz w:val="24"/>
          <w:highlight w:val="none"/>
        </w:rPr>
      </w:pPr>
      <w:r>
        <w:rPr>
          <w:rFonts w:ascii="楷体_GB2312" w:hAnsi="宋体" w:eastAsia="楷体_GB2312"/>
          <w:b/>
          <w:color w:val="000000"/>
          <w:sz w:val="24"/>
          <w:highlight w:val="none"/>
        </w:rPr>
        <w:t>十、资产估值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（一）估值目的和估值原则</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理财产品估值的目的是公允、合理地反映理财产品的价值。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w:t>
      </w:r>
      <w:r>
        <w:rPr>
          <w:rFonts w:ascii="楷体_GB2312" w:hAnsi="宋体" w:eastAsia="楷体_GB2312"/>
          <w:color w:val="000000"/>
          <w:sz w:val="24"/>
          <w:highlight w:val="none"/>
        </w:rPr>
        <w:t>估值对象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所拥有的各类有价证券、银行存款、应收款项及其他资产和负债。</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（三）估值日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产品成立后的每个</w:t>
      </w:r>
      <w:r>
        <w:rPr>
          <w:rFonts w:hint="eastAsia" w:ascii="楷体_GB2312" w:hAnsi="宋体" w:eastAsia="楷体_GB2312"/>
          <w:color w:val="000000"/>
          <w:sz w:val="24"/>
          <w:highlight w:val="none"/>
          <w:lang w:val="en-US" w:eastAsia="zh-CN"/>
        </w:rPr>
        <w:t>自然</w:t>
      </w:r>
      <w:r>
        <w:rPr>
          <w:rFonts w:hint="eastAsia" w:ascii="楷体_GB2312" w:hAnsi="宋体" w:eastAsia="楷体_GB2312"/>
          <w:color w:val="000000"/>
          <w:sz w:val="24"/>
          <w:highlight w:val="none"/>
        </w:rPr>
        <w:t>日均为估值日。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（四）估值方法</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1.债券等固定收益类资产采用摊余成本法估值。</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2.货币市场基金单位价值按1.0000计算，逐日计提收益。货币市场基金的待分配收益在估值日没有转为份额的，按估值日前一交易日基金管理公司披露的每万份收益计提。</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3.各类资产管理计划以资产管理计划的管理人确认的净值或投资收益情况进行估值。</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4.债券回购和拆借按本金列示，逐日计提利息。</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5.银行存款按本金列示，逐日计提利息。</w:t>
      </w:r>
    </w:p>
    <w:p>
      <w:pPr>
        <w:numPr>
          <w:ilvl w:val="0"/>
          <w:numId w:val="0"/>
        </w:numPr>
        <w:adjustRightInd w:val="0"/>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6.采用摊余成本法进行估值，即计价对象以买入成本列示，按票面利率、商定利率或实际利率并考虑其买入时的溢价与折价，在其剩余期限内进行摊销，每日计提收益。本理财产品不采用市场利率和上市交易的债券和票据的市价计算资产净值。</w:t>
      </w:r>
    </w:p>
    <w:p>
      <w:pPr>
        <w:ind w:firstLine="480" w:firstLineChars="200"/>
        <w:rPr>
          <w:rFonts w:ascii="楷体_GB2312" w:hAnsi="宋体" w:eastAsia="楷体_GB2312"/>
          <w:color w:val="000000"/>
          <w:sz w:val="24"/>
          <w:highlight w:val="lightGray"/>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为了避免采用“摊余成本法”计算的</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理财产品资产净值与按市场利率和交易市价计算的资产净值发生重大偏离，从而对</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份额持有人的利益产生稀释和不公平的结果，</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于每一估值日，采用估值技术，对</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持有的估值对象进行重新评估，即“影子定价”。</w:t>
      </w:r>
      <w:r>
        <w:rPr>
          <w:rFonts w:ascii="楷体_GB2312" w:hAnsi="宋体" w:eastAsia="楷体_GB2312"/>
          <w:color w:val="000000"/>
          <w:sz w:val="24"/>
          <w:highlight w:val="none"/>
        </w:rPr>
        <w:t>当影子定价确定的</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现金管理类产品资产净值与摊余成本法计算的资产净值正偏离度绝对值达到0.5%时,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应当暂停接受认购并在5个交易日内将正偏离度绝对值调整到0.5%以内。当负偏离度绝对值达到0.25%时,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应当在5个交易日内将负偏离度绝对值调整到0.25%以内。当负偏离度绝对值达到0.5%时,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应当采取相应措施,将负偏离度绝对值控制在0.5%以内。当负偏离度绝对值连续两个交易日超过0.5%时,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应当采用公允价值估值方法对持有投资组合的账面价值进行调整,或者采取暂停接受所有赎回申请并终止</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销售文件</w:t>
      </w:r>
      <w:r>
        <w:rPr>
          <w:rFonts w:ascii="楷体_GB2312" w:hAnsi="宋体" w:eastAsia="楷体_GB2312"/>
          <w:color w:val="000000"/>
          <w:sz w:val="24"/>
          <w:highlight w:val="none"/>
        </w:rPr>
        <w:t>进行财产清算等措施。</w:t>
      </w:r>
    </w:p>
    <w:p>
      <w:p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s="Times New Roman"/>
          <w:color w:val="000000"/>
          <w:sz w:val="24"/>
          <w:highlight w:val="none"/>
          <w:lang w:val="en-US" w:eastAsia="zh-CN"/>
        </w:rPr>
        <w:t>8.在任何情况下，如采用以上规定的方法对资产进行估值，均应被认为采用了适当的估值方法。但是，如果产品管理人或产品托管人认为按以上规定的方法对本理财产品的资产进行估值不能客观反映其公允价值的，可提出异议，协商一致后，变更公允价值的确定方式，并从经产品管理人与产品托管人协商一致日起执行，并及时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s="Times New Roman"/>
          <w:color w:val="000000"/>
          <w:sz w:val="24"/>
          <w:highlight w:val="none"/>
          <w:lang w:val="en-US" w:eastAsia="zh-CN"/>
        </w:rPr>
        <w:t>向投资者公告。</w:t>
      </w:r>
    </w:p>
    <w:p>
      <w:p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s="Times New Roman"/>
          <w:color w:val="000000"/>
          <w:sz w:val="24"/>
          <w:highlight w:val="none"/>
          <w:lang w:val="en-US" w:eastAsia="zh-CN"/>
        </w:rPr>
        <w:t>9.对于以上估值方法，相关法律法规以及监管机构有另行规定的，按照监管最新规定执行。如监管并无明确规定和要求的，由产品管理人与产品托管人协商确定计算方法。</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（五）估值差错处理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如</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或</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发现资产估值违反本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理财产品说明书</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订明的估值方法、程序及相关法律法规的规定或者未能充分维护投资者利益时，应</w:t>
      </w:r>
      <w:r>
        <w:rPr>
          <w:rFonts w:hint="eastAsia" w:ascii="楷体_GB2312" w:hAnsi="宋体" w:eastAsia="楷体_GB2312"/>
          <w:color w:val="000000"/>
          <w:sz w:val="24"/>
          <w:highlight w:val="none"/>
        </w:rPr>
        <w:t>及时</w:t>
      </w:r>
      <w:r>
        <w:rPr>
          <w:rFonts w:ascii="楷体_GB2312" w:hAnsi="宋体" w:eastAsia="楷体_GB2312"/>
          <w:color w:val="000000"/>
          <w:sz w:val="24"/>
          <w:highlight w:val="none"/>
        </w:rPr>
        <w:t>通知对方，共同查明原因，协商解决，如经相关各方在平等基础上充分讨论后，仍无法达成一致意见，以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的意见为准。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当发现资产估值存在错误时，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ascii="楷体_GB2312" w:hAnsi="宋体" w:eastAsia="楷体_GB2312"/>
          <w:color w:val="000000"/>
          <w:sz w:val="24"/>
          <w:highlight w:val="none"/>
        </w:rPr>
        <w:t>应该及时更正。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（六）暂停估值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有权选择暂停理财产品估值：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理财产品投资所涉及的证券交易所遇法定节假日或其他原因暂停营业</w:t>
      </w:r>
      <w:r>
        <w:rPr>
          <w:rFonts w:hint="eastAsia" w:ascii="楷体_GB2312" w:hAnsi="宋体" w:eastAsia="楷体_GB2312"/>
          <w:color w:val="000000"/>
          <w:sz w:val="24"/>
          <w:highlight w:val="none"/>
          <w:lang w:val="en-US" w:eastAsia="zh-CN"/>
        </w:rPr>
        <w:t>时</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（2）因任何不可抗力</w:t>
      </w:r>
      <w:r>
        <w:rPr>
          <w:rFonts w:hint="eastAsia" w:ascii="楷体_GB2312" w:hAnsi="宋体" w:eastAsia="楷体_GB2312"/>
          <w:color w:val="000000"/>
          <w:sz w:val="24"/>
          <w:highlight w:val="none"/>
          <w:lang w:eastAsia="zh-CN"/>
        </w:rPr>
        <w:t>及</w:t>
      </w:r>
      <w:r>
        <w:rPr>
          <w:rFonts w:hint="eastAsia" w:ascii="楷体_GB2312" w:hAnsi="宋体" w:eastAsia="楷体_GB2312"/>
          <w:color w:val="000000"/>
          <w:sz w:val="24"/>
          <w:highlight w:val="none"/>
        </w:rPr>
        <w:t>/或</w:t>
      </w:r>
      <w:r>
        <w:rPr>
          <w:rFonts w:hint="eastAsia" w:ascii="楷体_GB2312" w:hAnsi="宋体" w:eastAsia="楷体_GB2312"/>
          <w:color w:val="000000"/>
          <w:sz w:val="24"/>
          <w:highlight w:val="none"/>
          <w:lang w:eastAsia="zh-CN"/>
        </w:rPr>
        <w:t>意外事件等</w:t>
      </w:r>
      <w:r>
        <w:rPr>
          <w:rFonts w:hint="eastAsia" w:ascii="楷体_GB2312" w:hAnsi="宋体" w:eastAsia="楷体_GB2312"/>
          <w:color w:val="000000"/>
          <w:sz w:val="24"/>
          <w:highlight w:val="none"/>
        </w:rPr>
        <w:t>致使</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无法准确评估资产价值</w:t>
      </w:r>
      <w:r>
        <w:rPr>
          <w:rFonts w:hint="eastAsia" w:ascii="楷体_GB2312" w:hAnsi="宋体" w:eastAsia="楷体_GB2312"/>
          <w:color w:val="000000"/>
          <w:sz w:val="24"/>
          <w:highlight w:val="none"/>
          <w:lang w:val="en-US" w:eastAsia="zh-CN"/>
        </w:rPr>
        <w:t>时</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理财产品在前一估值日内，产品资产净值50%以上的资产不具备活跃交易市场或者在活跃市场中无报价，且不能采用估值技术可靠计量公允价值的，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val="en-US" w:eastAsia="zh-CN"/>
        </w:rPr>
        <w:t>应</w:t>
      </w:r>
      <w:r>
        <w:rPr>
          <w:rFonts w:hint="eastAsia" w:ascii="楷体_GB2312" w:hAnsi="宋体" w:eastAsia="楷体_GB2312"/>
          <w:color w:val="000000"/>
          <w:sz w:val="24"/>
          <w:highlight w:val="none"/>
        </w:rPr>
        <w:t>暂停</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（4）法律法规规定或本</w:t>
      </w:r>
      <w:r>
        <w:rPr>
          <w:rFonts w:hint="eastAsia" w:ascii="楷体_GB2312" w:hAnsi="宋体" w:eastAsia="楷体_GB2312"/>
          <w:color w:val="000000"/>
          <w:sz w:val="24"/>
          <w:highlight w:val="none"/>
          <w:lang w:eastAsia="zh-CN"/>
        </w:rPr>
        <w:t>理财产品销售文件</w:t>
      </w:r>
      <w:r>
        <w:rPr>
          <w:rFonts w:hint="eastAsia" w:ascii="楷体_GB2312" w:hAnsi="宋体" w:eastAsia="楷体_GB2312"/>
          <w:color w:val="000000"/>
          <w:sz w:val="24"/>
          <w:highlight w:val="none"/>
        </w:rPr>
        <w:t>约定的</w:t>
      </w:r>
      <w:r>
        <w:rPr>
          <w:rFonts w:hint="eastAsia" w:ascii="楷体_GB2312" w:hAnsi="宋体" w:eastAsia="楷体_GB2312"/>
          <w:color w:val="000000"/>
          <w:sz w:val="24"/>
          <w:highlight w:val="none"/>
          <w:lang w:val="en-US" w:eastAsia="zh-CN"/>
        </w:rPr>
        <w:t>其它</w:t>
      </w:r>
      <w:r>
        <w:rPr>
          <w:rFonts w:hint="eastAsia" w:ascii="楷体_GB2312" w:hAnsi="宋体" w:eastAsia="楷体_GB2312"/>
          <w:color w:val="000000"/>
          <w:sz w:val="24"/>
          <w:highlight w:val="none"/>
        </w:rPr>
        <w:t>情形。</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选择暂停理财产品估值</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将按照监管规定及</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销售文件约定的方式在3个交易日内发布临时信息披露，</w:t>
      </w:r>
      <w:r>
        <w:rPr>
          <w:rFonts w:hint="eastAsia" w:ascii="楷体_GB2312" w:hAnsi="仿宋" w:eastAsia="楷体_GB2312"/>
          <w:color w:val="000000"/>
          <w:sz w:val="24"/>
          <w:highlight w:val="none"/>
          <w:lang w:val="en-US" w:eastAsia="zh-CN"/>
        </w:rPr>
        <w:t>告知本理财产品的投资者，并</w:t>
      </w:r>
      <w:r>
        <w:rPr>
          <w:rFonts w:hint="eastAsia" w:ascii="楷体_GB2312" w:hAnsi="宋体" w:eastAsia="楷体_GB2312"/>
          <w:color w:val="000000"/>
          <w:sz w:val="24"/>
          <w:highlight w:val="none"/>
        </w:rPr>
        <w:t>说明运用相关措施的原因及</w:t>
      </w:r>
      <w:r>
        <w:rPr>
          <w:rFonts w:hint="eastAsia" w:ascii="楷体_GB2312" w:hAnsi="宋体" w:eastAsia="楷体_GB2312"/>
          <w:color w:val="000000"/>
          <w:sz w:val="24"/>
          <w:highlight w:val="none"/>
          <w:lang w:val="en-US" w:eastAsia="zh-CN"/>
        </w:rPr>
        <w:t>拟</w:t>
      </w:r>
      <w:r>
        <w:rPr>
          <w:rFonts w:hint="eastAsia" w:ascii="楷体_GB2312" w:hAnsi="宋体" w:eastAsia="楷体_GB2312"/>
          <w:color w:val="000000"/>
          <w:sz w:val="24"/>
          <w:highlight w:val="none"/>
        </w:rPr>
        <w:t>采取的应对安排等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待估值条件恢复时，</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将按规定完成估值工作。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（七）</w:t>
      </w:r>
      <w:r>
        <w:rPr>
          <w:rFonts w:ascii="楷体_GB2312" w:hAnsi="宋体" w:eastAsia="楷体_GB2312"/>
          <w:color w:val="000000"/>
          <w:sz w:val="24"/>
          <w:highlight w:val="none"/>
        </w:rPr>
        <w:t>资产账册的建立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在本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生效后，应按照相关各方约定的同一记账方法和会计处理原则，分别独立的设置、登录和保管理财财产的全套账册，对相关各方各自的账册定期进行核对，互相监督。若双方对会计处理方法存在分歧，应以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的处理方法为准。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经对账发现相关各方的账目存在不符的，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必须及时查明原因并纠正，保证相关各方平行登录的账册记录完全相符。</w:t>
      </w:r>
    </w:p>
    <w:p>
      <w:pPr>
        <w:ind w:firstLine="482" w:firstLineChars="200"/>
        <w:rPr>
          <w:rFonts w:ascii="楷体_GB2312" w:hAnsi="宋体" w:eastAsia="楷体_GB2312"/>
          <w:b/>
          <w:color w:val="000000"/>
          <w:sz w:val="24"/>
          <w:highlight w:val="none"/>
        </w:rPr>
      </w:pPr>
      <w:r>
        <w:rPr>
          <w:rFonts w:ascii="楷体_GB2312" w:hAnsi="宋体" w:eastAsia="楷体_GB2312"/>
          <w:b/>
          <w:color w:val="000000"/>
          <w:sz w:val="24"/>
          <w:highlight w:val="none"/>
        </w:rPr>
        <w:t>十一、</w:t>
      </w:r>
      <w:r>
        <w:rPr>
          <w:rFonts w:hint="eastAsia" w:ascii="楷体_GB2312" w:hAnsi="宋体" w:eastAsia="楷体_GB2312"/>
          <w:b/>
          <w:color w:val="000000"/>
          <w:sz w:val="24"/>
          <w:highlight w:val="none"/>
        </w:rPr>
        <w:t>产品的信息披露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（一）信息披露内容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将严格按照相关法律法规、规章、监管规定和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的约定履行信息披露义务，并主动向投资者披露</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理财产品的募集信息、资金投向、杠杆水平、收益分配、托管安排、投资账户信息、主要投资风险、关联交易等事项。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信息披露频率和时间</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（1）发行公告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将在本理财产品成立后5个工作日内披露发行公告。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净值公告</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在本理财产品每个开放日</w:t>
      </w:r>
      <w:r>
        <w:rPr>
          <w:rFonts w:hint="eastAsia" w:ascii="楷体_GB2312" w:hAnsi="宋体" w:eastAsia="楷体_GB2312"/>
          <w:color w:val="000000"/>
          <w:sz w:val="24"/>
          <w:highlight w:val="none"/>
          <w:lang w:val="en-US" w:eastAsia="zh-CN"/>
        </w:rPr>
        <w:t>结束</w:t>
      </w:r>
      <w:r>
        <w:rPr>
          <w:rFonts w:hint="eastAsia" w:ascii="楷体_GB2312" w:hAnsi="宋体" w:eastAsia="楷体_GB2312"/>
          <w:color w:val="000000"/>
          <w:sz w:val="24"/>
          <w:highlight w:val="none"/>
        </w:rPr>
        <w:t>后2个工作日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披露开放日的产品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净值和产品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w:t>
      </w:r>
      <w:r>
        <w:rPr>
          <w:rFonts w:hint="eastAsia" w:ascii="楷体_GB2312" w:hAnsi="宋体" w:eastAsia="楷体_GB2312"/>
          <w:color w:val="000000"/>
          <w:sz w:val="24"/>
          <w:highlight w:val="none"/>
          <w:lang w:val="en-US" w:eastAsia="zh-CN"/>
        </w:rPr>
        <w:t>申</w:t>
      </w:r>
      <w:r>
        <w:rPr>
          <w:rFonts w:hint="eastAsia" w:ascii="楷体_GB2312" w:hAnsi="宋体" w:eastAsia="楷体_GB2312"/>
          <w:color w:val="000000"/>
          <w:sz w:val="24"/>
          <w:highlight w:val="none"/>
        </w:rPr>
        <w:t>购价格、赎回价格、每万份收益和七日年化收益率</w:t>
      </w:r>
      <w:r>
        <w:rPr>
          <w:rFonts w:hint="eastAsia" w:ascii="楷体_GB2312" w:hAnsi="宋体" w:eastAsia="楷体_GB2312"/>
          <w:color w:val="000000"/>
          <w:sz w:val="24"/>
          <w:highlight w:val="none"/>
          <w:lang w:eastAsia="zh-CN"/>
        </w:rPr>
        <w:t>；在定期报告中披露本理财产品在季度、半年和年度最后一个市场交易日的产品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净值、产品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累计净值和产品资产净值。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（3）分红公告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产品分红后</w:t>
      </w:r>
      <w:r>
        <w:rPr>
          <w:rFonts w:hint="eastAsia" w:ascii="楷体_GB2312" w:hAnsi="宋体" w:eastAsia="楷体_GB2312"/>
          <w:color w:val="000000"/>
          <w:sz w:val="24"/>
          <w:highlight w:val="none"/>
        </w:rPr>
        <w:t>2个工作日内披露产品分红公告（如有）。</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）重大事项公告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将在发生可能对本理财产品投资者或者</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理财产品收益产生重大影响的事件后2个工作日内披露重大事项公告。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5</w:t>
      </w:r>
      <w:r>
        <w:rPr>
          <w:rFonts w:ascii="楷体_GB2312" w:hAnsi="宋体" w:eastAsia="楷体_GB2312"/>
          <w:color w:val="000000"/>
          <w:sz w:val="24"/>
          <w:highlight w:val="none"/>
        </w:rPr>
        <w:t>）定期报告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每个季度结束之日起15个工作日内、上半年结束之日起60个工作日内、每年结束之日起90个工作日内披露本理财产品的季度、半年和年度报告，如果本理财产品成立不足90个工作日或者剩余存续期不超过90个工作日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可以不编制</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产品当期的季度、半年和年度报告。</w:t>
      </w:r>
      <w:bookmarkStart w:id="3" w:name="_Hlk146059333"/>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理财产品季度、半年和年度报告中披露</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理财产品组合资产情况及其流动性风险分析等。</w:t>
      </w:r>
      <w:bookmarkEnd w:id="3"/>
    </w:p>
    <w:p>
      <w:pPr>
        <w:pStyle w:val="2"/>
        <w:ind w:left="0" w:leftChars="0" w:firstLine="480" w:firstLineChars="200"/>
        <w:rPr>
          <w:highlight w:val="none"/>
        </w:rPr>
      </w:pPr>
      <w:r>
        <w:rPr>
          <w:rFonts w:hint="default" w:ascii="楷体_GB2312" w:hAnsi="宋体" w:eastAsia="楷体_GB2312" w:cs="Times New Roman"/>
          <w:color w:val="000000"/>
          <w:kern w:val="2"/>
          <w:sz w:val="24"/>
          <w:szCs w:val="24"/>
          <w:highlight w:val="none"/>
        </w:rPr>
        <w:t>同时，</w:t>
      </w:r>
      <w:r>
        <w:rPr>
          <w:rFonts w:hint="eastAsia" w:ascii="楷体_GB2312" w:hAnsi="宋体" w:eastAsia="楷体_GB2312" w:cs="Times New Roman"/>
          <w:color w:val="000000"/>
          <w:kern w:val="2"/>
          <w:sz w:val="24"/>
          <w:szCs w:val="24"/>
          <w:highlight w:val="none"/>
          <w:lang w:val="en-US" w:eastAsia="zh-CN"/>
        </w:rPr>
        <w:t>产品</w:t>
      </w:r>
      <w:r>
        <w:rPr>
          <w:rFonts w:hint="default" w:ascii="楷体_GB2312" w:hAnsi="宋体" w:eastAsia="楷体_GB2312" w:cs="Times New Roman"/>
          <w:color w:val="000000"/>
          <w:kern w:val="2"/>
          <w:sz w:val="24"/>
          <w:szCs w:val="24"/>
          <w:highlight w:val="none"/>
        </w:rPr>
        <w:t>管理人将在</w:t>
      </w:r>
      <w:r>
        <w:rPr>
          <w:rFonts w:hint="eastAsia" w:ascii="楷体_GB2312" w:hAnsi="宋体" w:eastAsia="楷体_GB2312" w:cs="Times New Roman"/>
          <w:color w:val="000000"/>
          <w:kern w:val="2"/>
          <w:sz w:val="24"/>
          <w:szCs w:val="24"/>
          <w:highlight w:val="none"/>
          <w:lang w:val="en-US" w:eastAsia="zh-CN"/>
        </w:rPr>
        <w:t>本理财</w:t>
      </w:r>
      <w:r>
        <w:rPr>
          <w:rFonts w:hint="default" w:ascii="楷体_GB2312" w:hAnsi="宋体" w:eastAsia="楷体_GB2312" w:cs="Times New Roman"/>
          <w:color w:val="000000"/>
          <w:kern w:val="2"/>
          <w:sz w:val="24"/>
          <w:szCs w:val="24"/>
          <w:highlight w:val="none"/>
        </w:rPr>
        <w:t>产品的半年和年度报告中，披露</w:t>
      </w:r>
      <w:r>
        <w:rPr>
          <w:rFonts w:hint="eastAsia" w:ascii="楷体_GB2312" w:hAnsi="宋体" w:eastAsia="楷体_GB2312" w:cs="Times New Roman"/>
          <w:color w:val="000000"/>
          <w:kern w:val="2"/>
          <w:sz w:val="24"/>
          <w:szCs w:val="24"/>
          <w:highlight w:val="none"/>
          <w:lang w:val="en-US" w:eastAsia="zh-CN"/>
        </w:rPr>
        <w:t>本理财产品</w:t>
      </w:r>
      <w:r>
        <w:rPr>
          <w:rFonts w:hint="default" w:ascii="楷体_GB2312" w:hAnsi="宋体" w:eastAsia="楷体_GB2312" w:cs="Times New Roman"/>
          <w:color w:val="000000"/>
          <w:kern w:val="2"/>
          <w:sz w:val="24"/>
          <w:szCs w:val="24"/>
          <w:highlight w:val="none"/>
        </w:rPr>
        <w:t>前10名投资者的类别、持有份额及占总份额的比例等信息。</w:t>
      </w:r>
      <w:r>
        <w:rPr>
          <w:rFonts w:hint="eastAsia" w:ascii="楷体_GB2312" w:hAnsi="宋体" w:eastAsia="楷体_GB2312" w:cs="Times New Roman"/>
          <w:color w:val="000000"/>
          <w:kern w:val="2"/>
          <w:sz w:val="24"/>
          <w:szCs w:val="24"/>
          <w:highlight w:val="none"/>
          <w:lang w:val="en-US" w:eastAsia="zh-CN"/>
        </w:rPr>
        <w:t>在本理财产品存续期间，</w:t>
      </w:r>
      <w:r>
        <w:rPr>
          <w:rFonts w:hint="default" w:ascii="楷体_GB2312" w:hAnsi="宋体" w:eastAsia="楷体_GB2312" w:cs="Times New Roman"/>
          <w:color w:val="000000"/>
          <w:kern w:val="2"/>
          <w:sz w:val="24"/>
          <w:szCs w:val="24"/>
          <w:highlight w:val="none"/>
        </w:rPr>
        <w:t>若出现单一投资者持有产品份额达到或者超过本</w:t>
      </w:r>
      <w:r>
        <w:rPr>
          <w:rFonts w:hint="eastAsia" w:ascii="楷体_GB2312" w:hAnsi="宋体" w:eastAsia="楷体_GB2312" w:cs="Times New Roman"/>
          <w:color w:val="000000"/>
          <w:kern w:val="2"/>
          <w:sz w:val="24"/>
          <w:szCs w:val="24"/>
          <w:highlight w:val="none"/>
          <w:lang w:val="en-US" w:eastAsia="zh-CN"/>
        </w:rPr>
        <w:t>理财</w:t>
      </w:r>
      <w:r>
        <w:rPr>
          <w:rFonts w:hint="default" w:ascii="楷体_GB2312" w:hAnsi="宋体" w:eastAsia="楷体_GB2312" w:cs="Times New Roman"/>
          <w:color w:val="000000"/>
          <w:kern w:val="2"/>
          <w:sz w:val="24"/>
          <w:szCs w:val="24"/>
          <w:highlight w:val="none"/>
        </w:rPr>
        <w:t>产品总份额20%的情形，</w:t>
      </w:r>
      <w:r>
        <w:rPr>
          <w:rFonts w:hint="eastAsia" w:ascii="楷体_GB2312" w:hAnsi="宋体" w:eastAsia="楷体_GB2312" w:cs="Times New Roman"/>
          <w:color w:val="000000"/>
          <w:kern w:val="2"/>
          <w:sz w:val="24"/>
          <w:szCs w:val="24"/>
          <w:highlight w:val="none"/>
          <w:lang w:val="en-US" w:eastAsia="zh-CN"/>
        </w:rPr>
        <w:t>产品</w:t>
      </w:r>
      <w:r>
        <w:rPr>
          <w:rFonts w:hint="default" w:ascii="楷体_GB2312" w:hAnsi="宋体" w:eastAsia="楷体_GB2312" w:cs="Times New Roman"/>
          <w:color w:val="000000"/>
          <w:kern w:val="2"/>
          <w:sz w:val="24"/>
          <w:szCs w:val="24"/>
          <w:highlight w:val="none"/>
        </w:rPr>
        <w:t>管理人将在定期报告中披露该投资者的类别、持有份额及占比、持有份额变化情况及产品风险等信息，</w:t>
      </w:r>
      <w:r>
        <w:rPr>
          <w:rFonts w:hint="eastAsia" w:ascii="楷体_GB2312" w:hAnsi="宋体" w:eastAsia="楷体_GB2312" w:cs="Times New Roman"/>
          <w:color w:val="000000"/>
          <w:kern w:val="2"/>
          <w:sz w:val="24"/>
          <w:szCs w:val="24"/>
          <w:highlight w:val="none"/>
          <w:lang w:val="en-US" w:eastAsia="zh-CN"/>
        </w:rPr>
        <w:t>国家金融监督管理总局</w:t>
      </w:r>
      <w:r>
        <w:rPr>
          <w:rFonts w:hint="default" w:ascii="楷体_GB2312" w:hAnsi="宋体" w:eastAsia="楷体_GB2312" w:cs="Times New Roman"/>
          <w:color w:val="000000"/>
          <w:kern w:val="2"/>
          <w:sz w:val="24"/>
          <w:szCs w:val="24"/>
          <w:highlight w:val="none"/>
        </w:rPr>
        <w:t>认定的特殊情形除外。</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6</w:t>
      </w:r>
      <w:r>
        <w:rPr>
          <w:rFonts w:ascii="楷体_GB2312" w:hAnsi="宋体" w:eastAsia="楷体_GB2312"/>
          <w:color w:val="000000"/>
          <w:sz w:val="24"/>
          <w:highlight w:val="none"/>
        </w:rPr>
        <w:t>）到期公告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将在本理财产品终止</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后5个工作日内披露产品到期公告。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7</w:t>
      </w:r>
      <w:r>
        <w:rPr>
          <w:rFonts w:ascii="楷体_GB2312" w:hAnsi="宋体" w:eastAsia="楷体_GB2312"/>
          <w:color w:val="000000"/>
          <w:sz w:val="24"/>
          <w:highlight w:val="none"/>
        </w:rPr>
        <w:t>）临时公告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理财产品在运作管理过程中，发生可能对</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w:t>
      </w:r>
      <w:r>
        <w:rPr>
          <w:rFonts w:hint="eastAsia" w:ascii="楷体_GB2312" w:hAnsi="宋体" w:eastAsia="楷体_GB2312"/>
          <w:color w:val="000000"/>
          <w:sz w:val="24"/>
          <w:highlight w:val="none"/>
          <w:lang w:eastAsia="zh-CN"/>
        </w:rPr>
        <w:t>份额</w:t>
      </w:r>
      <w:r>
        <w:rPr>
          <w:rFonts w:ascii="楷体_GB2312" w:hAnsi="宋体" w:eastAsia="楷体_GB2312"/>
          <w:color w:val="000000"/>
          <w:sz w:val="24"/>
          <w:highlight w:val="none"/>
        </w:rPr>
        <w:t>持有人权益产生影响的事项、涉及</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理财产品认/申购、赎回事项调整或潜在影响投资者赎回等事项时，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将根据法律法规规定</w:t>
      </w:r>
      <w:r>
        <w:rPr>
          <w:rFonts w:hint="eastAsia" w:ascii="楷体_GB2312" w:hAnsi="宋体" w:eastAsia="楷体_GB2312"/>
          <w:color w:val="000000"/>
          <w:sz w:val="24"/>
          <w:highlight w:val="none"/>
          <w:lang w:val="en-US" w:eastAsia="zh-CN"/>
        </w:rPr>
        <w:t>和</w:t>
      </w:r>
      <w:r>
        <w:rPr>
          <w:rFonts w:ascii="楷体_GB2312" w:hAnsi="宋体" w:eastAsia="楷体_GB2312"/>
          <w:color w:val="000000"/>
          <w:sz w:val="24"/>
          <w:highlight w:val="none"/>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约定及时进行临时信息披露。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3</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信息披露渠道</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的信息披露渠道为代销机构</w:t>
      </w:r>
      <w:r>
        <w:rPr>
          <w:rFonts w:hint="eastAsia" w:ascii="楷体_GB2312" w:hAnsi="宋体" w:eastAsia="楷体_GB2312"/>
          <w:color w:val="000000"/>
          <w:sz w:val="24"/>
          <w:highlight w:val="none"/>
          <w:lang w:val="en-US" w:eastAsia="zh-CN"/>
        </w:rPr>
        <w:t>电子渠道</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中国理财网</w:t>
      </w:r>
      <w:r>
        <w:rPr>
          <w:rFonts w:hint="eastAsia" w:ascii="楷体_GB2312" w:hAnsi="宋体" w:eastAsia="楷体_GB2312"/>
          <w:color w:val="000000"/>
          <w:sz w:val="24"/>
          <w:highlight w:val="none"/>
          <w:lang w:val="en-US" w:eastAsia="zh-CN"/>
        </w:rPr>
        <w:t>或监管机构认可的其他公开渠道</w:t>
      </w:r>
      <w:r>
        <w:rPr>
          <w:rFonts w:ascii="楷体_GB2312" w:hAnsi="宋体" w:eastAsia="楷体_GB2312"/>
          <w:color w:val="000000"/>
          <w:sz w:val="24"/>
          <w:highlight w:val="none"/>
        </w:rPr>
        <w:t>，投资者可通过上述渠道查询</w:t>
      </w:r>
      <w:r>
        <w:rPr>
          <w:rFonts w:hint="eastAsia" w:ascii="楷体_GB2312" w:hAnsi="宋体" w:eastAsia="楷体_GB2312"/>
          <w:color w:val="000000"/>
          <w:sz w:val="24"/>
          <w:highlight w:val="none"/>
          <w:lang w:eastAsia="zh-CN"/>
        </w:rPr>
        <w:t>本理财</w:t>
      </w:r>
      <w:r>
        <w:rPr>
          <w:rFonts w:ascii="楷体_GB2312" w:hAnsi="宋体" w:eastAsia="楷体_GB2312"/>
          <w:color w:val="000000"/>
          <w:sz w:val="24"/>
          <w:highlight w:val="none"/>
        </w:rPr>
        <w:t>产品相关信息</w:t>
      </w:r>
      <w:bookmarkStart w:id="4" w:name="_Hlk146059341"/>
      <w:r>
        <w:rPr>
          <w:rFonts w:hint="eastAsia" w:ascii="楷体_GB2312" w:hAnsi="宋体" w:eastAsia="楷体_GB2312"/>
          <w:color w:val="000000"/>
          <w:sz w:val="24"/>
          <w:highlight w:val="none"/>
        </w:rPr>
        <w:t>，在保障投资者知情权的前提下，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保留变更信息披露渠道的权利</w:t>
      </w:r>
      <w:bookmarkEnd w:id="4"/>
      <w:r>
        <w:rPr>
          <w:rFonts w:ascii="楷体_GB2312" w:hAnsi="宋体" w:eastAsia="楷体_GB2312"/>
          <w:color w:val="000000"/>
          <w:sz w:val="24"/>
          <w:highlight w:val="none"/>
        </w:rPr>
        <w:t>。相关信息自公告之日即视为已送达投资者</w:t>
      </w:r>
      <w:bookmarkStart w:id="5" w:name="_Hlk146059345"/>
      <w:r>
        <w:rPr>
          <w:rFonts w:hint="eastAsia" w:ascii="楷体_GB2312" w:hAnsi="宋体" w:eastAsia="楷体_GB2312"/>
          <w:color w:val="000000"/>
          <w:sz w:val="24"/>
          <w:highlight w:val="none"/>
        </w:rPr>
        <w:t>且</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已适当履行其信息披露义务</w:t>
      </w:r>
      <w:bookmarkEnd w:id="5"/>
      <w:r>
        <w:rPr>
          <w:rFonts w:ascii="楷体_GB2312" w:hAnsi="宋体" w:eastAsia="楷体_GB2312"/>
          <w:color w:val="000000"/>
          <w:sz w:val="24"/>
          <w:highlight w:val="none"/>
        </w:rPr>
        <w:t>。</w:t>
      </w:r>
      <w:r>
        <w:rPr>
          <w:rFonts w:ascii="楷体_GB2312" w:hAnsi="宋体" w:eastAsia="楷体_GB2312"/>
          <w:b/>
          <w:bCs/>
          <w:color w:val="000000"/>
          <w:sz w:val="24"/>
          <w:highlight w:val="none"/>
        </w:rPr>
        <w:t>如投资者未适时查询，或由于通讯故障、系统故障以及其他不可抗力等因素的影响使得投资者无法了解</w:t>
      </w:r>
      <w:r>
        <w:rPr>
          <w:rFonts w:hint="eastAsia" w:ascii="楷体_GB2312" w:hAnsi="宋体" w:eastAsia="楷体_GB2312"/>
          <w:b/>
          <w:bCs/>
          <w:color w:val="000000"/>
          <w:sz w:val="24"/>
          <w:highlight w:val="none"/>
          <w:lang w:eastAsia="zh-CN"/>
        </w:rPr>
        <w:t>本理财</w:t>
      </w:r>
      <w:r>
        <w:rPr>
          <w:rFonts w:ascii="楷体_GB2312" w:hAnsi="宋体" w:eastAsia="楷体_GB2312"/>
          <w:b/>
          <w:bCs/>
          <w:color w:val="000000"/>
          <w:sz w:val="24"/>
          <w:highlight w:val="none"/>
        </w:rPr>
        <w:t>产品信息，并由此影响投资者的投资决策，因此而产生责任和风险由投资者自行承担。</w:t>
      </w:r>
      <w:r>
        <w:rPr>
          <w:rFonts w:hint="eastAsia" w:ascii="楷体_GB2312" w:hAnsi="宋体" w:eastAsia="楷体_GB2312"/>
          <w:color w:val="000000"/>
          <w:sz w:val="24"/>
          <w:highlight w:val="none"/>
        </w:rPr>
        <w:t xml:space="preserve"> </w:t>
      </w:r>
    </w:p>
    <w:p>
      <w:pPr>
        <w:ind w:firstLine="480" w:firstLineChars="200"/>
        <w:rPr>
          <w:rStyle w:val="21"/>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存续期间，产品管理人若根据市场情况需调整投资范围、投资资产种类或投资比例的或需对已约定的收费项目、条件、标准和方式进行调整的，在不违反法律、法规、规章和监管规定的强制性规范的前提下，有权提前进行重大事项公告（高风险类型的理财产品超出比例范围投资较低风险资产的情况除外）。此种情况下产品管理人将开放赎回，具体以重大事项公告为准。</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理财产品存续期间，若因国家法律法规、监管规定发生变化，或出于维持本理财产品正常运营的需要，在不损害投资者利益的前提下，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有权单方面对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理财产品销售文件进行修订，并提前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进行公告。投资者在此同意修订后的理财产品销售文件对投资者具有法律约束力。</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★（二）对于在本理财产品销售文件签订和履行过程中获取和知悉的投资者的未公开信息和资料，</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对上述信息和资料的使用不得违反法律法规和监管要求，并依法承担保密责任，不得向第三方披露该等信息和资料，但下列情形除外：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1.适用的法律法规要求披露的。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2.司法部门、监管机构等依法要求披露及报送的。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为履行本理财产品销售文件义务及行使</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理财产品销售文件项下权利需向外部专业顾问或理财投资合作机构披露或允许外部专业顾问或理财投资合作机构在保密的基础上使用的。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4.投资者另行明确同意或授权</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进行披露的。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投资者知晓并同意：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根据适用的法律法规、监管规定对投资者及</w:t>
      </w:r>
      <w:r>
        <w:rPr>
          <w:rFonts w:hint="eastAsia" w:ascii="楷体_GB2312" w:hAnsi="宋体" w:eastAsia="楷体_GB2312"/>
          <w:color w:val="000000"/>
          <w:sz w:val="24"/>
          <w:highlight w:val="none"/>
          <w:lang w:val="en-US" w:eastAsia="zh-CN"/>
        </w:rPr>
        <w:t>其</w:t>
      </w:r>
      <w:r>
        <w:rPr>
          <w:rFonts w:hint="eastAsia" w:ascii="楷体_GB2312" w:hAnsi="宋体" w:eastAsia="楷体_GB2312"/>
          <w:color w:val="000000"/>
          <w:sz w:val="24"/>
          <w:highlight w:val="none"/>
        </w:rPr>
        <w:t>持有</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理财产品的相关信息进行登记，并传输给银行业理财登记托管中心。</w:t>
      </w:r>
    </w:p>
    <w:p>
      <w:pPr>
        <w:ind w:firstLine="482" w:firstLineChars="200"/>
        <w:rPr>
          <w:rFonts w:ascii="楷体_GB2312" w:hAnsi="宋体" w:eastAsia="楷体_GB2312"/>
          <w:b/>
          <w:color w:val="000000"/>
          <w:sz w:val="24"/>
          <w:highlight w:val="none"/>
        </w:rPr>
      </w:pPr>
      <w:r>
        <w:rPr>
          <w:rFonts w:hint="eastAsia" w:ascii="楷体_GB2312" w:hAnsi="宋体" w:eastAsia="楷体_GB2312"/>
          <w:b/>
          <w:color w:val="000000"/>
          <w:sz w:val="24"/>
          <w:highlight w:val="none"/>
        </w:rPr>
        <w:t>十二、相关机构的概况</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w:t>
      </w:r>
      <w:r>
        <w:rPr>
          <w:rFonts w:hint="eastAsia" w:ascii="楷体_GB2312" w:hAnsi="宋体" w:eastAsia="楷体_GB2312"/>
          <w:color w:val="000000"/>
          <w:sz w:val="24"/>
          <w:highlight w:val="none"/>
        </w:rPr>
        <w:t>产品托管机构的基本信息和主要职责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w:t>
      </w:r>
      <w:r>
        <w:rPr>
          <w:rFonts w:hint="eastAsia" w:ascii="楷体_GB2312" w:hAnsi="宋体" w:eastAsia="楷体_GB2312"/>
          <w:color w:val="000000"/>
          <w:sz w:val="24"/>
          <w:lang w:eastAsia="zh-CN"/>
        </w:rPr>
        <w:t>产品</w:t>
      </w:r>
      <w:r>
        <w:rPr>
          <w:rFonts w:ascii="楷体_GB2312" w:hAnsi="宋体" w:eastAsia="楷体_GB2312"/>
          <w:color w:val="000000"/>
          <w:sz w:val="24"/>
        </w:rPr>
        <w:t>托管人基本信息</w:t>
      </w:r>
    </w:p>
    <w:p>
      <w:pPr>
        <w:ind w:firstLine="480" w:firstLineChars="200"/>
        <w:rPr>
          <w:rFonts w:ascii="楷体_GB2312" w:hAnsi="宋体" w:eastAsia="楷体_GB2312"/>
          <w:color w:val="auto"/>
          <w:sz w:val="24"/>
          <w:highlight w:val="none"/>
        </w:rPr>
      </w:pPr>
      <w:r>
        <w:rPr>
          <w:rFonts w:hint="eastAsia" w:ascii="楷体_GB2312" w:hAnsi="宋体" w:eastAsia="楷体_GB2312"/>
          <w:color w:val="000000"/>
          <w:sz w:val="24"/>
          <w:lang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名称：</w:t>
      </w:r>
      <w:r>
        <w:rPr>
          <w:rFonts w:hint="eastAsia" w:ascii="楷体_GB2312" w:hAnsi="宋体" w:eastAsia="楷体_GB2312"/>
          <w:color w:val="auto"/>
          <w:sz w:val="24"/>
        </w:rPr>
        <w:t>北京银行股份有限公司</w:t>
      </w:r>
    </w:p>
    <w:p>
      <w:pPr>
        <w:ind w:firstLine="480" w:firstLineChars="200"/>
        <w:rPr>
          <w:rFonts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rPr>
        <w:t>霍学文</w:t>
      </w:r>
    </w:p>
    <w:p>
      <w:pPr>
        <w:ind w:firstLine="480" w:firstLineChars="200"/>
        <w:rPr>
          <w:rFonts w:ascii="楷体_GB2312" w:hAnsi="宋体" w:eastAsia="楷体_GB2312"/>
          <w:color w:val="auto"/>
          <w:sz w:val="24"/>
          <w:highlight w:val="none"/>
        </w:rPr>
      </w:pPr>
      <w:r>
        <w:rPr>
          <w:rFonts w:hint="eastAsia" w:ascii="楷体_GB2312" w:hAnsi="宋体" w:eastAsia="楷体_GB2312"/>
          <w:color w:val="auto"/>
          <w:sz w:val="24"/>
          <w:highlight w:val="none"/>
        </w:rPr>
        <w:t>注册地址：</w:t>
      </w:r>
      <w:r>
        <w:rPr>
          <w:rFonts w:hint="eastAsia" w:ascii="楷体_GB2312" w:hAnsi="宋体" w:eastAsia="楷体_GB2312"/>
          <w:color w:val="auto"/>
          <w:sz w:val="24"/>
        </w:rPr>
        <w:t>北京市西城区金融大街甲</w:t>
      </w:r>
      <w:r>
        <w:rPr>
          <w:rFonts w:ascii="楷体_GB2312" w:hAnsi="宋体" w:eastAsia="楷体_GB2312"/>
          <w:color w:val="auto"/>
          <w:sz w:val="24"/>
        </w:rPr>
        <w:t>17</w:t>
      </w:r>
      <w:r>
        <w:rPr>
          <w:rFonts w:hint="eastAsia" w:ascii="楷体_GB2312" w:hAnsi="宋体" w:eastAsia="楷体_GB2312"/>
          <w:color w:val="auto"/>
          <w:sz w:val="24"/>
        </w:rPr>
        <w:t>号首层</w:t>
      </w:r>
    </w:p>
    <w:p>
      <w:pPr>
        <w:pStyle w:val="2"/>
        <w:ind w:left="0" w:leftChars="0" w:firstLine="480" w:firstLineChars="200"/>
        <w:rPr>
          <w:color w:val="000000"/>
        </w:rPr>
      </w:pPr>
      <w:r>
        <w:rPr>
          <w:rFonts w:hint="eastAsia" w:ascii="楷体_GB2312" w:hAnsi="宋体" w:eastAsia="楷体_GB2312"/>
          <w:color w:val="000000"/>
          <w:sz w:val="24"/>
          <w:highlight w:val="none"/>
        </w:rPr>
        <w:t>产品管理人在此特别披露：</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托管人为产品管理人的关联方，产品管理人聘请其担任</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托管人已履行了现行法律法规和监管规定所规定必须履行的程序</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产品管理人、投资者同意并接受</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托管人托管。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000000"/>
          <w:sz w:val="24"/>
          <w:lang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安全保管</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理财产品财产；</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理财产品开立银行托管账户、证券账户等；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确认与执行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理财产品资金划拨指令，办理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理财产品资金的收付，核对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理财产品资金划拨记录；</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建立与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的对账机制，复核</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理财产品资产净值、</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理财产品份额申购、赎回价格，及时核查投资资金的支付和到账情况；</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监督</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理财产品投资运作；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办理与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理财产品托管业务活动相关的信息披露事项；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保存</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理财产品托管业务活动的记录、账册、报表和其他相关材料；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理财产品投资信息和相关资料承担保密责任；</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（9</w:t>
      </w:r>
      <w:r>
        <w:rPr>
          <w:rFonts w:ascii="楷体_GB2312" w:hAnsi="宋体" w:eastAsia="楷体_GB2312"/>
          <w:color w:val="000000"/>
          <w:sz w:val="24"/>
          <w:highlight w:val="none"/>
        </w:rPr>
        <w:t>）</w:t>
      </w:r>
      <w:bookmarkStart w:id="6" w:name="_Hlk146059360"/>
      <w:r>
        <w:rPr>
          <w:rFonts w:hint="eastAsia" w:ascii="楷体_GB2312" w:hAnsi="宋体" w:eastAsia="楷体_GB2312"/>
          <w:color w:val="000000"/>
          <w:sz w:val="24"/>
          <w:highlight w:val="none"/>
        </w:rPr>
        <w:t>法律法规规定、</w:t>
      </w:r>
      <w:bookmarkEnd w:id="6"/>
      <w:r>
        <w:rPr>
          <w:rFonts w:hint="eastAsia" w:ascii="楷体_GB2312" w:hAnsi="宋体" w:eastAsia="楷体_GB2312"/>
          <w:color w:val="000000"/>
          <w:sz w:val="24"/>
          <w:highlight w:val="none"/>
        </w:rPr>
        <w:t>国务院银行业监督管理机构规定</w:t>
      </w:r>
      <w:bookmarkStart w:id="7" w:name="_Hlk146059365"/>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产品管理人和托管机构另行签订的托管协议约定，以</w:t>
      </w:r>
      <w:r>
        <w:rPr>
          <w:rFonts w:hint="eastAsia" w:ascii="楷体_GB2312" w:hAnsi="宋体" w:eastAsia="楷体_GB2312"/>
          <w:color w:val="000000"/>
          <w:sz w:val="24"/>
          <w:highlight w:val="none"/>
        </w:rPr>
        <w:t>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w:t>
      </w:r>
      <w:bookmarkEnd w:id="7"/>
      <w:r>
        <w:rPr>
          <w:rFonts w:hint="eastAsia" w:ascii="楷体_GB2312" w:hAnsi="宋体" w:eastAsia="楷体_GB2312"/>
          <w:color w:val="000000"/>
          <w:sz w:val="24"/>
          <w:highlight w:val="none"/>
        </w:rPr>
        <w:t>的其他职责。</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二</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产品代销机构的基本信息和主要职责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1.代销机构基本信息</w:t>
      </w:r>
    </w:p>
    <w:p>
      <w:pPr>
        <w:ind w:firstLine="480" w:firstLineChars="200"/>
        <w:rPr>
          <w:rFonts w:hint="eastAsia" w:ascii="楷体_GB2312" w:eastAsia="楷体_GB2312"/>
          <w:bCs/>
          <w:color w:val="000000"/>
          <w:sz w:val="24"/>
          <w:lang w:eastAsia="zh-CN"/>
        </w:rPr>
      </w:pPr>
      <w:r>
        <w:rPr>
          <w:rFonts w:hint="eastAsia" w:ascii="楷体_GB2312" w:eastAsia="楷体_GB2312"/>
          <w:bCs/>
          <w:color w:val="000000"/>
          <w:sz w:val="24"/>
          <w:lang w:val="en-US" w:eastAsia="zh-CN"/>
        </w:rPr>
        <w:t>FS类份额</w:t>
      </w:r>
      <w:r>
        <w:rPr>
          <w:rFonts w:hint="eastAsia" w:ascii="楷体_GB2312" w:eastAsia="楷体_GB2312"/>
          <w:bCs/>
          <w:color w:val="000000"/>
          <w:sz w:val="24"/>
          <w:lang w:eastAsia="zh-CN"/>
        </w:rPr>
        <w:t>：</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浙江龙游农村商业银行股份有限公司（以下简称“龙游农商银行”）</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：宋利剑</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注册地址：浙江省衢州市龙游县龙洲街道荣昌大道683、685、687号</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浙江青田农村商业银行股份有限公司（以下简称“青田农商银行”）</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：汤伟强</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注册地址：浙江省青田县鹤城街道鹤城东路180号</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浙江德清农村商业银行股份有限公司（以下简称“德清农商银行”）</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：丁爱平</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注册地址：浙江省德清县武康街道沈长圩街50号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浙江台州路桥农村商业银行股份有限公司（以下简称“台州农商银行”）</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：罗洋明</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注册地址：浙江省台州市路桥区路北街道中心大道 5789 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浙江龙泉农村商业银行股份有限公司（以下简称“龙泉农商银行”）</w:t>
      </w:r>
    </w:p>
    <w:p>
      <w:p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：刘紫波</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注册地址：浙江省丽水市龙泉市龙渊街道中山东路101号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浙江绍兴瑞丰农村商业银行股份有限公司（以下简称“瑞丰农商银行”）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：吴智晖</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注册地址：浙江省绍兴市柯桥区柯桥笛扬路1363号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浙江建德农村商业银行股份有限公司（以下简称“建德农商银行”）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：王锦芳</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注册地址：浙江省建德市新安江街道江滨中路176号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杭州联合农村商业银行股份有限公司（以下简称“杭州联合银行”）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：林时益</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注册地址：浙江省杭州市上城区建国中路99号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浙江浦江农村商业银行股份有限公司（以下简称“浦江农商银行”）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：陈文斌</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注册地址：浙江省浦江县人民东路90号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浙江临安农村商业银行股份有限公司（以下简称“临安农商银行”）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：张远明</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注册地址：浙江省杭州市临安区锦城街道城中街442号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浙江诸暨农村商业银行股份有限公司（以下简称“诸暨农商银行”）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：潘金波</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注册地址：浙江省诸暨市暨阳街道大桥东路2号</w:t>
      </w:r>
    </w:p>
    <w:p>
      <w:pPr>
        <w:pStyle w:val="2"/>
        <w:ind w:left="0" w:leftChars="0" w:firstLine="480" w:firstLineChars="200"/>
        <w:rPr>
          <w:rFonts w:hint="eastAsia"/>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浙江富阳农村商业银行股份有限公司（以下简称“富阳农商银行”）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：赖立明</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注册地址：浙江省杭州市富阳区依江路501号</w:t>
      </w:r>
    </w:p>
    <w:p>
      <w:pPr>
        <w:pStyle w:val="2"/>
        <w:ind w:left="0" w:leftChars="0" w:firstLine="480" w:firstLineChars="200"/>
        <w:rPr>
          <w:rFonts w:hint="eastAsia"/>
          <w:highlight w:val="none"/>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宁波余姚农村商业银行股份有限公司（以下简称“余姚农商银行”）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孙</w:t>
      </w:r>
      <w:r>
        <w:rPr>
          <w:rFonts w:hint="eastAsia" w:ascii="楷体_GB2312" w:hAnsi="宋体" w:eastAsia="楷体_GB2312"/>
          <w:color w:val="auto"/>
          <w:sz w:val="24"/>
          <w:highlight w:val="none"/>
        </w:rPr>
        <w:t>继峰</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注册地址：浙江省余姚市新建路69号</w:t>
      </w:r>
    </w:p>
    <w:p>
      <w:pPr>
        <w:pStyle w:val="2"/>
        <w:ind w:left="0" w:leftChars="0" w:firstLine="480" w:firstLineChars="200"/>
        <w:rPr>
          <w:rFonts w:hint="eastAsia"/>
          <w:highlight w:val="none"/>
          <w:lang w:val="en-US" w:eastAsia="zh-CN"/>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浙江上虞农村商业银行股份有限公司（以下简称“上虞农商银行”）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：陆斌</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注册地址：浙江省绍兴市上虞区百官街道德盛路55号</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15</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浙江衢州柯城农村商业银行股份有限公司（以下简称“柯城农商银行”）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：王洪君</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注册地址：浙江省衢州市柯城区上街92号三楼零售金融部</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16</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浙江松阳农村商业银行股份有限公司（以下简称“松阳农商银行”）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：郑旭勇</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注册地址：浙江省丽水市松阳县水南街道要津南路71号</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17</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浙江江山农村商业银行股份有限公司（以下简称“江山农商银行”）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：祝春凰</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注册地址：浙江省江山市江滨路188号</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18</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浙江义乌农村商业银行股份有限公司（以下简称“义乌农商银行”）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：吴志良</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注册地址：浙江省义乌市福田街道城北路677号</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19</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浙江桐庐农村商业银行股份有限公司（以下简称“桐庐农商银行”）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：杨妙清</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注册地址：浙江省杭州市桐庐县城迎春南路278号</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olor w:val="auto"/>
          <w:sz w:val="24"/>
          <w:highlight w:val="none"/>
        </w:rPr>
        <w:t>宁波慈溪农村商业银行股份有限公司（以下简称“慈溪农商银行”）</w:t>
      </w:r>
    </w:p>
    <w:p>
      <w:pPr>
        <w:numPr>
          <w:ilvl w:val="-1"/>
          <w:numId w:val="0"/>
        </w:numPr>
        <w:ind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法定代表人</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或负责人）</w:t>
      </w:r>
      <w:r>
        <w:rPr>
          <w:rFonts w:hint="eastAsia" w:ascii="楷体_GB2312" w:hAnsi="宋体" w:eastAsia="楷体_GB2312"/>
          <w:color w:val="auto"/>
          <w:sz w:val="24"/>
          <w:highlight w:val="none"/>
        </w:rPr>
        <w:t>：沈雨风</w:t>
      </w:r>
    </w:p>
    <w:p>
      <w:pPr>
        <w:ind w:firstLine="480" w:firstLineChars="200"/>
        <w:rPr>
          <w:rFonts w:hint="default" w:ascii="楷体_GB2312" w:hAnsi="宋体" w:eastAsia="楷体_GB2312"/>
          <w:color w:val="auto"/>
          <w:sz w:val="24"/>
          <w:highlight w:val="none"/>
          <w:lang w:val="en-US" w:eastAsia="zh-CN"/>
        </w:rPr>
      </w:pPr>
      <w:r>
        <w:rPr>
          <w:rFonts w:hint="eastAsia" w:ascii="楷体_GB2312" w:hAnsi="宋体" w:eastAsia="楷体_GB2312"/>
          <w:color w:val="auto"/>
          <w:sz w:val="24"/>
          <w:highlight w:val="none"/>
        </w:rPr>
        <w:t>注册地址：浙江省慈溪市浒山街道南城路25号、59号5-6层</w:t>
      </w:r>
    </w:p>
    <w:p>
      <w:pPr>
        <w:pStyle w:val="2"/>
        <w:ind w:left="0" w:leftChars="0" w:firstLine="480" w:firstLineChars="200"/>
        <w:rPr>
          <w:rFonts w:hint="eastAsia" w:ascii="楷体_GB2312" w:hAnsi="宋体" w:eastAsia="楷体_GB2312"/>
          <w:color w:val="auto"/>
          <w:sz w:val="24"/>
          <w:highlight w:val="none"/>
        </w:rPr>
      </w:pPr>
      <w:r>
        <w:rPr>
          <w:rFonts w:hint="eastAsia" w:ascii="楷体_GB2312" w:hAnsi="宋体" w:eastAsia="楷体_GB2312"/>
          <w:color w:val="auto"/>
          <w:sz w:val="24"/>
          <w:highlight w:val="none"/>
        </w:rPr>
        <w:t>投资者服务热线：96596</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代销机构名称：浙江新昌农村商业银行股份有限公司（以下简称“新昌农商银行”）</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或负责人）</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rPr>
        <w:t>陈一峰</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注册地址：</w:t>
      </w:r>
      <w:r>
        <w:rPr>
          <w:rFonts w:hint="eastAsia" w:ascii="楷体_GB2312" w:hAnsi="宋体" w:eastAsia="楷体_GB2312"/>
          <w:color w:val="000000"/>
          <w:sz w:val="24"/>
          <w:highlight w:val="none"/>
        </w:rPr>
        <w:t>浙江省新昌县七星街道七星路18号</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投资者服务热线：96596</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代销机构主要职责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宣传推介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为投资者办理产品认购、申购和赎回；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在销售过程中对投资者进行身份识别和尽职调查；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承担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理财产品的投资者适当性和销售适当性管理职责；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适用法律法规规定</w:t>
      </w:r>
      <w:bookmarkStart w:id="8" w:name="_Hlk146059378"/>
      <w:r>
        <w:rPr>
          <w:rFonts w:hint="eastAsia" w:ascii="楷体_GB2312" w:hAnsi="宋体" w:eastAsia="楷体_GB2312"/>
          <w:color w:val="000000"/>
          <w:sz w:val="24"/>
          <w:highlight w:val="none"/>
        </w:rPr>
        <w:t>、国务院银行业监督管理机构规定</w:t>
      </w:r>
      <w:bookmarkEnd w:id="8"/>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产品管理人和代销机构另行签订的代理销售合作协议约定，以及本</w:t>
      </w:r>
      <w:r>
        <w:rPr>
          <w:rFonts w:hint="eastAsia" w:ascii="楷体_GB2312" w:hAnsi="宋体" w:eastAsia="楷体_GB2312"/>
          <w:color w:val="000000"/>
          <w:sz w:val="24"/>
          <w:highlight w:val="none"/>
        </w:rPr>
        <w:t>理财产品销售文件约定的其他职责。</w:t>
      </w:r>
    </w:p>
    <w:p>
      <w:pPr>
        <w:pStyle w:val="40"/>
        <w:ind w:right="480" w:firstLine="5880" w:firstLineChars="2450"/>
        <w:rPr>
          <w:rFonts w:ascii="楷体_GB2312" w:hAnsi="楷体" w:eastAsia="楷体_GB2312" w:cs="Times New Roman"/>
          <w:color w:val="auto"/>
          <w:kern w:val="2"/>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Math">
    <w:panose1 w:val="02040503050406030204"/>
    <w:charset w:val="00"/>
    <w:family w:val="decorative"/>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1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w:t>
    </w:r>
    <w:r>
      <w:rPr>
        <w:rFonts w:hint="eastAsia" w:ascii="黑体" w:hAnsi="黑体" w:eastAsia="黑体"/>
        <w:b/>
        <w:lang w:val="en-US" w:eastAsia="zh-CN"/>
      </w:rPr>
      <w:t>见春系列易淘金</w:t>
    </w:r>
    <w:r>
      <w:rPr>
        <w:rFonts w:hint="eastAsia" w:ascii="黑体" w:hAnsi="黑体" w:eastAsia="黑体"/>
        <w:b/>
      </w:rPr>
      <w:t xml:space="preserve">      </w:t>
    </w:r>
    <w:r>
      <w:rPr>
        <w:rFonts w:hint="eastAsia" w:ascii="黑体" w:hAnsi="黑体" w:eastAsia="黑体"/>
        <w:b/>
        <w:sz w:val="22"/>
        <w:szCs w:val="28"/>
      </w:rPr>
      <w:t>理财非存款</w:t>
    </w:r>
    <w:r>
      <w:rPr>
        <w:rFonts w:hint="eastAsia" w:ascii="黑体" w:hAnsi="黑体" w:eastAsia="黑体"/>
        <w:b/>
        <w:sz w:val="22"/>
        <w:szCs w:val="28"/>
        <w:lang w:eastAsia="zh-CN"/>
      </w:rPr>
      <w:t>、</w:t>
    </w:r>
    <w:r>
      <w:rPr>
        <w:rFonts w:hint="eastAsia" w:ascii="黑体" w:hAnsi="黑体" w:eastAsia="黑体"/>
        <w:b/>
        <w:sz w:val="22"/>
        <w:szCs w:val="28"/>
      </w:rPr>
      <w:t>产品有风险</w:t>
    </w:r>
    <w:r>
      <w:rPr>
        <w:rFonts w:hint="eastAsia" w:ascii="黑体" w:hAnsi="黑体" w:eastAsia="黑体"/>
        <w:b/>
        <w:sz w:val="22"/>
        <w:szCs w:val="28"/>
        <w:lang w:eastAsia="zh-CN"/>
      </w:rPr>
      <w:t>、</w:t>
    </w:r>
    <w:r>
      <w:rPr>
        <w:rFonts w:hint="eastAsia" w:ascii="黑体" w:hAnsi="黑体" w:eastAsia="黑体"/>
        <w:b/>
        <w:sz w:val="22"/>
        <w:szCs w:val="28"/>
      </w:rPr>
      <w:t>投资须谨慎</w:t>
    </w:r>
    <w:r>
      <w:rPr>
        <w:rFonts w:hint="eastAsia" w:ascii="黑体" w:hAnsi="黑体" w:eastAsia="黑体"/>
        <w:b/>
        <w:sz w:val="22"/>
        <w:szCs w:val="28"/>
        <w:lang w:eastAsia="zh-CN"/>
      </w:rPr>
      <w:t>！</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zRlZDM5NjM2Mjk4NDIyN2Q1OThjMzg2M2FjM2IifQ=="/>
  </w:docVars>
  <w:rsids>
    <w:rsidRoot w:val="00402C91"/>
    <w:rsid w:val="00004DD7"/>
    <w:rsid w:val="00010A65"/>
    <w:rsid w:val="00014B1D"/>
    <w:rsid w:val="00023027"/>
    <w:rsid w:val="00023E25"/>
    <w:rsid w:val="00031959"/>
    <w:rsid w:val="0003570D"/>
    <w:rsid w:val="00042AB1"/>
    <w:rsid w:val="00060EA4"/>
    <w:rsid w:val="00063758"/>
    <w:rsid w:val="000675AD"/>
    <w:rsid w:val="000927EA"/>
    <w:rsid w:val="000A6512"/>
    <w:rsid w:val="000B4AAB"/>
    <w:rsid w:val="000B4F4A"/>
    <w:rsid w:val="000E1184"/>
    <w:rsid w:val="000F1B5E"/>
    <w:rsid w:val="000F2610"/>
    <w:rsid w:val="000F7EC3"/>
    <w:rsid w:val="00100C28"/>
    <w:rsid w:val="0010341C"/>
    <w:rsid w:val="00115A88"/>
    <w:rsid w:val="001247CB"/>
    <w:rsid w:val="00127573"/>
    <w:rsid w:val="001315D9"/>
    <w:rsid w:val="00133A37"/>
    <w:rsid w:val="0013433A"/>
    <w:rsid w:val="00135BA4"/>
    <w:rsid w:val="00140605"/>
    <w:rsid w:val="0014653B"/>
    <w:rsid w:val="0016438C"/>
    <w:rsid w:val="00174C30"/>
    <w:rsid w:val="00196588"/>
    <w:rsid w:val="001A1AF2"/>
    <w:rsid w:val="001A4AA4"/>
    <w:rsid w:val="001D213E"/>
    <w:rsid w:val="001D2398"/>
    <w:rsid w:val="001D298D"/>
    <w:rsid w:val="001D6E08"/>
    <w:rsid w:val="001E4E0A"/>
    <w:rsid w:val="002023D9"/>
    <w:rsid w:val="002108E2"/>
    <w:rsid w:val="0021550A"/>
    <w:rsid w:val="00216360"/>
    <w:rsid w:val="00225E70"/>
    <w:rsid w:val="0023619B"/>
    <w:rsid w:val="00240AB8"/>
    <w:rsid w:val="00251C33"/>
    <w:rsid w:val="00252435"/>
    <w:rsid w:val="002602FB"/>
    <w:rsid w:val="00265479"/>
    <w:rsid w:val="002850D3"/>
    <w:rsid w:val="002934ED"/>
    <w:rsid w:val="002B4144"/>
    <w:rsid w:val="002B4FF6"/>
    <w:rsid w:val="002C2BE2"/>
    <w:rsid w:val="002C6A5C"/>
    <w:rsid w:val="002F2246"/>
    <w:rsid w:val="002F3E26"/>
    <w:rsid w:val="002F6BC2"/>
    <w:rsid w:val="002F79C6"/>
    <w:rsid w:val="00300B76"/>
    <w:rsid w:val="00306DF0"/>
    <w:rsid w:val="00310786"/>
    <w:rsid w:val="00311054"/>
    <w:rsid w:val="00312DEE"/>
    <w:rsid w:val="00312FBA"/>
    <w:rsid w:val="0031305A"/>
    <w:rsid w:val="00314971"/>
    <w:rsid w:val="0031574B"/>
    <w:rsid w:val="003168D5"/>
    <w:rsid w:val="00346B0F"/>
    <w:rsid w:val="00352F98"/>
    <w:rsid w:val="00354BD8"/>
    <w:rsid w:val="00365415"/>
    <w:rsid w:val="00366FD9"/>
    <w:rsid w:val="00367620"/>
    <w:rsid w:val="00370C09"/>
    <w:rsid w:val="00383602"/>
    <w:rsid w:val="00383738"/>
    <w:rsid w:val="0038646E"/>
    <w:rsid w:val="00395973"/>
    <w:rsid w:val="00395CDA"/>
    <w:rsid w:val="003A575B"/>
    <w:rsid w:val="003D08CE"/>
    <w:rsid w:val="003D5C4E"/>
    <w:rsid w:val="003E35AE"/>
    <w:rsid w:val="003F51CA"/>
    <w:rsid w:val="0040047D"/>
    <w:rsid w:val="00402C91"/>
    <w:rsid w:val="00407BFC"/>
    <w:rsid w:val="00413047"/>
    <w:rsid w:val="00415332"/>
    <w:rsid w:val="00417689"/>
    <w:rsid w:val="0041771D"/>
    <w:rsid w:val="00417865"/>
    <w:rsid w:val="00436F86"/>
    <w:rsid w:val="0047342B"/>
    <w:rsid w:val="00481ABF"/>
    <w:rsid w:val="00491F21"/>
    <w:rsid w:val="00494661"/>
    <w:rsid w:val="004967C7"/>
    <w:rsid w:val="004A025B"/>
    <w:rsid w:val="004A19BD"/>
    <w:rsid w:val="004C02FD"/>
    <w:rsid w:val="004C0A8E"/>
    <w:rsid w:val="004D17AB"/>
    <w:rsid w:val="004E4340"/>
    <w:rsid w:val="004E541D"/>
    <w:rsid w:val="004F098A"/>
    <w:rsid w:val="004F1F50"/>
    <w:rsid w:val="005002F1"/>
    <w:rsid w:val="00502E6B"/>
    <w:rsid w:val="00506BA5"/>
    <w:rsid w:val="00524E34"/>
    <w:rsid w:val="0053340D"/>
    <w:rsid w:val="00537946"/>
    <w:rsid w:val="00541365"/>
    <w:rsid w:val="0055554B"/>
    <w:rsid w:val="0056230B"/>
    <w:rsid w:val="00562769"/>
    <w:rsid w:val="00571503"/>
    <w:rsid w:val="00576740"/>
    <w:rsid w:val="005837A2"/>
    <w:rsid w:val="00583A81"/>
    <w:rsid w:val="005928F5"/>
    <w:rsid w:val="005A2C68"/>
    <w:rsid w:val="005A2D82"/>
    <w:rsid w:val="005B1A78"/>
    <w:rsid w:val="005C460A"/>
    <w:rsid w:val="005E0942"/>
    <w:rsid w:val="005F1ACF"/>
    <w:rsid w:val="005F586A"/>
    <w:rsid w:val="006007CA"/>
    <w:rsid w:val="00602EA6"/>
    <w:rsid w:val="00613C69"/>
    <w:rsid w:val="00615A24"/>
    <w:rsid w:val="006214FF"/>
    <w:rsid w:val="00642C17"/>
    <w:rsid w:val="00643A8B"/>
    <w:rsid w:val="006524F5"/>
    <w:rsid w:val="00660403"/>
    <w:rsid w:val="00662142"/>
    <w:rsid w:val="00670E41"/>
    <w:rsid w:val="006772DB"/>
    <w:rsid w:val="00680A5C"/>
    <w:rsid w:val="00681882"/>
    <w:rsid w:val="006818F7"/>
    <w:rsid w:val="00681E3E"/>
    <w:rsid w:val="0068343D"/>
    <w:rsid w:val="006A29F2"/>
    <w:rsid w:val="006A6A7E"/>
    <w:rsid w:val="006A7C1C"/>
    <w:rsid w:val="006B5AA6"/>
    <w:rsid w:val="006B7B80"/>
    <w:rsid w:val="006C169A"/>
    <w:rsid w:val="006D105A"/>
    <w:rsid w:val="006D5AAE"/>
    <w:rsid w:val="006D6E4E"/>
    <w:rsid w:val="006D6EDA"/>
    <w:rsid w:val="006E4400"/>
    <w:rsid w:val="006F7466"/>
    <w:rsid w:val="007042CA"/>
    <w:rsid w:val="00714088"/>
    <w:rsid w:val="007156F1"/>
    <w:rsid w:val="007257A8"/>
    <w:rsid w:val="0072662A"/>
    <w:rsid w:val="00730D15"/>
    <w:rsid w:val="007326F9"/>
    <w:rsid w:val="00735207"/>
    <w:rsid w:val="007376D0"/>
    <w:rsid w:val="00737904"/>
    <w:rsid w:val="00741E90"/>
    <w:rsid w:val="00742805"/>
    <w:rsid w:val="0074340B"/>
    <w:rsid w:val="007466F0"/>
    <w:rsid w:val="00751EF9"/>
    <w:rsid w:val="00764E4A"/>
    <w:rsid w:val="00771F9A"/>
    <w:rsid w:val="007758DF"/>
    <w:rsid w:val="00785E98"/>
    <w:rsid w:val="0079317D"/>
    <w:rsid w:val="007A7E71"/>
    <w:rsid w:val="007B06B8"/>
    <w:rsid w:val="007B3F5B"/>
    <w:rsid w:val="007B4E40"/>
    <w:rsid w:val="007B66EE"/>
    <w:rsid w:val="007C0605"/>
    <w:rsid w:val="007D1008"/>
    <w:rsid w:val="007D5C91"/>
    <w:rsid w:val="007E35BB"/>
    <w:rsid w:val="007E7F92"/>
    <w:rsid w:val="007F1BE0"/>
    <w:rsid w:val="007F4838"/>
    <w:rsid w:val="00812809"/>
    <w:rsid w:val="00813BDB"/>
    <w:rsid w:val="00817013"/>
    <w:rsid w:val="008304FE"/>
    <w:rsid w:val="0083501E"/>
    <w:rsid w:val="008407B3"/>
    <w:rsid w:val="00841BE9"/>
    <w:rsid w:val="0085183C"/>
    <w:rsid w:val="00861E98"/>
    <w:rsid w:val="00886947"/>
    <w:rsid w:val="00886B4B"/>
    <w:rsid w:val="00890461"/>
    <w:rsid w:val="008A24E0"/>
    <w:rsid w:val="008A402A"/>
    <w:rsid w:val="008C345E"/>
    <w:rsid w:val="008D1D90"/>
    <w:rsid w:val="008D307C"/>
    <w:rsid w:val="008D4619"/>
    <w:rsid w:val="008F40B7"/>
    <w:rsid w:val="008F4FFE"/>
    <w:rsid w:val="008F7B68"/>
    <w:rsid w:val="00905C80"/>
    <w:rsid w:val="009210EF"/>
    <w:rsid w:val="0095089C"/>
    <w:rsid w:val="009561FD"/>
    <w:rsid w:val="009655CF"/>
    <w:rsid w:val="00971795"/>
    <w:rsid w:val="00976980"/>
    <w:rsid w:val="00980936"/>
    <w:rsid w:val="009839E4"/>
    <w:rsid w:val="009842AA"/>
    <w:rsid w:val="0099263F"/>
    <w:rsid w:val="00992AA6"/>
    <w:rsid w:val="009A0DE1"/>
    <w:rsid w:val="009A1004"/>
    <w:rsid w:val="009B3C8A"/>
    <w:rsid w:val="009C0AAD"/>
    <w:rsid w:val="009C4385"/>
    <w:rsid w:val="009F3740"/>
    <w:rsid w:val="00A038AD"/>
    <w:rsid w:val="00A151D8"/>
    <w:rsid w:val="00A172CA"/>
    <w:rsid w:val="00A20990"/>
    <w:rsid w:val="00A210DF"/>
    <w:rsid w:val="00A2116A"/>
    <w:rsid w:val="00A32F58"/>
    <w:rsid w:val="00A373A1"/>
    <w:rsid w:val="00A4170F"/>
    <w:rsid w:val="00A459AA"/>
    <w:rsid w:val="00A46F50"/>
    <w:rsid w:val="00A51270"/>
    <w:rsid w:val="00A52DF4"/>
    <w:rsid w:val="00A54C05"/>
    <w:rsid w:val="00A72E56"/>
    <w:rsid w:val="00A7322E"/>
    <w:rsid w:val="00A91EE4"/>
    <w:rsid w:val="00AA1629"/>
    <w:rsid w:val="00AA53ED"/>
    <w:rsid w:val="00AC773E"/>
    <w:rsid w:val="00AD5617"/>
    <w:rsid w:val="00AD619A"/>
    <w:rsid w:val="00AD7D81"/>
    <w:rsid w:val="00AE2C68"/>
    <w:rsid w:val="00B06084"/>
    <w:rsid w:val="00B131FD"/>
    <w:rsid w:val="00B224AF"/>
    <w:rsid w:val="00B35C4A"/>
    <w:rsid w:val="00B35CAA"/>
    <w:rsid w:val="00B42994"/>
    <w:rsid w:val="00B47D72"/>
    <w:rsid w:val="00B52BA3"/>
    <w:rsid w:val="00B535BC"/>
    <w:rsid w:val="00B549FA"/>
    <w:rsid w:val="00B6532C"/>
    <w:rsid w:val="00B70FBF"/>
    <w:rsid w:val="00B8729D"/>
    <w:rsid w:val="00B93B6A"/>
    <w:rsid w:val="00B96C42"/>
    <w:rsid w:val="00B96D05"/>
    <w:rsid w:val="00BB0A85"/>
    <w:rsid w:val="00BB34B4"/>
    <w:rsid w:val="00BB6E39"/>
    <w:rsid w:val="00BB6F2B"/>
    <w:rsid w:val="00BC2167"/>
    <w:rsid w:val="00BF4171"/>
    <w:rsid w:val="00BF7A7C"/>
    <w:rsid w:val="00C02489"/>
    <w:rsid w:val="00C038D7"/>
    <w:rsid w:val="00C06C47"/>
    <w:rsid w:val="00C138D1"/>
    <w:rsid w:val="00C173B0"/>
    <w:rsid w:val="00C236D7"/>
    <w:rsid w:val="00C2472A"/>
    <w:rsid w:val="00C27F49"/>
    <w:rsid w:val="00C43892"/>
    <w:rsid w:val="00C451F7"/>
    <w:rsid w:val="00C5024B"/>
    <w:rsid w:val="00C5147E"/>
    <w:rsid w:val="00C54DED"/>
    <w:rsid w:val="00C64F34"/>
    <w:rsid w:val="00C708A7"/>
    <w:rsid w:val="00C7668C"/>
    <w:rsid w:val="00C816AD"/>
    <w:rsid w:val="00C92EA5"/>
    <w:rsid w:val="00C975C6"/>
    <w:rsid w:val="00CB0B96"/>
    <w:rsid w:val="00CD1DD1"/>
    <w:rsid w:val="00CD3C87"/>
    <w:rsid w:val="00CE0A91"/>
    <w:rsid w:val="00CF5500"/>
    <w:rsid w:val="00CF6E3A"/>
    <w:rsid w:val="00CF7777"/>
    <w:rsid w:val="00CF7E1D"/>
    <w:rsid w:val="00D01A6B"/>
    <w:rsid w:val="00D201FF"/>
    <w:rsid w:val="00D338B6"/>
    <w:rsid w:val="00D34E9A"/>
    <w:rsid w:val="00D41B71"/>
    <w:rsid w:val="00D5110D"/>
    <w:rsid w:val="00D621BE"/>
    <w:rsid w:val="00D62385"/>
    <w:rsid w:val="00D708E7"/>
    <w:rsid w:val="00D710D9"/>
    <w:rsid w:val="00DA0167"/>
    <w:rsid w:val="00DA017A"/>
    <w:rsid w:val="00DA2209"/>
    <w:rsid w:val="00DA35E0"/>
    <w:rsid w:val="00DA3F72"/>
    <w:rsid w:val="00DB6030"/>
    <w:rsid w:val="00DB6F6D"/>
    <w:rsid w:val="00DD2758"/>
    <w:rsid w:val="00DD33B7"/>
    <w:rsid w:val="00DD5596"/>
    <w:rsid w:val="00DD60D3"/>
    <w:rsid w:val="00DE01E8"/>
    <w:rsid w:val="00DE1229"/>
    <w:rsid w:val="00DE2FA6"/>
    <w:rsid w:val="00DE313A"/>
    <w:rsid w:val="00DE6793"/>
    <w:rsid w:val="00DF180D"/>
    <w:rsid w:val="00DF22E6"/>
    <w:rsid w:val="00DF2EB8"/>
    <w:rsid w:val="00DF7384"/>
    <w:rsid w:val="00E06C63"/>
    <w:rsid w:val="00E11539"/>
    <w:rsid w:val="00E24274"/>
    <w:rsid w:val="00E37166"/>
    <w:rsid w:val="00E400F5"/>
    <w:rsid w:val="00E50F58"/>
    <w:rsid w:val="00E61B7C"/>
    <w:rsid w:val="00E64230"/>
    <w:rsid w:val="00E70E00"/>
    <w:rsid w:val="00E7504C"/>
    <w:rsid w:val="00E7566B"/>
    <w:rsid w:val="00E942AD"/>
    <w:rsid w:val="00E952E0"/>
    <w:rsid w:val="00E97BCC"/>
    <w:rsid w:val="00E97CDD"/>
    <w:rsid w:val="00EA0FD4"/>
    <w:rsid w:val="00EA2AD4"/>
    <w:rsid w:val="00EA5C51"/>
    <w:rsid w:val="00EB11B6"/>
    <w:rsid w:val="00EB7005"/>
    <w:rsid w:val="00EC055B"/>
    <w:rsid w:val="00EC11D9"/>
    <w:rsid w:val="00ED07AC"/>
    <w:rsid w:val="00ED2FC8"/>
    <w:rsid w:val="00EE0768"/>
    <w:rsid w:val="00EE51C9"/>
    <w:rsid w:val="00EF6EAF"/>
    <w:rsid w:val="00F00CDC"/>
    <w:rsid w:val="00F05DCE"/>
    <w:rsid w:val="00F15680"/>
    <w:rsid w:val="00F15DD7"/>
    <w:rsid w:val="00F37052"/>
    <w:rsid w:val="00F42817"/>
    <w:rsid w:val="00F43D36"/>
    <w:rsid w:val="00F4490E"/>
    <w:rsid w:val="00F510F3"/>
    <w:rsid w:val="00F52590"/>
    <w:rsid w:val="00F61228"/>
    <w:rsid w:val="00F7163D"/>
    <w:rsid w:val="00F82D20"/>
    <w:rsid w:val="00F83D51"/>
    <w:rsid w:val="00F86BB2"/>
    <w:rsid w:val="00F933D2"/>
    <w:rsid w:val="00F94C3E"/>
    <w:rsid w:val="00FA2A28"/>
    <w:rsid w:val="00FA74DF"/>
    <w:rsid w:val="00FB5739"/>
    <w:rsid w:val="00FC114A"/>
    <w:rsid w:val="00FC2733"/>
    <w:rsid w:val="00FC36E0"/>
    <w:rsid w:val="00FC4E48"/>
    <w:rsid w:val="00FC796E"/>
    <w:rsid w:val="00FD02F6"/>
    <w:rsid w:val="00FD2F6B"/>
    <w:rsid w:val="00FD5F1B"/>
    <w:rsid w:val="00FD61D0"/>
    <w:rsid w:val="00FE1DB6"/>
    <w:rsid w:val="00FF122D"/>
    <w:rsid w:val="01097D8C"/>
    <w:rsid w:val="0111592D"/>
    <w:rsid w:val="0119680E"/>
    <w:rsid w:val="011F2A79"/>
    <w:rsid w:val="01217070"/>
    <w:rsid w:val="0122381D"/>
    <w:rsid w:val="012564A7"/>
    <w:rsid w:val="01326571"/>
    <w:rsid w:val="01374A8D"/>
    <w:rsid w:val="013B6CD0"/>
    <w:rsid w:val="01456DAE"/>
    <w:rsid w:val="014604A8"/>
    <w:rsid w:val="015505E3"/>
    <w:rsid w:val="0156047D"/>
    <w:rsid w:val="01577169"/>
    <w:rsid w:val="015B7AC6"/>
    <w:rsid w:val="0160117B"/>
    <w:rsid w:val="01636FCD"/>
    <w:rsid w:val="016F0453"/>
    <w:rsid w:val="01747E56"/>
    <w:rsid w:val="017815C0"/>
    <w:rsid w:val="0192077D"/>
    <w:rsid w:val="01933FD5"/>
    <w:rsid w:val="01A8486B"/>
    <w:rsid w:val="01C83E2D"/>
    <w:rsid w:val="01C866F9"/>
    <w:rsid w:val="01C90096"/>
    <w:rsid w:val="01D56023"/>
    <w:rsid w:val="01D73BC6"/>
    <w:rsid w:val="01D97016"/>
    <w:rsid w:val="01E34CAB"/>
    <w:rsid w:val="01E54ACA"/>
    <w:rsid w:val="01E64560"/>
    <w:rsid w:val="01F76385"/>
    <w:rsid w:val="0202238B"/>
    <w:rsid w:val="02051AFA"/>
    <w:rsid w:val="020C3E95"/>
    <w:rsid w:val="02202BF7"/>
    <w:rsid w:val="022E1D38"/>
    <w:rsid w:val="022F570A"/>
    <w:rsid w:val="023253D4"/>
    <w:rsid w:val="02464EFD"/>
    <w:rsid w:val="02474149"/>
    <w:rsid w:val="024803AC"/>
    <w:rsid w:val="025041F5"/>
    <w:rsid w:val="025D207A"/>
    <w:rsid w:val="025D5F9D"/>
    <w:rsid w:val="0276165F"/>
    <w:rsid w:val="0278360B"/>
    <w:rsid w:val="029C3B08"/>
    <w:rsid w:val="02F11CE1"/>
    <w:rsid w:val="02F56A6F"/>
    <w:rsid w:val="030D25D8"/>
    <w:rsid w:val="031A4A5C"/>
    <w:rsid w:val="032F0F60"/>
    <w:rsid w:val="03340527"/>
    <w:rsid w:val="0352568B"/>
    <w:rsid w:val="036D29FE"/>
    <w:rsid w:val="037E3806"/>
    <w:rsid w:val="03893453"/>
    <w:rsid w:val="039020DC"/>
    <w:rsid w:val="039D7453"/>
    <w:rsid w:val="03A11514"/>
    <w:rsid w:val="03AC3767"/>
    <w:rsid w:val="03B20524"/>
    <w:rsid w:val="03B5036D"/>
    <w:rsid w:val="03B569FC"/>
    <w:rsid w:val="03B70805"/>
    <w:rsid w:val="03BA57D1"/>
    <w:rsid w:val="03BD58AF"/>
    <w:rsid w:val="03C37959"/>
    <w:rsid w:val="03CC00C8"/>
    <w:rsid w:val="03CE69C4"/>
    <w:rsid w:val="03D76A85"/>
    <w:rsid w:val="03DB128B"/>
    <w:rsid w:val="03F24A85"/>
    <w:rsid w:val="03FB4A98"/>
    <w:rsid w:val="04064C7F"/>
    <w:rsid w:val="040678DD"/>
    <w:rsid w:val="040D08F7"/>
    <w:rsid w:val="04130F02"/>
    <w:rsid w:val="042F7F22"/>
    <w:rsid w:val="04356E5C"/>
    <w:rsid w:val="043D6CCF"/>
    <w:rsid w:val="04425886"/>
    <w:rsid w:val="044F400A"/>
    <w:rsid w:val="04774980"/>
    <w:rsid w:val="048B1358"/>
    <w:rsid w:val="04A62BDA"/>
    <w:rsid w:val="04C26955"/>
    <w:rsid w:val="04C83981"/>
    <w:rsid w:val="04CD772B"/>
    <w:rsid w:val="04DB0285"/>
    <w:rsid w:val="04E03BFB"/>
    <w:rsid w:val="04EE72A6"/>
    <w:rsid w:val="05062645"/>
    <w:rsid w:val="05071AA6"/>
    <w:rsid w:val="050C7E9E"/>
    <w:rsid w:val="050D64D6"/>
    <w:rsid w:val="050F7E19"/>
    <w:rsid w:val="051F5E59"/>
    <w:rsid w:val="053820C2"/>
    <w:rsid w:val="05487B4D"/>
    <w:rsid w:val="0568138B"/>
    <w:rsid w:val="05695780"/>
    <w:rsid w:val="05754772"/>
    <w:rsid w:val="05785B85"/>
    <w:rsid w:val="05904680"/>
    <w:rsid w:val="05922461"/>
    <w:rsid w:val="05934B6B"/>
    <w:rsid w:val="059E40EF"/>
    <w:rsid w:val="05AD26E6"/>
    <w:rsid w:val="05B00628"/>
    <w:rsid w:val="05BB430D"/>
    <w:rsid w:val="05C3464C"/>
    <w:rsid w:val="05D81667"/>
    <w:rsid w:val="05DD6A32"/>
    <w:rsid w:val="05E663E4"/>
    <w:rsid w:val="05ED72D5"/>
    <w:rsid w:val="05F10FA1"/>
    <w:rsid w:val="05F973D8"/>
    <w:rsid w:val="05FD451D"/>
    <w:rsid w:val="06013492"/>
    <w:rsid w:val="060C3E7B"/>
    <w:rsid w:val="06102CE8"/>
    <w:rsid w:val="06243490"/>
    <w:rsid w:val="06273036"/>
    <w:rsid w:val="06274F28"/>
    <w:rsid w:val="062C27F1"/>
    <w:rsid w:val="062E56B4"/>
    <w:rsid w:val="063232F8"/>
    <w:rsid w:val="06562220"/>
    <w:rsid w:val="06626300"/>
    <w:rsid w:val="06803EFC"/>
    <w:rsid w:val="068C0540"/>
    <w:rsid w:val="069A079C"/>
    <w:rsid w:val="06AB5701"/>
    <w:rsid w:val="06B30065"/>
    <w:rsid w:val="06F35FC4"/>
    <w:rsid w:val="06F51712"/>
    <w:rsid w:val="06F64412"/>
    <w:rsid w:val="06FC0B06"/>
    <w:rsid w:val="070E6657"/>
    <w:rsid w:val="07244506"/>
    <w:rsid w:val="073B0A10"/>
    <w:rsid w:val="074052BA"/>
    <w:rsid w:val="074226F6"/>
    <w:rsid w:val="0744799A"/>
    <w:rsid w:val="074B77B2"/>
    <w:rsid w:val="07550729"/>
    <w:rsid w:val="075A0A07"/>
    <w:rsid w:val="07721097"/>
    <w:rsid w:val="0778059A"/>
    <w:rsid w:val="077C7E57"/>
    <w:rsid w:val="077E0991"/>
    <w:rsid w:val="07807FD7"/>
    <w:rsid w:val="078774D1"/>
    <w:rsid w:val="078B7B94"/>
    <w:rsid w:val="0795047E"/>
    <w:rsid w:val="07A85C55"/>
    <w:rsid w:val="07AE1944"/>
    <w:rsid w:val="07C53F43"/>
    <w:rsid w:val="07CB1BA0"/>
    <w:rsid w:val="07D12981"/>
    <w:rsid w:val="07D1342E"/>
    <w:rsid w:val="08026BB0"/>
    <w:rsid w:val="080829BC"/>
    <w:rsid w:val="080F4765"/>
    <w:rsid w:val="081E0B1B"/>
    <w:rsid w:val="082F455F"/>
    <w:rsid w:val="08346C9C"/>
    <w:rsid w:val="08361832"/>
    <w:rsid w:val="084F1615"/>
    <w:rsid w:val="086020A2"/>
    <w:rsid w:val="0877635D"/>
    <w:rsid w:val="087E6B5E"/>
    <w:rsid w:val="087F38BE"/>
    <w:rsid w:val="0889189F"/>
    <w:rsid w:val="08986C52"/>
    <w:rsid w:val="089E1F10"/>
    <w:rsid w:val="08AD6F31"/>
    <w:rsid w:val="08B462DA"/>
    <w:rsid w:val="08CE5560"/>
    <w:rsid w:val="08E82570"/>
    <w:rsid w:val="090644DC"/>
    <w:rsid w:val="090925C7"/>
    <w:rsid w:val="0920540C"/>
    <w:rsid w:val="09217572"/>
    <w:rsid w:val="092C0ABD"/>
    <w:rsid w:val="09366E9A"/>
    <w:rsid w:val="09466E4E"/>
    <w:rsid w:val="09491587"/>
    <w:rsid w:val="09553B63"/>
    <w:rsid w:val="096058F3"/>
    <w:rsid w:val="09631973"/>
    <w:rsid w:val="09766CD4"/>
    <w:rsid w:val="09960925"/>
    <w:rsid w:val="099964B3"/>
    <w:rsid w:val="09B5130A"/>
    <w:rsid w:val="09C070A2"/>
    <w:rsid w:val="09C232C5"/>
    <w:rsid w:val="09D63877"/>
    <w:rsid w:val="09DB643B"/>
    <w:rsid w:val="09DE63D9"/>
    <w:rsid w:val="09F92E78"/>
    <w:rsid w:val="09FC31E8"/>
    <w:rsid w:val="0A010578"/>
    <w:rsid w:val="0A0E2C1E"/>
    <w:rsid w:val="0A0F198F"/>
    <w:rsid w:val="0A110812"/>
    <w:rsid w:val="0A1920F5"/>
    <w:rsid w:val="0A1D0CAF"/>
    <w:rsid w:val="0A2C72D2"/>
    <w:rsid w:val="0A31627B"/>
    <w:rsid w:val="0A330043"/>
    <w:rsid w:val="0A332027"/>
    <w:rsid w:val="0A3608EF"/>
    <w:rsid w:val="0A3977E5"/>
    <w:rsid w:val="0A4C5174"/>
    <w:rsid w:val="0A506736"/>
    <w:rsid w:val="0A6665C9"/>
    <w:rsid w:val="0A6A5C48"/>
    <w:rsid w:val="0A6E312A"/>
    <w:rsid w:val="0A76063A"/>
    <w:rsid w:val="0A800DE4"/>
    <w:rsid w:val="0A843877"/>
    <w:rsid w:val="0A89395B"/>
    <w:rsid w:val="0A99092D"/>
    <w:rsid w:val="0ABC6AA6"/>
    <w:rsid w:val="0ACF7321"/>
    <w:rsid w:val="0AD5082F"/>
    <w:rsid w:val="0AE421C0"/>
    <w:rsid w:val="0AE50CA1"/>
    <w:rsid w:val="0B03199A"/>
    <w:rsid w:val="0B0916EE"/>
    <w:rsid w:val="0B100D93"/>
    <w:rsid w:val="0B12028D"/>
    <w:rsid w:val="0B1E65F9"/>
    <w:rsid w:val="0B341652"/>
    <w:rsid w:val="0B484E70"/>
    <w:rsid w:val="0B5265D1"/>
    <w:rsid w:val="0B655FB6"/>
    <w:rsid w:val="0B684647"/>
    <w:rsid w:val="0B97458D"/>
    <w:rsid w:val="0B977391"/>
    <w:rsid w:val="0BC7705E"/>
    <w:rsid w:val="0BD70BE1"/>
    <w:rsid w:val="0BD9572F"/>
    <w:rsid w:val="0BE60CB6"/>
    <w:rsid w:val="0BEB48A0"/>
    <w:rsid w:val="0BF173FF"/>
    <w:rsid w:val="0BF17FF8"/>
    <w:rsid w:val="0C07544A"/>
    <w:rsid w:val="0C0A0E06"/>
    <w:rsid w:val="0C0B5BBB"/>
    <w:rsid w:val="0C167B66"/>
    <w:rsid w:val="0C1A28E5"/>
    <w:rsid w:val="0C2549FA"/>
    <w:rsid w:val="0C2E5463"/>
    <w:rsid w:val="0C3C4002"/>
    <w:rsid w:val="0C4F6362"/>
    <w:rsid w:val="0C5B6BA1"/>
    <w:rsid w:val="0C6709CB"/>
    <w:rsid w:val="0C7062C6"/>
    <w:rsid w:val="0C773A43"/>
    <w:rsid w:val="0C8D1522"/>
    <w:rsid w:val="0C90792D"/>
    <w:rsid w:val="0C91051E"/>
    <w:rsid w:val="0CBB3254"/>
    <w:rsid w:val="0CD52F73"/>
    <w:rsid w:val="0CD95E43"/>
    <w:rsid w:val="0CF12E49"/>
    <w:rsid w:val="0CF53FD6"/>
    <w:rsid w:val="0D0B74EF"/>
    <w:rsid w:val="0D295DA8"/>
    <w:rsid w:val="0D3E2EAD"/>
    <w:rsid w:val="0D4942DD"/>
    <w:rsid w:val="0D5044B7"/>
    <w:rsid w:val="0D5F0082"/>
    <w:rsid w:val="0D646FD0"/>
    <w:rsid w:val="0D6A309F"/>
    <w:rsid w:val="0D6F3C65"/>
    <w:rsid w:val="0D7566AD"/>
    <w:rsid w:val="0D7D0E29"/>
    <w:rsid w:val="0D9423EB"/>
    <w:rsid w:val="0D9C4739"/>
    <w:rsid w:val="0DA53E7E"/>
    <w:rsid w:val="0DB1540D"/>
    <w:rsid w:val="0DBF780A"/>
    <w:rsid w:val="0DC125E2"/>
    <w:rsid w:val="0DC267E8"/>
    <w:rsid w:val="0DC34374"/>
    <w:rsid w:val="0DC6622F"/>
    <w:rsid w:val="0DD324A4"/>
    <w:rsid w:val="0DE00220"/>
    <w:rsid w:val="0DF849EB"/>
    <w:rsid w:val="0E0C1A4B"/>
    <w:rsid w:val="0E1F10A4"/>
    <w:rsid w:val="0E2D31AD"/>
    <w:rsid w:val="0E2E755F"/>
    <w:rsid w:val="0E300C37"/>
    <w:rsid w:val="0E337304"/>
    <w:rsid w:val="0E507CF9"/>
    <w:rsid w:val="0E620644"/>
    <w:rsid w:val="0E6B35DC"/>
    <w:rsid w:val="0E7650A8"/>
    <w:rsid w:val="0E975183"/>
    <w:rsid w:val="0EA25BDD"/>
    <w:rsid w:val="0EA93835"/>
    <w:rsid w:val="0EAA135B"/>
    <w:rsid w:val="0EAB5F45"/>
    <w:rsid w:val="0EB10FE2"/>
    <w:rsid w:val="0EBD483F"/>
    <w:rsid w:val="0EDC3C6E"/>
    <w:rsid w:val="0EEA1111"/>
    <w:rsid w:val="0EEB1821"/>
    <w:rsid w:val="0EF420E1"/>
    <w:rsid w:val="0EFD48B5"/>
    <w:rsid w:val="0F084209"/>
    <w:rsid w:val="0F2A16D0"/>
    <w:rsid w:val="0F3F6F81"/>
    <w:rsid w:val="0F4738D1"/>
    <w:rsid w:val="0F474895"/>
    <w:rsid w:val="0F4824BB"/>
    <w:rsid w:val="0F542540"/>
    <w:rsid w:val="0F6B1561"/>
    <w:rsid w:val="0F74096A"/>
    <w:rsid w:val="0F9D0C2E"/>
    <w:rsid w:val="0F9F6C9B"/>
    <w:rsid w:val="0FAB1251"/>
    <w:rsid w:val="0FB740CF"/>
    <w:rsid w:val="0FC67E39"/>
    <w:rsid w:val="0FCF319B"/>
    <w:rsid w:val="0FD70888"/>
    <w:rsid w:val="0FF8185A"/>
    <w:rsid w:val="10146669"/>
    <w:rsid w:val="10150F70"/>
    <w:rsid w:val="10331E8E"/>
    <w:rsid w:val="1053456A"/>
    <w:rsid w:val="10566781"/>
    <w:rsid w:val="10572D96"/>
    <w:rsid w:val="10660E5A"/>
    <w:rsid w:val="10696408"/>
    <w:rsid w:val="106E6C4D"/>
    <w:rsid w:val="10790661"/>
    <w:rsid w:val="107D477F"/>
    <w:rsid w:val="10827D27"/>
    <w:rsid w:val="108F2225"/>
    <w:rsid w:val="10A23A01"/>
    <w:rsid w:val="10BA04F1"/>
    <w:rsid w:val="10C30449"/>
    <w:rsid w:val="10C93004"/>
    <w:rsid w:val="10E44043"/>
    <w:rsid w:val="10F86AA8"/>
    <w:rsid w:val="10FE23FA"/>
    <w:rsid w:val="110925D8"/>
    <w:rsid w:val="11144CCC"/>
    <w:rsid w:val="1131702E"/>
    <w:rsid w:val="1136621E"/>
    <w:rsid w:val="11377F1F"/>
    <w:rsid w:val="113A4AA8"/>
    <w:rsid w:val="113E160A"/>
    <w:rsid w:val="113E4C1A"/>
    <w:rsid w:val="113E7DC7"/>
    <w:rsid w:val="1146369E"/>
    <w:rsid w:val="114D52A6"/>
    <w:rsid w:val="115F3BC1"/>
    <w:rsid w:val="11635100"/>
    <w:rsid w:val="11666B9B"/>
    <w:rsid w:val="11677546"/>
    <w:rsid w:val="116C2CA3"/>
    <w:rsid w:val="116C311E"/>
    <w:rsid w:val="11745EFC"/>
    <w:rsid w:val="11755B31"/>
    <w:rsid w:val="11816B93"/>
    <w:rsid w:val="11856687"/>
    <w:rsid w:val="118A103B"/>
    <w:rsid w:val="11BD47BA"/>
    <w:rsid w:val="11C46F35"/>
    <w:rsid w:val="11D648D0"/>
    <w:rsid w:val="11DA3958"/>
    <w:rsid w:val="11E001EE"/>
    <w:rsid w:val="123A135D"/>
    <w:rsid w:val="124234EF"/>
    <w:rsid w:val="125A3F11"/>
    <w:rsid w:val="125E4AB6"/>
    <w:rsid w:val="1265527C"/>
    <w:rsid w:val="126B3333"/>
    <w:rsid w:val="126C7C52"/>
    <w:rsid w:val="126F2109"/>
    <w:rsid w:val="127E7259"/>
    <w:rsid w:val="12974FE0"/>
    <w:rsid w:val="12A24E53"/>
    <w:rsid w:val="12AF2A5D"/>
    <w:rsid w:val="12B81957"/>
    <w:rsid w:val="12DD5EC9"/>
    <w:rsid w:val="12F2261B"/>
    <w:rsid w:val="13031BF0"/>
    <w:rsid w:val="130B0817"/>
    <w:rsid w:val="130B198E"/>
    <w:rsid w:val="131461D2"/>
    <w:rsid w:val="1315022B"/>
    <w:rsid w:val="1329123D"/>
    <w:rsid w:val="132D3EA7"/>
    <w:rsid w:val="13306DDC"/>
    <w:rsid w:val="133B417E"/>
    <w:rsid w:val="133E099F"/>
    <w:rsid w:val="135725D9"/>
    <w:rsid w:val="13675A6C"/>
    <w:rsid w:val="13791F55"/>
    <w:rsid w:val="13800DA6"/>
    <w:rsid w:val="13837B81"/>
    <w:rsid w:val="138F6C6C"/>
    <w:rsid w:val="13B90890"/>
    <w:rsid w:val="13C47DB4"/>
    <w:rsid w:val="13E23633"/>
    <w:rsid w:val="13F70939"/>
    <w:rsid w:val="13F7233D"/>
    <w:rsid w:val="13FE555A"/>
    <w:rsid w:val="13FF14F0"/>
    <w:rsid w:val="140415EB"/>
    <w:rsid w:val="141B551F"/>
    <w:rsid w:val="14214A6C"/>
    <w:rsid w:val="142B6BFD"/>
    <w:rsid w:val="143D21C5"/>
    <w:rsid w:val="145F1F8A"/>
    <w:rsid w:val="14607467"/>
    <w:rsid w:val="14673DDA"/>
    <w:rsid w:val="146959A8"/>
    <w:rsid w:val="146D6B26"/>
    <w:rsid w:val="14781E65"/>
    <w:rsid w:val="14786AC4"/>
    <w:rsid w:val="14803ADE"/>
    <w:rsid w:val="148C1946"/>
    <w:rsid w:val="14924484"/>
    <w:rsid w:val="14932172"/>
    <w:rsid w:val="149D13A9"/>
    <w:rsid w:val="14B2224C"/>
    <w:rsid w:val="14BB1BE0"/>
    <w:rsid w:val="14E059A2"/>
    <w:rsid w:val="14E1044C"/>
    <w:rsid w:val="14F41582"/>
    <w:rsid w:val="14F943CB"/>
    <w:rsid w:val="14FA4EE8"/>
    <w:rsid w:val="14FF5322"/>
    <w:rsid w:val="152E6D83"/>
    <w:rsid w:val="152F3A15"/>
    <w:rsid w:val="153A77E3"/>
    <w:rsid w:val="153C1237"/>
    <w:rsid w:val="15405B65"/>
    <w:rsid w:val="1545088C"/>
    <w:rsid w:val="155E4130"/>
    <w:rsid w:val="156F1F39"/>
    <w:rsid w:val="15750B5B"/>
    <w:rsid w:val="1582015A"/>
    <w:rsid w:val="15820955"/>
    <w:rsid w:val="15836F90"/>
    <w:rsid w:val="15842387"/>
    <w:rsid w:val="15863D5C"/>
    <w:rsid w:val="158F5A6E"/>
    <w:rsid w:val="159C1504"/>
    <w:rsid w:val="15A67DBC"/>
    <w:rsid w:val="15A765F4"/>
    <w:rsid w:val="15AE2449"/>
    <w:rsid w:val="15B51BCC"/>
    <w:rsid w:val="15BD4A8E"/>
    <w:rsid w:val="15BE7DE4"/>
    <w:rsid w:val="15C14E8A"/>
    <w:rsid w:val="15CD03C0"/>
    <w:rsid w:val="15CE085F"/>
    <w:rsid w:val="15CE2665"/>
    <w:rsid w:val="15D37955"/>
    <w:rsid w:val="15E0119A"/>
    <w:rsid w:val="15E30FA9"/>
    <w:rsid w:val="15F03828"/>
    <w:rsid w:val="15F22A1F"/>
    <w:rsid w:val="15F27F87"/>
    <w:rsid w:val="15F709E7"/>
    <w:rsid w:val="15FA7119"/>
    <w:rsid w:val="161029C0"/>
    <w:rsid w:val="161223DC"/>
    <w:rsid w:val="161224AA"/>
    <w:rsid w:val="16157670"/>
    <w:rsid w:val="162228E0"/>
    <w:rsid w:val="162846C8"/>
    <w:rsid w:val="162B221B"/>
    <w:rsid w:val="1655618A"/>
    <w:rsid w:val="165C0F16"/>
    <w:rsid w:val="16661B63"/>
    <w:rsid w:val="1675573B"/>
    <w:rsid w:val="16861701"/>
    <w:rsid w:val="16872A06"/>
    <w:rsid w:val="169B61A5"/>
    <w:rsid w:val="16B6795E"/>
    <w:rsid w:val="16C17241"/>
    <w:rsid w:val="16C45664"/>
    <w:rsid w:val="16D162FD"/>
    <w:rsid w:val="16D452BE"/>
    <w:rsid w:val="16D626D4"/>
    <w:rsid w:val="16DD6E74"/>
    <w:rsid w:val="16E34B46"/>
    <w:rsid w:val="16ED6797"/>
    <w:rsid w:val="17126F0E"/>
    <w:rsid w:val="172839C6"/>
    <w:rsid w:val="17283EEA"/>
    <w:rsid w:val="1743060B"/>
    <w:rsid w:val="174C5E9E"/>
    <w:rsid w:val="174F3339"/>
    <w:rsid w:val="175F13B4"/>
    <w:rsid w:val="175F5F0E"/>
    <w:rsid w:val="17600E69"/>
    <w:rsid w:val="17630B01"/>
    <w:rsid w:val="17713F0B"/>
    <w:rsid w:val="177D43F5"/>
    <w:rsid w:val="17834DBE"/>
    <w:rsid w:val="178847A7"/>
    <w:rsid w:val="17B71F4D"/>
    <w:rsid w:val="17BA72E9"/>
    <w:rsid w:val="17BE329A"/>
    <w:rsid w:val="17C35168"/>
    <w:rsid w:val="17CB3868"/>
    <w:rsid w:val="17D2351B"/>
    <w:rsid w:val="17D9057A"/>
    <w:rsid w:val="17DA5D8C"/>
    <w:rsid w:val="17E0220D"/>
    <w:rsid w:val="17EA02A4"/>
    <w:rsid w:val="17FA7BDB"/>
    <w:rsid w:val="180526B5"/>
    <w:rsid w:val="18093649"/>
    <w:rsid w:val="180A0746"/>
    <w:rsid w:val="181B3B6A"/>
    <w:rsid w:val="18210ACB"/>
    <w:rsid w:val="1823144A"/>
    <w:rsid w:val="182E3433"/>
    <w:rsid w:val="183910D1"/>
    <w:rsid w:val="183C1C0D"/>
    <w:rsid w:val="18536AF6"/>
    <w:rsid w:val="186F06BE"/>
    <w:rsid w:val="18700F1F"/>
    <w:rsid w:val="189D0BD3"/>
    <w:rsid w:val="18A20777"/>
    <w:rsid w:val="18B26D5B"/>
    <w:rsid w:val="18E02D21"/>
    <w:rsid w:val="18E55BDB"/>
    <w:rsid w:val="18E85AA2"/>
    <w:rsid w:val="18ED747A"/>
    <w:rsid w:val="18EE4C2B"/>
    <w:rsid w:val="190621AA"/>
    <w:rsid w:val="19274253"/>
    <w:rsid w:val="1928434E"/>
    <w:rsid w:val="192C5A66"/>
    <w:rsid w:val="1935277F"/>
    <w:rsid w:val="193F7DB9"/>
    <w:rsid w:val="194067AB"/>
    <w:rsid w:val="19547E43"/>
    <w:rsid w:val="1955189F"/>
    <w:rsid w:val="19562D1F"/>
    <w:rsid w:val="1962557A"/>
    <w:rsid w:val="19661335"/>
    <w:rsid w:val="19663FB4"/>
    <w:rsid w:val="196809E5"/>
    <w:rsid w:val="19707379"/>
    <w:rsid w:val="19732ACB"/>
    <w:rsid w:val="19A64818"/>
    <w:rsid w:val="19AC3FEC"/>
    <w:rsid w:val="19AE333F"/>
    <w:rsid w:val="19B23A2F"/>
    <w:rsid w:val="19B347D2"/>
    <w:rsid w:val="19B539D6"/>
    <w:rsid w:val="19CB714E"/>
    <w:rsid w:val="19CD1576"/>
    <w:rsid w:val="19D065F3"/>
    <w:rsid w:val="19F03915"/>
    <w:rsid w:val="1A1068BB"/>
    <w:rsid w:val="1A207614"/>
    <w:rsid w:val="1A33492D"/>
    <w:rsid w:val="1A432007"/>
    <w:rsid w:val="1A45312B"/>
    <w:rsid w:val="1A4C60E5"/>
    <w:rsid w:val="1A523859"/>
    <w:rsid w:val="1A5A0033"/>
    <w:rsid w:val="1A5C3108"/>
    <w:rsid w:val="1A66289B"/>
    <w:rsid w:val="1A6F586F"/>
    <w:rsid w:val="1A7248CC"/>
    <w:rsid w:val="1A7C4DC7"/>
    <w:rsid w:val="1A9B0321"/>
    <w:rsid w:val="1AA960B0"/>
    <w:rsid w:val="1AC2551C"/>
    <w:rsid w:val="1AD01E62"/>
    <w:rsid w:val="1AD60696"/>
    <w:rsid w:val="1AE96D67"/>
    <w:rsid w:val="1AEC31E9"/>
    <w:rsid w:val="1AF220BF"/>
    <w:rsid w:val="1AF5548D"/>
    <w:rsid w:val="1AF733C7"/>
    <w:rsid w:val="1B04735D"/>
    <w:rsid w:val="1B153812"/>
    <w:rsid w:val="1B171F58"/>
    <w:rsid w:val="1B1A35B3"/>
    <w:rsid w:val="1B20206F"/>
    <w:rsid w:val="1B2D3846"/>
    <w:rsid w:val="1B36016B"/>
    <w:rsid w:val="1B3C7CDB"/>
    <w:rsid w:val="1B4573D8"/>
    <w:rsid w:val="1B4B367E"/>
    <w:rsid w:val="1B59326E"/>
    <w:rsid w:val="1B7431D7"/>
    <w:rsid w:val="1B7618E2"/>
    <w:rsid w:val="1B78650A"/>
    <w:rsid w:val="1B7B506B"/>
    <w:rsid w:val="1B890719"/>
    <w:rsid w:val="1B8B1534"/>
    <w:rsid w:val="1B8B3861"/>
    <w:rsid w:val="1B9B524A"/>
    <w:rsid w:val="1B9F3253"/>
    <w:rsid w:val="1BA36261"/>
    <w:rsid w:val="1BE33E9D"/>
    <w:rsid w:val="1BF3024F"/>
    <w:rsid w:val="1BFB6376"/>
    <w:rsid w:val="1C032397"/>
    <w:rsid w:val="1C10688F"/>
    <w:rsid w:val="1C135949"/>
    <w:rsid w:val="1C1F6986"/>
    <w:rsid w:val="1C21457E"/>
    <w:rsid w:val="1C2656D7"/>
    <w:rsid w:val="1C46308A"/>
    <w:rsid w:val="1C4B6079"/>
    <w:rsid w:val="1C4C70C7"/>
    <w:rsid w:val="1C521ED2"/>
    <w:rsid w:val="1C630441"/>
    <w:rsid w:val="1C726DBA"/>
    <w:rsid w:val="1C775C44"/>
    <w:rsid w:val="1C80077F"/>
    <w:rsid w:val="1C8354CA"/>
    <w:rsid w:val="1C851B8B"/>
    <w:rsid w:val="1C944701"/>
    <w:rsid w:val="1C982FB7"/>
    <w:rsid w:val="1C983F6E"/>
    <w:rsid w:val="1CAA71AA"/>
    <w:rsid w:val="1CDB1412"/>
    <w:rsid w:val="1CE17872"/>
    <w:rsid w:val="1CE83DD8"/>
    <w:rsid w:val="1D1232A7"/>
    <w:rsid w:val="1D125D6F"/>
    <w:rsid w:val="1D1436CA"/>
    <w:rsid w:val="1D2507A6"/>
    <w:rsid w:val="1D402609"/>
    <w:rsid w:val="1D451EC3"/>
    <w:rsid w:val="1D4C0C68"/>
    <w:rsid w:val="1D4F3551"/>
    <w:rsid w:val="1D5F48F8"/>
    <w:rsid w:val="1D75488A"/>
    <w:rsid w:val="1D7F76B1"/>
    <w:rsid w:val="1D882D91"/>
    <w:rsid w:val="1D992087"/>
    <w:rsid w:val="1DBE3065"/>
    <w:rsid w:val="1DD2442D"/>
    <w:rsid w:val="1DE139A9"/>
    <w:rsid w:val="1DE15D6C"/>
    <w:rsid w:val="1DFB07FC"/>
    <w:rsid w:val="1E105BB5"/>
    <w:rsid w:val="1E1E1E3D"/>
    <w:rsid w:val="1E1E4DD6"/>
    <w:rsid w:val="1E206900"/>
    <w:rsid w:val="1E2E1230"/>
    <w:rsid w:val="1E3C3BCF"/>
    <w:rsid w:val="1E424601"/>
    <w:rsid w:val="1E4377D0"/>
    <w:rsid w:val="1E4E4AC2"/>
    <w:rsid w:val="1E5C5AC8"/>
    <w:rsid w:val="1E5D1845"/>
    <w:rsid w:val="1E6630E1"/>
    <w:rsid w:val="1E710ADE"/>
    <w:rsid w:val="1E7C50AC"/>
    <w:rsid w:val="1E8E4C11"/>
    <w:rsid w:val="1E9A49ED"/>
    <w:rsid w:val="1ECF4C88"/>
    <w:rsid w:val="1ED05C56"/>
    <w:rsid w:val="1ED744AC"/>
    <w:rsid w:val="1ED87790"/>
    <w:rsid w:val="1EE0784E"/>
    <w:rsid w:val="1EE13794"/>
    <w:rsid w:val="1EEA5976"/>
    <w:rsid w:val="1EED0F0B"/>
    <w:rsid w:val="1EF224BB"/>
    <w:rsid w:val="1F042C41"/>
    <w:rsid w:val="1F061775"/>
    <w:rsid w:val="1F09312B"/>
    <w:rsid w:val="1F184A7F"/>
    <w:rsid w:val="1F257B10"/>
    <w:rsid w:val="1F267FCA"/>
    <w:rsid w:val="1F27786E"/>
    <w:rsid w:val="1F2E3886"/>
    <w:rsid w:val="1F35473C"/>
    <w:rsid w:val="1F391D25"/>
    <w:rsid w:val="1F39376D"/>
    <w:rsid w:val="1F3B5C83"/>
    <w:rsid w:val="1F4C187C"/>
    <w:rsid w:val="1F502E6E"/>
    <w:rsid w:val="1F533D5B"/>
    <w:rsid w:val="1F5B0C1F"/>
    <w:rsid w:val="1F5B4F36"/>
    <w:rsid w:val="1F646D58"/>
    <w:rsid w:val="1F6B1261"/>
    <w:rsid w:val="1F74185B"/>
    <w:rsid w:val="1F7C09E0"/>
    <w:rsid w:val="1FAF6994"/>
    <w:rsid w:val="1FB13B65"/>
    <w:rsid w:val="1FBB5648"/>
    <w:rsid w:val="1FBD02A1"/>
    <w:rsid w:val="1FC64C29"/>
    <w:rsid w:val="1FD0702E"/>
    <w:rsid w:val="1FE02C22"/>
    <w:rsid w:val="1FE223DD"/>
    <w:rsid w:val="1FEB2AB6"/>
    <w:rsid w:val="20006C90"/>
    <w:rsid w:val="20116639"/>
    <w:rsid w:val="20155655"/>
    <w:rsid w:val="20281DE2"/>
    <w:rsid w:val="206F41B2"/>
    <w:rsid w:val="20743577"/>
    <w:rsid w:val="20794A74"/>
    <w:rsid w:val="207D2EA6"/>
    <w:rsid w:val="208369FF"/>
    <w:rsid w:val="208B6F54"/>
    <w:rsid w:val="20933558"/>
    <w:rsid w:val="20BA0013"/>
    <w:rsid w:val="20C400DA"/>
    <w:rsid w:val="20C73EE7"/>
    <w:rsid w:val="20C85436"/>
    <w:rsid w:val="20DA5DFC"/>
    <w:rsid w:val="20F273C5"/>
    <w:rsid w:val="20F443D6"/>
    <w:rsid w:val="21057D93"/>
    <w:rsid w:val="21262AC3"/>
    <w:rsid w:val="21263ADF"/>
    <w:rsid w:val="21270EE1"/>
    <w:rsid w:val="212A4C29"/>
    <w:rsid w:val="21446F77"/>
    <w:rsid w:val="214809D4"/>
    <w:rsid w:val="21726859"/>
    <w:rsid w:val="21736BE0"/>
    <w:rsid w:val="21752129"/>
    <w:rsid w:val="218F6175"/>
    <w:rsid w:val="21BD006C"/>
    <w:rsid w:val="21BF1EAD"/>
    <w:rsid w:val="21D0047C"/>
    <w:rsid w:val="21E169E1"/>
    <w:rsid w:val="21E30486"/>
    <w:rsid w:val="21EC172E"/>
    <w:rsid w:val="21FA750B"/>
    <w:rsid w:val="21FA7B2B"/>
    <w:rsid w:val="21FE4E7A"/>
    <w:rsid w:val="220F01AC"/>
    <w:rsid w:val="22102DFE"/>
    <w:rsid w:val="22181FFD"/>
    <w:rsid w:val="221B27F8"/>
    <w:rsid w:val="221C5C74"/>
    <w:rsid w:val="222F5278"/>
    <w:rsid w:val="223558EA"/>
    <w:rsid w:val="2239492E"/>
    <w:rsid w:val="223964AD"/>
    <w:rsid w:val="223E7E9B"/>
    <w:rsid w:val="224E18AF"/>
    <w:rsid w:val="22523C1B"/>
    <w:rsid w:val="22524C5B"/>
    <w:rsid w:val="225B79FC"/>
    <w:rsid w:val="22630E49"/>
    <w:rsid w:val="226F6804"/>
    <w:rsid w:val="228A46E7"/>
    <w:rsid w:val="228F2836"/>
    <w:rsid w:val="22B61F98"/>
    <w:rsid w:val="22B86134"/>
    <w:rsid w:val="22C0796D"/>
    <w:rsid w:val="22D7605B"/>
    <w:rsid w:val="22E5537F"/>
    <w:rsid w:val="22EA7EBE"/>
    <w:rsid w:val="22FD5322"/>
    <w:rsid w:val="2301542D"/>
    <w:rsid w:val="230D2D0E"/>
    <w:rsid w:val="231971B8"/>
    <w:rsid w:val="231B23F3"/>
    <w:rsid w:val="232D2878"/>
    <w:rsid w:val="23307100"/>
    <w:rsid w:val="234F5229"/>
    <w:rsid w:val="235A13C1"/>
    <w:rsid w:val="236C2E29"/>
    <w:rsid w:val="236D59DC"/>
    <w:rsid w:val="2379327E"/>
    <w:rsid w:val="23A44956"/>
    <w:rsid w:val="23A619BB"/>
    <w:rsid w:val="23AD54F4"/>
    <w:rsid w:val="23B7629C"/>
    <w:rsid w:val="23BF3C04"/>
    <w:rsid w:val="23C54DF5"/>
    <w:rsid w:val="23DD2E61"/>
    <w:rsid w:val="23E96409"/>
    <w:rsid w:val="23F05AE5"/>
    <w:rsid w:val="23F4684C"/>
    <w:rsid w:val="24061C16"/>
    <w:rsid w:val="24284C3B"/>
    <w:rsid w:val="244F6282"/>
    <w:rsid w:val="2450148A"/>
    <w:rsid w:val="245D0543"/>
    <w:rsid w:val="246971E0"/>
    <w:rsid w:val="246D6467"/>
    <w:rsid w:val="248B2616"/>
    <w:rsid w:val="248C6C7D"/>
    <w:rsid w:val="24910C88"/>
    <w:rsid w:val="24960ACB"/>
    <w:rsid w:val="24960EA2"/>
    <w:rsid w:val="249C6E96"/>
    <w:rsid w:val="24A02BBA"/>
    <w:rsid w:val="24A52534"/>
    <w:rsid w:val="24A94602"/>
    <w:rsid w:val="24D44ED3"/>
    <w:rsid w:val="24D70857"/>
    <w:rsid w:val="24E05429"/>
    <w:rsid w:val="24E877C5"/>
    <w:rsid w:val="24EA41AC"/>
    <w:rsid w:val="24ED4D75"/>
    <w:rsid w:val="24ED6359"/>
    <w:rsid w:val="24FB2782"/>
    <w:rsid w:val="25013175"/>
    <w:rsid w:val="2503374B"/>
    <w:rsid w:val="250921F4"/>
    <w:rsid w:val="2509312B"/>
    <w:rsid w:val="25096EA1"/>
    <w:rsid w:val="250F7C7C"/>
    <w:rsid w:val="25190633"/>
    <w:rsid w:val="25197B3E"/>
    <w:rsid w:val="252566B1"/>
    <w:rsid w:val="252D2B9E"/>
    <w:rsid w:val="252E36CE"/>
    <w:rsid w:val="25317835"/>
    <w:rsid w:val="253E4DA8"/>
    <w:rsid w:val="253E7A36"/>
    <w:rsid w:val="2548363B"/>
    <w:rsid w:val="25575EE4"/>
    <w:rsid w:val="25674318"/>
    <w:rsid w:val="257232C3"/>
    <w:rsid w:val="258A07DF"/>
    <w:rsid w:val="25B027CE"/>
    <w:rsid w:val="25B27035"/>
    <w:rsid w:val="25DF2464"/>
    <w:rsid w:val="25E52987"/>
    <w:rsid w:val="261819A4"/>
    <w:rsid w:val="262145C3"/>
    <w:rsid w:val="262D6C2F"/>
    <w:rsid w:val="262E4C62"/>
    <w:rsid w:val="26396E6A"/>
    <w:rsid w:val="263E163D"/>
    <w:rsid w:val="26473D66"/>
    <w:rsid w:val="2653552E"/>
    <w:rsid w:val="265B327B"/>
    <w:rsid w:val="26630B0D"/>
    <w:rsid w:val="2668478A"/>
    <w:rsid w:val="26765C84"/>
    <w:rsid w:val="26786926"/>
    <w:rsid w:val="267D0A43"/>
    <w:rsid w:val="268B7464"/>
    <w:rsid w:val="26A178BB"/>
    <w:rsid w:val="26A61EFC"/>
    <w:rsid w:val="26BC4C5F"/>
    <w:rsid w:val="26CF072B"/>
    <w:rsid w:val="26DF2FF5"/>
    <w:rsid w:val="27034A59"/>
    <w:rsid w:val="2705676B"/>
    <w:rsid w:val="271060F9"/>
    <w:rsid w:val="271308D3"/>
    <w:rsid w:val="2737271F"/>
    <w:rsid w:val="273B67F7"/>
    <w:rsid w:val="27480C73"/>
    <w:rsid w:val="27501098"/>
    <w:rsid w:val="27576238"/>
    <w:rsid w:val="275B3DA4"/>
    <w:rsid w:val="27664C84"/>
    <w:rsid w:val="27811982"/>
    <w:rsid w:val="2782397E"/>
    <w:rsid w:val="27933BB7"/>
    <w:rsid w:val="27952B7B"/>
    <w:rsid w:val="27952CFE"/>
    <w:rsid w:val="279C0A45"/>
    <w:rsid w:val="279F0B51"/>
    <w:rsid w:val="27A66E22"/>
    <w:rsid w:val="27A87F41"/>
    <w:rsid w:val="27B154F1"/>
    <w:rsid w:val="27CF19B5"/>
    <w:rsid w:val="27E7184E"/>
    <w:rsid w:val="27F73C85"/>
    <w:rsid w:val="27F84532"/>
    <w:rsid w:val="27FB5FCE"/>
    <w:rsid w:val="27FC632B"/>
    <w:rsid w:val="28081112"/>
    <w:rsid w:val="28343B01"/>
    <w:rsid w:val="283A5948"/>
    <w:rsid w:val="283F57CB"/>
    <w:rsid w:val="28482D75"/>
    <w:rsid w:val="285B2285"/>
    <w:rsid w:val="286D29E1"/>
    <w:rsid w:val="286D3FCD"/>
    <w:rsid w:val="287167DA"/>
    <w:rsid w:val="287F1350"/>
    <w:rsid w:val="28850E78"/>
    <w:rsid w:val="2886598D"/>
    <w:rsid w:val="28911DD4"/>
    <w:rsid w:val="289E5C88"/>
    <w:rsid w:val="28A003ED"/>
    <w:rsid w:val="28A40488"/>
    <w:rsid w:val="28A91E3B"/>
    <w:rsid w:val="28AE1065"/>
    <w:rsid w:val="28B17F6A"/>
    <w:rsid w:val="28C050EC"/>
    <w:rsid w:val="28CE0917"/>
    <w:rsid w:val="28D13687"/>
    <w:rsid w:val="28D338A4"/>
    <w:rsid w:val="28D71CDE"/>
    <w:rsid w:val="28D85F10"/>
    <w:rsid w:val="28E61E0A"/>
    <w:rsid w:val="2914779D"/>
    <w:rsid w:val="29190B3B"/>
    <w:rsid w:val="292A1D3D"/>
    <w:rsid w:val="29314134"/>
    <w:rsid w:val="29480998"/>
    <w:rsid w:val="294A62C4"/>
    <w:rsid w:val="29572288"/>
    <w:rsid w:val="295E7742"/>
    <w:rsid w:val="296B4FFA"/>
    <w:rsid w:val="29726847"/>
    <w:rsid w:val="29791C1A"/>
    <w:rsid w:val="297C4826"/>
    <w:rsid w:val="29860257"/>
    <w:rsid w:val="2995719D"/>
    <w:rsid w:val="29982F8A"/>
    <w:rsid w:val="29A769E4"/>
    <w:rsid w:val="29AA7FC0"/>
    <w:rsid w:val="29B448C3"/>
    <w:rsid w:val="29B702A4"/>
    <w:rsid w:val="29DF308A"/>
    <w:rsid w:val="29EC3B37"/>
    <w:rsid w:val="29EC4D57"/>
    <w:rsid w:val="29FE24E5"/>
    <w:rsid w:val="2A1260E2"/>
    <w:rsid w:val="2A151AB6"/>
    <w:rsid w:val="2A1E0E63"/>
    <w:rsid w:val="2A2E404C"/>
    <w:rsid w:val="2A3624D9"/>
    <w:rsid w:val="2A4150D8"/>
    <w:rsid w:val="2A465BAB"/>
    <w:rsid w:val="2A4E3EA5"/>
    <w:rsid w:val="2A555CB4"/>
    <w:rsid w:val="2A7223F9"/>
    <w:rsid w:val="2A8B07C3"/>
    <w:rsid w:val="2A9D774A"/>
    <w:rsid w:val="2AB83E9D"/>
    <w:rsid w:val="2AB9142D"/>
    <w:rsid w:val="2ABE2C69"/>
    <w:rsid w:val="2AC0023B"/>
    <w:rsid w:val="2ACE4ACA"/>
    <w:rsid w:val="2AD7212B"/>
    <w:rsid w:val="2AD85022"/>
    <w:rsid w:val="2ADF4024"/>
    <w:rsid w:val="2AE863BF"/>
    <w:rsid w:val="2AF47B66"/>
    <w:rsid w:val="2AFB5BA1"/>
    <w:rsid w:val="2B08132F"/>
    <w:rsid w:val="2B173480"/>
    <w:rsid w:val="2B2C4202"/>
    <w:rsid w:val="2B4D3533"/>
    <w:rsid w:val="2B4F5C1E"/>
    <w:rsid w:val="2B557948"/>
    <w:rsid w:val="2B5A2202"/>
    <w:rsid w:val="2B620A9A"/>
    <w:rsid w:val="2B80626A"/>
    <w:rsid w:val="2B876249"/>
    <w:rsid w:val="2B8B1D95"/>
    <w:rsid w:val="2B9C0AE1"/>
    <w:rsid w:val="2BA31A8A"/>
    <w:rsid w:val="2BE32F0A"/>
    <w:rsid w:val="2BEB3C1D"/>
    <w:rsid w:val="2C0251CB"/>
    <w:rsid w:val="2C0954BB"/>
    <w:rsid w:val="2C0A333A"/>
    <w:rsid w:val="2C0F012D"/>
    <w:rsid w:val="2C356378"/>
    <w:rsid w:val="2C3847B3"/>
    <w:rsid w:val="2C3F6F7D"/>
    <w:rsid w:val="2C4609A3"/>
    <w:rsid w:val="2C561B4D"/>
    <w:rsid w:val="2C607342"/>
    <w:rsid w:val="2C700EAE"/>
    <w:rsid w:val="2C740D0D"/>
    <w:rsid w:val="2C8552B4"/>
    <w:rsid w:val="2C8879B0"/>
    <w:rsid w:val="2C9C4CD4"/>
    <w:rsid w:val="2C9E5451"/>
    <w:rsid w:val="2C9F5B38"/>
    <w:rsid w:val="2C9F7969"/>
    <w:rsid w:val="2CB20CB9"/>
    <w:rsid w:val="2CB41A50"/>
    <w:rsid w:val="2CB653A9"/>
    <w:rsid w:val="2CC94D36"/>
    <w:rsid w:val="2CCB5FC1"/>
    <w:rsid w:val="2CF945E5"/>
    <w:rsid w:val="2CFB4024"/>
    <w:rsid w:val="2D0736CD"/>
    <w:rsid w:val="2D083ECB"/>
    <w:rsid w:val="2D0F04FC"/>
    <w:rsid w:val="2D1003A7"/>
    <w:rsid w:val="2D1101B5"/>
    <w:rsid w:val="2D122B7E"/>
    <w:rsid w:val="2D1C1D45"/>
    <w:rsid w:val="2D1F1994"/>
    <w:rsid w:val="2D307202"/>
    <w:rsid w:val="2D3E586E"/>
    <w:rsid w:val="2D426E92"/>
    <w:rsid w:val="2D442793"/>
    <w:rsid w:val="2D490004"/>
    <w:rsid w:val="2D554478"/>
    <w:rsid w:val="2D615C8E"/>
    <w:rsid w:val="2D6161DC"/>
    <w:rsid w:val="2D74241F"/>
    <w:rsid w:val="2D7C4DA1"/>
    <w:rsid w:val="2D8708D8"/>
    <w:rsid w:val="2D940FD2"/>
    <w:rsid w:val="2D97632B"/>
    <w:rsid w:val="2D990460"/>
    <w:rsid w:val="2D9A2D57"/>
    <w:rsid w:val="2DA17162"/>
    <w:rsid w:val="2DA54273"/>
    <w:rsid w:val="2DAD1D8D"/>
    <w:rsid w:val="2DCF6188"/>
    <w:rsid w:val="2DE44217"/>
    <w:rsid w:val="2DF906F3"/>
    <w:rsid w:val="2E183793"/>
    <w:rsid w:val="2E35110C"/>
    <w:rsid w:val="2E3A0A3D"/>
    <w:rsid w:val="2E3C2528"/>
    <w:rsid w:val="2E3D59A0"/>
    <w:rsid w:val="2E3F2DA6"/>
    <w:rsid w:val="2E404727"/>
    <w:rsid w:val="2E480AEE"/>
    <w:rsid w:val="2E4F00CC"/>
    <w:rsid w:val="2E58524A"/>
    <w:rsid w:val="2E644DE9"/>
    <w:rsid w:val="2E695706"/>
    <w:rsid w:val="2E8A5534"/>
    <w:rsid w:val="2EB64EED"/>
    <w:rsid w:val="2EBC5B1C"/>
    <w:rsid w:val="2EC00E68"/>
    <w:rsid w:val="2EC21690"/>
    <w:rsid w:val="2EC317D3"/>
    <w:rsid w:val="2EC5700D"/>
    <w:rsid w:val="2EC76A98"/>
    <w:rsid w:val="2ED818A8"/>
    <w:rsid w:val="2EE808EF"/>
    <w:rsid w:val="2EEB0E4A"/>
    <w:rsid w:val="2EFF616A"/>
    <w:rsid w:val="2F045265"/>
    <w:rsid w:val="2F0C118F"/>
    <w:rsid w:val="2F261C5F"/>
    <w:rsid w:val="2F2D3F9E"/>
    <w:rsid w:val="2F3A3193"/>
    <w:rsid w:val="2F3B773F"/>
    <w:rsid w:val="2F542AD1"/>
    <w:rsid w:val="2F5F2BCE"/>
    <w:rsid w:val="2F6672AA"/>
    <w:rsid w:val="2F6A7056"/>
    <w:rsid w:val="2F6C58E4"/>
    <w:rsid w:val="2F7D6A09"/>
    <w:rsid w:val="2F7E7DAB"/>
    <w:rsid w:val="2F8256E8"/>
    <w:rsid w:val="2F875792"/>
    <w:rsid w:val="2F892875"/>
    <w:rsid w:val="2F986A0C"/>
    <w:rsid w:val="2F9903B3"/>
    <w:rsid w:val="2FB94CA2"/>
    <w:rsid w:val="2FBD5CA6"/>
    <w:rsid w:val="2FBF1E64"/>
    <w:rsid w:val="2FC66F89"/>
    <w:rsid w:val="2FD461FC"/>
    <w:rsid w:val="2FE710DD"/>
    <w:rsid w:val="2FF44E6A"/>
    <w:rsid w:val="2FF81ACE"/>
    <w:rsid w:val="2FF849A0"/>
    <w:rsid w:val="300100AE"/>
    <w:rsid w:val="300246FB"/>
    <w:rsid w:val="30093D45"/>
    <w:rsid w:val="30102A63"/>
    <w:rsid w:val="301E08AC"/>
    <w:rsid w:val="30221E45"/>
    <w:rsid w:val="3025300D"/>
    <w:rsid w:val="302B753E"/>
    <w:rsid w:val="304510F4"/>
    <w:rsid w:val="304F4381"/>
    <w:rsid w:val="305E446B"/>
    <w:rsid w:val="308375A7"/>
    <w:rsid w:val="3088728F"/>
    <w:rsid w:val="309D02BA"/>
    <w:rsid w:val="30AF460C"/>
    <w:rsid w:val="30AF76EE"/>
    <w:rsid w:val="30B73E5E"/>
    <w:rsid w:val="30CA159C"/>
    <w:rsid w:val="30E65BEE"/>
    <w:rsid w:val="31045065"/>
    <w:rsid w:val="31055D2E"/>
    <w:rsid w:val="31077D68"/>
    <w:rsid w:val="310E203F"/>
    <w:rsid w:val="314000C1"/>
    <w:rsid w:val="314A5D62"/>
    <w:rsid w:val="31504FAA"/>
    <w:rsid w:val="315C3B30"/>
    <w:rsid w:val="316F532F"/>
    <w:rsid w:val="317102C8"/>
    <w:rsid w:val="3184766C"/>
    <w:rsid w:val="31B72F3C"/>
    <w:rsid w:val="31BA39C7"/>
    <w:rsid w:val="31EF29C4"/>
    <w:rsid w:val="31F84007"/>
    <w:rsid w:val="320541A2"/>
    <w:rsid w:val="320A5FE9"/>
    <w:rsid w:val="320D4370"/>
    <w:rsid w:val="32121AB5"/>
    <w:rsid w:val="3214140E"/>
    <w:rsid w:val="322B33C6"/>
    <w:rsid w:val="322C20DD"/>
    <w:rsid w:val="323A4620"/>
    <w:rsid w:val="32417EFA"/>
    <w:rsid w:val="32601CA7"/>
    <w:rsid w:val="326118DE"/>
    <w:rsid w:val="326168BF"/>
    <w:rsid w:val="326324E8"/>
    <w:rsid w:val="32643F57"/>
    <w:rsid w:val="327343AC"/>
    <w:rsid w:val="32762C2B"/>
    <w:rsid w:val="32850840"/>
    <w:rsid w:val="328B1DB1"/>
    <w:rsid w:val="32CE2707"/>
    <w:rsid w:val="32DA195F"/>
    <w:rsid w:val="32E97DAB"/>
    <w:rsid w:val="32F0569E"/>
    <w:rsid w:val="330C1FAE"/>
    <w:rsid w:val="33181237"/>
    <w:rsid w:val="331813E5"/>
    <w:rsid w:val="3331509A"/>
    <w:rsid w:val="3350536F"/>
    <w:rsid w:val="335773AB"/>
    <w:rsid w:val="33596256"/>
    <w:rsid w:val="33630CC3"/>
    <w:rsid w:val="33751F41"/>
    <w:rsid w:val="338A589D"/>
    <w:rsid w:val="338D6416"/>
    <w:rsid w:val="338F54A3"/>
    <w:rsid w:val="3398738C"/>
    <w:rsid w:val="339A77AB"/>
    <w:rsid w:val="33A91593"/>
    <w:rsid w:val="33B30CA3"/>
    <w:rsid w:val="33C066AE"/>
    <w:rsid w:val="33C90F3B"/>
    <w:rsid w:val="33CA0704"/>
    <w:rsid w:val="33CC5BE2"/>
    <w:rsid w:val="340F2C57"/>
    <w:rsid w:val="341024AB"/>
    <w:rsid w:val="341611A4"/>
    <w:rsid w:val="34247E8D"/>
    <w:rsid w:val="342E2692"/>
    <w:rsid w:val="34331AD7"/>
    <w:rsid w:val="343A1E1E"/>
    <w:rsid w:val="344B3B8E"/>
    <w:rsid w:val="344F0C11"/>
    <w:rsid w:val="34735D6A"/>
    <w:rsid w:val="34900C89"/>
    <w:rsid w:val="349244B0"/>
    <w:rsid w:val="349D5D64"/>
    <w:rsid w:val="34A07376"/>
    <w:rsid w:val="34AF3D68"/>
    <w:rsid w:val="34BE4995"/>
    <w:rsid w:val="34C7663B"/>
    <w:rsid w:val="34C937AD"/>
    <w:rsid w:val="34CA0BEA"/>
    <w:rsid w:val="34CB2E88"/>
    <w:rsid w:val="34EA4EFB"/>
    <w:rsid w:val="34FE45BB"/>
    <w:rsid w:val="35001158"/>
    <w:rsid w:val="35291AC6"/>
    <w:rsid w:val="35386072"/>
    <w:rsid w:val="353A7BF0"/>
    <w:rsid w:val="353E41B8"/>
    <w:rsid w:val="35455D91"/>
    <w:rsid w:val="354E6A67"/>
    <w:rsid w:val="355529F0"/>
    <w:rsid w:val="355A52ED"/>
    <w:rsid w:val="357651A6"/>
    <w:rsid w:val="35897BF1"/>
    <w:rsid w:val="358E3C81"/>
    <w:rsid w:val="35E80870"/>
    <w:rsid w:val="361879A1"/>
    <w:rsid w:val="36244A18"/>
    <w:rsid w:val="363C6CA6"/>
    <w:rsid w:val="36472647"/>
    <w:rsid w:val="36482CF1"/>
    <w:rsid w:val="364A5818"/>
    <w:rsid w:val="364C5F30"/>
    <w:rsid w:val="36687282"/>
    <w:rsid w:val="369B10DA"/>
    <w:rsid w:val="36B3484F"/>
    <w:rsid w:val="36B41939"/>
    <w:rsid w:val="36B43044"/>
    <w:rsid w:val="36B86B13"/>
    <w:rsid w:val="36BB5A51"/>
    <w:rsid w:val="36BC4C58"/>
    <w:rsid w:val="36C35EC9"/>
    <w:rsid w:val="36CD746A"/>
    <w:rsid w:val="36DD7F4D"/>
    <w:rsid w:val="36DE19AC"/>
    <w:rsid w:val="36E04DC1"/>
    <w:rsid w:val="36EB5218"/>
    <w:rsid w:val="36F20D30"/>
    <w:rsid w:val="36FB1231"/>
    <w:rsid w:val="3701026C"/>
    <w:rsid w:val="37036A36"/>
    <w:rsid w:val="370F6184"/>
    <w:rsid w:val="37115C49"/>
    <w:rsid w:val="371608D3"/>
    <w:rsid w:val="371675CE"/>
    <w:rsid w:val="37336308"/>
    <w:rsid w:val="376D6AAD"/>
    <w:rsid w:val="37896CDB"/>
    <w:rsid w:val="37900066"/>
    <w:rsid w:val="3792650D"/>
    <w:rsid w:val="379317DA"/>
    <w:rsid w:val="37A10C9D"/>
    <w:rsid w:val="37A2460E"/>
    <w:rsid w:val="37A33896"/>
    <w:rsid w:val="37A726AC"/>
    <w:rsid w:val="37A72D3C"/>
    <w:rsid w:val="37B44F2C"/>
    <w:rsid w:val="37B66869"/>
    <w:rsid w:val="37B855F7"/>
    <w:rsid w:val="37C13F11"/>
    <w:rsid w:val="37C22077"/>
    <w:rsid w:val="37CB5CF4"/>
    <w:rsid w:val="37D0035A"/>
    <w:rsid w:val="37DC37C3"/>
    <w:rsid w:val="3808667B"/>
    <w:rsid w:val="381B32AB"/>
    <w:rsid w:val="384639B4"/>
    <w:rsid w:val="3851785D"/>
    <w:rsid w:val="38542464"/>
    <w:rsid w:val="38647DB3"/>
    <w:rsid w:val="38721BB5"/>
    <w:rsid w:val="38894D98"/>
    <w:rsid w:val="388A4F1E"/>
    <w:rsid w:val="388B17E3"/>
    <w:rsid w:val="388D3BD3"/>
    <w:rsid w:val="38A02702"/>
    <w:rsid w:val="38AC5B4C"/>
    <w:rsid w:val="38C473F5"/>
    <w:rsid w:val="38DD5AAB"/>
    <w:rsid w:val="38E47304"/>
    <w:rsid w:val="38EB0C11"/>
    <w:rsid w:val="38EF0274"/>
    <w:rsid w:val="38EF1109"/>
    <w:rsid w:val="390F4A0D"/>
    <w:rsid w:val="39261BBD"/>
    <w:rsid w:val="392B54D9"/>
    <w:rsid w:val="393051E4"/>
    <w:rsid w:val="39382F3B"/>
    <w:rsid w:val="394B3E8E"/>
    <w:rsid w:val="3950439A"/>
    <w:rsid w:val="395C147E"/>
    <w:rsid w:val="395D1767"/>
    <w:rsid w:val="39837460"/>
    <w:rsid w:val="39955D75"/>
    <w:rsid w:val="399C31D4"/>
    <w:rsid w:val="39A06C79"/>
    <w:rsid w:val="39A76BB5"/>
    <w:rsid w:val="39B04BB0"/>
    <w:rsid w:val="39B8074C"/>
    <w:rsid w:val="39BF69BB"/>
    <w:rsid w:val="39DE5A13"/>
    <w:rsid w:val="39DF0676"/>
    <w:rsid w:val="39E5021A"/>
    <w:rsid w:val="39E7368D"/>
    <w:rsid w:val="39EA4680"/>
    <w:rsid w:val="39EA4C55"/>
    <w:rsid w:val="39FA1994"/>
    <w:rsid w:val="3A041F5B"/>
    <w:rsid w:val="3A141414"/>
    <w:rsid w:val="3A157679"/>
    <w:rsid w:val="3A187E4E"/>
    <w:rsid w:val="3A224038"/>
    <w:rsid w:val="3A246994"/>
    <w:rsid w:val="3A516F43"/>
    <w:rsid w:val="3A7047AC"/>
    <w:rsid w:val="3A86712F"/>
    <w:rsid w:val="3A892109"/>
    <w:rsid w:val="3A9B2F09"/>
    <w:rsid w:val="3AA45E96"/>
    <w:rsid w:val="3AB72A65"/>
    <w:rsid w:val="3AE11911"/>
    <w:rsid w:val="3AE87472"/>
    <w:rsid w:val="3AF0773F"/>
    <w:rsid w:val="3AFC7BBC"/>
    <w:rsid w:val="3B0036AC"/>
    <w:rsid w:val="3B186779"/>
    <w:rsid w:val="3B1A0277"/>
    <w:rsid w:val="3B1E60AC"/>
    <w:rsid w:val="3B267046"/>
    <w:rsid w:val="3B2C2786"/>
    <w:rsid w:val="3B2E17FF"/>
    <w:rsid w:val="3B375898"/>
    <w:rsid w:val="3B3955B9"/>
    <w:rsid w:val="3B3D1B0B"/>
    <w:rsid w:val="3B461FD5"/>
    <w:rsid w:val="3B475FBD"/>
    <w:rsid w:val="3B4A6102"/>
    <w:rsid w:val="3B601D2D"/>
    <w:rsid w:val="3B6F0784"/>
    <w:rsid w:val="3B853999"/>
    <w:rsid w:val="3B857C49"/>
    <w:rsid w:val="3B872883"/>
    <w:rsid w:val="3B891017"/>
    <w:rsid w:val="3B9A2377"/>
    <w:rsid w:val="3BB3731D"/>
    <w:rsid w:val="3BC4227E"/>
    <w:rsid w:val="3BC96890"/>
    <w:rsid w:val="3BDA0CB3"/>
    <w:rsid w:val="3BDD2CE3"/>
    <w:rsid w:val="3BE8683B"/>
    <w:rsid w:val="3C063688"/>
    <w:rsid w:val="3C1E77A1"/>
    <w:rsid w:val="3C314E9C"/>
    <w:rsid w:val="3C315106"/>
    <w:rsid w:val="3C37474D"/>
    <w:rsid w:val="3C3A6FCB"/>
    <w:rsid w:val="3C3D4EFB"/>
    <w:rsid w:val="3C464471"/>
    <w:rsid w:val="3C574DC9"/>
    <w:rsid w:val="3C5A305A"/>
    <w:rsid w:val="3C5E5BF2"/>
    <w:rsid w:val="3C6D01E4"/>
    <w:rsid w:val="3C6D1E0E"/>
    <w:rsid w:val="3C7C23FE"/>
    <w:rsid w:val="3C9428C7"/>
    <w:rsid w:val="3C970CA8"/>
    <w:rsid w:val="3C9F1D12"/>
    <w:rsid w:val="3CB725BA"/>
    <w:rsid w:val="3CD874A9"/>
    <w:rsid w:val="3CF52FDB"/>
    <w:rsid w:val="3D020C74"/>
    <w:rsid w:val="3D127F47"/>
    <w:rsid w:val="3D2453E1"/>
    <w:rsid w:val="3D270821"/>
    <w:rsid w:val="3D2D2C7E"/>
    <w:rsid w:val="3D480F71"/>
    <w:rsid w:val="3D493FF7"/>
    <w:rsid w:val="3D4D39E8"/>
    <w:rsid w:val="3D767346"/>
    <w:rsid w:val="3D8717A4"/>
    <w:rsid w:val="3D964C35"/>
    <w:rsid w:val="3DA0319D"/>
    <w:rsid w:val="3DA535E1"/>
    <w:rsid w:val="3DC366BB"/>
    <w:rsid w:val="3DC62449"/>
    <w:rsid w:val="3DC9689B"/>
    <w:rsid w:val="3DDB10B7"/>
    <w:rsid w:val="3DE948D2"/>
    <w:rsid w:val="3E065808"/>
    <w:rsid w:val="3E2D26EE"/>
    <w:rsid w:val="3E32228C"/>
    <w:rsid w:val="3E3E2BFE"/>
    <w:rsid w:val="3E4C39B3"/>
    <w:rsid w:val="3E4C7E3C"/>
    <w:rsid w:val="3E690F18"/>
    <w:rsid w:val="3E691181"/>
    <w:rsid w:val="3E735F60"/>
    <w:rsid w:val="3E737005"/>
    <w:rsid w:val="3E773170"/>
    <w:rsid w:val="3E8222DA"/>
    <w:rsid w:val="3E83190F"/>
    <w:rsid w:val="3E894239"/>
    <w:rsid w:val="3E901C7C"/>
    <w:rsid w:val="3E9B7516"/>
    <w:rsid w:val="3EAA5829"/>
    <w:rsid w:val="3EAC30A9"/>
    <w:rsid w:val="3EAF60C1"/>
    <w:rsid w:val="3EB276F9"/>
    <w:rsid w:val="3EB83CDD"/>
    <w:rsid w:val="3EB92A82"/>
    <w:rsid w:val="3EBB3888"/>
    <w:rsid w:val="3EC86023"/>
    <w:rsid w:val="3ECA20B9"/>
    <w:rsid w:val="3ECF4342"/>
    <w:rsid w:val="3ED00308"/>
    <w:rsid w:val="3ED22166"/>
    <w:rsid w:val="3ED90443"/>
    <w:rsid w:val="3ED948DF"/>
    <w:rsid w:val="3EE250BA"/>
    <w:rsid w:val="3EE31B9B"/>
    <w:rsid w:val="3EE5603F"/>
    <w:rsid w:val="3EE75619"/>
    <w:rsid w:val="3EEA5614"/>
    <w:rsid w:val="3EEC513F"/>
    <w:rsid w:val="3EF319D4"/>
    <w:rsid w:val="3F081F60"/>
    <w:rsid w:val="3F360548"/>
    <w:rsid w:val="3F4F1142"/>
    <w:rsid w:val="3F5321EE"/>
    <w:rsid w:val="3F6612CF"/>
    <w:rsid w:val="3F744B5E"/>
    <w:rsid w:val="3F8A3E06"/>
    <w:rsid w:val="3FB25A37"/>
    <w:rsid w:val="3FBB7AA8"/>
    <w:rsid w:val="3FF103CD"/>
    <w:rsid w:val="3FF57949"/>
    <w:rsid w:val="3FFC6805"/>
    <w:rsid w:val="40055591"/>
    <w:rsid w:val="400D0B69"/>
    <w:rsid w:val="4018116B"/>
    <w:rsid w:val="40204742"/>
    <w:rsid w:val="40270D50"/>
    <w:rsid w:val="402C16FC"/>
    <w:rsid w:val="402C66C8"/>
    <w:rsid w:val="40395A4D"/>
    <w:rsid w:val="40524017"/>
    <w:rsid w:val="408062AA"/>
    <w:rsid w:val="40831549"/>
    <w:rsid w:val="409054D6"/>
    <w:rsid w:val="40945C75"/>
    <w:rsid w:val="40B13BB2"/>
    <w:rsid w:val="40CB7C4E"/>
    <w:rsid w:val="40CE71FD"/>
    <w:rsid w:val="40CF35E5"/>
    <w:rsid w:val="40D0010D"/>
    <w:rsid w:val="40E5363C"/>
    <w:rsid w:val="40F61EA8"/>
    <w:rsid w:val="40FF2E2B"/>
    <w:rsid w:val="411609BA"/>
    <w:rsid w:val="41183D63"/>
    <w:rsid w:val="412B2B20"/>
    <w:rsid w:val="4142729E"/>
    <w:rsid w:val="41441E2A"/>
    <w:rsid w:val="414762C7"/>
    <w:rsid w:val="41486EE1"/>
    <w:rsid w:val="4164192B"/>
    <w:rsid w:val="4173379F"/>
    <w:rsid w:val="417D05D5"/>
    <w:rsid w:val="418C5CB4"/>
    <w:rsid w:val="41916915"/>
    <w:rsid w:val="419229E3"/>
    <w:rsid w:val="41BD64D0"/>
    <w:rsid w:val="41C95FDD"/>
    <w:rsid w:val="41D74A53"/>
    <w:rsid w:val="41F06B09"/>
    <w:rsid w:val="41F95059"/>
    <w:rsid w:val="420275B0"/>
    <w:rsid w:val="420D0201"/>
    <w:rsid w:val="420F00F1"/>
    <w:rsid w:val="42143C41"/>
    <w:rsid w:val="421D1E57"/>
    <w:rsid w:val="4229368A"/>
    <w:rsid w:val="42310137"/>
    <w:rsid w:val="423C118F"/>
    <w:rsid w:val="42430F44"/>
    <w:rsid w:val="42470DA9"/>
    <w:rsid w:val="424A05BA"/>
    <w:rsid w:val="424A2A65"/>
    <w:rsid w:val="425D3E28"/>
    <w:rsid w:val="427F3327"/>
    <w:rsid w:val="42801216"/>
    <w:rsid w:val="42A60ABC"/>
    <w:rsid w:val="42C42797"/>
    <w:rsid w:val="42D86FB2"/>
    <w:rsid w:val="42DA5063"/>
    <w:rsid w:val="42DD4E87"/>
    <w:rsid w:val="42E61E7C"/>
    <w:rsid w:val="43091CEE"/>
    <w:rsid w:val="43156B79"/>
    <w:rsid w:val="43220B7F"/>
    <w:rsid w:val="43272941"/>
    <w:rsid w:val="432966D0"/>
    <w:rsid w:val="432E20A4"/>
    <w:rsid w:val="4336094C"/>
    <w:rsid w:val="433A3A5A"/>
    <w:rsid w:val="433C4CFD"/>
    <w:rsid w:val="434636D0"/>
    <w:rsid w:val="4350115B"/>
    <w:rsid w:val="435176FE"/>
    <w:rsid w:val="43576AD2"/>
    <w:rsid w:val="43654AA2"/>
    <w:rsid w:val="43AB4477"/>
    <w:rsid w:val="43AE5495"/>
    <w:rsid w:val="43C207BE"/>
    <w:rsid w:val="43C23C43"/>
    <w:rsid w:val="43D97363"/>
    <w:rsid w:val="43E644E9"/>
    <w:rsid w:val="43ED1A74"/>
    <w:rsid w:val="43F573C4"/>
    <w:rsid w:val="43F57624"/>
    <w:rsid w:val="440134DA"/>
    <w:rsid w:val="44035868"/>
    <w:rsid w:val="44244D2E"/>
    <w:rsid w:val="4426495C"/>
    <w:rsid w:val="443D69C3"/>
    <w:rsid w:val="445E0622"/>
    <w:rsid w:val="445E6062"/>
    <w:rsid w:val="44601891"/>
    <w:rsid w:val="446631C8"/>
    <w:rsid w:val="446C5630"/>
    <w:rsid w:val="446F7930"/>
    <w:rsid w:val="447204CB"/>
    <w:rsid w:val="44817C04"/>
    <w:rsid w:val="44A829DC"/>
    <w:rsid w:val="44C81C72"/>
    <w:rsid w:val="44CD01C2"/>
    <w:rsid w:val="44CF7E21"/>
    <w:rsid w:val="44DA69C3"/>
    <w:rsid w:val="44DE518F"/>
    <w:rsid w:val="44E40071"/>
    <w:rsid w:val="44EB48A7"/>
    <w:rsid w:val="44EE609D"/>
    <w:rsid w:val="44F10CFF"/>
    <w:rsid w:val="44FD0598"/>
    <w:rsid w:val="44FF093C"/>
    <w:rsid w:val="450905AE"/>
    <w:rsid w:val="45192E44"/>
    <w:rsid w:val="4532344D"/>
    <w:rsid w:val="45350ED0"/>
    <w:rsid w:val="453A4223"/>
    <w:rsid w:val="453C1474"/>
    <w:rsid w:val="453C66A3"/>
    <w:rsid w:val="453D73F4"/>
    <w:rsid w:val="457A3F89"/>
    <w:rsid w:val="457B3AE9"/>
    <w:rsid w:val="457B71A9"/>
    <w:rsid w:val="45901740"/>
    <w:rsid w:val="4597068E"/>
    <w:rsid w:val="459C5106"/>
    <w:rsid w:val="45A81D8E"/>
    <w:rsid w:val="45AB3DFD"/>
    <w:rsid w:val="45B345E4"/>
    <w:rsid w:val="45D07A38"/>
    <w:rsid w:val="45D16FE7"/>
    <w:rsid w:val="45DA32A2"/>
    <w:rsid w:val="45DF5B75"/>
    <w:rsid w:val="45E50156"/>
    <w:rsid w:val="45EE2B95"/>
    <w:rsid w:val="45F557AE"/>
    <w:rsid w:val="45FE09DC"/>
    <w:rsid w:val="4600099D"/>
    <w:rsid w:val="461F3743"/>
    <w:rsid w:val="462F24B8"/>
    <w:rsid w:val="46320083"/>
    <w:rsid w:val="463C4F09"/>
    <w:rsid w:val="46492E65"/>
    <w:rsid w:val="465377A9"/>
    <w:rsid w:val="46616BA0"/>
    <w:rsid w:val="466A5062"/>
    <w:rsid w:val="467423A7"/>
    <w:rsid w:val="467944EF"/>
    <w:rsid w:val="46886F35"/>
    <w:rsid w:val="46CF4584"/>
    <w:rsid w:val="46D000C1"/>
    <w:rsid w:val="46D455AA"/>
    <w:rsid w:val="46DE3E1D"/>
    <w:rsid w:val="46E422BE"/>
    <w:rsid w:val="46E93AC7"/>
    <w:rsid w:val="46EB44BD"/>
    <w:rsid w:val="46F306D0"/>
    <w:rsid w:val="47014B54"/>
    <w:rsid w:val="47086643"/>
    <w:rsid w:val="47267D29"/>
    <w:rsid w:val="47557DCA"/>
    <w:rsid w:val="4760686A"/>
    <w:rsid w:val="47723F88"/>
    <w:rsid w:val="47763FBF"/>
    <w:rsid w:val="47904979"/>
    <w:rsid w:val="479073CF"/>
    <w:rsid w:val="479933E5"/>
    <w:rsid w:val="479D2EE3"/>
    <w:rsid w:val="47A10B99"/>
    <w:rsid w:val="47A45C40"/>
    <w:rsid w:val="47A83EAB"/>
    <w:rsid w:val="47A9504E"/>
    <w:rsid w:val="47B00878"/>
    <w:rsid w:val="47BA6B35"/>
    <w:rsid w:val="47CD37E3"/>
    <w:rsid w:val="47D6196F"/>
    <w:rsid w:val="47DA540C"/>
    <w:rsid w:val="47E357B7"/>
    <w:rsid w:val="47E90ACC"/>
    <w:rsid w:val="48020B2B"/>
    <w:rsid w:val="48171B28"/>
    <w:rsid w:val="482F0B6E"/>
    <w:rsid w:val="484D557D"/>
    <w:rsid w:val="48541962"/>
    <w:rsid w:val="486651ED"/>
    <w:rsid w:val="4877482D"/>
    <w:rsid w:val="487948F7"/>
    <w:rsid w:val="487E3634"/>
    <w:rsid w:val="488072C0"/>
    <w:rsid w:val="4898696B"/>
    <w:rsid w:val="48AC4B85"/>
    <w:rsid w:val="48AD0640"/>
    <w:rsid w:val="48AF0462"/>
    <w:rsid w:val="48C1115C"/>
    <w:rsid w:val="48C657F3"/>
    <w:rsid w:val="48C67133"/>
    <w:rsid w:val="48D55060"/>
    <w:rsid w:val="48EA2C72"/>
    <w:rsid w:val="48EA5F73"/>
    <w:rsid w:val="48FC7DFD"/>
    <w:rsid w:val="490D18E7"/>
    <w:rsid w:val="49104B6D"/>
    <w:rsid w:val="49304059"/>
    <w:rsid w:val="493C092F"/>
    <w:rsid w:val="49563BF0"/>
    <w:rsid w:val="496D36BA"/>
    <w:rsid w:val="49753D8F"/>
    <w:rsid w:val="499D7AA1"/>
    <w:rsid w:val="49BA5414"/>
    <w:rsid w:val="49D026C2"/>
    <w:rsid w:val="49E13D6A"/>
    <w:rsid w:val="49E56323"/>
    <w:rsid w:val="49EE218C"/>
    <w:rsid w:val="4A04461E"/>
    <w:rsid w:val="4A152C38"/>
    <w:rsid w:val="4A190505"/>
    <w:rsid w:val="4A3A37EC"/>
    <w:rsid w:val="4A4B0D7C"/>
    <w:rsid w:val="4A4B2C39"/>
    <w:rsid w:val="4A8B3D53"/>
    <w:rsid w:val="4A9247AA"/>
    <w:rsid w:val="4AA0484E"/>
    <w:rsid w:val="4AA31978"/>
    <w:rsid w:val="4AB45C83"/>
    <w:rsid w:val="4ABE6376"/>
    <w:rsid w:val="4AC5197D"/>
    <w:rsid w:val="4AC77A78"/>
    <w:rsid w:val="4ACC7B4E"/>
    <w:rsid w:val="4ADE4198"/>
    <w:rsid w:val="4AEB2959"/>
    <w:rsid w:val="4AEF21F3"/>
    <w:rsid w:val="4B0D7D13"/>
    <w:rsid w:val="4B174229"/>
    <w:rsid w:val="4B3D0885"/>
    <w:rsid w:val="4B43012C"/>
    <w:rsid w:val="4B4C2876"/>
    <w:rsid w:val="4B5B5BFB"/>
    <w:rsid w:val="4B715FAC"/>
    <w:rsid w:val="4B761998"/>
    <w:rsid w:val="4B7D25A0"/>
    <w:rsid w:val="4B8B5F36"/>
    <w:rsid w:val="4B942E09"/>
    <w:rsid w:val="4BA03C6E"/>
    <w:rsid w:val="4BA05E27"/>
    <w:rsid w:val="4BA077A1"/>
    <w:rsid w:val="4BA60433"/>
    <w:rsid w:val="4BA92CB8"/>
    <w:rsid w:val="4BB2193B"/>
    <w:rsid w:val="4BB73A44"/>
    <w:rsid w:val="4BE865D7"/>
    <w:rsid w:val="4BEA5B57"/>
    <w:rsid w:val="4BF014CC"/>
    <w:rsid w:val="4BFD200B"/>
    <w:rsid w:val="4C026ED6"/>
    <w:rsid w:val="4C121E8A"/>
    <w:rsid w:val="4C213268"/>
    <w:rsid w:val="4C274E56"/>
    <w:rsid w:val="4C352378"/>
    <w:rsid w:val="4C3D7792"/>
    <w:rsid w:val="4C544166"/>
    <w:rsid w:val="4C5766C9"/>
    <w:rsid w:val="4C5F282D"/>
    <w:rsid w:val="4C6F04FE"/>
    <w:rsid w:val="4C85185D"/>
    <w:rsid w:val="4C89181E"/>
    <w:rsid w:val="4C8E7DC1"/>
    <w:rsid w:val="4C954A68"/>
    <w:rsid w:val="4C9F00C9"/>
    <w:rsid w:val="4CAD4C5E"/>
    <w:rsid w:val="4CD36490"/>
    <w:rsid w:val="4CDF471B"/>
    <w:rsid w:val="4CE012F9"/>
    <w:rsid w:val="4CE8733A"/>
    <w:rsid w:val="4CEA5EF5"/>
    <w:rsid w:val="4CEC6514"/>
    <w:rsid w:val="4CEC703A"/>
    <w:rsid w:val="4D021A2E"/>
    <w:rsid w:val="4D076A8A"/>
    <w:rsid w:val="4D136654"/>
    <w:rsid w:val="4D18028C"/>
    <w:rsid w:val="4D22449C"/>
    <w:rsid w:val="4D257367"/>
    <w:rsid w:val="4D480138"/>
    <w:rsid w:val="4D56716E"/>
    <w:rsid w:val="4D57313C"/>
    <w:rsid w:val="4D592393"/>
    <w:rsid w:val="4D6133EB"/>
    <w:rsid w:val="4D620E36"/>
    <w:rsid w:val="4D76326B"/>
    <w:rsid w:val="4D7732FD"/>
    <w:rsid w:val="4D7A20DF"/>
    <w:rsid w:val="4D7E2C46"/>
    <w:rsid w:val="4D926FF8"/>
    <w:rsid w:val="4D937E82"/>
    <w:rsid w:val="4DA42009"/>
    <w:rsid w:val="4DA47096"/>
    <w:rsid w:val="4DB656B2"/>
    <w:rsid w:val="4DBC45ED"/>
    <w:rsid w:val="4DC81EF4"/>
    <w:rsid w:val="4DE52881"/>
    <w:rsid w:val="4DED23C4"/>
    <w:rsid w:val="4DED49DA"/>
    <w:rsid w:val="4DF2790D"/>
    <w:rsid w:val="4DFD52B3"/>
    <w:rsid w:val="4E015A19"/>
    <w:rsid w:val="4E122468"/>
    <w:rsid w:val="4E1D1C34"/>
    <w:rsid w:val="4E302696"/>
    <w:rsid w:val="4E340401"/>
    <w:rsid w:val="4E36039E"/>
    <w:rsid w:val="4E3B4D5A"/>
    <w:rsid w:val="4E400EEF"/>
    <w:rsid w:val="4E42310F"/>
    <w:rsid w:val="4E66332D"/>
    <w:rsid w:val="4E670E15"/>
    <w:rsid w:val="4E7E14A0"/>
    <w:rsid w:val="4E7F70D0"/>
    <w:rsid w:val="4E8A006A"/>
    <w:rsid w:val="4E8A13FF"/>
    <w:rsid w:val="4EA56473"/>
    <w:rsid w:val="4EB01559"/>
    <w:rsid w:val="4EB62966"/>
    <w:rsid w:val="4EBC3D25"/>
    <w:rsid w:val="4EC4525C"/>
    <w:rsid w:val="4EC61B54"/>
    <w:rsid w:val="4ED14CB7"/>
    <w:rsid w:val="4EEA337E"/>
    <w:rsid w:val="4EFF20E7"/>
    <w:rsid w:val="4F016FE5"/>
    <w:rsid w:val="4F257041"/>
    <w:rsid w:val="4F2B2E12"/>
    <w:rsid w:val="4F302585"/>
    <w:rsid w:val="4F326C42"/>
    <w:rsid w:val="4F3632BE"/>
    <w:rsid w:val="4F4D346E"/>
    <w:rsid w:val="4F50740C"/>
    <w:rsid w:val="4F5103FA"/>
    <w:rsid w:val="4F511121"/>
    <w:rsid w:val="4F545534"/>
    <w:rsid w:val="4F7F29B4"/>
    <w:rsid w:val="4F7F5B54"/>
    <w:rsid w:val="4F92323B"/>
    <w:rsid w:val="4F950CFE"/>
    <w:rsid w:val="4FB82079"/>
    <w:rsid w:val="4FBD5E48"/>
    <w:rsid w:val="4FBD66D6"/>
    <w:rsid w:val="4FC72F32"/>
    <w:rsid w:val="4FC7713B"/>
    <w:rsid w:val="4FD659F4"/>
    <w:rsid w:val="4FDC70FF"/>
    <w:rsid w:val="50055358"/>
    <w:rsid w:val="500C29C8"/>
    <w:rsid w:val="50164291"/>
    <w:rsid w:val="501F7B40"/>
    <w:rsid w:val="50236562"/>
    <w:rsid w:val="50293355"/>
    <w:rsid w:val="502F3094"/>
    <w:rsid w:val="50396A2F"/>
    <w:rsid w:val="50423F67"/>
    <w:rsid w:val="504823A2"/>
    <w:rsid w:val="504F3C6B"/>
    <w:rsid w:val="505B4D29"/>
    <w:rsid w:val="505E2F0C"/>
    <w:rsid w:val="506001C2"/>
    <w:rsid w:val="50634E4A"/>
    <w:rsid w:val="50653C8E"/>
    <w:rsid w:val="50726AE7"/>
    <w:rsid w:val="50746940"/>
    <w:rsid w:val="50752C2F"/>
    <w:rsid w:val="508E3220"/>
    <w:rsid w:val="50901208"/>
    <w:rsid w:val="509B6B6E"/>
    <w:rsid w:val="50B07915"/>
    <w:rsid w:val="50C70224"/>
    <w:rsid w:val="50C86D9B"/>
    <w:rsid w:val="50CB24C3"/>
    <w:rsid w:val="50CD0CEB"/>
    <w:rsid w:val="50CF3D2E"/>
    <w:rsid w:val="50DF2317"/>
    <w:rsid w:val="50E03C6E"/>
    <w:rsid w:val="50E53551"/>
    <w:rsid w:val="50E720C7"/>
    <w:rsid w:val="50EF0E0A"/>
    <w:rsid w:val="510752AF"/>
    <w:rsid w:val="51081EBB"/>
    <w:rsid w:val="51200241"/>
    <w:rsid w:val="51285036"/>
    <w:rsid w:val="51305500"/>
    <w:rsid w:val="517039E3"/>
    <w:rsid w:val="51712313"/>
    <w:rsid w:val="517459B0"/>
    <w:rsid w:val="517B7B79"/>
    <w:rsid w:val="518106B3"/>
    <w:rsid w:val="519F6E89"/>
    <w:rsid w:val="51B10B82"/>
    <w:rsid w:val="51C7750A"/>
    <w:rsid w:val="51CC1003"/>
    <w:rsid w:val="51DF05D8"/>
    <w:rsid w:val="51F53992"/>
    <w:rsid w:val="51FA6879"/>
    <w:rsid w:val="520B13E3"/>
    <w:rsid w:val="52156187"/>
    <w:rsid w:val="522C2C5D"/>
    <w:rsid w:val="524B7790"/>
    <w:rsid w:val="524D5DDA"/>
    <w:rsid w:val="524E6825"/>
    <w:rsid w:val="525C3A36"/>
    <w:rsid w:val="52654F21"/>
    <w:rsid w:val="52780FDE"/>
    <w:rsid w:val="52781352"/>
    <w:rsid w:val="528552E4"/>
    <w:rsid w:val="52A11C20"/>
    <w:rsid w:val="52B508CE"/>
    <w:rsid w:val="52BD04BD"/>
    <w:rsid w:val="52BF30EB"/>
    <w:rsid w:val="52C04906"/>
    <w:rsid w:val="52C9528C"/>
    <w:rsid w:val="52CA3233"/>
    <w:rsid w:val="52CB1D32"/>
    <w:rsid w:val="52D74DF5"/>
    <w:rsid w:val="52E856F0"/>
    <w:rsid w:val="52EE4D6A"/>
    <w:rsid w:val="52FB618A"/>
    <w:rsid w:val="531526DC"/>
    <w:rsid w:val="5324009D"/>
    <w:rsid w:val="53242193"/>
    <w:rsid w:val="532976FA"/>
    <w:rsid w:val="533A1B9B"/>
    <w:rsid w:val="534A60CB"/>
    <w:rsid w:val="535D3A38"/>
    <w:rsid w:val="535E028D"/>
    <w:rsid w:val="536518E0"/>
    <w:rsid w:val="53657B2A"/>
    <w:rsid w:val="537246ED"/>
    <w:rsid w:val="538E4BC8"/>
    <w:rsid w:val="53B24089"/>
    <w:rsid w:val="53B55F6E"/>
    <w:rsid w:val="53C66EDC"/>
    <w:rsid w:val="53D829CB"/>
    <w:rsid w:val="53D832F5"/>
    <w:rsid w:val="53DD7F26"/>
    <w:rsid w:val="53E32D90"/>
    <w:rsid w:val="53EA027C"/>
    <w:rsid w:val="53EC56CA"/>
    <w:rsid w:val="53EC6AC6"/>
    <w:rsid w:val="53F43F4B"/>
    <w:rsid w:val="53FF3A24"/>
    <w:rsid w:val="54055868"/>
    <w:rsid w:val="541105EA"/>
    <w:rsid w:val="5417062A"/>
    <w:rsid w:val="541F212D"/>
    <w:rsid w:val="54420174"/>
    <w:rsid w:val="5447610E"/>
    <w:rsid w:val="54480123"/>
    <w:rsid w:val="544830F6"/>
    <w:rsid w:val="544F6A3E"/>
    <w:rsid w:val="5461610E"/>
    <w:rsid w:val="54662A00"/>
    <w:rsid w:val="54810090"/>
    <w:rsid w:val="54833FF1"/>
    <w:rsid w:val="549D3EDA"/>
    <w:rsid w:val="54E725D7"/>
    <w:rsid w:val="54F246DF"/>
    <w:rsid w:val="54FB1595"/>
    <w:rsid w:val="54FD01AC"/>
    <w:rsid w:val="55140E90"/>
    <w:rsid w:val="551A050E"/>
    <w:rsid w:val="552025D5"/>
    <w:rsid w:val="552A1993"/>
    <w:rsid w:val="553A38CD"/>
    <w:rsid w:val="55453DD9"/>
    <w:rsid w:val="55466E62"/>
    <w:rsid w:val="55490AD3"/>
    <w:rsid w:val="558623B1"/>
    <w:rsid w:val="55AD1D04"/>
    <w:rsid w:val="55B11DDE"/>
    <w:rsid w:val="55BA172E"/>
    <w:rsid w:val="55BA762C"/>
    <w:rsid w:val="56071608"/>
    <w:rsid w:val="560C1580"/>
    <w:rsid w:val="56170B9E"/>
    <w:rsid w:val="56175047"/>
    <w:rsid w:val="56231B6C"/>
    <w:rsid w:val="56313EED"/>
    <w:rsid w:val="56381A2B"/>
    <w:rsid w:val="565B2381"/>
    <w:rsid w:val="5676616B"/>
    <w:rsid w:val="567D3F60"/>
    <w:rsid w:val="567D4899"/>
    <w:rsid w:val="56802284"/>
    <w:rsid w:val="569B6925"/>
    <w:rsid w:val="56A81315"/>
    <w:rsid w:val="56AF6AAA"/>
    <w:rsid w:val="56B30CE3"/>
    <w:rsid w:val="56CF66FB"/>
    <w:rsid w:val="56D6392A"/>
    <w:rsid w:val="56DC7FF6"/>
    <w:rsid w:val="56EE0811"/>
    <w:rsid w:val="570C3144"/>
    <w:rsid w:val="570F0FAA"/>
    <w:rsid w:val="5710345C"/>
    <w:rsid w:val="5714604E"/>
    <w:rsid w:val="57194E75"/>
    <w:rsid w:val="572A21FB"/>
    <w:rsid w:val="57492D31"/>
    <w:rsid w:val="574A6098"/>
    <w:rsid w:val="57610048"/>
    <w:rsid w:val="57644254"/>
    <w:rsid w:val="5792652B"/>
    <w:rsid w:val="57943FBD"/>
    <w:rsid w:val="57953DC6"/>
    <w:rsid w:val="57AF6526"/>
    <w:rsid w:val="57B70667"/>
    <w:rsid w:val="57BB0DFB"/>
    <w:rsid w:val="57C90FC9"/>
    <w:rsid w:val="57DD4747"/>
    <w:rsid w:val="57F93FE2"/>
    <w:rsid w:val="580A6E57"/>
    <w:rsid w:val="582852E4"/>
    <w:rsid w:val="58355870"/>
    <w:rsid w:val="58435469"/>
    <w:rsid w:val="586676CF"/>
    <w:rsid w:val="587133A9"/>
    <w:rsid w:val="58830F86"/>
    <w:rsid w:val="588C7A6F"/>
    <w:rsid w:val="58936877"/>
    <w:rsid w:val="58943E27"/>
    <w:rsid w:val="589A4209"/>
    <w:rsid w:val="589B2EB6"/>
    <w:rsid w:val="589F0489"/>
    <w:rsid w:val="58A0448F"/>
    <w:rsid w:val="58AA21D9"/>
    <w:rsid w:val="58B46980"/>
    <w:rsid w:val="58B61F4E"/>
    <w:rsid w:val="58B62931"/>
    <w:rsid w:val="58BB1B02"/>
    <w:rsid w:val="58BB2CEF"/>
    <w:rsid w:val="58BD00DF"/>
    <w:rsid w:val="58BE3E73"/>
    <w:rsid w:val="58C7166A"/>
    <w:rsid w:val="58D435D0"/>
    <w:rsid w:val="58D87666"/>
    <w:rsid w:val="58DD63A5"/>
    <w:rsid w:val="58E56E25"/>
    <w:rsid w:val="58E575E4"/>
    <w:rsid w:val="58F21491"/>
    <w:rsid w:val="58FC3E5D"/>
    <w:rsid w:val="58FF1862"/>
    <w:rsid w:val="5903555F"/>
    <w:rsid w:val="59124DE8"/>
    <w:rsid w:val="591A7E3E"/>
    <w:rsid w:val="591D17B0"/>
    <w:rsid w:val="591E490F"/>
    <w:rsid w:val="59207E2E"/>
    <w:rsid w:val="59316E2D"/>
    <w:rsid w:val="595F69B0"/>
    <w:rsid w:val="59606747"/>
    <w:rsid w:val="59620781"/>
    <w:rsid w:val="59752B0C"/>
    <w:rsid w:val="59755E43"/>
    <w:rsid w:val="59805339"/>
    <w:rsid w:val="59891F99"/>
    <w:rsid w:val="598B4155"/>
    <w:rsid w:val="599F69B9"/>
    <w:rsid w:val="59B32110"/>
    <w:rsid w:val="59CC1E60"/>
    <w:rsid w:val="59D76475"/>
    <w:rsid w:val="59E95EB8"/>
    <w:rsid w:val="5A0650CF"/>
    <w:rsid w:val="5A0C4506"/>
    <w:rsid w:val="5A0F56F5"/>
    <w:rsid w:val="5A205081"/>
    <w:rsid w:val="5A2E1C12"/>
    <w:rsid w:val="5A35549B"/>
    <w:rsid w:val="5A407469"/>
    <w:rsid w:val="5A4341BA"/>
    <w:rsid w:val="5A4818C8"/>
    <w:rsid w:val="5A515104"/>
    <w:rsid w:val="5A600E0C"/>
    <w:rsid w:val="5A645EEC"/>
    <w:rsid w:val="5A6B5272"/>
    <w:rsid w:val="5A6F4FD6"/>
    <w:rsid w:val="5A716F67"/>
    <w:rsid w:val="5A767A79"/>
    <w:rsid w:val="5A7773AC"/>
    <w:rsid w:val="5A8175CB"/>
    <w:rsid w:val="5A84736C"/>
    <w:rsid w:val="5A850CDA"/>
    <w:rsid w:val="5A9C623B"/>
    <w:rsid w:val="5AAD10B3"/>
    <w:rsid w:val="5AB33525"/>
    <w:rsid w:val="5AFE07F2"/>
    <w:rsid w:val="5B0D0B17"/>
    <w:rsid w:val="5B1769FD"/>
    <w:rsid w:val="5B27739E"/>
    <w:rsid w:val="5B281193"/>
    <w:rsid w:val="5B2908B1"/>
    <w:rsid w:val="5B34012D"/>
    <w:rsid w:val="5B43111E"/>
    <w:rsid w:val="5B4A2027"/>
    <w:rsid w:val="5B4C32B3"/>
    <w:rsid w:val="5B572133"/>
    <w:rsid w:val="5B5E47F5"/>
    <w:rsid w:val="5B606856"/>
    <w:rsid w:val="5B714D26"/>
    <w:rsid w:val="5B823D37"/>
    <w:rsid w:val="5B83398C"/>
    <w:rsid w:val="5B8E721C"/>
    <w:rsid w:val="5B9B2E22"/>
    <w:rsid w:val="5BAF43D6"/>
    <w:rsid w:val="5BDB7A2A"/>
    <w:rsid w:val="5C046F56"/>
    <w:rsid w:val="5C074B2C"/>
    <w:rsid w:val="5C176CA3"/>
    <w:rsid w:val="5C272EEC"/>
    <w:rsid w:val="5C3141A0"/>
    <w:rsid w:val="5C3E18C2"/>
    <w:rsid w:val="5C463802"/>
    <w:rsid w:val="5C531011"/>
    <w:rsid w:val="5C560CAC"/>
    <w:rsid w:val="5C5865CB"/>
    <w:rsid w:val="5C63568C"/>
    <w:rsid w:val="5C7127D5"/>
    <w:rsid w:val="5C73080F"/>
    <w:rsid w:val="5C812945"/>
    <w:rsid w:val="5CA33586"/>
    <w:rsid w:val="5CA613C0"/>
    <w:rsid w:val="5CB001AB"/>
    <w:rsid w:val="5CC5410A"/>
    <w:rsid w:val="5CC5515B"/>
    <w:rsid w:val="5CD82207"/>
    <w:rsid w:val="5CDF7245"/>
    <w:rsid w:val="5D035EA0"/>
    <w:rsid w:val="5D1713D4"/>
    <w:rsid w:val="5D373386"/>
    <w:rsid w:val="5D396F60"/>
    <w:rsid w:val="5D3E30FD"/>
    <w:rsid w:val="5D3F7B7B"/>
    <w:rsid w:val="5D4B373F"/>
    <w:rsid w:val="5D4F6E39"/>
    <w:rsid w:val="5D647EF4"/>
    <w:rsid w:val="5D690AC4"/>
    <w:rsid w:val="5D6B5A5E"/>
    <w:rsid w:val="5D806519"/>
    <w:rsid w:val="5D815FBA"/>
    <w:rsid w:val="5D973874"/>
    <w:rsid w:val="5DA9177C"/>
    <w:rsid w:val="5DAB2E39"/>
    <w:rsid w:val="5DB768DB"/>
    <w:rsid w:val="5DC23238"/>
    <w:rsid w:val="5DC854C6"/>
    <w:rsid w:val="5DD124FE"/>
    <w:rsid w:val="5DD70A7A"/>
    <w:rsid w:val="5DE276EA"/>
    <w:rsid w:val="5DE6285A"/>
    <w:rsid w:val="5DF62EA9"/>
    <w:rsid w:val="5E0610AE"/>
    <w:rsid w:val="5E0947FB"/>
    <w:rsid w:val="5E2139C6"/>
    <w:rsid w:val="5E493DFD"/>
    <w:rsid w:val="5E4D4684"/>
    <w:rsid w:val="5E5E3507"/>
    <w:rsid w:val="5E6148B0"/>
    <w:rsid w:val="5E62004A"/>
    <w:rsid w:val="5E6609AF"/>
    <w:rsid w:val="5E672A1F"/>
    <w:rsid w:val="5E687D06"/>
    <w:rsid w:val="5E6D1EF9"/>
    <w:rsid w:val="5E753F44"/>
    <w:rsid w:val="5E8C4E06"/>
    <w:rsid w:val="5E8F6449"/>
    <w:rsid w:val="5E911F44"/>
    <w:rsid w:val="5E91597C"/>
    <w:rsid w:val="5EA90871"/>
    <w:rsid w:val="5EDF618C"/>
    <w:rsid w:val="5EE3414B"/>
    <w:rsid w:val="5EF07797"/>
    <w:rsid w:val="5EF65ECD"/>
    <w:rsid w:val="5EF723FF"/>
    <w:rsid w:val="5EF81330"/>
    <w:rsid w:val="5EFC20B3"/>
    <w:rsid w:val="5F0100AF"/>
    <w:rsid w:val="5F053010"/>
    <w:rsid w:val="5F141CB5"/>
    <w:rsid w:val="5F145DEE"/>
    <w:rsid w:val="5F5458EB"/>
    <w:rsid w:val="5F5A4056"/>
    <w:rsid w:val="5F5C225A"/>
    <w:rsid w:val="5F5F6BC4"/>
    <w:rsid w:val="5F6E0BB6"/>
    <w:rsid w:val="5F724CD6"/>
    <w:rsid w:val="5F791A0F"/>
    <w:rsid w:val="5F795309"/>
    <w:rsid w:val="5F7C00C5"/>
    <w:rsid w:val="5F90624D"/>
    <w:rsid w:val="5FAA3AFF"/>
    <w:rsid w:val="5FB473EB"/>
    <w:rsid w:val="5FBD0E72"/>
    <w:rsid w:val="5FC8406E"/>
    <w:rsid w:val="5FD52C11"/>
    <w:rsid w:val="5FEB236A"/>
    <w:rsid w:val="5FEF04C3"/>
    <w:rsid w:val="6010617A"/>
    <w:rsid w:val="60326087"/>
    <w:rsid w:val="60364F19"/>
    <w:rsid w:val="60470412"/>
    <w:rsid w:val="6051377B"/>
    <w:rsid w:val="6053261B"/>
    <w:rsid w:val="60641A95"/>
    <w:rsid w:val="608D7586"/>
    <w:rsid w:val="60907BC3"/>
    <w:rsid w:val="6094395C"/>
    <w:rsid w:val="60AB7A00"/>
    <w:rsid w:val="60C1321A"/>
    <w:rsid w:val="60C26E50"/>
    <w:rsid w:val="60C568F5"/>
    <w:rsid w:val="60C840B6"/>
    <w:rsid w:val="60D93467"/>
    <w:rsid w:val="60DA3431"/>
    <w:rsid w:val="60DC2D50"/>
    <w:rsid w:val="60DD4216"/>
    <w:rsid w:val="60E9528C"/>
    <w:rsid w:val="61117719"/>
    <w:rsid w:val="6113766F"/>
    <w:rsid w:val="6119535B"/>
    <w:rsid w:val="61256D26"/>
    <w:rsid w:val="6126426A"/>
    <w:rsid w:val="61320599"/>
    <w:rsid w:val="613D7883"/>
    <w:rsid w:val="614E4A12"/>
    <w:rsid w:val="615D2C4A"/>
    <w:rsid w:val="61925E90"/>
    <w:rsid w:val="619B67ED"/>
    <w:rsid w:val="61B23758"/>
    <w:rsid w:val="61B520CB"/>
    <w:rsid w:val="61B7475E"/>
    <w:rsid w:val="61B85363"/>
    <w:rsid w:val="61C75328"/>
    <w:rsid w:val="61C976FF"/>
    <w:rsid w:val="61CA264B"/>
    <w:rsid w:val="61D70DFC"/>
    <w:rsid w:val="61D9680D"/>
    <w:rsid w:val="61E4151D"/>
    <w:rsid w:val="61E5122B"/>
    <w:rsid w:val="61EB0147"/>
    <w:rsid w:val="61EE593F"/>
    <w:rsid w:val="61FE3558"/>
    <w:rsid w:val="62021A60"/>
    <w:rsid w:val="62122BED"/>
    <w:rsid w:val="623A2E38"/>
    <w:rsid w:val="623A6FFE"/>
    <w:rsid w:val="62606CEA"/>
    <w:rsid w:val="62640F9B"/>
    <w:rsid w:val="62751A14"/>
    <w:rsid w:val="627667D9"/>
    <w:rsid w:val="62800BBC"/>
    <w:rsid w:val="62810C98"/>
    <w:rsid w:val="62864B78"/>
    <w:rsid w:val="62B367AF"/>
    <w:rsid w:val="62C226EC"/>
    <w:rsid w:val="62C6071F"/>
    <w:rsid w:val="62C66431"/>
    <w:rsid w:val="62CE4776"/>
    <w:rsid w:val="62D02444"/>
    <w:rsid w:val="62DD126D"/>
    <w:rsid w:val="62E24CA7"/>
    <w:rsid w:val="63061CC4"/>
    <w:rsid w:val="630E6937"/>
    <w:rsid w:val="63135C09"/>
    <w:rsid w:val="632E1296"/>
    <w:rsid w:val="632E1496"/>
    <w:rsid w:val="63352116"/>
    <w:rsid w:val="633D24B0"/>
    <w:rsid w:val="634419C1"/>
    <w:rsid w:val="63441D44"/>
    <w:rsid w:val="635B7AF6"/>
    <w:rsid w:val="6360113A"/>
    <w:rsid w:val="636257C3"/>
    <w:rsid w:val="6362624B"/>
    <w:rsid w:val="636722C4"/>
    <w:rsid w:val="637067B4"/>
    <w:rsid w:val="639F1FDE"/>
    <w:rsid w:val="63B079EF"/>
    <w:rsid w:val="63B1555D"/>
    <w:rsid w:val="63B6017E"/>
    <w:rsid w:val="63B81766"/>
    <w:rsid w:val="63C26C73"/>
    <w:rsid w:val="63CB4836"/>
    <w:rsid w:val="63CD5CA1"/>
    <w:rsid w:val="63D03DB5"/>
    <w:rsid w:val="63D8600F"/>
    <w:rsid w:val="63DF56C4"/>
    <w:rsid w:val="63EC07C2"/>
    <w:rsid w:val="63F03F8D"/>
    <w:rsid w:val="64096C1E"/>
    <w:rsid w:val="641F3A19"/>
    <w:rsid w:val="64245231"/>
    <w:rsid w:val="642F1B48"/>
    <w:rsid w:val="642F579B"/>
    <w:rsid w:val="64365AB5"/>
    <w:rsid w:val="64377C2D"/>
    <w:rsid w:val="643C05A6"/>
    <w:rsid w:val="644B60ED"/>
    <w:rsid w:val="64637041"/>
    <w:rsid w:val="647B1409"/>
    <w:rsid w:val="648D1D82"/>
    <w:rsid w:val="64A5650A"/>
    <w:rsid w:val="64C631CE"/>
    <w:rsid w:val="64DD69E7"/>
    <w:rsid w:val="64E15641"/>
    <w:rsid w:val="65003392"/>
    <w:rsid w:val="6528030F"/>
    <w:rsid w:val="65281DD3"/>
    <w:rsid w:val="6535528C"/>
    <w:rsid w:val="654074CA"/>
    <w:rsid w:val="654416AF"/>
    <w:rsid w:val="654B053C"/>
    <w:rsid w:val="65526757"/>
    <w:rsid w:val="65602C75"/>
    <w:rsid w:val="65A45615"/>
    <w:rsid w:val="65A56185"/>
    <w:rsid w:val="65A60389"/>
    <w:rsid w:val="65A6675E"/>
    <w:rsid w:val="65A6692F"/>
    <w:rsid w:val="65E05465"/>
    <w:rsid w:val="65E840DD"/>
    <w:rsid w:val="65EE2E35"/>
    <w:rsid w:val="660967DC"/>
    <w:rsid w:val="660C5B17"/>
    <w:rsid w:val="6613149F"/>
    <w:rsid w:val="662C3B8C"/>
    <w:rsid w:val="664438B4"/>
    <w:rsid w:val="665D2780"/>
    <w:rsid w:val="665F653E"/>
    <w:rsid w:val="66683320"/>
    <w:rsid w:val="666F1DE3"/>
    <w:rsid w:val="66880D76"/>
    <w:rsid w:val="668B039B"/>
    <w:rsid w:val="669374CF"/>
    <w:rsid w:val="66981A45"/>
    <w:rsid w:val="66A8679E"/>
    <w:rsid w:val="66CB12ED"/>
    <w:rsid w:val="66DF32CF"/>
    <w:rsid w:val="66E03E96"/>
    <w:rsid w:val="66E401B8"/>
    <w:rsid w:val="66EA30A1"/>
    <w:rsid w:val="66F8249E"/>
    <w:rsid w:val="67067AB5"/>
    <w:rsid w:val="67084D16"/>
    <w:rsid w:val="672B7E52"/>
    <w:rsid w:val="672D4F56"/>
    <w:rsid w:val="67371FE2"/>
    <w:rsid w:val="67385E4C"/>
    <w:rsid w:val="675B463A"/>
    <w:rsid w:val="676705B3"/>
    <w:rsid w:val="67762842"/>
    <w:rsid w:val="678A2BAE"/>
    <w:rsid w:val="6796142E"/>
    <w:rsid w:val="67B53825"/>
    <w:rsid w:val="67B76ECC"/>
    <w:rsid w:val="67C279C8"/>
    <w:rsid w:val="67D43165"/>
    <w:rsid w:val="67E84832"/>
    <w:rsid w:val="67FB19F2"/>
    <w:rsid w:val="68076CE6"/>
    <w:rsid w:val="680D45C4"/>
    <w:rsid w:val="681A1C02"/>
    <w:rsid w:val="681A706F"/>
    <w:rsid w:val="681B5200"/>
    <w:rsid w:val="682008D2"/>
    <w:rsid w:val="682829FF"/>
    <w:rsid w:val="6848203A"/>
    <w:rsid w:val="685D5516"/>
    <w:rsid w:val="68644E62"/>
    <w:rsid w:val="68707848"/>
    <w:rsid w:val="689133B7"/>
    <w:rsid w:val="689A53DC"/>
    <w:rsid w:val="68A17E46"/>
    <w:rsid w:val="68C52952"/>
    <w:rsid w:val="68D74805"/>
    <w:rsid w:val="68DB3760"/>
    <w:rsid w:val="68E71AC4"/>
    <w:rsid w:val="68E97798"/>
    <w:rsid w:val="68EC30F4"/>
    <w:rsid w:val="68F02282"/>
    <w:rsid w:val="68F2368A"/>
    <w:rsid w:val="68F25B3B"/>
    <w:rsid w:val="68F64DE7"/>
    <w:rsid w:val="690470DA"/>
    <w:rsid w:val="69100C7E"/>
    <w:rsid w:val="691809A3"/>
    <w:rsid w:val="69224D72"/>
    <w:rsid w:val="69305CA8"/>
    <w:rsid w:val="69374B66"/>
    <w:rsid w:val="69397820"/>
    <w:rsid w:val="694721E0"/>
    <w:rsid w:val="694D0BC8"/>
    <w:rsid w:val="6951757E"/>
    <w:rsid w:val="695F1796"/>
    <w:rsid w:val="69692119"/>
    <w:rsid w:val="697362CF"/>
    <w:rsid w:val="69976B67"/>
    <w:rsid w:val="69A139C2"/>
    <w:rsid w:val="69BD01E4"/>
    <w:rsid w:val="69CB325A"/>
    <w:rsid w:val="69D27AF5"/>
    <w:rsid w:val="69D95B74"/>
    <w:rsid w:val="69F407AD"/>
    <w:rsid w:val="69F644CC"/>
    <w:rsid w:val="6A1A3862"/>
    <w:rsid w:val="6A2353BE"/>
    <w:rsid w:val="6A2522E9"/>
    <w:rsid w:val="6A442AF3"/>
    <w:rsid w:val="6A734D3D"/>
    <w:rsid w:val="6A7B239A"/>
    <w:rsid w:val="6A823C8D"/>
    <w:rsid w:val="6AA51551"/>
    <w:rsid w:val="6AB2260C"/>
    <w:rsid w:val="6AC04E32"/>
    <w:rsid w:val="6AD2290E"/>
    <w:rsid w:val="6AED5C30"/>
    <w:rsid w:val="6AF92F4D"/>
    <w:rsid w:val="6B0825BF"/>
    <w:rsid w:val="6B104250"/>
    <w:rsid w:val="6B226653"/>
    <w:rsid w:val="6B2E0438"/>
    <w:rsid w:val="6B37184B"/>
    <w:rsid w:val="6B383046"/>
    <w:rsid w:val="6B4D0C1B"/>
    <w:rsid w:val="6B601370"/>
    <w:rsid w:val="6B6A1AFF"/>
    <w:rsid w:val="6B6A7F90"/>
    <w:rsid w:val="6B6C14FB"/>
    <w:rsid w:val="6B7A48BB"/>
    <w:rsid w:val="6B7B357B"/>
    <w:rsid w:val="6B7E5C38"/>
    <w:rsid w:val="6B8A7D7E"/>
    <w:rsid w:val="6B8D54C1"/>
    <w:rsid w:val="6B9045C0"/>
    <w:rsid w:val="6BCD142C"/>
    <w:rsid w:val="6BCD7DFF"/>
    <w:rsid w:val="6BCF2A70"/>
    <w:rsid w:val="6BE823D5"/>
    <w:rsid w:val="6BEA5A68"/>
    <w:rsid w:val="6BF61704"/>
    <w:rsid w:val="6C042224"/>
    <w:rsid w:val="6C0A63C3"/>
    <w:rsid w:val="6C2216A6"/>
    <w:rsid w:val="6C472ABC"/>
    <w:rsid w:val="6C4B7004"/>
    <w:rsid w:val="6C5A5A5F"/>
    <w:rsid w:val="6C5B1EBD"/>
    <w:rsid w:val="6C6F2885"/>
    <w:rsid w:val="6C701643"/>
    <w:rsid w:val="6C733E2B"/>
    <w:rsid w:val="6C746882"/>
    <w:rsid w:val="6C7575F2"/>
    <w:rsid w:val="6C8D08A5"/>
    <w:rsid w:val="6C8E26E7"/>
    <w:rsid w:val="6C932A49"/>
    <w:rsid w:val="6C941D83"/>
    <w:rsid w:val="6CA052D0"/>
    <w:rsid w:val="6CB40E26"/>
    <w:rsid w:val="6CB550D0"/>
    <w:rsid w:val="6CCA5062"/>
    <w:rsid w:val="6CCD4BB0"/>
    <w:rsid w:val="6CCD70C9"/>
    <w:rsid w:val="6CD72490"/>
    <w:rsid w:val="6CEE6961"/>
    <w:rsid w:val="6CF85136"/>
    <w:rsid w:val="6D0914F3"/>
    <w:rsid w:val="6D1E02C7"/>
    <w:rsid w:val="6D2532FC"/>
    <w:rsid w:val="6D3E62CA"/>
    <w:rsid w:val="6D4516F4"/>
    <w:rsid w:val="6D517180"/>
    <w:rsid w:val="6D6253FC"/>
    <w:rsid w:val="6D812FF6"/>
    <w:rsid w:val="6D8D0D21"/>
    <w:rsid w:val="6D8E029C"/>
    <w:rsid w:val="6D9155DA"/>
    <w:rsid w:val="6D930CA7"/>
    <w:rsid w:val="6D9C6065"/>
    <w:rsid w:val="6DA1092A"/>
    <w:rsid w:val="6DAF18B3"/>
    <w:rsid w:val="6DB12CE1"/>
    <w:rsid w:val="6DB74357"/>
    <w:rsid w:val="6DBD1686"/>
    <w:rsid w:val="6DC97D73"/>
    <w:rsid w:val="6DCA1F25"/>
    <w:rsid w:val="6DD60019"/>
    <w:rsid w:val="6DD67B8B"/>
    <w:rsid w:val="6DD95352"/>
    <w:rsid w:val="6DF90DFC"/>
    <w:rsid w:val="6DFD4612"/>
    <w:rsid w:val="6E142F1D"/>
    <w:rsid w:val="6E1537A0"/>
    <w:rsid w:val="6E28207D"/>
    <w:rsid w:val="6E2D2FF9"/>
    <w:rsid w:val="6E5C309F"/>
    <w:rsid w:val="6E6A3607"/>
    <w:rsid w:val="6E6D696E"/>
    <w:rsid w:val="6E7853F6"/>
    <w:rsid w:val="6E825E5F"/>
    <w:rsid w:val="6E9C26BD"/>
    <w:rsid w:val="6E9C4B83"/>
    <w:rsid w:val="6EA73BFE"/>
    <w:rsid w:val="6EAF0B15"/>
    <w:rsid w:val="6EB760D5"/>
    <w:rsid w:val="6EB90E36"/>
    <w:rsid w:val="6EBC2580"/>
    <w:rsid w:val="6EBE36CF"/>
    <w:rsid w:val="6ECB10CA"/>
    <w:rsid w:val="6EE07BD2"/>
    <w:rsid w:val="6EF81299"/>
    <w:rsid w:val="6F0B400A"/>
    <w:rsid w:val="6F0C0630"/>
    <w:rsid w:val="6F103D8D"/>
    <w:rsid w:val="6F162F5F"/>
    <w:rsid w:val="6F1B7CE3"/>
    <w:rsid w:val="6F2D369B"/>
    <w:rsid w:val="6F3972B7"/>
    <w:rsid w:val="6F3F3E33"/>
    <w:rsid w:val="6F455CC3"/>
    <w:rsid w:val="6F476B4F"/>
    <w:rsid w:val="6F4B2CC1"/>
    <w:rsid w:val="6F4E18C9"/>
    <w:rsid w:val="6F5E2D51"/>
    <w:rsid w:val="6F786B62"/>
    <w:rsid w:val="6F79609F"/>
    <w:rsid w:val="6FA505FC"/>
    <w:rsid w:val="6FA62621"/>
    <w:rsid w:val="6FA76A73"/>
    <w:rsid w:val="6FB715E2"/>
    <w:rsid w:val="6FCB7806"/>
    <w:rsid w:val="6FD1742E"/>
    <w:rsid w:val="6FD7471C"/>
    <w:rsid w:val="6FDE6B6E"/>
    <w:rsid w:val="6FDF026D"/>
    <w:rsid w:val="6FDF4EEF"/>
    <w:rsid w:val="6FEA399E"/>
    <w:rsid w:val="7006096B"/>
    <w:rsid w:val="701641A2"/>
    <w:rsid w:val="70283FC3"/>
    <w:rsid w:val="702C16AA"/>
    <w:rsid w:val="70340726"/>
    <w:rsid w:val="704020FA"/>
    <w:rsid w:val="704D1D0F"/>
    <w:rsid w:val="705D3281"/>
    <w:rsid w:val="70633D0A"/>
    <w:rsid w:val="70707670"/>
    <w:rsid w:val="70742502"/>
    <w:rsid w:val="708E545B"/>
    <w:rsid w:val="7092119B"/>
    <w:rsid w:val="709A4377"/>
    <w:rsid w:val="70B4621D"/>
    <w:rsid w:val="70BC6081"/>
    <w:rsid w:val="70BF66DA"/>
    <w:rsid w:val="70C75131"/>
    <w:rsid w:val="70C85F1F"/>
    <w:rsid w:val="70D067FD"/>
    <w:rsid w:val="70EE40E5"/>
    <w:rsid w:val="7101398C"/>
    <w:rsid w:val="71026B11"/>
    <w:rsid w:val="710D2A72"/>
    <w:rsid w:val="712343F2"/>
    <w:rsid w:val="714A38FD"/>
    <w:rsid w:val="715D1B55"/>
    <w:rsid w:val="71616006"/>
    <w:rsid w:val="71693683"/>
    <w:rsid w:val="7179160D"/>
    <w:rsid w:val="71A755DB"/>
    <w:rsid w:val="71AF3F93"/>
    <w:rsid w:val="71C0422E"/>
    <w:rsid w:val="71D310CC"/>
    <w:rsid w:val="71E93A9B"/>
    <w:rsid w:val="71EA22FB"/>
    <w:rsid w:val="71EC3D52"/>
    <w:rsid w:val="71EF4705"/>
    <w:rsid w:val="71FA3BFD"/>
    <w:rsid w:val="720A3657"/>
    <w:rsid w:val="720C2385"/>
    <w:rsid w:val="720C432D"/>
    <w:rsid w:val="72123494"/>
    <w:rsid w:val="72292596"/>
    <w:rsid w:val="722D3F3D"/>
    <w:rsid w:val="723135AB"/>
    <w:rsid w:val="72361824"/>
    <w:rsid w:val="724E5212"/>
    <w:rsid w:val="72536EB7"/>
    <w:rsid w:val="725670EA"/>
    <w:rsid w:val="726915C0"/>
    <w:rsid w:val="726919E2"/>
    <w:rsid w:val="72744231"/>
    <w:rsid w:val="727B5A5F"/>
    <w:rsid w:val="72980536"/>
    <w:rsid w:val="729F1849"/>
    <w:rsid w:val="72A1490C"/>
    <w:rsid w:val="72A72BE7"/>
    <w:rsid w:val="72AB763D"/>
    <w:rsid w:val="72B14141"/>
    <w:rsid w:val="72D27424"/>
    <w:rsid w:val="72DC0AE9"/>
    <w:rsid w:val="73014E99"/>
    <w:rsid w:val="73016B90"/>
    <w:rsid w:val="730F3052"/>
    <w:rsid w:val="73125FD0"/>
    <w:rsid w:val="73131D48"/>
    <w:rsid w:val="73142AB6"/>
    <w:rsid w:val="732008CD"/>
    <w:rsid w:val="73245BD7"/>
    <w:rsid w:val="73371CF2"/>
    <w:rsid w:val="735F23C9"/>
    <w:rsid w:val="73615932"/>
    <w:rsid w:val="73721EA0"/>
    <w:rsid w:val="73747590"/>
    <w:rsid w:val="737978DD"/>
    <w:rsid w:val="737F260B"/>
    <w:rsid w:val="738877C9"/>
    <w:rsid w:val="73903103"/>
    <w:rsid w:val="739554FD"/>
    <w:rsid w:val="73A80AF8"/>
    <w:rsid w:val="73BA3498"/>
    <w:rsid w:val="73C211D9"/>
    <w:rsid w:val="73D07467"/>
    <w:rsid w:val="73E442FD"/>
    <w:rsid w:val="73EF6311"/>
    <w:rsid w:val="7405670D"/>
    <w:rsid w:val="74056904"/>
    <w:rsid w:val="743943FD"/>
    <w:rsid w:val="743A2140"/>
    <w:rsid w:val="74583985"/>
    <w:rsid w:val="74671085"/>
    <w:rsid w:val="7469541B"/>
    <w:rsid w:val="747545F3"/>
    <w:rsid w:val="747B7229"/>
    <w:rsid w:val="748D1056"/>
    <w:rsid w:val="749B419D"/>
    <w:rsid w:val="74B35591"/>
    <w:rsid w:val="74BE1A94"/>
    <w:rsid w:val="74C524D5"/>
    <w:rsid w:val="74C94FAB"/>
    <w:rsid w:val="74CC07F7"/>
    <w:rsid w:val="74CD1008"/>
    <w:rsid w:val="74CD466E"/>
    <w:rsid w:val="74CE1152"/>
    <w:rsid w:val="74D70892"/>
    <w:rsid w:val="74F4582E"/>
    <w:rsid w:val="750B1136"/>
    <w:rsid w:val="751A7EE5"/>
    <w:rsid w:val="75220361"/>
    <w:rsid w:val="75271B85"/>
    <w:rsid w:val="752D4797"/>
    <w:rsid w:val="752F1B10"/>
    <w:rsid w:val="75302430"/>
    <w:rsid w:val="75365D86"/>
    <w:rsid w:val="7542366D"/>
    <w:rsid w:val="75434ADF"/>
    <w:rsid w:val="754C32EF"/>
    <w:rsid w:val="75584003"/>
    <w:rsid w:val="75631673"/>
    <w:rsid w:val="75700B9D"/>
    <w:rsid w:val="75712478"/>
    <w:rsid w:val="75767E3F"/>
    <w:rsid w:val="75797B36"/>
    <w:rsid w:val="75835B51"/>
    <w:rsid w:val="75997497"/>
    <w:rsid w:val="75B712DB"/>
    <w:rsid w:val="75BA14A4"/>
    <w:rsid w:val="75CA4DF3"/>
    <w:rsid w:val="75CB2C18"/>
    <w:rsid w:val="75D50D07"/>
    <w:rsid w:val="75F42270"/>
    <w:rsid w:val="76103E16"/>
    <w:rsid w:val="76116C35"/>
    <w:rsid w:val="76150692"/>
    <w:rsid w:val="7626048C"/>
    <w:rsid w:val="76371473"/>
    <w:rsid w:val="7640737E"/>
    <w:rsid w:val="764A70D7"/>
    <w:rsid w:val="764D6766"/>
    <w:rsid w:val="76504F0F"/>
    <w:rsid w:val="765171D8"/>
    <w:rsid w:val="76713593"/>
    <w:rsid w:val="767B1AD1"/>
    <w:rsid w:val="76804AB5"/>
    <w:rsid w:val="76806A00"/>
    <w:rsid w:val="76845213"/>
    <w:rsid w:val="768F16E6"/>
    <w:rsid w:val="76954024"/>
    <w:rsid w:val="769E7DAB"/>
    <w:rsid w:val="769E7FF5"/>
    <w:rsid w:val="76BE1FCB"/>
    <w:rsid w:val="76BF24DE"/>
    <w:rsid w:val="76C02839"/>
    <w:rsid w:val="76CD57CE"/>
    <w:rsid w:val="76EE0585"/>
    <w:rsid w:val="76F62789"/>
    <w:rsid w:val="76F67243"/>
    <w:rsid w:val="77004AF4"/>
    <w:rsid w:val="770551D1"/>
    <w:rsid w:val="77112FEB"/>
    <w:rsid w:val="771F15FE"/>
    <w:rsid w:val="77296E5B"/>
    <w:rsid w:val="774B2E4F"/>
    <w:rsid w:val="77591A23"/>
    <w:rsid w:val="77596CD6"/>
    <w:rsid w:val="77675DE6"/>
    <w:rsid w:val="776B1342"/>
    <w:rsid w:val="776F3B87"/>
    <w:rsid w:val="777B6495"/>
    <w:rsid w:val="77843D52"/>
    <w:rsid w:val="77984799"/>
    <w:rsid w:val="779B724B"/>
    <w:rsid w:val="779D6649"/>
    <w:rsid w:val="77BB7A93"/>
    <w:rsid w:val="77C50867"/>
    <w:rsid w:val="77CF02CF"/>
    <w:rsid w:val="77CF6588"/>
    <w:rsid w:val="77E32435"/>
    <w:rsid w:val="77ED1461"/>
    <w:rsid w:val="77F47058"/>
    <w:rsid w:val="77F8249A"/>
    <w:rsid w:val="77FD01ED"/>
    <w:rsid w:val="781A07A8"/>
    <w:rsid w:val="781B77CB"/>
    <w:rsid w:val="78305249"/>
    <w:rsid w:val="783E36BD"/>
    <w:rsid w:val="78442083"/>
    <w:rsid w:val="784422A3"/>
    <w:rsid w:val="784907D0"/>
    <w:rsid w:val="784C3D32"/>
    <w:rsid w:val="784F1CCD"/>
    <w:rsid w:val="78520C3F"/>
    <w:rsid w:val="78634C1B"/>
    <w:rsid w:val="786A3170"/>
    <w:rsid w:val="787769DB"/>
    <w:rsid w:val="787F7F5D"/>
    <w:rsid w:val="78867782"/>
    <w:rsid w:val="7888534D"/>
    <w:rsid w:val="78885BD6"/>
    <w:rsid w:val="788A6E6D"/>
    <w:rsid w:val="78916E3B"/>
    <w:rsid w:val="7897352B"/>
    <w:rsid w:val="78AA5AED"/>
    <w:rsid w:val="78AE276F"/>
    <w:rsid w:val="78B42725"/>
    <w:rsid w:val="78CF6381"/>
    <w:rsid w:val="78D20DEC"/>
    <w:rsid w:val="78E7022D"/>
    <w:rsid w:val="78F06998"/>
    <w:rsid w:val="78F97A52"/>
    <w:rsid w:val="78FC5985"/>
    <w:rsid w:val="790459D4"/>
    <w:rsid w:val="791530A5"/>
    <w:rsid w:val="79221ACD"/>
    <w:rsid w:val="792A6E9D"/>
    <w:rsid w:val="792D3C1F"/>
    <w:rsid w:val="794302FC"/>
    <w:rsid w:val="7946448F"/>
    <w:rsid w:val="795013C6"/>
    <w:rsid w:val="795A09C1"/>
    <w:rsid w:val="795F1B2D"/>
    <w:rsid w:val="797B2DA6"/>
    <w:rsid w:val="79857C4E"/>
    <w:rsid w:val="798E26DB"/>
    <w:rsid w:val="799851AE"/>
    <w:rsid w:val="79AF30EA"/>
    <w:rsid w:val="79B713F5"/>
    <w:rsid w:val="79BC0673"/>
    <w:rsid w:val="79BE4BAA"/>
    <w:rsid w:val="79D53D08"/>
    <w:rsid w:val="79FD4EAF"/>
    <w:rsid w:val="7A221F30"/>
    <w:rsid w:val="7A245A05"/>
    <w:rsid w:val="7A2E4784"/>
    <w:rsid w:val="7A440CF1"/>
    <w:rsid w:val="7A51253F"/>
    <w:rsid w:val="7A5945E3"/>
    <w:rsid w:val="7A5D3456"/>
    <w:rsid w:val="7A5D61CD"/>
    <w:rsid w:val="7A5E7D4D"/>
    <w:rsid w:val="7A697EBD"/>
    <w:rsid w:val="7A89551C"/>
    <w:rsid w:val="7A95625B"/>
    <w:rsid w:val="7A9638DD"/>
    <w:rsid w:val="7A964913"/>
    <w:rsid w:val="7AAA11E4"/>
    <w:rsid w:val="7AAC0B30"/>
    <w:rsid w:val="7AAE2488"/>
    <w:rsid w:val="7AB97B90"/>
    <w:rsid w:val="7ABE2599"/>
    <w:rsid w:val="7ADB2209"/>
    <w:rsid w:val="7ADD231B"/>
    <w:rsid w:val="7AE05908"/>
    <w:rsid w:val="7AF16292"/>
    <w:rsid w:val="7AF67779"/>
    <w:rsid w:val="7AFD47DA"/>
    <w:rsid w:val="7B010E4B"/>
    <w:rsid w:val="7B037A39"/>
    <w:rsid w:val="7B133A4F"/>
    <w:rsid w:val="7B170DF8"/>
    <w:rsid w:val="7B1717C9"/>
    <w:rsid w:val="7B310C29"/>
    <w:rsid w:val="7B396E35"/>
    <w:rsid w:val="7B4B4433"/>
    <w:rsid w:val="7B6A3DF4"/>
    <w:rsid w:val="7B700809"/>
    <w:rsid w:val="7B712812"/>
    <w:rsid w:val="7B8A5BF2"/>
    <w:rsid w:val="7B913F02"/>
    <w:rsid w:val="7B9A3EC6"/>
    <w:rsid w:val="7B9B7DC8"/>
    <w:rsid w:val="7B9E291C"/>
    <w:rsid w:val="7B9E2B0E"/>
    <w:rsid w:val="7BC260B9"/>
    <w:rsid w:val="7BD007D6"/>
    <w:rsid w:val="7BD01D9C"/>
    <w:rsid w:val="7BDB7E43"/>
    <w:rsid w:val="7BE23213"/>
    <w:rsid w:val="7BEB32A0"/>
    <w:rsid w:val="7BEB34DB"/>
    <w:rsid w:val="7BEC26F9"/>
    <w:rsid w:val="7BEF30E0"/>
    <w:rsid w:val="7BF12E4E"/>
    <w:rsid w:val="7BFC106B"/>
    <w:rsid w:val="7C0D0619"/>
    <w:rsid w:val="7C112ED8"/>
    <w:rsid w:val="7C270EF8"/>
    <w:rsid w:val="7C3649FC"/>
    <w:rsid w:val="7C3809D6"/>
    <w:rsid w:val="7C4A4532"/>
    <w:rsid w:val="7C5B4759"/>
    <w:rsid w:val="7C6465A3"/>
    <w:rsid w:val="7C6E7D15"/>
    <w:rsid w:val="7C705B15"/>
    <w:rsid w:val="7C767A9C"/>
    <w:rsid w:val="7CB26565"/>
    <w:rsid w:val="7CB767EF"/>
    <w:rsid w:val="7CF130FA"/>
    <w:rsid w:val="7CFB252B"/>
    <w:rsid w:val="7CFC380D"/>
    <w:rsid w:val="7D0F2244"/>
    <w:rsid w:val="7D122927"/>
    <w:rsid w:val="7D155A92"/>
    <w:rsid w:val="7D1B480B"/>
    <w:rsid w:val="7D1D34B3"/>
    <w:rsid w:val="7D2C6EAF"/>
    <w:rsid w:val="7D3D6515"/>
    <w:rsid w:val="7D652012"/>
    <w:rsid w:val="7D7504F2"/>
    <w:rsid w:val="7D7A30EF"/>
    <w:rsid w:val="7D7E2937"/>
    <w:rsid w:val="7D8C1153"/>
    <w:rsid w:val="7DCC1C19"/>
    <w:rsid w:val="7DCD2948"/>
    <w:rsid w:val="7DE815DC"/>
    <w:rsid w:val="7DED1B13"/>
    <w:rsid w:val="7DFF1EEC"/>
    <w:rsid w:val="7E006343"/>
    <w:rsid w:val="7E523131"/>
    <w:rsid w:val="7E5E2A54"/>
    <w:rsid w:val="7E69339B"/>
    <w:rsid w:val="7E6B6A26"/>
    <w:rsid w:val="7E6E029E"/>
    <w:rsid w:val="7E6E67C6"/>
    <w:rsid w:val="7E7E0B2F"/>
    <w:rsid w:val="7E822E76"/>
    <w:rsid w:val="7E82620A"/>
    <w:rsid w:val="7E8A7D30"/>
    <w:rsid w:val="7E9029E2"/>
    <w:rsid w:val="7EA475C3"/>
    <w:rsid w:val="7EC801CA"/>
    <w:rsid w:val="7ED0114D"/>
    <w:rsid w:val="7EE378B4"/>
    <w:rsid w:val="7F0C291C"/>
    <w:rsid w:val="7F111F0A"/>
    <w:rsid w:val="7F1F3E3D"/>
    <w:rsid w:val="7F2059D2"/>
    <w:rsid w:val="7F355145"/>
    <w:rsid w:val="7F400355"/>
    <w:rsid w:val="7F47061E"/>
    <w:rsid w:val="7F47281E"/>
    <w:rsid w:val="7F491A74"/>
    <w:rsid w:val="7F492DD9"/>
    <w:rsid w:val="7F545082"/>
    <w:rsid w:val="7F617D5D"/>
    <w:rsid w:val="7F745FC2"/>
    <w:rsid w:val="7F751C63"/>
    <w:rsid w:val="7F7A1229"/>
    <w:rsid w:val="7F807535"/>
    <w:rsid w:val="7F8652FA"/>
    <w:rsid w:val="7F8A18BE"/>
    <w:rsid w:val="7F8C6E6D"/>
    <w:rsid w:val="7FD262A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360" w:firstLine="360"/>
    </w:pPr>
  </w:style>
  <w:style w:type="paragraph" w:styleId="3">
    <w:name w:val="Body Text Indent"/>
    <w:basedOn w:val="1"/>
    <w:next w:val="4"/>
    <w:link w:val="23"/>
    <w:qFormat/>
    <w:uiPriority w:val="0"/>
    <w:pPr>
      <w:spacing w:after="120"/>
      <w:ind w:left="420" w:leftChars="200"/>
    </w:pPr>
    <w:rPr>
      <w:kern w:val="0"/>
      <w:sz w:val="20"/>
      <w:szCs w:val="21"/>
    </w:rPr>
  </w:style>
  <w:style w:type="paragraph" w:styleId="4">
    <w:name w:val="Normal Indent"/>
    <w:basedOn w:val="1"/>
    <w:unhideWhenUsed/>
    <w:qFormat/>
    <w:uiPriority w:val="99"/>
    <w:pPr>
      <w:ind w:firstLine="420" w:firstLineChars="200"/>
    </w:pPr>
  </w:style>
  <w:style w:type="paragraph" w:styleId="5">
    <w:name w:val="Body Text"/>
    <w:basedOn w:val="1"/>
    <w:next w:val="1"/>
    <w:unhideWhenUsed/>
    <w:qFormat/>
    <w:uiPriority w:val="99"/>
    <w:pPr>
      <w:spacing w:before="120" w:after="120"/>
    </w:pPr>
  </w:style>
  <w:style w:type="paragraph" w:styleId="8">
    <w:name w:val="annotation subject"/>
    <w:basedOn w:val="9"/>
    <w:next w:val="9"/>
    <w:link w:val="32"/>
    <w:qFormat/>
    <w:uiPriority w:val="0"/>
    <w:rPr>
      <w:b/>
      <w:bCs/>
    </w:rPr>
  </w:style>
  <w:style w:type="paragraph" w:styleId="9">
    <w:name w:val="annotation text"/>
    <w:basedOn w:val="1"/>
    <w:link w:val="27"/>
    <w:qFormat/>
    <w:uiPriority w:val="0"/>
    <w:pPr>
      <w:jc w:val="left"/>
    </w:pPr>
  </w:style>
  <w:style w:type="paragraph" w:styleId="10">
    <w:name w:val="Document Map"/>
    <w:basedOn w:val="1"/>
    <w:link w:val="26"/>
    <w:qFormat/>
    <w:uiPriority w:val="0"/>
    <w:rPr>
      <w:rFonts w:ascii="宋体"/>
      <w:sz w:val="18"/>
      <w:szCs w:val="18"/>
    </w:rPr>
  </w:style>
  <w:style w:type="paragraph" w:styleId="11">
    <w:name w:val="Block Text"/>
    <w:basedOn w:val="1"/>
    <w:qFormat/>
    <w:uiPriority w:val="0"/>
    <w:pPr>
      <w:widowControl/>
      <w:ind w:left="-929" w:leftChars="-387" w:right="-751" w:rightChars="-313"/>
      <w:jc w:val="left"/>
    </w:pPr>
    <w:rPr>
      <w:rFonts w:ascii="宋体" w:hAnsi="宋体"/>
      <w:kern w:val="0"/>
    </w:rPr>
  </w:style>
  <w:style w:type="paragraph" w:styleId="12">
    <w:name w:val="Balloon Text"/>
    <w:basedOn w:val="1"/>
    <w:link w:val="28"/>
    <w:unhideWhenUsed/>
    <w:qFormat/>
    <w:uiPriority w:val="0"/>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rPr>
      <w:sz w:val="24"/>
    </w:rPr>
  </w:style>
  <w:style w:type="paragraph" w:styleId="16">
    <w:name w:val="Title"/>
    <w:basedOn w:val="1"/>
    <w:next w:val="1"/>
    <w:link w:val="31"/>
    <w:qFormat/>
    <w:uiPriority w:val="0"/>
    <w:pPr>
      <w:spacing w:before="240" w:after="60"/>
      <w:jc w:val="center"/>
      <w:outlineLvl w:val="0"/>
    </w:pPr>
    <w:rPr>
      <w:rFonts w:ascii="Cambria" w:hAnsi="Cambria" w:eastAsia="楷体_GB2312"/>
      <w:b/>
      <w:bCs/>
      <w:kern w:val="0"/>
      <w:sz w:val="32"/>
      <w:szCs w:val="32"/>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3">
    <w:name w:val="正文文本缩进 字符1"/>
    <w:link w:val="3"/>
    <w:qFormat/>
    <w:uiPriority w:val="0"/>
    <w:rPr>
      <w:rFonts w:ascii="Times New Roman" w:hAnsi="Times New Roman" w:eastAsia="宋体" w:cs="Times New Roman"/>
      <w:szCs w:val="21"/>
    </w:rPr>
  </w:style>
  <w:style w:type="character" w:customStyle="1" w:styleId="24">
    <w:name w:val="标题 1 字符"/>
    <w:link w:val="6"/>
    <w:qFormat/>
    <w:uiPriority w:val="0"/>
    <w:rPr>
      <w:rFonts w:ascii="Times New Roman" w:hAnsi="Times New Roman" w:eastAsia="宋体" w:cs="Times New Roman"/>
      <w:b/>
      <w:bCs/>
      <w:kern w:val="44"/>
      <w:sz w:val="44"/>
      <w:szCs w:val="44"/>
    </w:rPr>
  </w:style>
  <w:style w:type="character" w:customStyle="1" w:styleId="25">
    <w:name w:val="标题 3 字符"/>
    <w:link w:val="7"/>
    <w:qFormat/>
    <w:uiPriority w:val="0"/>
    <w:rPr>
      <w:rFonts w:ascii="Times New Roman" w:hAnsi="Times New Roman" w:eastAsia="宋体" w:cs="Times New Roman"/>
      <w:b/>
      <w:bCs/>
      <w:sz w:val="32"/>
      <w:szCs w:val="32"/>
    </w:rPr>
  </w:style>
  <w:style w:type="character" w:customStyle="1" w:styleId="26">
    <w:name w:val="文档结构图 字符"/>
    <w:link w:val="10"/>
    <w:qFormat/>
    <w:uiPriority w:val="0"/>
    <w:rPr>
      <w:rFonts w:ascii="宋体" w:hAnsi="Times New Roman" w:eastAsia="宋体" w:cs="Times New Roman"/>
      <w:sz w:val="18"/>
      <w:szCs w:val="18"/>
    </w:rPr>
  </w:style>
  <w:style w:type="character" w:customStyle="1" w:styleId="27">
    <w:name w:val="批注文字 字符"/>
    <w:link w:val="9"/>
    <w:qFormat/>
    <w:uiPriority w:val="0"/>
    <w:rPr>
      <w:rFonts w:ascii="Times New Roman" w:hAnsi="Times New Roman" w:eastAsia="宋体" w:cs="Times New Roman"/>
      <w:szCs w:val="24"/>
    </w:rPr>
  </w:style>
  <w:style w:type="character" w:customStyle="1" w:styleId="28">
    <w:name w:val="批注框文本 字符"/>
    <w:link w:val="12"/>
    <w:semiHidden/>
    <w:qFormat/>
    <w:uiPriority w:val="99"/>
    <w:rPr>
      <w:rFonts w:ascii="Times New Roman" w:hAnsi="Times New Roman" w:eastAsia="宋体" w:cs="Times New Roman"/>
      <w:sz w:val="18"/>
      <w:szCs w:val="18"/>
    </w:rPr>
  </w:style>
  <w:style w:type="character" w:customStyle="1" w:styleId="29">
    <w:name w:val="页脚 字符"/>
    <w:link w:val="13"/>
    <w:qFormat/>
    <w:uiPriority w:val="99"/>
    <w:rPr>
      <w:rFonts w:ascii="Times New Roman" w:hAnsi="Times New Roman" w:eastAsia="宋体" w:cs="Times New Roman"/>
      <w:sz w:val="18"/>
      <w:szCs w:val="18"/>
    </w:rPr>
  </w:style>
  <w:style w:type="character" w:customStyle="1" w:styleId="30">
    <w:name w:val="页眉 字符"/>
    <w:link w:val="14"/>
    <w:qFormat/>
    <w:uiPriority w:val="0"/>
    <w:rPr>
      <w:rFonts w:ascii="Times New Roman" w:hAnsi="Times New Roman" w:eastAsia="宋体" w:cs="Times New Roman"/>
      <w:sz w:val="18"/>
      <w:szCs w:val="18"/>
    </w:rPr>
  </w:style>
  <w:style w:type="character" w:customStyle="1" w:styleId="31">
    <w:name w:val="标题 字符"/>
    <w:link w:val="16"/>
    <w:qFormat/>
    <w:uiPriority w:val="0"/>
    <w:rPr>
      <w:rFonts w:ascii="Cambria" w:hAnsi="Cambria" w:eastAsia="楷体_GB2312" w:cs="Times New Roman"/>
      <w:b/>
      <w:bCs/>
      <w:kern w:val="0"/>
      <w:sz w:val="32"/>
      <w:szCs w:val="32"/>
    </w:rPr>
  </w:style>
  <w:style w:type="character" w:customStyle="1" w:styleId="32">
    <w:name w:val="批注主题 字符"/>
    <w:link w:val="8"/>
    <w:qFormat/>
    <w:uiPriority w:val="0"/>
    <w:rPr>
      <w:rFonts w:ascii="Times New Roman" w:hAnsi="Times New Roman" w:eastAsia="宋体" w:cs="Times New Roman"/>
      <w:b/>
      <w:bCs/>
      <w:szCs w:val="24"/>
    </w:rPr>
  </w:style>
  <w:style w:type="character" w:customStyle="1" w:styleId="33">
    <w:name w:val="页眉 Char1"/>
    <w:qFormat/>
    <w:locked/>
    <w:uiPriority w:val="99"/>
    <w:rPr>
      <w:rFonts w:cs="Times New Roman"/>
      <w:sz w:val="18"/>
      <w:szCs w:val="18"/>
    </w:rPr>
  </w:style>
  <w:style w:type="character" w:customStyle="1" w:styleId="34">
    <w:name w:val="正文文本缩进 字符"/>
    <w:semiHidden/>
    <w:qFormat/>
    <w:uiPriority w:val="99"/>
    <w:rPr>
      <w:rFonts w:ascii="Times New Roman" w:hAnsi="Times New Roman" w:eastAsia="宋体" w:cs="Times New Roman"/>
      <w:szCs w:val="24"/>
    </w:rPr>
  </w:style>
  <w:style w:type="character" w:customStyle="1" w:styleId="35">
    <w:name w:val="页脚 Char"/>
    <w:qFormat/>
    <w:locked/>
    <w:uiPriority w:val="99"/>
    <w:rPr>
      <w:rFonts w:cs="Times New Roman"/>
      <w:sz w:val="18"/>
      <w:szCs w:val="18"/>
    </w:rPr>
  </w:style>
  <w:style w:type="paragraph" w:customStyle="1" w:styleId="36">
    <w:name w:val="p0"/>
    <w:basedOn w:val="1"/>
    <w:qFormat/>
    <w:uiPriority w:val="0"/>
    <w:pPr>
      <w:widowControl/>
    </w:pPr>
    <w:rPr>
      <w:kern w:val="0"/>
      <w:szCs w:val="21"/>
    </w:rPr>
  </w:style>
  <w:style w:type="paragraph" w:customStyle="1" w:styleId="3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Char Char Char Char Char Char Char"/>
    <w:basedOn w:val="1"/>
    <w:qFormat/>
    <w:uiPriority w:val="0"/>
    <w:rPr>
      <w:rFonts w:ascii="Tahoma" w:hAnsi="Tahoma"/>
      <w:sz w:val="24"/>
      <w:szCs w:val="20"/>
    </w:rPr>
  </w:style>
  <w:style w:type="paragraph" w:customStyle="1" w:styleId="39">
    <w:name w:val="列出段落3"/>
    <w:basedOn w:val="1"/>
    <w:qFormat/>
    <w:uiPriority w:val="34"/>
    <w:pPr>
      <w:ind w:firstLine="420" w:firstLineChars="200"/>
    </w:pPr>
  </w:style>
  <w:style w:type="paragraph" w:customStyle="1" w:styleId="40">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2"/>
    <w:basedOn w:val="1"/>
    <w:qFormat/>
    <w:uiPriority w:val="34"/>
    <w:pPr>
      <w:ind w:firstLine="420" w:firstLineChars="200"/>
    </w:pPr>
  </w:style>
  <w:style w:type="paragraph" w:customStyle="1" w:styleId="43">
    <w:name w:val="特点"/>
    <w:basedOn w:val="1"/>
    <w:next w:val="3"/>
    <w:qFormat/>
    <w:uiPriority w:val="0"/>
    <w:pPr>
      <w:spacing w:line="300" w:lineRule="exact"/>
      <w:ind w:right="26" w:firstLine="435"/>
    </w:pPr>
    <w:rPr>
      <w:rFonts w:eastAsia="黑体"/>
      <w:sz w:val="18"/>
    </w:rPr>
  </w:style>
  <w:style w:type="paragraph" w:customStyle="1" w:styleId="44">
    <w:name w:val="_Style 42"/>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列出段落4"/>
    <w:basedOn w:val="1"/>
    <w:qFormat/>
    <w:uiPriority w:val="34"/>
    <w:pPr>
      <w:ind w:firstLine="420" w:firstLineChars="200"/>
    </w:pPr>
  </w:style>
  <w:style w:type="paragraph" w:customStyle="1" w:styleId="46">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25101</Words>
  <Characters>25825</Characters>
  <Lines>305</Lines>
  <Paragraphs>86</Paragraphs>
  <TotalTime>0</TotalTime>
  <ScaleCrop>false</ScaleCrop>
  <LinksUpToDate>false</LinksUpToDate>
  <CharactersWithSpaces>25943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2023-09-25T11:21:00Z</dcterms:created>
  <dc:creator>Song Cangnan</dc:creator>
  <cp:lastModifiedBy>沈兹玖_产品管理部</cp:lastModifiedBy>
  <cp:lastPrinted>2023-09-05T03:59:00Z</cp:lastPrinted>
  <dcterms:modified xsi:type="dcterms:W3CDTF">2025-08-08T01:20:50Z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165C362AC56A45AB82A6154971FE9852</vt:lpwstr>
  </property>
</Properties>
</file>