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rPr>
        <w:t>北银理财</w:t>
      </w:r>
      <w:r>
        <w:rPr>
          <w:rFonts w:hint="eastAsia" w:ascii="黑体" w:hAnsi="Times New Roman" w:eastAsia="黑体" w:cs="Times New Roman"/>
          <w:b/>
          <w:bCs/>
          <w:color w:val="000000"/>
          <w:sz w:val="30"/>
          <w:szCs w:val="30"/>
          <w:highlight w:val="none"/>
          <w:lang w:val="en-US" w:eastAsia="zh-CN"/>
        </w:rPr>
        <w:t>京华远见春系列易淘金3号现金管理类</w:t>
      </w:r>
      <w:r>
        <w:rPr>
          <w:rFonts w:hint="eastAsia" w:ascii="黑体" w:eastAsia="黑体"/>
          <w:b/>
          <w:bCs/>
          <w:color w:val="000000"/>
          <w:sz w:val="30"/>
          <w:szCs w:val="30"/>
          <w:highlight w:val="none"/>
        </w:rPr>
        <w:t>理财产品</w:t>
      </w:r>
    </w:p>
    <w:p>
      <w:pPr>
        <w:tabs>
          <w:tab w:val="left" w:pos="915"/>
          <w:tab w:val="center" w:pos="5273"/>
        </w:tabs>
        <w:spacing w:before="50"/>
        <w:jc w:val="center"/>
        <w:rPr>
          <w:rFonts w:ascii="黑体" w:eastAsia="黑体"/>
          <w:bCs/>
          <w:color w:val="000000"/>
          <w:sz w:val="30"/>
          <w:szCs w:val="30"/>
          <w:highlight w:val="none"/>
        </w:rPr>
      </w:pPr>
      <w:r>
        <w:rPr>
          <w:rFonts w:hint="eastAsia" w:ascii="黑体" w:eastAsia="黑体"/>
          <w:b/>
          <w:bCs/>
          <w:color w:val="auto"/>
          <w:sz w:val="30"/>
          <w:szCs w:val="30"/>
          <w:highlight w:val="none"/>
          <w:lang w:val="en-US" w:eastAsia="zh-CN"/>
        </w:rPr>
        <w:t>理财产品</w:t>
      </w:r>
      <w:r>
        <w:rPr>
          <w:rFonts w:hint="eastAsia" w:ascii="黑体" w:eastAsia="黑体"/>
          <w:b/>
          <w:bCs/>
          <w:color w:val="auto"/>
          <w:sz w:val="30"/>
          <w:szCs w:val="30"/>
          <w:highlight w:val="none"/>
        </w:rPr>
        <w:t>投资</w:t>
      </w:r>
      <w:r>
        <w:rPr>
          <w:rFonts w:hint="eastAsia" w:ascii="黑体" w:eastAsia="黑体"/>
          <w:b/>
          <w:bCs/>
          <w:color w:val="000000"/>
          <w:sz w:val="30"/>
          <w:szCs w:val="30"/>
          <w:highlight w:val="none"/>
        </w:rPr>
        <w:t>协议书</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ascii="楷体_GB2312" w:hAnsi="楷体" w:eastAsia="楷体_GB2312" w:cs="Times New Roman"/>
          <w:sz w:val="24"/>
          <w:highlight w:val="none"/>
        </w:rPr>
      </w:pPr>
      <w:r>
        <w:rPr>
          <w:rFonts w:hint="default" w:ascii="楷体_GB2312" w:hAnsi="楷体" w:eastAsia="楷体_GB2312" w:cs="Times New Roman"/>
          <w:sz w:val="24"/>
          <w:highlight w:val="none"/>
        </w:rPr>
        <w:t>北银</w:t>
      </w:r>
      <w:r>
        <w:rPr>
          <w:rFonts w:hint="eastAsia" w:ascii="楷体_GB2312" w:hAnsi="楷体" w:eastAsia="楷体_GB2312" w:cs="Times New Roman"/>
          <w:sz w:val="24"/>
          <w:highlight w:val="none"/>
        </w:rPr>
        <w:t>理财有限责任公司（以下简称“</w:t>
      </w:r>
      <w:r>
        <w:rPr>
          <w:rFonts w:hint="default" w:ascii="楷体_GB2312" w:hAnsi="楷体" w:eastAsia="楷体_GB2312" w:cs="Times New Roman"/>
          <w:sz w:val="24"/>
          <w:highlight w:val="none"/>
        </w:rPr>
        <w:t>北银</w:t>
      </w:r>
      <w:r>
        <w:rPr>
          <w:rFonts w:hint="eastAsia" w:ascii="楷体_GB2312" w:hAnsi="楷体" w:eastAsia="楷体_GB2312" w:cs="Times New Roman"/>
          <w:sz w:val="24"/>
          <w:highlight w:val="none"/>
        </w:rPr>
        <w:t>理财”或“产品管理人”）与其发行理财产品的投资者经平等友好协商，本着自愿、诚实信用的原则，就</w:t>
      </w:r>
      <w:r>
        <w:rPr>
          <w:rFonts w:hint="default" w:ascii="楷体_GB2312" w:hAnsi="楷体" w:eastAsia="楷体_GB2312" w:cs="Times New Roman"/>
          <w:sz w:val="24"/>
          <w:highlight w:val="none"/>
        </w:rPr>
        <w:t>北</w:t>
      </w:r>
      <w:r>
        <w:rPr>
          <w:rFonts w:hint="eastAsia" w:ascii="楷体_GB2312" w:hAnsi="楷体" w:eastAsia="楷体_GB2312" w:cs="Times New Roman"/>
          <w:sz w:val="24"/>
          <w:highlight w:val="none"/>
        </w:rPr>
        <w:t>银理财向投资者提供的</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w:t>
      </w:r>
      <w:r>
        <w:rPr>
          <w:rFonts w:hint="default" w:ascii="楷体_GB2312" w:hAnsi="楷体" w:eastAsia="楷体_GB2312" w:cs="Times New Roman"/>
          <w:sz w:val="24"/>
          <w:highlight w:val="none"/>
        </w:rPr>
        <w:t>产</w:t>
      </w:r>
      <w:r>
        <w:rPr>
          <w:rFonts w:hint="eastAsia" w:ascii="楷体_GB2312" w:hAnsi="楷体" w:eastAsia="楷体_GB2312" w:cs="Times New Roman"/>
          <w:sz w:val="24"/>
          <w:highlight w:val="none"/>
        </w:rPr>
        <w:t>品，达成</w:t>
      </w:r>
      <w:r>
        <w:rPr>
          <w:rFonts w:hint="eastAsia" w:ascii="楷体_GB2312" w:hAnsi="楷体" w:eastAsia="楷体_GB2312" w:cs="Times New Roman"/>
          <w:sz w:val="24"/>
          <w:highlight w:val="none"/>
          <w:lang w:val="en-US" w:eastAsia="zh-CN"/>
        </w:rPr>
        <w:t>本《</w:t>
      </w:r>
      <w:r>
        <w:rPr>
          <w:rFonts w:hint="default" w:ascii="楷体_GB2312" w:hAnsi="楷体" w:eastAsia="楷体_GB2312" w:cs="Times New Roman"/>
          <w:sz w:val="24"/>
          <w:highlight w:val="none"/>
          <w:lang w:eastAsia="zh-CN"/>
        </w:rPr>
        <w:t>理财产品投资协议书</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rPr>
        <w:t>（以下简称“本协议”）。本协议</w:t>
      </w:r>
      <w:r>
        <w:rPr>
          <w:rFonts w:hint="eastAsia" w:ascii="楷体_GB2312" w:hAnsi="宋体" w:eastAsia="楷体_GB2312"/>
          <w:color w:val="000000"/>
          <w:sz w:val="24"/>
          <w:highlight w:val="none"/>
        </w:rPr>
        <w:t>以及对</w:t>
      </w:r>
      <w:r>
        <w:rPr>
          <w:rFonts w:hint="eastAsia" w:ascii="楷体_GB2312" w:hAnsi="宋体" w:eastAsia="楷体_GB2312"/>
          <w:color w:val="000000"/>
          <w:sz w:val="24"/>
          <w:highlight w:val="none"/>
          <w:lang w:val="en-US" w:eastAsia="zh-CN"/>
        </w:rPr>
        <w:t>本协议</w:t>
      </w:r>
      <w:r>
        <w:rPr>
          <w:rFonts w:hint="eastAsia" w:ascii="楷体_GB2312" w:hAnsi="宋体" w:eastAsia="楷体_GB2312"/>
          <w:color w:val="000000"/>
          <w:sz w:val="24"/>
          <w:highlight w:val="none"/>
        </w:rPr>
        <w:t>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rPr>
        <w:t>：</w:t>
      </w:r>
    </w:p>
    <w:p>
      <w:pPr>
        <w:ind w:firstLine="480" w:firstLineChars="200"/>
        <w:rPr>
          <w:rFonts w:ascii="楷体_GB2312" w:hAnsi="楷体" w:eastAsia="楷体_GB2312"/>
          <w:sz w:val="24"/>
          <w:highlight w:val="none"/>
        </w:rPr>
      </w:pPr>
      <w:r>
        <w:rPr>
          <w:rFonts w:ascii="楷体_GB2312" w:hAnsi="楷体" w:eastAsia="楷体_GB2312"/>
          <w:sz w:val="24"/>
          <w:highlight w:val="none"/>
        </w:rPr>
        <w:t xml:space="preserve">一、双方权利和义务 </w:t>
      </w:r>
    </w:p>
    <w:p>
      <w:pPr>
        <w:ind w:firstLine="480" w:firstLineChars="200"/>
        <w:rPr>
          <w:rFonts w:ascii="楷体_GB2312" w:hAnsi="楷体" w:eastAsia="楷体_GB2312"/>
          <w:sz w:val="24"/>
          <w:highlight w:val="none"/>
        </w:rPr>
      </w:pPr>
      <w:r>
        <w:rPr>
          <w:rFonts w:ascii="楷体_GB2312" w:hAnsi="楷体" w:eastAsia="楷体_GB2312"/>
          <w:sz w:val="24"/>
          <w:highlight w:val="none"/>
        </w:rPr>
        <w:t>（一）产品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声明与保证</w:t>
      </w:r>
      <w:bookmarkStart w:id="4" w:name="_GoBack"/>
      <w:bookmarkEnd w:id="4"/>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1.</w:t>
      </w:r>
      <w:r>
        <w:rPr>
          <w:rFonts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 xml:space="preserve">具有开办理财业务的经营资质，保证以诚实信用、勤勉谨慎的原则管理和运用理财资金。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2.</w:t>
      </w:r>
      <w:r>
        <w:rPr>
          <w:rFonts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具有完全适当的资格和能力订立与履行本</w:t>
      </w:r>
      <w:r>
        <w:rPr>
          <w:rFonts w:hint="eastAsia" w:ascii="楷体_GB2312" w:hAnsi="楷体" w:eastAsia="楷体_GB2312"/>
          <w:sz w:val="24"/>
          <w:highlight w:val="none"/>
        </w:rPr>
        <w:t>理财产品销售文件</w:t>
      </w:r>
      <w:r>
        <w:rPr>
          <w:rFonts w:ascii="楷体_GB2312" w:hAnsi="楷体" w:eastAsia="楷体_GB2312"/>
          <w:sz w:val="24"/>
          <w:highlight w:val="none"/>
        </w:rPr>
        <w:t>。</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（二）投资者的声明和承诺</w:t>
      </w:r>
    </w:p>
    <w:p>
      <w:pPr>
        <w:ind w:firstLine="480" w:firstLineChars="200"/>
        <w:rPr>
          <w:rFonts w:ascii="楷体_GB2312" w:hAnsi="楷体" w:eastAsia="楷体_GB2312"/>
          <w:sz w:val="24"/>
          <w:highlight w:val="none"/>
        </w:rPr>
      </w:pPr>
      <w:bookmarkStart w:id="0" w:name="_Toc220402986"/>
      <w:bookmarkStart w:id="1" w:name="_Toc220402810"/>
      <w:r>
        <w:rPr>
          <w:rFonts w:hint="eastAsia" w:ascii="楷体_GB2312" w:hAnsi="楷体" w:eastAsia="楷体_GB2312"/>
          <w:sz w:val="24"/>
          <w:highlight w:val="none"/>
        </w:rPr>
        <w:t>1.</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w:t>
      </w:r>
      <w:r>
        <w:rPr>
          <w:rFonts w:hint="default" w:ascii="楷体_GB2312" w:hAnsi="楷体" w:eastAsia="楷体_GB2312" w:cs="Times New Roman"/>
          <w:sz w:val="24"/>
          <w:highlight w:val="none"/>
          <w:lang w:val="en-US" w:eastAsia="zh-CN"/>
        </w:rPr>
        <w:t>诺</w:t>
      </w:r>
      <w:r>
        <w:rPr>
          <w:rFonts w:hint="default" w:ascii="楷体_GB2312" w:hAnsi="楷体" w:eastAsia="楷体_GB2312" w:cs="Times New Roman"/>
          <w:kern w:val="2"/>
          <w:sz w:val="24"/>
          <w:highlight w:val="none"/>
        </w:rPr>
        <w:t>本人</w:t>
      </w:r>
      <w:r>
        <w:rPr>
          <w:rFonts w:ascii="楷体_GB2312" w:hAnsi="楷体" w:eastAsia="楷体_GB2312" w:cs="Times New Roman"/>
          <w:kern w:val="2"/>
          <w:sz w:val="24"/>
          <w:highlight w:val="none"/>
        </w:rPr>
        <w:t>/</w:t>
      </w:r>
      <w:r>
        <w:rPr>
          <w:rFonts w:hint="default" w:ascii="楷体_GB2312" w:hAnsi="楷体" w:eastAsia="楷体_GB2312" w:cs="Times New Roman"/>
          <w:kern w:val="2"/>
          <w:sz w:val="24"/>
          <w:highlight w:val="none"/>
        </w:rPr>
        <w:t>本公司（</w:t>
      </w:r>
      <w:r>
        <w:rPr>
          <w:rFonts w:hint="default" w:ascii="楷体_GB2312" w:hAnsi="楷体" w:eastAsia="楷体_GB2312" w:cs="Times New Roman"/>
          <w:sz w:val="24"/>
          <w:highlight w:val="none"/>
        </w:rPr>
        <w:t>单位</w:t>
      </w:r>
      <w:r>
        <w:rPr>
          <w:rFonts w:hint="default" w:ascii="楷体_GB2312" w:hAnsi="楷体" w:eastAsia="楷体_GB2312" w:cs="Times New Roman"/>
          <w:kern w:val="2"/>
          <w:sz w:val="24"/>
          <w:highlight w:val="none"/>
        </w:rPr>
        <w:t>）</w:t>
      </w:r>
      <w:r>
        <w:rPr>
          <w:rFonts w:ascii="楷体_GB2312" w:hAnsi="楷体" w:eastAsia="楷体_GB2312" w:cs="Times New Roman"/>
          <w:sz w:val="24"/>
          <w:highlight w:val="none"/>
        </w:rPr>
        <w:t>为符合</w:t>
      </w:r>
      <w:r>
        <w:rPr>
          <w:rFonts w:ascii="楷体_GB2312" w:hAnsi="楷体" w:eastAsia="楷体_GB2312"/>
          <w:sz w:val="24"/>
          <w:highlight w:val="none"/>
        </w:rPr>
        <w:t>法律法规和监管规定的不特定社会公众，能够自行识别、判断和承担</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理财产品的相关风险。</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2</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hint="eastAsia" w:ascii="楷体_GB2312" w:hAnsi="楷体" w:eastAsia="楷体_GB2312"/>
          <w:sz w:val="24"/>
          <w:highlight w:val="none"/>
          <w:lang w:eastAsia="zh-CN"/>
        </w:rPr>
        <w:t>具</w:t>
      </w:r>
      <w:r>
        <w:rPr>
          <w:rFonts w:ascii="楷体_GB2312" w:hAnsi="楷体" w:eastAsia="楷体_GB2312"/>
          <w:sz w:val="24"/>
          <w:highlight w:val="none"/>
        </w:rPr>
        <w:t>有完全适当的资格与能力订立并履行本</w:t>
      </w:r>
      <w:r>
        <w:rPr>
          <w:rFonts w:hint="eastAsia" w:ascii="楷体_GB2312" w:hAnsi="楷体" w:eastAsia="楷体_GB2312"/>
          <w:sz w:val="24"/>
          <w:highlight w:val="none"/>
        </w:rPr>
        <w:t>理财产品销售文件</w:t>
      </w:r>
      <w:r>
        <w:rPr>
          <w:rFonts w:ascii="楷体_GB2312" w:hAnsi="楷体" w:eastAsia="楷体_GB2312"/>
          <w:sz w:val="24"/>
          <w:highlight w:val="none"/>
        </w:rPr>
        <w:t>，不存在法律、行政法规、监管要求、国家政策有关规定禁止或限制投资</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理财产品的情形。</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3</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以真实身份投资本理财产品，保证提供给产品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和</w:t>
      </w:r>
      <w:r>
        <w:rPr>
          <w:rFonts w:hint="eastAsia" w:ascii="楷体_GB2312" w:hAnsi="楷体" w:eastAsia="楷体_GB2312"/>
          <w:sz w:val="24"/>
          <w:highlight w:val="none"/>
          <w:lang w:val="en-US" w:eastAsia="zh-CN"/>
        </w:rPr>
        <w:t>代理销售</w:t>
      </w:r>
      <w:r>
        <w:rPr>
          <w:rFonts w:ascii="楷体_GB2312" w:hAnsi="楷体" w:eastAsia="楷体_GB2312"/>
          <w:sz w:val="24"/>
          <w:highlight w:val="none"/>
        </w:rPr>
        <w:t>机构的信息和资料均真实、准确、完整、合法、有效。如投资者的信息和/或资料发生变更，应当及时书面告知产品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w:t>
      </w:r>
      <w:r>
        <w:rPr>
          <w:rFonts w:ascii="楷体_GB2312" w:hAnsi="楷体" w:eastAsia="楷体_GB2312"/>
          <w:sz w:val="24"/>
          <w:highlight w:val="none"/>
        </w:rPr>
        <w:t xml:space="preserve">。 </w:t>
      </w:r>
    </w:p>
    <w:p>
      <w:pPr>
        <w:ind w:firstLine="482" w:firstLineChars="200"/>
        <w:rPr>
          <w:rFonts w:ascii="楷体_GB2312" w:hAnsi="楷体" w:eastAsia="楷体_GB2312"/>
          <w:b/>
          <w:bCs/>
          <w:sz w:val="24"/>
          <w:highlight w:val="none"/>
        </w:rPr>
      </w:pPr>
      <w:r>
        <w:rPr>
          <w:rFonts w:ascii="楷体_GB2312" w:hAnsi="楷体" w:eastAsia="楷体_GB2312"/>
          <w:b/>
          <w:bCs/>
          <w:sz w:val="24"/>
          <w:highlight w:val="none"/>
        </w:rPr>
        <w:t>若投资者未及时办理相关变更手续，由此导致的一切后果由投资者自行承 担，</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对此不承担任何责任。</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4</w:t>
      </w:r>
      <w:r>
        <w:rPr>
          <w:rFonts w:hint="eastAsia" w:ascii="楷体_GB2312" w:hAnsi="楷体" w:eastAsia="楷体_GB2312"/>
          <w:sz w:val="24"/>
          <w:highlight w:val="none"/>
        </w:rPr>
        <w:t>.</w:t>
      </w:r>
      <w:r>
        <w:rPr>
          <w:rFonts w:ascii="楷体_GB2312" w:hAnsi="楷体" w:eastAsia="楷体_GB2312"/>
          <w:sz w:val="24"/>
          <w:highlight w:val="none"/>
        </w:rPr>
        <w:t>投资者确认签署和履行</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系其真实意思表示，已经按照其章程或者其它内部管理文件的要求取得合法、有效的授权（适用于机构投资者），且不会违反对其有约束力的任何合同和其他法律文件；投资者已经取得签订和履行</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所需的一切有关批准、许可、备案或者登记。</w:t>
      </w:r>
      <w:bookmarkEnd w:id="0"/>
      <w:bookmarkEnd w:id="1"/>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5</w:t>
      </w:r>
      <w:r>
        <w:rPr>
          <w:rFonts w:hint="eastAsia" w:ascii="楷体_GB2312" w:hAnsi="楷体" w:eastAsia="楷体_GB2312"/>
          <w:sz w:val="24"/>
          <w:highlight w:val="none"/>
        </w:rPr>
        <w:t>.</w:t>
      </w:r>
      <w:r>
        <w:rPr>
          <w:rFonts w:ascii="楷体_GB2312" w:hAnsi="楷体" w:eastAsia="楷体_GB2312"/>
          <w:sz w:val="24"/>
          <w:highlight w:val="none"/>
        </w:rPr>
        <w:t>投资者声明熟悉理财产品类型特征及不同销售渠道的法律法规规定</w:t>
      </w:r>
      <w:r>
        <w:rPr>
          <w:rFonts w:hint="eastAsia" w:ascii="楷体_GB2312" w:hAnsi="楷体" w:eastAsia="楷体_GB2312"/>
          <w:sz w:val="24"/>
          <w:highlight w:val="none"/>
          <w:lang w:eastAsia="zh-Hans"/>
        </w:rPr>
        <w:t>，了解理财产品直销和代销的相关区别</w:t>
      </w:r>
      <w:r>
        <w:rPr>
          <w:rFonts w:ascii="楷体_GB2312" w:hAnsi="楷体" w:eastAsia="楷体_GB2312"/>
          <w:sz w:val="24"/>
          <w:highlight w:val="none"/>
        </w:rPr>
        <w:t xml:space="preserve">。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w:t>
      </w:r>
      <w:r>
        <w:rPr>
          <w:rFonts w:hint="eastAsia" w:ascii="楷体_GB2312" w:hAnsi="楷体" w:eastAsia="楷体_GB2312"/>
          <w:sz w:val="24"/>
          <w:highlight w:val="none"/>
          <w:lang w:val="en-US" w:eastAsia="zh-CN"/>
        </w:rPr>
        <w:t>6</w:t>
      </w:r>
      <w:r>
        <w:rPr>
          <w:rFonts w:hint="eastAsia" w:ascii="楷体_GB2312" w:hAnsi="楷体" w:eastAsia="楷体_GB2312"/>
          <w:sz w:val="24"/>
          <w:highlight w:val="none"/>
        </w:rPr>
        <w:t>.</w:t>
      </w:r>
      <w:r>
        <w:rPr>
          <w:rFonts w:ascii="楷体_GB2312" w:hAnsi="楷体" w:eastAsia="楷体_GB2312"/>
          <w:sz w:val="24"/>
          <w:highlight w:val="none"/>
        </w:rPr>
        <w:t>投资者承诺</w:t>
      </w:r>
      <w:r>
        <w:rPr>
          <w:rFonts w:hint="eastAsia" w:ascii="楷体_GB2312" w:hAnsi="楷体" w:eastAsia="楷体_GB2312"/>
          <w:sz w:val="24"/>
          <w:highlight w:val="none"/>
          <w:lang w:val="en-US" w:eastAsia="zh-CN"/>
        </w:rPr>
        <w:t>理财</w:t>
      </w:r>
      <w:r>
        <w:rPr>
          <w:rFonts w:ascii="楷体_GB2312" w:hAnsi="楷体" w:eastAsia="楷体_GB2312"/>
          <w:sz w:val="24"/>
          <w:highlight w:val="none"/>
        </w:rPr>
        <w:t>投资资金为自有资金</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资金</w:t>
      </w:r>
      <w:r>
        <w:rPr>
          <w:rFonts w:ascii="楷体_GB2312" w:hAnsi="楷体" w:eastAsia="楷体_GB2312"/>
          <w:sz w:val="24"/>
          <w:highlight w:val="none"/>
        </w:rPr>
        <w:t>来源和用途合法</w:t>
      </w:r>
      <w:r>
        <w:rPr>
          <w:rFonts w:hint="eastAsia" w:ascii="楷体_GB2312" w:hAnsi="楷体" w:eastAsia="楷体_GB2312"/>
          <w:sz w:val="24"/>
          <w:highlight w:val="none"/>
          <w:lang w:eastAsia="zh-CN"/>
        </w:rPr>
        <w:t>。</w:t>
      </w:r>
      <w:r>
        <w:rPr>
          <w:rFonts w:ascii="楷体_GB2312" w:hAnsi="楷体" w:eastAsia="楷体_GB2312"/>
          <w:sz w:val="24"/>
          <w:highlight w:val="none"/>
        </w:rPr>
        <w:t>投资者保证不使用贷款、发行债券等筹集的非自有资金投资</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理财产品，保证可向产品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和</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w:t>
      </w:r>
      <w:r>
        <w:rPr>
          <w:rFonts w:ascii="楷体_GB2312" w:hAnsi="楷体" w:eastAsia="楷体_GB2312"/>
          <w:sz w:val="24"/>
          <w:highlight w:val="none"/>
        </w:rPr>
        <w:t>提供合法筹集的证明文件</w:t>
      </w:r>
      <w:r>
        <w:rPr>
          <w:rFonts w:hint="eastAsia" w:ascii="楷体_GB2312" w:hAnsi="楷体" w:eastAsia="楷体_GB2312"/>
          <w:sz w:val="24"/>
          <w:highlight w:val="none"/>
          <w:lang w:eastAsia="zh-CN"/>
        </w:rPr>
        <w:t>，</w:t>
      </w:r>
      <w:r>
        <w:rPr>
          <w:rFonts w:ascii="楷体_GB2312" w:hAnsi="楷体" w:eastAsia="楷体_GB2312"/>
          <w:sz w:val="24"/>
          <w:highlight w:val="none"/>
        </w:rPr>
        <w:t>保证投资本理财产品不存在违反监管要求的产品嵌套，</w:t>
      </w:r>
      <w:r>
        <w:rPr>
          <w:rFonts w:hint="eastAsia" w:ascii="楷体_GB2312" w:hAnsi="楷体" w:eastAsia="楷体_GB2312"/>
          <w:sz w:val="24"/>
          <w:highlight w:val="none"/>
          <w:lang w:val="en-US" w:eastAsia="zh-CN"/>
        </w:rPr>
        <w:t>保证不存在</w:t>
      </w:r>
      <w:r>
        <w:rPr>
          <w:rFonts w:ascii="楷体_GB2312" w:hAnsi="楷体" w:eastAsia="楷体_GB2312"/>
          <w:sz w:val="24"/>
          <w:highlight w:val="none"/>
        </w:rPr>
        <w:t xml:space="preserve">以投资本理财产品规避投资范围、杠杆约束等监管要求等违规行为。 </w:t>
      </w:r>
    </w:p>
    <w:p>
      <w:pPr>
        <w:pStyle w:val="2"/>
        <w:ind w:left="0" w:leftChars="0" w:firstLine="480" w:firstLineChars="200"/>
        <w:rPr>
          <w:highlight w:val="none"/>
        </w:rPr>
      </w:pPr>
      <w:r>
        <w:rPr>
          <w:rFonts w:hint="eastAsia" w:ascii="楷体_GB2312" w:hAnsi="楷体" w:eastAsia="楷体_GB2312"/>
          <w:sz w:val="24"/>
          <w:highlight w:val="none"/>
          <w:lang w:eastAsia="zh-CN"/>
        </w:rPr>
        <w:t>7</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hint="eastAsia" w:ascii="楷体_GB2312" w:hAnsi="楷体" w:eastAsia="楷体_GB2312"/>
          <w:sz w:val="24"/>
          <w:highlight w:val="none"/>
        </w:rPr>
        <w:t>配合产品管理人或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机构为识别合格投资者等目的进行的尽职调查及接受对其投资风险承受能力进行的测评。</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8</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不利用本理财业务及本</w:t>
      </w:r>
      <w:r>
        <w:rPr>
          <w:rFonts w:hint="eastAsia" w:ascii="楷体_GB2312" w:hAnsi="楷体" w:eastAsia="楷体_GB2312"/>
          <w:sz w:val="24"/>
          <w:highlight w:val="none"/>
        </w:rPr>
        <w:t>理财产品销售文件</w:t>
      </w:r>
      <w:r>
        <w:rPr>
          <w:rFonts w:ascii="楷体_GB2312" w:hAnsi="楷体" w:eastAsia="楷体_GB2312"/>
          <w:sz w:val="24"/>
          <w:highlight w:val="none"/>
        </w:rPr>
        <w:t xml:space="preserve">项下理财产品从事违法活动。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9</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遵守国家反洗钱法律、法规及相关政策要求，不从事涉及洗钱、恐怖融资、逃税、逃废债务、套取现金等违法违规活动，积极配合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lang w:val="en-US" w:eastAsia="zh-CN"/>
        </w:rPr>
        <w:t>或代理销售</w:t>
      </w:r>
      <w:r>
        <w:rPr>
          <w:rFonts w:ascii="楷体_GB2312" w:hAnsi="楷体" w:eastAsia="楷体_GB2312"/>
          <w:sz w:val="24"/>
          <w:highlight w:val="none"/>
        </w:rPr>
        <w:t>机构根据反洗钱、反恐怖融资、制裁合规风险管理及非居民金融账户涉税信息尽职调查等相关法律法规要求开展投资者身份识别、交易记录保存、投资者身份及交易背景尽职调查、风险评估和管理、大额和可疑交易报告等各项反洗钱和反恐怖融资工作，并按要求提供相关信息和证明材料。</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10.</w:t>
      </w:r>
      <w:r>
        <w:rPr>
          <w:rFonts w:ascii="楷体_GB2312" w:hAnsi="楷体" w:eastAsia="楷体_GB2312"/>
          <w:sz w:val="24"/>
          <w:highlight w:val="none"/>
        </w:rPr>
        <w:t>投资者确认，投资者及其关联方（主要指企业投资者的授权办理人、法定代表人/负责人、董事、控股股东、实际控制人、受益所有人等直接或间接关联方）不属于联合国及</w:t>
      </w:r>
      <w:r>
        <w:rPr>
          <w:rFonts w:hint="eastAsia" w:ascii="楷体_GB2312" w:hAnsi="楷体" w:eastAsia="楷体_GB2312"/>
          <w:sz w:val="24"/>
          <w:highlight w:val="none"/>
        </w:rPr>
        <w:t>中国承认的</w:t>
      </w:r>
      <w:r>
        <w:rPr>
          <w:rFonts w:ascii="楷体_GB2312" w:hAnsi="楷体" w:eastAsia="楷体_GB2312"/>
          <w:sz w:val="24"/>
          <w:highlight w:val="none"/>
        </w:rPr>
        <w:t xml:space="preserve">有关国际组织、中国以及中国承认的相关国家和地区、地区性组织/机构发布的制裁名单，不位于被上述国际组织、国家、组织/机构制裁的国家和地区；不属于联合国安理会、中国承认的其他国际组织、国家和地区以及中国人民银行、中国公安部等中国有权机关发布的洗钱和恐怖活动组织及人员名单；不位于上述中国承认的国际组织、国家和地区发布的洗钱及恐怖融资高风险国家和地区。 </w:t>
      </w:r>
    </w:p>
    <w:p>
      <w:pPr>
        <w:numPr>
          <w:ilvl w:val="0"/>
          <w:numId w:val="0"/>
        </w:numPr>
        <w:ind w:firstLine="480" w:firstLineChars="200"/>
        <w:rPr>
          <w:rFonts w:hint="eastAsia" w:ascii="楷体_GB2312" w:hAnsi="楷体" w:eastAsia="楷体_GB2312"/>
          <w:b/>
          <w:bCs/>
          <w:sz w:val="24"/>
          <w:highlight w:val="none"/>
        </w:rPr>
      </w:pPr>
      <w:r>
        <w:rPr>
          <w:rFonts w:hint="eastAsia" w:ascii="楷体_GB2312" w:hAnsi="楷体" w:eastAsia="楷体_GB2312"/>
          <w:sz w:val="24"/>
          <w:highlight w:val="none"/>
          <w:lang w:val="en-US" w:eastAsia="zh-CN"/>
        </w:rPr>
        <w:t>11.</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声明</w:t>
      </w:r>
      <w:r>
        <w:rPr>
          <w:rFonts w:hint="eastAsia" w:ascii="楷体_GB2312" w:hAnsi="楷体" w:eastAsia="楷体_GB2312"/>
          <w:sz w:val="24"/>
          <w:highlight w:val="none"/>
        </w:rPr>
        <w:t>自愿购买本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产品，接受产品管理人</w:t>
      </w:r>
      <w:r>
        <w:rPr>
          <w:rFonts w:hint="eastAsia" w:ascii="楷体_GB2312" w:hAnsi="楷体" w:eastAsia="楷体_GB2312"/>
          <w:sz w:val="24"/>
          <w:highlight w:val="none"/>
          <w:lang w:eastAsia="zh-Hans"/>
        </w:rPr>
        <w:t>及</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机构提供的投资理财服务。</w:t>
      </w:r>
      <w:r>
        <w:rPr>
          <w:rFonts w:hint="eastAsia" w:ascii="楷体_GB2312" w:hAnsi="楷体" w:eastAsia="楷体_GB2312"/>
          <w:b/>
          <w:bCs/>
          <w:sz w:val="24"/>
          <w:highlight w:val="none"/>
        </w:rPr>
        <w:t>投资者已仔细</w:t>
      </w:r>
      <w:r>
        <w:rPr>
          <w:rFonts w:hint="eastAsia" w:ascii="楷体_GB2312" w:hAnsi="楷体" w:eastAsia="楷体_GB2312"/>
          <w:b/>
          <w:bCs/>
          <w:sz w:val="24"/>
          <w:highlight w:val="none"/>
          <w:lang w:eastAsia="zh-Hans"/>
        </w:rPr>
        <w:t>阅</w:t>
      </w:r>
      <w:r>
        <w:rPr>
          <w:rFonts w:hint="eastAsia" w:ascii="楷体_GB2312" w:hAnsi="楷体" w:eastAsia="楷体_GB2312"/>
          <w:b/>
          <w:bCs/>
          <w:sz w:val="24"/>
          <w:highlight w:val="none"/>
        </w:rPr>
        <w:t>读《风险揭示书》，已充分知悉本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w:t>
      </w:r>
      <w:r>
        <w:rPr>
          <w:rFonts w:hint="eastAsia" w:ascii="楷体_GB2312" w:hAnsi="楷体" w:eastAsia="楷体_GB2312"/>
          <w:b/>
          <w:bCs/>
          <w:sz w:val="24"/>
          <w:highlight w:val="none"/>
          <w:lang w:val="en-US" w:eastAsia="zh-CN"/>
        </w:rPr>
        <w:t>的</w:t>
      </w:r>
      <w:r>
        <w:rPr>
          <w:rFonts w:hint="eastAsia" w:ascii="楷体_GB2312" w:hAnsi="楷体" w:eastAsia="楷体_GB2312"/>
          <w:b/>
          <w:bCs/>
          <w:sz w:val="24"/>
          <w:highlight w:val="none"/>
        </w:rPr>
        <w:t>风险</w:t>
      </w:r>
      <w:r>
        <w:rPr>
          <w:rFonts w:hint="eastAsia" w:ascii="楷体_GB2312" w:hAnsi="楷体" w:eastAsia="楷体_GB2312"/>
          <w:b/>
          <w:bCs/>
          <w:sz w:val="24"/>
          <w:highlight w:val="none"/>
          <w:lang w:val="en-US" w:eastAsia="zh-CN"/>
        </w:rPr>
        <w:t>评</w:t>
      </w:r>
      <w:r>
        <w:rPr>
          <w:rFonts w:hint="eastAsia" w:ascii="楷体_GB2312" w:hAnsi="楷体" w:eastAsia="楷体_GB2312"/>
          <w:b/>
          <w:bCs/>
          <w:sz w:val="24"/>
          <w:highlight w:val="none"/>
        </w:rPr>
        <w:t>级，并确定以</w:t>
      </w:r>
      <w:r>
        <w:rPr>
          <w:rFonts w:hint="eastAsia" w:ascii="楷体_GB2312" w:hAnsi="楷体" w:eastAsia="楷体_GB2312"/>
          <w:b/>
          <w:bCs/>
          <w:sz w:val="24"/>
          <w:highlight w:val="none"/>
          <w:lang w:val="en-US" w:eastAsia="zh-CN"/>
        </w:rPr>
        <w:t>前</w:t>
      </w:r>
      <w:r>
        <w:rPr>
          <w:rFonts w:hint="eastAsia" w:ascii="楷体_GB2312" w:hAnsi="楷体" w:eastAsia="楷体_GB2312"/>
          <w:b/>
          <w:bCs/>
          <w:sz w:val="24"/>
          <w:highlight w:val="none"/>
        </w:rPr>
        <w:t>述</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投资</w:t>
      </w:r>
      <w:r>
        <w:rPr>
          <w:rFonts w:hint="eastAsia" w:ascii="楷体_GB2312" w:hAnsi="楷体" w:eastAsia="楷体_GB2312"/>
          <w:b/>
          <w:bCs/>
          <w:sz w:val="24"/>
          <w:highlight w:val="none"/>
        </w:rPr>
        <w:t>资金投资本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产品，投资者承诺由此产生的相关风险</w:t>
      </w:r>
      <w:r>
        <w:rPr>
          <w:rFonts w:hint="eastAsia" w:ascii="楷体_GB2312" w:hAnsi="楷体" w:eastAsia="楷体_GB2312"/>
          <w:b/>
          <w:bCs/>
          <w:sz w:val="24"/>
          <w:highlight w:val="none"/>
          <w:lang w:val="en-US" w:eastAsia="zh-CN"/>
        </w:rPr>
        <w:t>均</w:t>
      </w:r>
      <w:r>
        <w:rPr>
          <w:rFonts w:hint="eastAsia" w:ascii="楷体_GB2312" w:hAnsi="楷体" w:eastAsia="楷体_GB2312"/>
          <w:b/>
          <w:bCs/>
          <w:sz w:val="24"/>
          <w:highlight w:val="none"/>
        </w:rPr>
        <w:t>由投资者</w:t>
      </w:r>
      <w:r>
        <w:rPr>
          <w:rFonts w:hint="eastAsia" w:ascii="楷体_GB2312" w:hAnsi="楷体" w:eastAsia="楷体_GB2312"/>
          <w:b/>
          <w:bCs/>
          <w:sz w:val="24"/>
          <w:highlight w:val="none"/>
          <w:lang w:val="en-US" w:eastAsia="zh-CN"/>
        </w:rPr>
        <w:t>自行</w:t>
      </w:r>
      <w:r>
        <w:rPr>
          <w:rFonts w:hint="eastAsia" w:ascii="楷体_GB2312" w:hAnsi="楷体" w:eastAsia="楷体_GB2312"/>
          <w:b/>
          <w:bCs/>
          <w:sz w:val="24"/>
          <w:highlight w:val="none"/>
        </w:rPr>
        <w:t>承担。</w:t>
      </w:r>
    </w:p>
    <w:p>
      <w:pPr>
        <w:numPr>
          <w:ilvl w:val="0"/>
          <w:numId w:val="0"/>
        </w:numPr>
        <w:ind w:firstLine="480" w:firstLineChars="200"/>
        <w:rPr>
          <w:rFonts w:hint="eastAsia" w:ascii="楷体_GB2312" w:hAnsi="楷体" w:eastAsia="楷体_GB2312"/>
          <w:b/>
          <w:bCs/>
          <w:sz w:val="24"/>
          <w:highlight w:val="none"/>
        </w:rPr>
      </w:pPr>
      <w:r>
        <w:rPr>
          <w:rFonts w:hint="eastAsia" w:ascii="楷体_GB2312" w:hAnsi="楷体" w:eastAsia="楷体_GB2312"/>
          <w:b w:val="0"/>
          <w:bCs w:val="0"/>
          <w:sz w:val="24"/>
          <w:highlight w:val="none"/>
          <w:lang w:val="en-US" w:eastAsia="zh-CN"/>
        </w:rPr>
        <w:t>12.</w:t>
      </w:r>
      <w:r>
        <w:rPr>
          <w:rFonts w:hint="eastAsia" w:ascii="楷体_GB2312" w:hAnsi="楷体" w:eastAsia="楷体_GB2312"/>
          <w:sz w:val="24"/>
          <w:highlight w:val="none"/>
        </w:rPr>
        <w:t>投资者应按产品管理人</w:t>
      </w:r>
      <w:r>
        <w:rPr>
          <w:rFonts w:hint="eastAsia" w:ascii="楷体_GB2312" w:hAnsi="楷体" w:eastAsia="楷体_GB2312"/>
          <w:sz w:val="24"/>
          <w:highlight w:val="none"/>
          <w:lang w:val="en-US" w:eastAsia="zh-CN"/>
        </w:rPr>
        <w:t>或代理销售机构</w:t>
      </w:r>
      <w:r>
        <w:rPr>
          <w:rFonts w:hint="eastAsia" w:ascii="楷体_GB2312" w:hAnsi="楷体" w:eastAsia="楷体_GB2312"/>
          <w:sz w:val="24"/>
          <w:highlight w:val="none"/>
        </w:rPr>
        <w:t>要求开立</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理财产品指定账户（以下简称“指定账户”)，用于本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产品的理财</w:t>
      </w:r>
      <w:r>
        <w:rPr>
          <w:rFonts w:hint="eastAsia" w:ascii="楷体_GB2312" w:hAnsi="楷体" w:eastAsia="楷体_GB2312"/>
          <w:sz w:val="24"/>
          <w:highlight w:val="none"/>
          <w:lang w:val="en-US" w:eastAsia="zh-CN"/>
        </w:rPr>
        <w:t>投资</w:t>
      </w:r>
      <w:r>
        <w:rPr>
          <w:rFonts w:hint="eastAsia" w:ascii="楷体_GB2312" w:hAnsi="楷体" w:eastAsia="楷体_GB2312"/>
          <w:sz w:val="24"/>
          <w:highlight w:val="none"/>
        </w:rPr>
        <w:t>资金划转及理财产品</w:t>
      </w:r>
      <w:r>
        <w:rPr>
          <w:rFonts w:hint="eastAsia" w:ascii="楷体_GB2312" w:hAnsi="楷体" w:eastAsia="楷体_GB2312"/>
          <w:sz w:val="24"/>
          <w:highlight w:val="none"/>
          <w:lang w:val="en-US" w:eastAsia="zh-CN"/>
        </w:rPr>
        <w:t>收益</w:t>
      </w:r>
      <w:r>
        <w:rPr>
          <w:rFonts w:hint="eastAsia" w:ascii="楷体_GB2312" w:hAnsi="楷体" w:eastAsia="楷体_GB2312"/>
          <w:sz w:val="24"/>
          <w:highlight w:val="none"/>
        </w:rPr>
        <w:t>分配，</w:t>
      </w:r>
      <w:r>
        <w:rPr>
          <w:rFonts w:hint="eastAsia" w:ascii="楷体_GB2312" w:hAnsi="楷体" w:eastAsia="楷体_GB2312"/>
          <w:b/>
          <w:bCs/>
          <w:sz w:val="24"/>
          <w:highlight w:val="none"/>
        </w:rPr>
        <w:t>投资者承诺持有本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产品期间指定账户不做销户。</w:t>
      </w:r>
    </w:p>
    <w:p>
      <w:pPr>
        <w:numPr>
          <w:ilvl w:val="0"/>
          <w:numId w:val="0"/>
        </w:numPr>
        <w:ind w:firstLine="482" w:firstLineChars="200"/>
        <w:rPr>
          <w:highlight w:val="none"/>
        </w:rPr>
      </w:pPr>
      <w:r>
        <w:rPr>
          <w:rFonts w:hint="eastAsia" w:ascii="楷体_GB2312" w:hAnsi="楷体" w:eastAsia="楷体_GB2312"/>
          <w:b/>
          <w:bCs/>
          <w:sz w:val="24"/>
          <w:highlight w:val="none"/>
          <w:lang w:eastAsia="zh-CN"/>
        </w:rPr>
        <w:t>1</w:t>
      </w:r>
      <w:r>
        <w:rPr>
          <w:rFonts w:hint="eastAsia" w:ascii="楷体_GB2312" w:hAnsi="楷体" w:eastAsia="楷体_GB2312"/>
          <w:b/>
          <w:bCs/>
          <w:sz w:val="24"/>
          <w:highlight w:val="none"/>
          <w:lang w:val="en-US" w:eastAsia="zh-CN"/>
        </w:rPr>
        <w:t>3</w:t>
      </w:r>
      <w:r>
        <w:rPr>
          <w:rFonts w:hint="eastAsia" w:ascii="楷体_GB2312" w:hAnsi="楷体" w:eastAsia="楷体_GB2312"/>
          <w:b/>
          <w:bCs/>
          <w:sz w:val="24"/>
          <w:highlight w:val="none"/>
        </w:rPr>
        <w:t>.投资者在购买本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产品时，应同时在约定的时间结点前向指定账户存入足额理财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资金，并同意授权产品管理人或</w:t>
      </w:r>
      <w:r>
        <w:rPr>
          <w:rFonts w:hint="eastAsia" w:ascii="楷体_GB2312" w:hAnsi="楷体" w:eastAsia="楷体_GB2312"/>
          <w:b/>
          <w:bCs/>
          <w:sz w:val="24"/>
          <w:highlight w:val="none"/>
          <w:lang w:val="en-US" w:eastAsia="zh-CN"/>
        </w:rPr>
        <w:t>代理销售</w:t>
      </w:r>
      <w:r>
        <w:rPr>
          <w:rFonts w:hint="eastAsia" w:ascii="楷体_GB2312" w:hAnsi="楷体" w:eastAsia="楷体_GB2312"/>
          <w:b/>
          <w:bCs/>
          <w:sz w:val="24"/>
          <w:highlight w:val="none"/>
        </w:rPr>
        <w:t>机构于相应的资金归集日将投资者指定账户内相应的理财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资金划转至产品管理人理财账户。对此产品管理人或</w:t>
      </w:r>
      <w:r>
        <w:rPr>
          <w:rFonts w:hint="eastAsia" w:ascii="楷体_GB2312" w:hAnsi="楷体" w:eastAsia="楷体_GB2312"/>
          <w:b/>
          <w:bCs/>
          <w:sz w:val="24"/>
          <w:highlight w:val="none"/>
          <w:lang w:val="en-US" w:eastAsia="zh-CN"/>
        </w:rPr>
        <w:t>代理销售</w:t>
      </w:r>
      <w:r>
        <w:rPr>
          <w:rFonts w:hint="eastAsia" w:ascii="楷体_GB2312" w:hAnsi="楷体" w:eastAsia="楷体_GB2312"/>
          <w:b/>
          <w:bCs/>
          <w:sz w:val="24"/>
          <w:highlight w:val="none"/>
        </w:rPr>
        <w:t>机构无需另行征得投资者同意或给</w:t>
      </w:r>
      <w:r>
        <w:rPr>
          <w:rFonts w:hint="eastAsia" w:ascii="楷体_GB2312" w:hAnsi="楷体" w:eastAsia="楷体_GB2312"/>
          <w:b/>
          <w:bCs/>
          <w:sz w:val="24"/>
          <w:highlight w:val="none"/>
          <w:lang w:eastAsia="zh-Hans"/>
        </w:rPr>
        <w:t>予</w:t>
      </w:r>
      <w:r>
        <w:rPr>
          <w:rFonts w:hint="eastAsia" w:ascii="楷体_GB2312" w:hAnsi="楷体" w:eastAsia="楷体_GB2312"/>
          <w:b/>
          <w:bCs/>
          <w:sz w:val="24"/>
          <w:highlight w:val="none"/>
        </w:rPr>
        <w:t>通知，无需在划款时以电话等方式与投资者进行最后确认。由于投资者未存入理财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资金或</w:t>
      </w:r>
      <w:r>
        <w:rPr>
          <w:rFonts w:hint="eastAsia" w:ascii="楷体_GB2312" w:hAnsi="楷体" w:eastAsia="楷体_GB2312"/>
          <w:b/>
          <w:bCs/>
          <w:sz w:val="24"/>
          <w:highlight w:val="none"/>
          <w:lang w:val="en-US" w:eastAsia="zh-CN"/>
        </w:rPr>
        <w:t>存入</w:t>
      </w:r>
      <w:r>
        <w:rPr>
          <w:rFonts w:hint="eastAsia" w:ascii="楷体_GB2312" w:hAnsi="楷体" w:eastAsia="楷体_GB2312"/>
          <w:b/>
          <w:bCs/>
          <w:sz w:val="24"/>
          <w:highlight w:val="none"/>
        </w:rPr>
        <w:t>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资金不足或未在约定的时间</w:t>
      </w:r>
      <w:r>
        <w:rPr>
          <w:rFonts w:hint="eastAsia" w:ascii="楷体_GB2312" w:hAnsi="楷体" w:eastAsia="楷体_GB2312"/>
          <w:b/>
          <w:bCs/>
          <w:sz w:val="24"/>
          <w:highlight w:val="none"/>
          <w:lang w:val="en-US" w:eastAsia="zh-CN"/>
        </w:rPr>
        <w:t>内</w:t>
      </w:r>
      <w:r>
        <w:rPr>
          <w:rFonts w:hint="eastAsia" w:ascii="楷体_GB2312" w:hAnsi="楷体" w:eastAsia="楷体_GB2312"/>
          <w:b/>
          <w:bCs/>
          <w:sz w:val="24"/>
          <w:highlight w:val="none"/>
        </w:rPr>
        <w:t>购买本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产品而导致交易失败的，产品管理人不承担</w:t>
      </w:r>
      <w:r>
        <w:rPr>
          <w:rFonts w:hint="eastAsia" w:ascii="楷体_GB2312" w:hAnsi="楷体" w:eastAsia="楷体_GB2312"/>
          <w:b/>
          <w:bCs/>
          <w:sz w:val="24"/>
          <w:highlight w:val="none"/>
          <w:lang w:val="en-US" w:eastAsia="zh-CN"/>
        </w:rPr>
        <w:t>任何</w:t>
      </w:r>
      <w:r>
        <w:rPr>
          <w:rFonts w:hint="eastAsia" w:ascii="楷体_GB2312" w:hAnsi="楷体" w:eastAsia="楷体_GB2312"/>
          <w:b/>
          <w:bCs/>
          <w:sz w:val="24"/>
          <w:highlight w:val="none"/>
        </w:rPr>
        <w:t>责任。</w:t>
      </w:r>
    </w:p>
    <w:p>
      <w:pPr>
        <w:ind w:firstLine="480" w:firstLineChars="200"/>
        <w:rPr>
          <w:rFonts w:ascii="楷体_GB2312" w:hAnsi="楷体" w:eastAsia="楷体_GB2312"/>
          <w:sz w:val="24"/>
          <w:highlight w:val="none"/>
        </w:rPr>
      </w:pPr>
      <w:r>
        <w:rPr>
          <w:rFonts w:ascii="楷体_GB2312" w:hAnsi="楷体" w:eastAsia="楷体_GB2312"/>
          <w:sz w:val="24"/>
          <w:highlight w:val="none"/>
        </w:rPr>
        <w:t>（三）双方同意</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1.产品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以北银理财</w:t>
      </w:r>
      <w:bookmarkStart w:id="2" w:name="_Hlk146058283"/>
      <w:r>
        <w:rPr>
          <w:rFonts w:hint="eastAsia" w:ascii="楷体_GB2312" w:hAnsi="楷体" w:eastAsia="楷体_GB2312"/>
          <w:sz w:val="24"/>
          <w:highlight w:val="none"/>
        </w:rPr>
        <w:t>或本理财产品</w:t>
      </w:r>
      <w:bookmarkEnd w:id="2"/>
      <w:r>
        <w:rPr>
          <w:rFonts w:ascii="楷体_GB2312" w:hAnsi="楷体" w:eastAsia="楷体_GB2312"/>
          <w:sz w:val="24"/>
          <w:highlight w:val="none"/>
        </w:rPr>
        <w:t>的名义，代表投资者利益行使诉讼权利或者实施其他法律行为，由此产生的费用由</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理财产品承担</w:t>
      </w:r>
      <w:r>
        <w:rPr>
          <w:rFonts w:hint="eastAsia" w:ascii="楷体_GB2312" w:hAnsi="楷体" w:eastAsia="楷体_GB2312"/>
          <w:sz w:val="24"/>
          <w:highlight w:val="none"/>
        </w:rPr>
        <w:t>。</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★2.</w:t>
      </w:r>
      <w:r>
        <w:rPr>
          <w:rFonts w:ascii="楷体_GB2312" w:hAnsi="楷体" w:eastAsia="楷体_GB2312"/>
          <w:b/>
          <w:bCs/>
          <w:sz w:val="24"/>
          <w:highlight w:val="none"/>
        </w:rPr>
        <w:t>产品</w:t>
      </w:r>
      <w:r>
        <w:rPr>
          <w:rFonts w:hint="eastAsia" w:ascii="楷体_GB2312" w:hAnsi="楷体" w:eastAsia="楷体_GB2312"/>
          <w:b/>
          <w:bCs/>
          <w:sz w:val="24"/>
          <w:highlight w:val="none"/>
          <w:lang w:eastAsia="zh-CN"/>
        </w:rPr>
        <w:t>管理人</w:t>
      </w:r>
      <w:r>
        <w:rPr>
          <w:rFonts w:ascii="楷体_GB2312" w:hAnsi="楷体" w:eastAsia="楷体_GB2312"/>
          <w:b/>
          <w:bCs/>
          <w:sz w:val="24"/>
          <w:highlight w:val="none"/>
        </w:rPr>
        <w:t>不承担对第三人支付</w:t>
      </w:r>
      <w:r>
        <w:rPr>
          <w:rFonts w:hint="eastAsia" w:ascii="楷体_GB2312" w:hAnsi="楷体" w:eastAsia="楷体_GB2312"/>
          <w:b/>
          <w:bCs/>
          <w:sz w:val="24"/>
          <w:highlight w:val="none"/>
          <w:lang w:eastAsia="zh-CN"/>
        </w:rPr>
        <w:t>本理财产品</w:t>
      </w:r>
      <w:r>
        <w:rPr>
          <w:rFonts w:ascii="楷体_GB2312" w:hAnsi="楷体" w:eastAsia="楷体_GB2312"/>
          <w:b/>
          <w:bCs/>
          <w:sz w:val="24"/>
          <w:highlight w:val="none"/>
        </w:rPr>
        <w:t xml:space="preserve">项下投资者应得清算分配金额以及相关权益的责任，法律法规另有规定的除外。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3.</w:t>
      </w:r>
      <w:r>
        <w:rPr>
          <w:rFonts w:ascii="楷体_GB2312" w:hAnsi="楷体" w:eastAsia="楷体_GB2312"/>
          <w:sz w:val="24"/>
          <w:highlight w:val="none"/>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项下理财业务不受</w:t>
      </w:r>
      <w:r>
        <w:rPr>
          <w:rFonts w:hint="eastAsia" w:ascii="楷体_GB2312" w:hAnsi="楷体" w:eastAsia="楷体_GB2312"/>
          <w:sz w:val="24"/>
          <w:highlight w:val="none"/>
        </w:rPr>
        <w:t>代理销售机构</w:t>
      </w:r>
      <w:r>
        <w:rPr>
          <w:rFonts w:ascii="楷体_GB2312" w:hAnsi="楷体" w:eastAsia="楷体_GB2312"/>
          <w:sz w:val="24"/>
          <w:highlight w:val="none"/>
        </w:rPr>
        <w:t>存款保险机制或其他保障机制保障</w:t>
      </w:r>
      <w:r>
        <w:rPr>
          <w:rFonts w:hint="eastAsia" w:ascii="楷体_GB2312" w:hAnsi="楷体" w:eastAsia="楷体_GB2312"/>
          <w:sz w:val="24"/>
          <w:highlight w:val="none"/>
        </w:rPr>
        <w:t>，</w:t>
      </w:r>
      <w:bookmarkStart w:id="3" w:name="_Hlk146058293"/>
      <w:r>
        <w:rPr>
          <w:rFonts w:hint="eastAsia"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不对</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理财产品的本金或收益做出任何承诺或保证</w:t>
      </w:r>
      <w:bookmarkEnd w:id="3"/>
      <w:r>
        <w:rPr>
          <w:rFonts w:ascii="楷体_GB2312" w:hAnsi="楷体" w:eastAsia="楷体_GB2312"/>
          <w:sz w:val="24"/>
          <w:highlight w:val="none"/>
        </w:rPr>
        <w:t xml:space="preserve">。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★4.</w:t>
      </w:r>
      <w:r>
        <w:rPr>
          <w:rFonts w:ascii="楷体_GB2312" w:hAnsi="楷体" w:eastAsia="楷体_GB2312"/>
          <w:sz w:val="24"/>
          <w:highlight w:val="none"/>
        </w:rPr>
        <w:t>本理财产品运作过程中涉及的各纳税主体，其纳税义务按国家税收法律、法规执行。除法律法规特别要求外，投资者应缴纳的税收由投资者负责，产品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不承担代扣代缴或纳税的义务。</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理财产品运营过程中发生的应由</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理财产品承担的增值税应税行为，由产品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申报和缴纳增值税及附加税费，该等税款直接从</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理财产品账户中扣付缴纳。</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5</w:t>
      </w:r>
      <w:r>
        <w:rPr>
          <w:rFonts w:hint="eastAsia" w:ascii="楷体_GB2312" w:hAnsi="楷体" w:eastAsia="楷体_GB2312"/>
          <w:sz w:val="24"/>
          <w:highlight w:val="none"/>
        </w:rPr>
        <w:t>.</w:t>
      </w:r>
      <w:r>
        <w:rPr>
          <w:rFonts w:ascii="楷体_GB2312" w:hAnsi="楷体" w:eastAsia="楷体_GB2312"/>
          <w:sz w:val="24"/>
          <w:highlight w:val="none"/>
        </w:rPr>
        <w:t>产品管理人按照</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的约定办理</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理财产品的认（申）购、赎回，暂停或者开放认（申）购、赎回等业务的，将按照</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约定</w:t>
      </w:r>
      <w:r>
        <w:rPr>
          <w:rFonts w:hint="eastAsia" w:ascii="楷体_GB2312" w:hAnsi="楷体" w:eastAsia="楷体_GB2312"/>
          <w:sz w:val="24"/>
          <w:highlight w:val="none"/>
          <w:lang w:val="en-US" w:eastAsia="zh-CN"/>
        </w:rPr>
        <w:t>进行</w:t>
      </w:r>
      <w:r>
        <w:rPr>
          <w:rFonts w:ascii="楷体_GB2312" w:hAnsi="楷体" w:eastAsia="楷体_GB2312"/>
          <w:sz w:val="24"/>
          <w:highlight w:val="none"/>
        </w:rPr>
        <w:t>信息披露。</w:t>
      </w:r>
    </w:p>
    <w:p>
      <w:p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6</w:t>
      </w:r>
      <w:r>
        <w:rPr>
          <w:rFonts w:hint="eastAsia" w:ascii="楷体_GB2312" w:hAnsi="楷体" w:eastAsia="楷体_GB2312"/>
          <w:b/>
          <w:bCs/>
          <w:sz w:val="24"/>
          <w:highlight w:val="none"/>
        </w:rPr>
        <w:t>.</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将按照《</w:t>
      </w:r>
      <w:r>
        <w:rPr>
          <w:rFonts w:hint="eastAsia" w:ascii="楷体_GB2312" w:hAnsi="楷体" w:eastAsia="楷体_GB2312"/>
          <w:b/>
          <w:bCs/>
          <w:sz w:val="24"/>
          <w:highlight w:val="none"/>
        </w:rPr>
        <w:t>中华人民共和国</w:t>
      </w:r>
      <w:r>
        <w:rPr>
          <w:rFonts w:ascii="楷体_GB2312" w:hAnsi="楷体" w:eastAsia="楷体_GB2312"/>
          <w:b/>
          <w:bCs/>
          <w:sz w:val="24"/>
          <w:highlight w:val="none"/>
        </w:rPr>
        <w:t>个人信息保护法》等法律法规、监管规定、自律组织要求和本</w:t>
      </w:r>
      <w:r>
        <w:rPr>
          <w:rFonts w:hint="eastAsia" w:ascii="楷体_GB2312" w:hAnsi="楷体" w:eastAsia="楷体_GB2312"/>
          <w:b/>
          <w:bCs/>
          <w:sz w:val="24"/>
          <w:highlight w:val="none"/>
          <w:lang w:eastAsia="zh-CN"/>
        </w:rPr>
        <w:t>理财产品销售文件</w:t>
      </w:r>
      <w:r>
        <w:rPr>
          <w:rFonts w:ascii="楷体_GB2312" w:hAnsi="楷体" w:eastAsia="楷体_GB2312"/>
          <w:b/>
          <w:bCs/>
          <w:sz w:val="24"/>
          <w:highlight w:val="none"/>
        </w:rPr>
        <w:t>的约定，严格履行投资者信息保密义务。投资者在此授权并同意，</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将遵循合法、正当、必要和诚信的原则，在为投资者办理本</w:t>
      </w:r>
      <w:r>
        <w:rPr>
          <w:rFonts w:hint="eastAsia" w:ascii="楷体_GB2312" w:hAnsi="楷体" w:eastAsia="楷体_GB2312"/>
          <w:b/>
          <w:bCs/>
          <w:sz w:val="24"/>
          <w:highlight w:val="none"/>
          <w:lang w:eastAsia="zh-CN"/>
        </w:rPr>
        <w:t>理财产品销售文件</w:t>
      </w:r>
      <w:r>
        <w:rPr>
          <w:rFonts w:ascii="楷体_GB2312" w:hAnsi="楷体" w:eastAsia="楷体_GB2312"/>
          <w:b/>
          <w:bCs/>
          <w:sz w:val="24"/>
          <w:highlight w:val="none"/>
        </w:rPr>
        <w:t>项下事项所必需的情形下，采取收集、存储、使用、加工、传输、提供等方式处理投资者信息，同时可向托管机构、监管机构、自律组织、理财登记备案机构、投资合作机构、客户服务热线机构、理财快速赎回服务提供方等提供、留存投资者信息，并要求上述信息接收方按照法律法规规定履行投资者信息保密义务。前述投资者信息包括个人基本信息、联络信息、身份信息、财产信息、账户及相关信息、交易信息、投资经验、风险偏好与投资目标、在与投资者建立业务关系过程中及服务过程中产生、获取、保存的其他与业务相关的个人信息及法律法规规定的其他必要信息。除法律法规及监管规范另有规定或者投资者同意披露外，</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不得向任何组织、个人提供或泄漏与投资者有关的资料和信息</w:t>
      </w:r>
      <w:r>
        <w:rPr>
          <w:rFonts w:hint="eastAsia" w:ascii="楷体_GB2312" w:hAnsi="楷体" w:eastAsia="楷体_GB2312"/>
          <w:b/>
          <w:bCs/>
          <w:sz w:val="24"/>
          <w:highlight w:val="none"/>
        </w:rPr>
        <w:t>。</w:t>
      </w:r>
    </w:p>
    <w:p>
      <w:pPr>
        <w:pStyle w:val="2"/>
        <w:ind w:left="0" w:leftChars="0" w:firstLine="482" w:firstLineChars="200"/>
        <w:rPr>
          <w:highlight w:val="none"/>
        </w:rPr>
      </w:pPr>
      <w:r>
        <w:rPr>
          <w:rFonts w:hint="eastAsia" w:ascii="楷体_GB2312" w:hAnsi="楷体" w:eastAsia="楷体_GB2312" w:cs="Times New Roman"/>
          <w:b/>
          <w:bCs/>
          <w:kern w:val="2"/>
          <w:sz w:val="24"/>
          <w:szCs w:val="24"/>
          <w:highlight w:val="none"/>
          <w:u w:val="none"/>
          <w:lang w:val="en-US" w:eastAsia="zh-CN" w:bidi="ar-SA"/>
        </w:rPr>
        <w:t>根据法律法规规定，共享、转让经去标识化处理的个人信息，且确保数据接收方无法复制并重新识别个人信息主体的，不属于个人信息的对外共享、转让及公开披露行为，对此类数据的保存及处理将无需另行向您通知并征得您的同意。</w:t>
      </w:r>
    </w:p>
    <w:p>
      <w:pPr>
        <w:rPr>
          <w:rFonts w:ascii="楷体_GB2312" w:hAnsi="楷体" w:eastAsia="楷体_GB2312"/>
          <w:b/>
          <w:bCs/>
          <w:sz w:val="24"/>
          <w:highlight w:val="none"/>
        </w:rPr>
      </w:pPr>
      <w:r>
        <w:rPr>
          <w:rFonts w:hint="eastAsia" w:ascii="楷体_GB2312" w:hAnsi="楷体" w:eastAsia="楷体_GB2312"/>
          <w:b/>
          <w:bCs/>
          <w:sz w:val="24"/>
          <w:highlight w:val="none"/>
        </w:rPr>
        <w:t xml:space="preserve">   ★</w:t>
      </w:r>
      <w:r>
        <w:rPr>
          <w:rFonts w:hint="eastAsia" w:ascii="楷体_GB2312" w:hAnsi="楷体" w:eastAsia="楷体_GB2312"/>
          <w:b/>
          <w:bCs/>
          <w:sz w:val="24"/>
          <w:highlight w:val="none"/>
          <w:lang w:val="en-US" w:eastAsia="zh-CN"/>
        </w:rPr>
        <w:t>7</w:t>
      </w: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投资者在此</w:t>
      </w:r>
      <w:r>
        <w:rPr>
          <w:rFonts w:hint="eastAsia" w:ascii="楷体_GB2312" w:hAnsi="楷体" w:eastAsia="楷体_GB2312" w:cs="Times New Roman"/>
          <w:b/>
          <w:bCs/>
          <w:kern w:val="2"/>
          <w:sz w:val="24"/>
          <w:szCs w:val="24"/>
          <w:highlight w:val="none"/>
        </w:rPr>
        <w:t>确认理解并认可</w:t>
      </w:r>
      <w:r>
        <w:rPr>
          <w:rFonts w:hint="eastAsia" w:ascii="楷体_GB2312" w:hAnsi="楷体" w:eastAsia="楷体_GB2312" w:cs="Times New Roman"/>
          <w:b/>
          <w:bCs/>
          <w:kern w:val="2"/>
          <w:sz w:val="24"/>
          <w:szCs w:val="24"/>
          <w:highlight w:val="none"/>
          <w:lang w:eastAsia="zh-CN"/>
        </w:rPr>
        <w:t>，</w:t>
      </w:r>
      <w:r>
        <w:rPr>
          <w:rFonts w:ascii="楷体_GB2312" w:hAnsi="楷体" w:eastAsia="楷体_GB2312"/>
          <w:b/>
          <w:bCs/>
          <w:sz w:val="24"/>
          <w:highlight w:val="none"/>
        </w:rPr>
        <w:t>因</w:t>
      </w:r>
      <w:r>
        <w:rPr>
          <w:rFonts w:hint="eastAsia" w:ascii="楷体_GB2312" w:hAnsi="楷体" w:eastAsia="楷体_GB2312"/>
          <w:b/>
          <w:bCs/>
          <w:sz w:val="24"/>
          <w:highlight w:val="none"/>
          <w:lang w:eastAsia="zh-CN"/>
        </w:rPr>
        <w:t>本</w:t>
      </w:r>
      <w:r>
        <w:rPr>
          <w:rFonts w:ascii="楷体_GB2312" w:hAnsi="楷体" w:eastAsia="楷体_GB2312"/>
          <w:b/>
          <w:bCs/>
          <w:sz w:val="24"/>
          <w:highlight w:val="none"/>
        </w:rPr>
        <w:t>理财产品管理运作的需要，</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可购买、使用、租用专业信息服务供应商提供的信息系统、数据服务等。在使用上述系统的过程中，</w:t>
      </w:r>
      <w:r>
        <w:rPr>
          <w:rFonts w:hint="eastAsia" w:ascii="楷体_GB2312" w:hAnsi="楷体" w:eastAsia="楷体_GB2312"/>
          <w:b/>
          <w:bCs/>
          <w:sz w:val="24"/>
          <w:highlight w:val="none"/>
          <w:lang w:eastAsia="zh-CN"/>
        </w:rPr>
        <w:t>本</w:t>
      </w:r>
      <w:r>
        <w:rPr>
          <w:rFonts w:ascii="楷体_GB2312" w:hAnsi="楷体" w:eastAsia="楷体_GB2312"/>
          <w:b/>
          <w:bCs/>
          <w:sz w:val="24"/>
          <w:highlight w:val="none"/>
        </w:rPr>
        <w:t>理财产品及投资者部分信息可能会被暂时采集并存储在信息服务供应商的服务器上、或由其工作人员进行维护。</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将要求信息服务供应商履行保密义务。</w:t>
      </w:r>
    </w:p>
    <w:p>
      <w:p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rPr>
        <w:t>★</w:t>
      </w:r>
      <w:r>
        <w:rPr>
          <w:rFonts w:ascii="楷体_GB2312" w:hAnsi="楷体" w:eastAsia="楷体_GB2312"/>
          <w:b/>
          <w:bCs/>
          <w:sz w:val="24"/>
          <w:highlight w:val="none"/>
        </w:rPr>
        <w:t>二、</w:t>
      </w:r>
      <w:r>
        <w:rPr>
          <w:rFonts w:hint="eastAsia" w:ascii="楷体_GB2312" w:hAnsi="楷体" w:eastAsia="楷体_GB2312"/>
          <w:b/>
          <w:bCs/>
          <w:sz w:val="24"/>
          <w:highlight w:val="none"/>
        </w:rPr>
        <w:t>免责条款</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1.</w:t>
      </w:r>
      <w:r>
        <w:rPr>
          <w:rFonts w:hint="eastAsia" w:ascii="楷体_GB2312" w:hAnsi="楷体" w:eastAsia="楷体_GB2312"/>
          <w:b/>
          <w:bCs/>
          <w:sz w:val="24"/>
          <w:highlight w:val="none"/>
        </w:rPr>
        <w:t>由于地震、火灾、战争、疫情、严重传染病等不可抗力导致的交易中断、延误等风险及损失，产品管理人不承担责任，但应在条件允许的情况下通知投资者，并采取一切必要的补救措施以减小不可抗力造成的损失。</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2.</w:t>
      </w:r>
      <w:r>
        <w:rPr>
          <w:rFonts w:hint="eastAsia" w:ascii="楷体_GB2312" w:hAnsi="楷体" w:eastAsia="楷体_GB2312"/>
          <w:b/>
          <w:bCs/>
          <w:sz w:val="24"/>
          <w:highlight w:val="none"/>
        </w:rPr>
        <w:t>由于国家的有关法律、法规、规章、政策的改变、紧急措施的出台而导致的风险，产品管理人不承担责任。</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3.</w:t>
      </w:r>
      <w:r>
        <w:rPr>
          <w:rFonts w:hint="eastAsia" w:ascii="楷体_GB2312" w:hAnsi="楷体" w:eastAsia="楷体_GB2312"/>
          <w:b/>
          <w:bCs/>
          <w:sz w:val="24"/>
          <w:highlight w:val="none"/>
        </w:rPr>
        <w:t>如由于投资者原因，本理财产品销售文件约定的资金账户和理财本金及收益被有权机关要求冻结、扣划，则产品管理人有权根据实际情况全额终止理财交易，并停止向投资者支付投资本金及收益。由于提前终止交易而产生的一切损失及费用将由投资者承担，产品管理人有权将此损失及费用从投资者的资金账户或理财本金以及收益中扣除。</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4.</w:t>
      </w:r>
      <w:r>
        <w:rPr>
          <w:rFonts w:hint="eastAsia" w:ascii="楷体_GB2312" w:hAnsi="楷体" w:eastAsia="楷体_GB2312"/>
          <w:b/>
          <w:bCs/>
          <w:sz w:val="24"/>
          <w:highlight w:val="none"/>
        </w:rPr>
        <w:t>产品管理人依照恪尽职守、诚实信用、谨慎勤勉的原则管理和运用本理财产品财产，但不保证本理财产品财产中的认（申）购资金本金不受损失，也不保证一定盈利及最低收益。本理财产品运作过程中，产品管理人依据本理财产品销售文件的约定管理和运用本理财产品财产所产生的风险，由本理财产品财产及投资者承担。投资者应充分知晓投资运营的相关风险，其风险应由投资者自担。</w:t>
      </w:r>
    </w:p>
    <w:p>
      <w:pPr>
        <w:numPr>
          <w:ilvl w:val="0"/>
          <w:numId w:val="0"/>
        </w:num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lang w:val="en-US" w:eastAsia="zh-CN"/>
        </w:rPr>
        <w:t>5.</w:t>
      </w:r>
      <w:r>
        <w:rPr>
          <w:rFonts w:hint="eastAsia" w:ascii="楷体_GB2312" w:hAnsi="楷体" w:eastAsia="楷体_GB2312"/>
          <w:b/>
          <w:bCs/>
          <w:sz w:val="24"/>
          <w:highlight w:val="none"/>
        </w:rPr>
        <w:t>非因产品管理人原因（包括但不限于投资者遗失本理财产品销售文件、本理财产品销售文件被盗用等原因）造成的损失，产品管理人不承担责任。</w:t>
      </w:r>
    </w:p>
    <w:p>
      <w:pPr>
        <w:ind w:firstLine="482" w:firstLineChars="200"/>
        <w:rPr>
          <w:rFonts w:hint="eastAsia" w:ascii="楷体_GB2312" w:hAnsi="楷体" w:eastAsia="楷体_GB2312"/>
          <w:b/>
          <w:bCs/>
          <w:sz w:val="24"/>
          <w:highlight w:val="none"/>
          <w:lang w:val="en-US" w:eastAsia="zh-CN"/>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三、违约责任</w:t>
      </w:r>
    </w:p>
    <w:p>
      <w:pPr>
        <w:pStyle w:val="2"/>
        <w:ind w:left="0" w:leftChars="0" w:firstLine="480" w:firstLineChars="200"/>
        <w:rPr>
          <w:rFonts w:hint="eastAsia" w:ascii="楷体_GB2312" w:hAnsi="楷体" w:eastAsia="楷体_GB2312"/>
          <w:sz w:val="24"/>
          <w:highlight w:val="none"/>
          <w:lang w:val="en-US" w:eastAsia="zh-CN"/>
        </w:rPr>
      </w:pPr>
      <w:r>
        <w:rPr>
          <w:rFonts w:hint="eastAsia" w:ascii="楷体_GB2312" w:hAnsi="楷体" w:eastAsia="楷体_GB2312"/>
          <w:sz w:val="24"/>
          <w:highlight w:val="none"/>
          <w:lang w:val="en-US" w:eastAsia="zh-CN"/>
        </w:rPr>
        <w:t>由于本理财产品销售文件一方当事人未履行或未完全履行其义务，导致本理财产品或守约方遭受损失的，由有过错的一方承担违约责任；如本理财产品销售文件各方当事人均有过错的，各方当事人应按照过错程度承担各自的责任份额。</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四、</w:t>
      </w:r>
      <w:r>
        <w:rPr>
          <w:rFonts w:ascii="楷体_GB2312" w:hAnsi="楷体" w:eastAsia="楷体_GB2312"/>
          <w:b/>
          <w:bCs/>
          <w:sz w:val="24"/>
          <w:highlight w:val="none"/>
        </w:rPr>
        <w:t>适用法律与争议解决</w:t>
      </w:r>
    </w:p>
    <w:p>
      <w:pPr>
        <w:ind w:firstLine="480" w:firstLineChars="200"/>
        <w:rPr>
          <w:rFonts w:ascii="楷体_GB2312" w:hAnsi="楷体" w:eastAsia="楷体_GB2312"/>
          <w:sz w:val="24"/>
          <w:highlight w:val="none"/>
        </w:rPr>
      </w:pPr>
      <w:r>
        <w:rPr>
          <w:rFonts w:ascii="楷体_GB2312" w:hAnsi="楷体" w:eastAsia="楷体_GB2312"/>
          <w:sz w:val="24"/>
          <w:highlight w:val="none"/>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适用中华人民共和国法律（为本</w:t>
      </w:r>
      <w:r>
        <w:rPr>
          <w:rFonts w:hint="eastAsia" w:ascii="楷体_GB2312" w:hAnsi="楷体" w:eastAsia="楷体_GB2312"/>
          <w:sz w:val="24"/>
          <w:highlight w:val="none"/>
        </w:rPr>
        <w:t>理财产品销售文件</w:t>
      </w:r>
      <w:r>
        <w:rPr>
          <w:rFonts w:ascii="楷体_GB2312" w:hAnsi="楷体" w:eastAsia="楷体_GB2312"/>
          <w:sz w:val="24"/>
          <w:highlight w:val="none"/>
        </w:rPr>
        <w:t>目的，不包括香港特别行政区、澳门特别行政区和台湾地区）。本</w:t>
      </w:r>
      <w:r>
        <w:rPr>
          <w:rFonts w:hint="eastAsia" w:ascii="楷体_GB2312" w:hAnsi="楷体" w:eastAsia="楷体_GB2312"/>
          <w:sz w:val="24"/>
          <w:highlight w:val="none"/>
        </w:rPr>
        <w:t>理财产品销售文件</w:t>
      </w:r>
      <w:r>
        <w:rPr>
          <w:rFonts w:ascii="楷体_GB2312" w:hAnsi="楷体" w:eastAsia="楷体_GB2312"/>
          <w:sz w:val="24"/>
          <w:highlight w:val="none"/>
        </w:rPr>
        <w:t>项下一切争议，</w:t>
      </w:r>
      <w:r>
        <w:rPr>
          <w:rFonts w:ascii="楷体_GB2312" w:hAnsi="楷体" w:eastAsia="楷体_GB2312"/>
          <w:b/>
          <w:bCs/>
          <w:sz w:val="24"/>
          <w:highlight w:val="none"/>
        </w:rPr>
        <w:t>双方协商不成的，应向</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所在地有管辖权的人民法院提起诉讼</w:t>
      </w:r>
      <w:r>
        <w:rPr>
          <w:rFonts w:ascii="楷体_GB2312" w:hAnsi="楷体" w:eastAsia="楷体_GB2312"/>
          <w:sz w:val="24"/>
          <w:highlight w:val="none"/>
        </w:rPr>
        <w:t>，双方在本</w:t>
      </w:r>
      <w:r>
        <w:rPr>
          <w:rFonts w:hint="eastAsia" w:ascii="楷体_GB2312" w:hAnsi="楷体" w:eastAsia="楷体_GB2312"/>
          <w:sz w:val="24"/>
          <w:highlight w:val="none"/>
        </w:rPr>
        <w:t>理财产品销售文件</w:t>
      </w:r>
      <w:r>
        <w:rPr>
          <w:rFonts w:ascii="楷体_GB2312" w:hAnsi="楷体" w:eastAsia="楷体_GB2312"/>
          <w:sz w:val="24"/>
          <w:highlight w:val="none"/>
        </w:rPr>
        <w:t xml:space="preserve">或补充协议中另有约定的除外。诉讼期间，未涉及争议的条款仍需履行。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五</w:t>
      </w:r>
      <w:r>
        <w:rPr>
          <w:rFonts w:ascii="楷体_GB2312" w:hAnsi="楷体" w:eastAsia="楷体_GB2312"/>
          <w:sz w:val="24"/>
          <w:highlight w:val="none"/>
        </w:rPr>
        <w:t>、其他</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一</w:t>
      </w:r>
      <w:r>
        <w:rPr>
          <w:rFonts w:hint="eastAsia" w:ascii="楷体_GB2312" w:hAnsi="楷体" w:eastAsia="楷体_GB2312"/>
          <w:sz w:val="24"/>
          <w:highlight w:val="none"/>
          <w:lang w:eastAsia="zh-CN"/>
        </w:rPr>
        <w:t>）</w:t>
      </w:r>
      <w:r>
        <w:rPr>
          <w:rFonts w:ascii="楷体_GB2312" w:hAnsi="楷体" w:eastAsia="楷体_GB2312"/>
          <w:sz w:val="24"/>
          <w:highlight w:val="none"/>
        </w:rPr>
        <w:t>投资者确认其已了解</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所对应的</w:t>
      </w:r>
      <w:r>
        <w:rPr>
          <w:rFonts w:hint="eastAsia" w:ascii="楷体_GB2312" w:hAnsi="楷体" w:eastAsia="楷体_GB2312"/>
          <w:sz w:val="24"/>
          <w:highlight w:val="none"/>
        </w:rPr>
        <w:t>理财产品销售文件</w:t>
      </w:r>
      <w:r>
        <w:rPr>
          <w:rFonts w:ascii="楷体_GB2312" w:hAnsi="楷体" w:eastAsia="楷体_GB2312"/>
          <w:sz w:val="24"/>
          <w:highlight w:val="none"/>
        </w:rPr>
        <w:t>的构成与全部内容</w:t>
      </w:r>
      <w:r>
        <w:rPr>
          <w:rFonts w:hint="eastAsia" w:ascii="楷体_GB2312" w:hAnsi="楷体" w:eastAsia="楷体_GB2312"/>
          <w:sz w:val="24"/>
          <w:highlight w:val="none"/>
          <w:lang w:eastAsia="zh-CN"/>
        </w:rPr>
        <w:t>。</w:t>
      </w:r>
      <w:r>
        <w:rPr>
          <w:rFonts w:ascii="楷体_GB2312" w:hAnsi="楷体" w:eastAsia="楷体_GB2312"/>
          <w:sz w:val="24"/>
          <w:highlight w:val="none"/>
        </w:rPr>
        <w:t>投资者签署本协议即视为投资者已经阅读并认可</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并已就投资于</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 xml:space="preserve">做出独立的判断。 </w:t>
      </w:r>
    </w:p>
    <w:p>
      <w:pPr>
        <w:ind w:firstLine="480" w:firstLineChars="200"/>
        <w:rPr>
          <w:rFonts w:ascii="楷体_GB2312" w:hAnsi="楷体" w:eastAsia="楷体_GB2312"/>
          <w:sz w:val="24"/>
          <w:highlight w:val="none"/>
          <w:lang w:eastAsia="zh-Hans"/>
        </w:rPr>
      </w:pPr>
      <w:r>
        <w:rPr>
          <w:rFonts w:hint="eastAsia" w:ascii="楷体_GB2312" w:hAnsi="楷体" w:eastAsia="楷体_GB2312"/>
          <w:sz w:val="24"/>
          <w:highlight w:val="none"/>
          <w:lang w:eastAsia="zh-Hans"/>
        </w:rPr>
        <w:t>（</w:t>
      </w:r>
      <w:r>
        <w:rPr>
          <w:rFonts w:hint="eastAsia" w:ascii="楷体_GB2312" w:hAnsi="楷体" w:eastAsia="楷体_GB2312"/>
          <w:sz w:val="24"/>
          <w:highlight w:val="none"/>
          <w:lang w:val="en-US" w:eastAsia="zh-CN"/>
        </w:rPr>
        <w:t>二</w:t>
      </w:r>
      <w:r>
        <w:rPr>
          <w:rFonts w:hint="eastAsia" w:ascii="楷体_GB2312" w:hAnsi="楷体" w:eastAsia="楷体_GB2312"/>
          <w:sz w:val="24"/>
          <w:highlight w:val="none"/>
          <w:lang w:eastAsia="zh-Hans"/>
        </w:rPr>
        <w:t>）本协议条款与《</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产品说明书》条款不一致的，以《</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产品说明书》的约定为准。</w:t>
      </w:r>
    </w:p>
    <w:p>
      <w:pPr>
        <w:numPr>
          <w:ilvl w:val="0"/>
          <w:numId w:val="0"/>
        </w:numPr>
        <w:ind w:firstLine="480" w:firstLineChars="200"/>
        <w:rPr>
          <w:rFonts w:hint="eastAsia" w:ascii="楷体_GB2312" w:hAnsi="楷体" w:eastAsia="楷体_GB2312"/>
          <w:sz w:val="24"/>
          <w:highlight w:val="none"/>
          <w:lang w:eastAsia="zh-Hans"/>
        </w:rPr>
      </w:pPr>
      <w:r>
        <w:rPr>
          <w:rFonts w:hint="eastAsia" w:ascii="楷体_GB2312" w:hAnsi="楷体" w:eastAsia="楷体_GB2312"/>
          <w:sz w:val="24"/>
          <w:highlight w:val="none"/>
          <w:lang w:eastAsia="zh-Hans"/>
        </w:rPr>
        <w:t>（</w:t>
      </w:r>
      <w:r>
        <w:rPr>
          <w:rFonts w:hint="eastAsia" w:ascii="楷体_GB2312" w:hAnsi="楷体" w:eastAsia="楷体_GB2312"/>
          <w:sz w:val="24"/>
          <w:highlight w:val="none"/>
          <w:lang w:val="en-US" w:eastAsia="zh-CN"/>
        </w:rPr>
        <w:t>三</w:t>
      </w:r>
      <w:r>
        <w:rPr>
          <w:rFonts w:hint="eastAsia" w:ascii="楷体_GB2312" w:hAnsi="楷体" w:eastAsia="楷体_GB2312"/>
          <w:sz w:val="24"/>
          <w:highlight w:val="none"/>
          <w:lang w:eastAsia="zh-Hans"/>
        </w:rPr>
        <w:t>）如果由于任何原因使本</w:t>
      </w:r>
      <w:r>
        <w:rPr>
          <w:rFonts w:ascii="楷体_GB2312" w:hAnsi="楷体" w:eastAsia="楷体_GB2312"/>
          <w:sz w:val="24"/>
          <w:highlight w:val="none"/>
        </w:rPr>
        <w:t>理财产品</w:t>
      </w:r>
      <w:r>
        <w:rPr>
          <w:rFonts w:hint="eastAsia" w:ascii="楷体_GB2312" w:hAnsi="楷体" w:eastAsia="楷体_GB2312"/>
          <w:sz w:val="24"/>
          <w:highlight w:val="none"/>
        </w:rPr>
        <w:t>销售文件</w:t>
      </w:r>
      <w:r>
        <w:rPr>
          <w:rFonts w:hint="eastAsia" w:ascii="楷体_GB2312" w:hAnsi="楷体" w:eastAsia="楷体_GB2312"/>
          <w:sz w:val="24"/>
          <w:highlight w:val="none"/>
          <w:lang w:eastAsia="zh-Hans"/>
        </w:rPr>
        <w:t>下的任何条款或者内容成为无效或者依法被撤销，本</w:t>
      </w:r>
      <w:r>
        <w:rPr>
          <w:rFonts w:ascii="楷体_GB2312" w:hAnsi="楷体" w:eastAsia="楷体_GB2312"/>
          <w:sz w:val="24"/>
          <w:highlight w:val="none"/>
        </w:rPr>
        <w:t>理财产品</w:t>
      </w:r>
      <w:r>
        <w:rPr>
          <w:rFonts w:hint="eastAsia" w:ascii="楷体_GB2312" w:hAnsi="楷体" w:eastAsia="楷体_GB2312"/>
          <w:sz w:val="24"/>
          <w:highlight w:val="none"/>
        </w:rPr>
        <w:t>销售文件</w:t>
      </w:r>
      <w:r>
        <w:rPr>
          <w:rFonts w:hint="eastAsia" w:ascii="楷体_GB2312" w:hAnsi="楷体" w:eastAsia="楷体_GB2312"/>
          <w:sz w:val="24"/>
          <w:highlight w:val="none"/>
          <w:lang w:eastAsia="zh-Hans"/>
        </w:rPr>
        <w:t>其他条款或内容的合法性，有效性和可执行性不受影响。</w:t>
      </w:r>
    </w:p>
    <w:p>
      <w:pPr>
        <w:pStyle w:val="2"/>
        <w:ind w:left="0" w:leftChars="0" w:firstLine="480" w:firstLineChars="200"/>
        <w:rPr>
          <w:highlight w:val="none"/>
        </w:rPr>
      </w:pP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四</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投资者确认其与产品管理人之间的权利义务以生效的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理财产品销售文件为准</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在本理财产品销售文件生效前</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产品管理人</w:t>
      </w:r>
      <w:r>
        <w:rPr>
          <w:rFonts w:hint="eastAsia" w:ascii="楷体_GB2312" w:hAnsi="楷体" w:eastAsia="楷体_GB2312"/>
          <w:sz w:val="24"/>
          <w:highlight w:val="none"/>
          <w:lang w:val="en-US" w:eastAsia="zh-CN"/>
        </w:rPr>
        <w:t>或</w:t>
      </w:r>
      <w:r>
        <w:rPr>
          <w:rFonts w:hint="eastAsia" w:ascii="楷体_GB2312" w:hAnsi="楷体" w:eastAsia="楷体_GB2312"/>
          <w:sz w:val="24"/>
          <w:highlight w:val="none"/>
        </w:rPr>
        <w:t>代销机构以书面、口头、电子文档等形式向投资者提供或展示的</w:t>
      </w:r>
      <w:r>
        <w:rPr>
          <w:rFonts w:hint="eastAsia" w:ascii="楷体_GB2312" w:hAnsi="楷体" w:eastAsia="楷体_GB2312"/>
          <w:sz w:val="24"/>
          <w:highlight w:val="none"/>
          <w:lang w:val="en-US" w:eastAsia="zh-CN"/>
        </w:rPr>
        <w:t>任何</w:t>
      </w:r>
      <w:r>
        <w:rPr>
          <w:rFonts w:hint="eastAsia" w:ascii="楷体_GB2312" w:hAnsi="楷体" w:eastAsia="楷体_GB2312"/>
          <w:sz w:val="24"/>
          <w:highlight w:val="none"/>
        </w:rPr>
        <w:t>关于本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产品的文件、宣介材料、说明等</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均不得对抗生效</w:t>
      </w:r>
      <w:r>
        <w:rPr>
          <w:rFonts w:hint="eastAsia" w:ascii="楷体_GB2312" w:hAnsi="楷体" w:eastAsia="楷体_GB2312"/>
          <w:sz w:val="24"/>
          <w:highlight w:val="none"/>
          <w:lang w:val="en-US" w:eastAsia="zh-CN"/>
        </w:rPr>
        <w:t>的本</w:t>
      </w:r>
      <w:r>
        <w:rPr>
          <w:rFonts w:hint="eastAsia" w:ascii="楷体_GB2312" w:hAnsi="楷体" w:eastAsia="楷体_GB2312"/>
          <w:sz w:val="24"/>
          <w:highlight w:val="none"/>
        </w:rPr>
        <w:t>理财产品销售文件项下各自的权利和义务。</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六</w:t>
      </w:r>
      <w:r>
        <w:rPr>
          <w:rFonts w:ascii="楷体_GB2312" w:hAnsi="楷体" w:eastAsia="楷体_GB2312"/>
          <w:b/>
          <w:bCs/>
          <w:sz w:val="24"/>
          <w:highlight w:val="none"/>
        </w:rPr>
        <w:t>、生效条款</w:t>
      </w:r>
    </w:p>
    <w:p>
      <w:pPr>
        <w:ind w:firstLine="480" w:firstLineChars="200"/>
        <w:rPr>
          <w:rFonts w:ascii="楷体_GB2312" w:hAnsi="楷体" w:eastAsia="楷体_GB2312"/>
          <w:sz w:val="24"/>
          <w:highlight w:val="none"/>
        </w:rPr>
      </w:pPr>
      <w:r>
        <w:rPr>
          <w:rFonts w:ascii="楷体_GB2312" w:hAnsi="楷体" w:eastAsia="楷体_GB2312"/>
          <w:sz w:val="24"/>
          <w:highlight w:val="none"/>
        </w:rPr>
        <w:t>投资者如通过适用的</w:t>
      </w:r>
      <w:r>
        <w:rPr>
          <w:rFonts w:hint="eastAsia" w:ascii="楷体_GB2312" w:hAnsi="楷体" w:eastAsia="楷体_GB2312"/>
          <w:sz w:val="24"/>
          <w:highlight w:val="none"/>
        </w:rPr>
        <w:t>代理销售机构</w:t>
      </w:r>
      <w:r>
        <w:rPr>
          <w:rFonts w:ascii="楷体_GB2312" w:hAnsi="楷体" w:eastAsia="楷体_GB2312"/>
          <w:sz w:val="24"/>
          <w:highlight w:val="none"/>
        </w:rPr>
        <w:t>电子渠道签署本</w:t>
      </w:r>
      <w:r>
        <w:rPr>
          <w:rFonts w:hint="eastAsia" w:ascii="楷体_GB2312" w:hAnsi="楷体" w:eastAsia="楷体_GB2312"/>
          <w:sz w:val="24"/>
          <w:highlight w:val="none"/>
        </w:rPr>
        <w:t>理财产品销售文件</w:t>
      </w:r>
      <w:r>
        <w:rPr>
          <w:rFonts w:ascii="楷体_GB2312" w:hAnsi="楷体" w:eastAsia="楷体_GB2312"/>
          <w:sz w:val="24"/>
          <w:highlight w:val="none"/>
        </w:rPr>
        <w:t>、购买</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的，本</w:t>
      </w:r>
      <w:r>
        <w:rPr>
          <w:rFonts w:hint="eastAsia" w:ascii="楷体_GB2312" w:hAnsi="楷体" w:eastAsia="楷体_GB2312"/>
          <w:sz w:val="24"/>
          <w:highlight w:val="none"/>
        </w:rPr>
        <w:t>理财产品销售文件</w:t>
      </w:r>
      <w:r>
        <w:rPr>
          <w:rFonts w:ascii="楷体_GB2312" w:hAnsi="楷体" w:eastAsia="楷体_GB2312"/>
          <w:sz w:val="24"/>
          <w:highlight w:val="none"/>
        </w:rPr>
        <w:t>自投资者勾选“</w:t>
      </w:r>
      <w:r>
        <w:rPr>
          <w:rFonts w:ascii="楷体_GB2312" w:hAnsi="楷体" w:eastAsia="楷体_GB2312"/>
          <w:b/>
          <w:sz w:val="24"/>
          <w:highlight w:val="none"/>
        </w:rPr>
        <w:t>我已经阅读并同意《风险揭示书》、《</w:t>
      </w:r>
      <w:r>
        <w:rPr>
          <w:rFonts w:hint="eastAsia" w:ascii="楷体_GB2312" w:hAnsi="楷体" w:eastAsia="楷体_GB2312"/>
          <w:b/>
          <w:sz w:val="24"/>
          <w:highlight w:val="none"/>
          <w:lang w:val="en-US" w:eastAsia="zh-CN"/>
        </w:rPr>
        <w:t>理财产品</w:t>
      </w:r>
      <w:r>
        <w:rPr>
          <w:rFonts w:ascii="楷体_GB2312" w:hAnsi="楷体" w:eastAsia="楷体_GB2312"/>
          <w:b/>
          <w:bCs w:val="0"/>
          <w:sz w:val="24"/>
          <w:highlight w:val="none"/>
        </w:rPr>
        <w:t>投资协议书》、《</w:t>
      </w:r>
      <w:r>
        <w:rPr>
          <w:rFonts w:hint="eastAsia" w:ascii="楷体_GB2312" w:hAnsi="楷体" w:eastAsia="楷体_GB2312"/>
          <w:b/>
          <w:bCs w:val="0"/>
          <w:sz w:val="24"/>
          <w:highlight w:val="none"/>
          <w:lang w:val="en-US" w:eastAsia="zh-CN"/>
        </w:rPr>
        <w:t>理财</w:t>
      </w:r>
      <w:r>
        <w:rPr>
          <w:rFonts w:ascii="楷体_GB2312" w:hAnsi="楷体" w:eastAsia="楷体_GB2312"/>
          <w:b/>
          <w:bCs w:val="0"/>
          <w:sz w:val="24"/>
          <w:highlight w:val="none"/>
        </w:rPr>
        <w:t>产品说明书》、《投资者权益须知》和《</w:t>
      </w:r>
      <w:r>
        <w:rPr>
          <w:rFonts w:hint="eastAsia" w:ascii="楷体_GB2312" w:hAnsi="楷体" w:eastAsia="楷体_GB2312"/>
          <w:b/>
          <w:bCs w:val="0"/>
          <w:sz w:val="24"/>
          <w:highlight w:val="none"/>
          <w:lang w:val="en-US" w:eastAsia="zh-CN"/>
        </w:rPr>
        <w:t>代理销售协议书</w:t>
      </w:r>
      <w:r>
        <w:rPr>
          <w:rFonts w:ascii="楷体_GB2312" w:hAnsi="楷体" w:eastAsia="楷体_GB2312"/>
          <w:b/>
          <w:bCs w:val="0"/>
          <w:sz w:val="24"/>
          <w:highlight w:val="none"/>
        </w:rPr>
        <w:t>》</w:t>
      </w:r>
      <w:r>
        <w:rPr>
          <w:rFonts w:hint="eastAsia" w:ascii="楷体_GB2312" w:hAnsi="楷体" w:eastAsia="楷体_GB2312" w:cs="Times New Roman"/>
          <w:b/>
          <w:bCs w:val="0"/>
          <w:sz w:val="24"/>
          <w:highlight w:val="none"/>
          <w:lang w:eastAsia="zh-CN"/>
        </w:rPr>
        <w:t>（</w:t>
      </w:r>
      <w:r>
        <w:rPr>
          <w:rFonts w:hint="eastAsia" w:ascii="楷体_GB2312" w:hAnsi="楷体" w:eastAsia="楷体_GB2312" w:cs="Times New Roman"/>
          <w:b/>
          <w:bCs w:val="0"/>
          <w:sz w:val="24"/>
          <w:highlight w:val="none"/>
          <w:lang w:val="en-US" w:eastAsia="zh-CN"/>
        </w:rPr>
        <w:t>具体名称以代销机构为准</w:t>
      </w:r>
      <w:r>
        <w:rPr>
          <w:rFonts w:hint="eastAsia" w:ascii="楷体_GB2312" w:hAnsi="楷体" w:eastAsia="楷体_GB2312" w:cs="Times New Roman"/>
          <w:b/>
          <w:bCs w:val="0"/>
          <w:sz w:val="24"/>
          <w:highlight w:val="none"/>
          <w:lang w:eastAsia="zh-CN"/>
        </w:rPr>
        <w:t>）</w:t>
      </w:r>
      <w:r>
        <w:rPr>
          <w:rFonts w:ascii="楷体_GB2312" w:hAnsi="楷体" w:eastAsia="楷体_GB2312"/>
          <w:b/>
          <w:bCs w:val="0"/>
          <w:sz w:val="24"/>
          <w:highlight w:val="none"/>
        </w:rPr>
        <w:t>，并</w:t>
      </w:r>
      <w:r>
        <w:rPr>
          <w:rFonts w:ascii="楷体_GB2312" w:hAnsi="楷体" w:eastAsia="楷体_GB2312"/>
          <w:b/>
          <w:sz w:val="24"/>
          <w:highlight w:val="none"/>
        </w:rPr>
        <w:t>愿意承担投资风险。同意</w:t>
      </w:r>
      <w:r>
        <w:rPr>
          <w:rFonts w:hint="eastAsia" w:ascii="楷体_GB2312" w:hAnsi="楷体" w:eastAsia="楷体_GB2312"/>
          <w:b/>
          <w:bCs/>
          <w:sz w:val="24"/>
          <w:highlight w:val="none"/>
        </w:rPr>
        <w:t>代理销售机构</w:t>
      </w:r>
      <w:r>
        <w:rPr>
          <w:rFonts w:ascii="楷体_GB2312" w:hAnsi="楷体" w:eastAsia="楷体_GB2312"/>
          <w:b/>
          <w:sz w:val="24"/>
          <w:highlight w:val="none"/>
        </w:rPr>
        <w:t>按照监管要求，对本次理财</w:t>
      </w:r>
      <w:r>
        <w:rPr>
          <w:rFonts w:hint="eastAsia" w:ascii="楷体_GB2312" w:hAnsi="楷体" w:eastAsia="楷体_GB2312"/>
          <w:b/>
          <w:sz w:val="24"/>
          <w:highlight w:val="none"/>
          <w:lang w:val="en-US" w:eastAsia="zh-CN"/>
        </w:rPr>
        <w:t>产品</w:t>
      </w:r>
      <w:r>
        <w:rPr>
          <w:rFonts w:ascii="楷体_GB2312" w:hAnsi="楷体" w:eastAsia="楷体_GB2312"/>
          <w:b/>
          <w:sz w:val="24"/>
          <w:highlight w:val="none"/>
        </w:rPr>
        <w:t>销售过程进行记录。</w:t>
      </w:r>
      <w:r>
        <w:rPr>
          <w:rFonts w:ascii="楷体_GB2312" w:hAnsi="楷体" w:eastAsia="楷体_GB2312"/>
          <w:sz w:val="24"/>
          <w:highlight w:val="none"/>
        </w:rPr>
        <w:t>”</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具体表述以</w:t>
      </w:r>
      <w:r>
        <w:rPr>
          <w:rFonts w:hint="eastAsia" w:ascii="楷体_GB2312" w:hAnsi="楷体" w:eastAsia="楷体_GB2312"/>
          <w:sz w:val="24"/>
          <w:highlight w:val="none"/>
        </w:rPr>
        <w:t>代理销售机构</w:t>
      </w:r>
      <w:r>
        <w:rPr>
          <w:rFonts w:ascii="楷体_GB2312" w:hAnsi="楷体" w:eastAsia="楷体_GB2312"/>
          <w:sz w:val="24"/>
          <w:highlight w:val="none"/>
        </w:rPr>
        <w:t>电子渠道</w:t>
      </w:r>
      <w:r>
        <w:rPr>
          <w:rFonts w:hint="eastAsia" w:ascii="楷体_GB2312" w:hAnsi="楷体" w:eastAsia="楷体_GB2312"/>
          <w:sz w:val="24"/>
          <w:highlight w:val="none"/>
          <w:lang w:val="en-US" w:eastAsia="zh-CN"/>
        </w:rPr>
        <w:t>页面展示为准</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，并成功缴纳</w:t>
      </w:r>
      <w:r>
        <w:rPr>
          <w:rFonts w:hint="eastAsia" w:ascii="楷体_GB2312" w:hAnsi="楷体" w:eastAsia="楷体_GB2312"/>
          <w:sz w:val="24"/>
          <w:highlight w:val="none"/>
          <w:lang w:val="en-US" w:eastAsia="zh-CN"/>
        </w:rPr>
        <w:t>全额</w:t>
      </w:r>
      <w:r>
        <w:rPr>
          <w:rFonts w:ascii="楷体_GB2312" w:hAnsi="楷体" w:eastAsia="楷体_GB2312"/>
          <w:sz w:val="24"/>
          <w:highlight w:val="none"/>
        </w:rPr>
        <w:t>认购或申购资金</w:t>
      </w:r>
      <w:r>
        <w:rPr>
          <w:rFonts w:hint="eastAsia" w:ascii="楷体_GB2312" w:hAnsi="楷体" w:eastAsia="楷体_GB2312"/>
          <w:sz w:val="24"/>
          <w:highlight w:val="none"/>
        </w:rPr>
        <w:t>并经北银理财系统确认份额后成立并生效。</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投资者如通过适用的代理销售机构营业网点柜台购买</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w:t>
      </w:r>
      <w:r>
        <w:rPr>
          <w:rFonts w:hint="eastAsia" w:ascii="楷体_GB2312" w:hAnsi="楷体" w:eastAsia="楷体_GB2312"/>
          <w:sz w:val="24"/>
          <w:highlight w:val="none"/>
          <w:lang w:val="en-US" w:eastAsia="zh-CN"/>
        </w:rPr>
        <w:t>的</w:t>
      </w:r>
      <w:r>
        <w:rPr>
          <w:rFonts w:hint="eastAsia" w:ascii="楷体_GB2312" w:hAnsi="楷体" w:eastAsia="楷体_GB2312"/>
          <w:sz w:val="24"/>
          <w:highlight w:val="none"/>
        </w:rPr>
        <w:t>，</w:t>
      </w:r>
      <w:r>
        <w:rPr>
          <w:rFonts w:ascii="楷体_GB2312" w:hAnsi="楷体" w:eastAsia="楷体_GB2312"/>
          <w:sz w:val="24"/>
          <w:highlight w:val="none"/>
        </w:rPr>
        <w:t>本理财产品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自</w:t>
      </w:r>
      <w:r>
        <w:rPr>
          <w:rFonts w:hint="eastAsia" w:ascii="楷体_GB2312" w:hAnsi="楷体" w:eastAsia="楷体_GB2312"/>
          <w:sz w:val="24"/>
          <w:highlight w:val="none"/>
        </w:rPr>
        <w:t>投资者签字确认且完成购买申请，并成功缴纳</w:t>
      </w:r>
      <w:r>
        <w:rPr>
          <w:rFonts w:hint="eastAsia" w:ascii="楷体_GB2312" w:hAnsi="楷体" w:eastAsia="楷体_GB2312"/>
          <w:sz w:val="24"/>
          <w:highlight w:val="none"/>
          <w:lang w:val="en-US" w:eastAsia="zh-CN"/>
        </w:rPr>
        <w:t>全额</w:t>
      </w:r>
      <w:r>
        <w:rPr>
          <w:rFonts w:ascii="楷体_GB2312" w:hAnsi="楷体" w:eastAsia="楷体_GB2312"/>
          <w:sz w:val="24"/>
          <w:highlight w:val="none"/>
        </w:rPr>
        <w:t>认购或申购资金</w:t>
      </w:r>
      <w:r>
        <w:rPr>
          <w:rFonts w:hint="eastAsia" w:ascii="楷体_GB2312" w:hAnsi="楷体" w:eastAsia="楷体_GB2312"/>
          <w:sz w:val="24"/>
          <w:highlight w:val="none"/>
        </w:rPr>
        <w:t>并经北银理财系统确认份额后成立并生效。</w:t>
      </w:r>
    </w:p>
    <w:p>
      <w:pPr>
        <w:pStyle w:val="38"/>
        <w:ind w:right="480" w:firstLine="0" w:firstLineChars="0"/>
        <w:rPr>
          <w:rFonts w:ascii="楷体_GB2312" w:hAnsi="楷体" w:eastAsia="楷体_GB2312" w:cs="Times New Roman"/>
          <w:color w:val="auto"/>
          <w:kern w:val="2"/>
          <w:highlight w:val="none"/>
        </w:rPr>
      </w:pPr>
    </w:p>
    <w:p>
      <w:pPr>
        <w:pStyle w:val="38"/>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个人投资者（签名）：</w:t>
      </w:r>
    </w:p>
    <w:p>
      <w:pPr>
        <w:pStyle w:val="38"/>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p>
      <w:pPr>
        <w:pStyle w:val="38"/>
        <w:ind w:right="1680"/>
        <w:jc w:val="right"/>
        <w:rPr>
          <w:rFonts w:hint="eastAsia" w:ascii="楷体_GB2312" w:hAnsi="楷体" w:eastAsia="楷体_GB2312" w:cs="Times New Roman"/>
          <w:color w:val="auto"/>
          <w:kern w:val="2"/>
          <w:highlight w:val="none"/>
        </w:rPr>
      </w:pPr>
    </w:p>
    <w:p>
      <w:pPr>
        <w:pStyle w:val="38"/>
        <w:ind w:right="1680"/>
        <w:jc w:val="both"/>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8"/>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8"/>
        <w:ind w:right="1680" w:firstLine="0" w:firstLineChars="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w:t>
    </w:r>
    <w:r>
      <w:rPr>
        <w:rFonts w:hint="eastAsia" w:ascii="黑体" w:hAnsi="黑体" w:eastAsia="黑体"/>
        <w:b/>
        <w:lang w:val="en-US" w:eastAsia="zh-CN"/>
      </w:rPr>
      <w:t>见春系列易淘金</w:t>
    </w:r>
    <w:r>
      <w:rPr>
        <w:rFonts w:hint="eastAsia" w:ascii="黑体" w:hAnsi="黑体" w:eastAsia="黑体"/>
        <w:b/>
      </w:rPr>
      <w:t xml:space="preserve">      </w:t>
    </w:r>
    <w:r>
      <w:rPr>
        <w:rFonts w:hint="eastAsia" w:ascii="黑体" w:hAnsi="黑体" w:eastAsia="黑体"/>
        <w:b/>
        <w:sz w:val="22"/>
        <w:szCs w:val="28"/>
      </w:rPr>
      <w:t>理财非存款</w:t>
    </w:r>
    <w:r>
      <w:rPr>
        <w:rFonts w:hint="eastAsia" w:ascii="黑体" w:hAnsi="黑体" w:eastAsia="黑体"/>
        <w:b/>
        <w:sz w:val="22"/>
        <w:szCs w:val="28"/>
        <w:lang w:eastAsia="zh-CN"/>
      </w:rPr>
      <w:t>、</w:t>
    </w:r>
    <w:r>
      <w:rPr>
        <w:rFonts w:hint="eastAsia" w:ascii="黑体" w:hAnsi="黑体" w:eastAsia="黑体"/>
        <w:b/>
        <w:sz w:val="22"/>
        <w:szCs w:val="28"/>
      </w:rPr>
      <w:t>产品有风险</w:t>
    </w:r>
    <w:r>
      <w:rPr>
        <w:rFonts w:hint="eastAsia" w:ascii="黑体" w:hAnsi="黑体" w:eastAsia="黑体"/>
        <w:b/>
        <w:sz w:val="22"/>
        <w:szCs w:val="28"/>
        <w:lang w:eastAsia="zh-CN"/>
      </w:rPr>
      <w:t>、</w:t>
    </w:r>
    <w:r>
      <w:rPr>
        <w:rFonts w:hint="eastAsia" w:ascii="黑体" w:hAnsi="黑体" w:eastAsia="黑体"/>
        <w:b/>
        <w:sz w:val="22"/>
        <w:szCs w:val="28"/>
      </w:rPr>
      <w:t>投资须谨慎</w:t>
    </w:r>
    <w:r>
      <w:rPr>
        <w:rFonts w:hint="eastAsia" w:ascii="黑体" w:hAnsi="黑体" w:eastAsia="黑体"/>
        <w:b/>
        <w:sz w:val="22"/>
        <w:szCs w:val="28"/>
        <w:lang w:eastAsia="zh-CN"/>
      </w:rPr>
      <w:t>！</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zRlZDM5NjM2Mjk4NDIyN2Q1OThjMzg2M2FjM2IifQ=="/>
  </w:docVars>
  <w:rsids>
    <w:rsidRoot w:val="00402C91"/>
    <w:rsid w:val="00004DD7"/>
    <w:rsid w:val="00010A65"/>
    <w:rsid w:val="00014B1D"/>
    <w:rsid w:val="00023027"/>
    <w:rsid w:val="00023E25"/>
    <w:rsid w:val="00031959"/>
    <w:rsid w:val="0003570D"/>
    <w:rsid w:val="00042AB1"/>
    <w:rsid w:val="00060EA4"/>
    <w:rsid w:val="00063758"/>
    <w:rsid w:val="000675AD"/>
    <w:rsid w:val="000927EA"/>
    <w:rsid w:val="000A6512"/>
    <w:rsid w:val="000B4AAB"/>
    <w:rsid w:val="000B4F4A"/>
    <w:rsid w:val="000E1184"/>
    <w:rsid w:val="000F1B5E"/>
    <w:rsid w:val="000F2610"/>
    <w:rsid w:val="000F7EC3"/>
    <w:rsid w:val="00100C28"/>
    <w:rsid w:val="0010341C"/>
    <w:rsid w:val="00115A88"/>
    <w:rsid w:val="001247CB"/>
    <w:rsid w:val="00127573"/>
    <w:rsid w:val="001315D9"/>
    <w:rsid w:val="00133A37"/>
    <w:rsid w:val="0013433A"/>
    <w:rsid w:val="00135BA4"/>
    <w:rsid w:val="00140605"/>
    <w:rsid w:val="0014653B"/>
    <w:rsid w:val="0016438C"/>
    <w:rsid w:val="00174C30"/>
    <w:rsid w:val="00196588"/>
    <w:rsid w:val="001A1AF2"/>
    <w:rsid w:val="001A4AA4"/>
    <w:rsid w:val="001D213E"/>
    <w:rsid w:val="001D2398"/>
    <w:rsid w:val="001D298D"/>
    <w:rsid w:val="001D6E08"/>
    <w:rsid w:val="001E4E0A"/>
    <w:rsid w:val="002023D9"/>
    <w:rsid w:val="002108E2"/>
    <w:rsid w:val="0021550A"/>
    <w:rsid w:val="00216360"/>
    <w:rsid w:val="00225E70"/>
    <w:rsid w:val="0023619B"/>
    <w:rsid w:val="00240AB8"/>
    <w:rsid w:val="00251C33"/>
    <w:rsid w:val="00252435"/>
    <w:rsid w:val="002602FB"/>
    <w:rsid w:val="00265479"/>
    <w:rsid w:val="002850D3"/>
    <w:rsid w:val="002934ED"/>
    <w:rsid w:val="002B4144"/>
    <w:rsid w:val="002B4FF6"/>
    <w:rsid w:val="002C2BE2"/>
    <w:rsid w:val="002C6A5C"/>
    <w:rsid w:val="002F2246"/>
    <w:rsid w:val="002F3E26"/>
    <w:rsid w:val="002F6BC2"/>
    <w:rsid w:val="002F79C6"/>
    <w:rsid w:val="00300B76"/>
    <w:rsid w:val="00306DF0"/>
    <w:rsid w:val="00310786"/>
    <w:rsid w:val="00311054"/>
    <w:rsid w:val="00312DEE"/>
    <w:rsid w:val="00312FBA"/>
    <w:rsid w:val="0031305A"/>
    <w:rsid w:val="00314971"/>
    <w:rsid w:val="0031574B"/>
    <w:rsid w:val="003168D5"/>
    <w:rsid w:val="00346B0F"/>
    <w:rsid w:val="00352F98"/>
    <w:rsid w:val="00354BD8"/>
    <w:rsid w:val="00365415"/>
    <w:rsid w:val="00366FD9"/>
    <w:rsid w:val="00367620"/>
    <w:rsid w:val="00370C09"/>
    <w:rsid w:val="00383602"/>
    <w:rsid w:val="00383738"/>
    <w:rsid w:val="0038646E"/>
    <w:rsid w:val="00395973"/>
    <w:rsid w:val="00395CDA"/>
    <w:rsid w:val="003A575B"/>
    <w:rsid w:val="003D08CE"/>
    <w:rsid w:val="003D5C4E"/>
    <w:rsid w:val="003E35AE"/>
    <w:rsid w:val="003F51CA"/>
    <w:rsid w:val="0040047D"/>
    <w:rsid w:val="00402C91"/>
    <w:rsid w:val="00407BFC"/>
    <w:rsid w:val="00413047"/>
    <w:rsid w:val="00415332"/>
    <w:rsid w:val="00417689"/>
    <w:rsid w:val="0041771D"/>
    <w:rsid w:val="00417865"/>
    <w:rsid w:val="00436F86"/>
    <w:rsid w:val="0047342B"/>
    <w:rsid w:val="00481ABF"/>
    <w:rsid w:val="00491F21"/>
    <w:rsid w:val="00494661"/>
    <w:rsid w:val="004967C7"/>
    <w:rsid w:val="004A025B"/>
    <w:rsid w:val="004A19BD"/>
    <w:rsid w:val="004C02FD"/>
    <w:rsid w:val="004C0A8E"/>
    <w:rsid w:val="004D17AB"/>
    <w:rsid w:val="004E4340"/>
    <w:rsid w:val="004E541D"/>
    <w:rsid w:val="004F098A"/>
    <w:rsid w:val="004F1F50"/>
    <w:rsid w:val="005002F1"/>
    <w:rsid w:val="00502E6B"/>
    <w:rsid w:val="00506BA5"/>
    <w:rsid w:val="00524E34"/>
    <w:rsid w:val="0053340D"/>
    <w:rsid w:val="00537946"/>
    <w:rsid w:val="00541365"/>
    <w:rsid w:val="0055554B"/>
    <w:rsid w:val="0056230B"/>
    <w:rsid w:val="00562769"/>
    <w:rsid w:val="00571503"/>
    <w:rsid w:val="00576740"/>
    <w:rsid w:val="005837A2"/>
    <w:rsid w:val="00583A81"/>
    <w:rsid w:val="005928F5"/>
    <w:rsid w:val="005A2C68"/>
    <w:rsid w:val="005A2D82"/>
    <w:rsid w:val="005B1A78"/>
    <w:rsid w:val="005C460A"/>
    <w:rsid w:val="005E0942"/>
    <w:rsid w:val="005F1ACF"/>
    <w:rsid w:val="005F586A"/>
    <w:rsid w:val="006007CA"/>
    <w:rsid w:val="00602EA6"/>
    <w:rsid w:val="00613C69"/>
    <w:rsid w:val="00615A24"/>
    <w:rsid w:val="006214FF"/>
    <w:rsid w:val="00642C17"/>
    <w:rsid w:val="00643A8B"/>
    <w:rsid w:val="006524F5"/>
    <w:rsid w:val="00660403"/>
    <w:rsid w:val="00662142"/>
    <w:rsid w:val="00670E41"/>
    <w:rsid w:val="006772DB"/>
    <w:rsid w:val="00680A5C"/>
    <w:rsid w:val="00681882"/>
    <w:rsid w:val="006818F7"/>
    <w:rsid w:val="00681E3E"/>
    <w:rsid w:val="0068343D"/>
    <w:rsid w:val="006A29F2"/>
    <w:rsid w:val="006A6A7E"/>
    <w:rsid w:val="006A7C1C"/>
    <w:rsid w:val="006B5AA6"/>
    <w:rsid w:val="006B7B80"/>
    <w:rsid w:val="006C169A"/>
    <w:rsid w:val="006D105A"/>
    <w:rsid w:val="006D5AAE"/>
    <w:rsid w:val="006D6E4E"/>
    <w:rsid w:val="006D6EDA"/>
    <w:rsid w:val="006E4400"/>
    <w:rsid w:val="006F7466"/>
    <w:rsid w:val="007042CA"/>
    <w:rsid w:val="00714088"/>
    <w:rsid w:val="007156F1"/>
    <w:rsid w:val="007257A8"/>
    <w:rsid w:val="0072662A"/>
    <w:rsid w:val="00730D15"/>
    <w:rsid w:val="007326F9"/>
    <w:rsid w:val="00735207"/>
    <w:rsid w:val="007376D0"/>
    <w:rsid w:val="00737904"/>
    <w:rsid w:val="00741E90"/>
    <w:rsid w:val="00742805"/>
    <w:rsid w:val="00743342"/>
    <w:rsid w:val="0074340B"/>
    <w:rsid w:val="007466F0"/>
    <w:rsid w:val="00751EF9"/>
    <w:rsid w:val="00764E4A"/>
    <w:rsid w:val="00771F9A"/>
    <w:rsid w:val="007758DF"/>
    <w:rsid w:val="00785E98"/>
    <w:rsid w:val="0079317D"/>
    <w:rsid w:val="007A7E71"/>
    <w:rsid w:val="007B06B8"/>
    <w:rsid w:val="007B3F5B"/>
    <w:rsid w:val="007B4E40"/>
    <w:rsid w:val="007B66EE"/>
    <w:rsid w:val="007C0605"/>
    <w:rsid w:val="007D1008"/>
    <w:rsid w:val="007D5C91"/>
    <w:rsid w:val="007E35BB"/>
    <w:rsid w:val="007E7F92"/>
    <w:rsid w:val="007F1BE0"/>
    <w:rsid w:val="007F4838"/>
    <w:rsid w:val="00812809"/>
    <w:rsid w:val="00813BDB"/>
    <w:rsid w:val="00817013"/>
    <w:rsid w:val="008304FE"/>
    <w:rsid w:val="0083501E"/>
    <w:rsid w:val="008407B3"/>
    <w:rsid w:val="00841BE9"/>
    <w:rsid w:val="0085183C"/>
    <w:rsid w:val="00861E98"/>
    <w:rsid w:val="00886947"/>
    <w:rsid w:val="00886B4B"/>
    <w:rsid w:val="00890461"/>
    <w:rsid w:val="008A24E0"/>
    <w:rsid w:val="008A402A"/>
    <w:rsid w:val="008C345E"/>
    <w:rsid w:val="008D1D90"/>
    <w:rsid w:val="008D307C"/>
    <w:rsid w:val="008D4619"/>
    <w:rsid w:val="008F40B7"/>
    <w:rsid w:val="008F4FFE"/>
    <w:rsid w:val="008F7B68"/>
    <w:rsid w:val="00905C80"/>
    <w:rsid w:val="009210EF"/>
    <w:rsid w:val="0095089C"/>
    <w:rsid w:val="009561FD"/>
    <w:rsid w:val="009655CF"/>
    <w:rsid w:val="00971795"/>
    <w:rsid w:val="00976980"/>
    <w:rsid w:val="00980936"/>
    <w:rsid w:val="009839E4"/>
    <w:rsid w:val="009842AA"/>
    <w:rsid w:val="0099263F"/>
    <w:rsid w:val="00992AA6"/>
    <w:rsid w:val="009A0DE1"/>
    <w:rsid w:val="009A1004"/>
    <w:rsid w:val="009B3C8A"/>
    <w:rsid w:val="009C0AAD"/>
    <w:rsid w:val="009C4385"/>
    <w:rsid w:val="009F3740"/>
    <w:rsid w:val="00A038AD"/>
    <w:rsid w:val="00A151D8"/>
    <w:rsid w:val="00A172CA"/>
    <w:rsid w:val="00A20990"/>
    <w:rsid w:val="00A210DF"/>
    <w:rsid w:val="00A2116A"/>
    <w:rsid w:val="00A32F58"/>
    <w:rsid w:val="00A373A1"/>
    <w:rsid w:val="00A4170F"/>
    <w:rsid w:val="00A459AA"/>
    <w:rsid w:val="00A46F50"/>
    <w:rsid w:val="00A51270"/>
    <w:rsid w:val="00A52DF4"/>
    <w:rsid w:val="00A54C05"/>
    <w:rsid w:val="00A72E56"/>
    <w:rsid w:val="00A7322E"/>
    <w:rsid w:val="00A91EE4"/>
    <w:rsid w:val="00AA1629"/>
    <w:rsid w:val="00AA53ED"/>
    <w:rsid w:val="00AC773E"/>
    <w:rsid w:val="00AD5617"/>
    <w:rsid w:val="00AD619A"/>
    <w:rsid w:val="00AD7D81"/>
    <w:rsid w:val="00AE2C68"/>
    <w:rsid w:val="00B06084"/>
    <w:rsid w:val="00B131FD"/>
    <w:rsid w:val="00B224AF"/>
    <w:rsid w:val="00B35C4A"/>
    <w:rsid w:val="00B35CAA"/>
    <w:rsid w:val="00B42994"/>
    <w:rsid w:val="00B47D72"/>
    <w:rsid w:val="00B52BA3"/>
    <w:rsid w:val="00B535BC"/>
    <w:rsid w:val="00B549FA"/>
    <w:rsid w:val="00B6532C"/>
    <w:rsid w:val="00B70FBF"/>
    <w:rsid w:val="00B8729D"/>
    <w:rsid w:val="00B93B6A"/>
    <w:rsid w:val="00B96C42"/>
    <w:rsid w:val="00B96D05"/>
    <w:rsid w:val="00BB0A85"/>
    <w:rsid w:val="00BB34B4"/>
    <w:rsid w:val="00BB6E39"/>
    <w:rsid w:val="00BB6F2B"/>
    <w:rsid w:val="00BC2167"/>
    <w:rsid w:val="00BF4171"/>
    <w:rsid w:val="00BF7A7C"/>
    <w:rsid w:val="00C02489"/>
    <w:rsid w:val="00C038D7"/>
    <w:rsid w:val="00C06C47"/>
    <w:rsid w:val="00C138D1"/>
    <w:rsid w:val="00C173B0"/>
    <w:rsid w:val="00C236D7"/>
    <w:rsid w:val="00C2472A"/>
    <w:rsid w:val="00C27F49"/>
    <w:rsid w:val="00C43892"/>
    <w:rsid w:val="00C451F7"/>
    <w:rsid w:val="00C5024B"/>
    <w:rsid w:val="00C5147E"/>
    <w:rsid w:val="00C54DED"/>
    <w:rsid w:val="00C64F34"/>
    <w:rsid w:val="00C708A7"/>
    <w:rsid w:val="00C7668C"/>
    <w:rsid w:val="00C816AD"/>
    <w:rsid w:val="00C92EA5"/>
    <w:rsid w:val="00C975C6"/>
    <w:rsid w:val="00CB0B96"/>
    <w:rsid w:val="00CD1DD1"/>
    <w:rsid w:val="00CD3C87"/>
    <w:rsid w:val="00CE0A91"/>
    <w:rsid w:val="00CF5500"/>
    <w:rsid w:val="00CF6E3A"/>
    <w:rsid w:val="00CF7777"/>
    <w:rsid w:val="00CF7E1D"/>
    <w:rsid w:val="00D01A6B"/>
    <w:rsid w:val="00D201FF"/>
    <w:rsid w:val="00D338B6"/>
    <w:rsid w:val="00D34E9A"/>
    <w:rsid w:val="00D41B71"/>
    <w:rsid w:val="00D5110D"/>
    <w:rsid w:val="00D621BE"/>
    <w:rsid w:val="00D62385"/>
    <w:rsid w:val="00D708E7"/>
    <w:rsid w:val="00D710D9"/>
    <w:rsid w:val="00DA0167"/>
    <w:rsid w:val="00DA017A"/>
    <w:rsid w:val="00DA2209"/>
    <w:rsid w:val="00DA35E0"/>
    <w:rsid w:val="00DA3F72"/>
    <w:rsid w:val="00DB6030"/>
    <w:rsid w:val="00DB6F6D"/>
    <w:rsid w:val="00DD2758"/>
    <w:rsid w:val="00DD33B7"/>
    <w:rsid w:val="00DD5596"/>
    <w:rsid w:val="00DD60D3"/>
    <w:rsid w:val="00DE01E8"/>
    <w:rsid w:val="00DE1229"/>
    <w:rsid w:val="00DE2FA6"/>
    <w:rsid w:val="00DE313A"/>
    <w:rsid w:val="00DE6793"/>
    <w:rsid w:val="00DF180D"/>
    <w:rsid w:val="00DF22E6"/>
    <w:rsid w:val="00DF2EB8"/>
    <w:rsid w:val="00DF7384"/>
    <w:rsid w:val="00E06C63"/>
    <w:rsid w:val="00E11539"/>
    <w:rsid w:val="00E24274"/>
    <w:rsid w:val="00E37166"/>
    <w:rsid w:val="00E400F5"/>
    <w:rsid w:val="00E50F58"/>
    <w:rsid w:val="00E61B7C"/>
    <w:rsid w:val="00E64230"/>
    <w:rsid w:val="00E70E00"/>
    <w:rsid w:val="00E7504C"/>
    <w:rsid w:val="00E7566B"/>
    <w:rsid w:val="00E942AD"/>
    <w:rsid w:val="00E952E0"/>
    <w:rsid w:val="00E97BCC"/>
    <w:rsid w:val="00E97CDD"/>
    <w:rsid w:val="00EA0FD4"/>
    <w:rsid w:val="00EA2AD4"/>
    <w:rsid w:val="00EA5C51"/>
    <w:rsid w:val="00EB11B6"/>
    <w:rsid w:val="00EB7005"/>
    <w:rsid w:val="00EC055B"/>
    <w:rsid w:val="00EC11D9"/>
    <w:rsid w:val="00ED07AC"/>
    <w:rsid w:val="00ED2FC8"/>
    <w:rsid w:val="00EE0768"/>
    <w:rsid w:val="00EE51C9"/>
    <w:rsid w:val="00EF6EAF"/>
    <w:rsid w:val="00F00CDC"/>
    <w:rsid w:val="00F05DCE"/>
    <w:rsid w:val="00F15680"/>
    <w:rsid w:val="00F15DD7"/>
    <w:rsid w:val="00F37052"/>
    <w:rsid w:val="00F42817"/>
    <w:rsid w:val="00F43D36"/>
    <w:rsid w:val="00F4490E"/>
    <w:rsid w:val="00F510F3"/>
    <w:rsid w:val="00F52590"/>
    <w:rsid w:val="00F61228"/>
    <w:rsid w:val="00F7163D"/>
    <w:rsid w:val="00F82D20"/>
    <w:rsid w:val="00F83D51"/>
    <w:rsid w:val="00F86BB2"/>
    <w:rsid w:val="00F933D2"/>
    <w:rsid w:val="00F94C3E"/>
    <w:rsid w:val="00FA2A28"/>
    <w:rsid w:val="00FA74DF"/>
    <w:rsid w:val="00FB5739"/>
    <w:rsid w:val="00FC114A"/>
    <w:rsid w:val="00FC2733"/>
    <w:rsid w:val="00FC36E0"/>
    <w:rsid w:val="00FC4E48"/>
    <w:rsid w:val="00FC796E"/>
    <w:rsid w:val="00FD02F6"/>
    <w:rsid w:val="00FD2F6B"/>
    <w:rsid w:val="00FD5F1B"/>
    <w:rsid w:val="00FD61D0"/>
    <w:rsid w:val="00FE1DB6"/>
    <w:rsid w:val="00FF122D"/>
    <w:rsid w:val="01097D8C"/>
    <w:rsid w:val="0111592D"/>
    <w:rsid w:val="0119680E"/>
    <w:rsid w:val="011F2A79"/>
    <w:rsid w:val="01217070"/>
    <w:rsid w:val="0122381D"/>
    <w:rsid w:val="012564A7"/>
    <w:rsid w:val="01326571"/>
    <w:rsid w:val="01374A8D"/>
    <w:rsid w:val="013B6CD0"/>
    <w:rsid w:val="01456DAE"/>
    <w:rsid w:val="014604A8"/>
    <w:rsid w:val="015505E3"/>
    <w:rsid w:val="01577169"/>
    <w:rsid w:val="015B7AC6"/>
    <w:rsid w:val="0160117B"/>
    <w:rsid w:val="01636FCD"/>
    <w:rsid w:val="016F0453"/>
    <w:rsid w:val="01747E56"/>
    <w:rsid w:val="017815C0"/>
    <w:rsid w:val="0192077D"/>
    <w:rsid w:val="01933FD5"/>
    <w:rsid w:val="01A8486B"/>
    <w:rsid w:val="01C83E2D"/>
    <w:rsid w:val="01C866F9"/>
    <w:rsid w:val="01C90096"/>
    <w:rsid w:val="01D56023"/>
    <w:rsid w:val="01D73BC6"/>
    <w:rsid w:val="01D97016"/>
    <w:rsid w:val="01E34CAB"/>
    <w:rsid w:val="01E54ACA"/>
    <w:rsid w:val="01E64560"/>
    <w:rsid w:val="01F76385"/>
    <w:rsid w:val="0202238B"/>
    <w:rsid w:val="02051AFA"/>
    <w:rsid w:val="020C3E95"/>
    <w:rsid w:val="02202BF7"/>
    <w:rsid w:val="022E1D38"/>
    <w:rsid w:val="022F570A"/>
    <w:rsid w:val="023253D4"/>
    <w:rsid w:val="02464EFD"/>
    <w:rsid w:val="02474149"/>
    <w:rsid w:val="024803AC"/>
    <w:rsid w:val="025041F5"/>
    <w:rsid w:val="025D207A"/>
    <w:rsid w:val="025D5F9D"/>
    <w:rsid w:val="0276165F"/>
    <w:rsid w:val="0278360B"/>
    <w:rsid w:val="029C3B08"/>
    <w:rsid w:val="02F11CE1"/>
    <w:rsid w:val="02F56A6F"/>
    <w:rsid w:val="030D25D8"/>
    <w:rsid w:val="031A4A5C"/>
    <w:rsid w:val="032F0F60"/>
    <w:rsid w:val="03340527"/>
    <w:rsid w:val="0352568B"/>
    <w:rsid w:val="036D29FE"/>
    <w:rsid w:val="037E3806"/>
    <w:rsid w:val="03893453"/>
    <w:rsid w:val="039020DC"/>
    <w:rsid w:val="039D7453"/>
    <w:rsid w:val="03A11514"/>
    <w:rsid w:val="03AC3767"/>
    <w:rsid w:val="03B20524"/>
    <w:rsid w:val="03B5036D"/>
    <w:rsid w:val="03B569FC"/>
    <w:rsid w:val="03B70805"/>
    <w:rsid w:val="03BA57D1"/>
    <w:rsid w:val="03BD58AF"/>
    <w:rsid w:val="03C37959"/>
    <w:rsid w:val="03CC00C8"/>
    <w:rsid w:val="03CE69C4"/>
    <w:rsid w:val="03D76A85"/>
    <w:rsid w:val="03DB128B"/>
    <w:rsid w:val="03F24A85"/>
    <w:rsid w:val="03FB4A98"/>
    <w:rsid w:val="04064C7F"/>
    <w:rsid w:val="040678DD"/>
    <w:rsid w:val="040D08F7"/>
    <w:rsid w:val="04130F02"/>
    <w:rsid w:val="042F7F22"/>
    <w:rsid w:val="04356E5C"/>
    <w:rsid w:val="043D6CCF"/>
    <w:rsid w:val="04425886"/>
    <w:rsid w:val="044F400A"/>
    <w:rsid w:val="04774980"/>
    <w:rsid w:val="048B1358"/>
    <w:rsid w:val="04A62BDA"/>
    <w:rsid w:val="04C26955"/>
    <w:rsid w:val="04C83981"/>
    <w:rsid w:val="04CD772B"/>
    <w:rsid w:val="04DB0285"/>
    <w:rsid w:val="04E03BFB"/>
    <w:rsid w:val="04EE72A6"/>
    <w:rsid w:val="05062645"/>
    <w:rsid w:val="05071AA6"/>
    <w:rsid w:val="050C7E9E"/>
    <w:rsid w:val="050D64D6"/>
    <w:rsid w:val="050F7E19"/>
    <w:rsid w:val="051F5E59"/>
    <w:rsid w:val="053820C2"/>
    <w:rsid w:val="05487B4D"/>
    <w:rsid w:val="0568138B"/>
    <w:rsid w:val="05695780"/>
    <w:rsid w:val="05754772"/>
    <w:rsid w:val="05785B85"/>
    <w:rsid w:val="05904680"/>
    <w:rsid w:val="05922461"/>
    <w:rsid w:val="05934B6B"/>
    <w:rsid w:val="059E40EF"/>
    <w:rsid w:val="05AD26E6"/>
    <w:rsid w:val="05B00628"/>
    <w:rsid w:val="05BB430D"/>
    <w:rsid w:val="05C3464C"/>
    <w:rsid w:val="05D81667"/>
    <w:rsid w:val="05DD6A32"/>
    <w:rsid w:val="05E663E4"/>
    <w:rsid w:val="05ED72D5"/>
    <w:rsid w:val="05F10FA1"/>
    <w:rsid w:val="05F973D8"/>
    <w:rsid w:val="05FD451D"/>
    <w:rsid w:val="06013492"/>
    <w:rsid w:val="060C3E7B"/>
    <w:rsid w:val="06102CE8"/>
    <w:rsid w:val="06243490"/>
    <w:rsid w:val="06273036"/>
    <w:rsid w:val="06274F28"/>
    <w:rsid w:val="062C27F1"/>
    <w:rsid w:val="062E56B4"/>
    <w:rsid w:val="063232F8"/>
    <w:rsid w:val="06562220"/>
    <w:rsid w:val="06626300"/>
    <w:rsid w:val="06803EFC"/>
    <w:rsid w:val="068C0540"/>
    <w:rsid w:val="069A079C"/>
    <w:rsid w:val="06AB5701"/>
    <w:rsid w:val="06B30065"/>
    <w:rsid w:val="06F35FC4"/>
    <w:rsid w:val="06F51712"/>
    <w:rsid w:val="06F64412"/>
    <w:rsid w:val="06FC0B06"/>
    <w:rsid w:val="070E6657"/>
    <w:rsid w:val="07244506"/>
    <w:rsid w:val="073B0A10"/>
    <w:rsid w:val="074052BA"/>
    <w:rsid w:val="074226F6"/>
    <w:rsid w:val="0744799A"/>
    <w:rsid w:val="074B77B2"/>
    <w:rsid w:val="07550729"/>
    <w:rsid w:val="075A0A07"/>
    <w:rsid w:val="07721097"/>
    <w:rsid w:val="0778059A"/>
    <w:rsid w:val="077C7E57"/>
    <w:rsid w:val="077E0991"/>
    <w:rsid w:val="07807FD7"/>
    <w:rsid w:val="078774D1"/>
    <w:rsid w:val="078B7B94"/>
    <w:rsid w:val="0795047E"/>
    <w:rsid w:val="07A85C55"/>
    <w:rsid w:val="07AE1944"/>
    <w:rsid w:val="07C53F43"/>
    <w:rsid w:val="07CB1BA0"/>
    <w:rsid w:val="07D12981"/>
    <w:rsid w:val="07D1342E"/>
    <w:rsid w:val="08026BB0"/>
    <w:rsid w:val="080829BC"/>
    <w:rsid w:val="081E0B1B"/>
    <w:rsid w:val="082F455F"/>
    <w:rsid w:val="08346C9C"/>
    <w:rsid w:val="08361832"/>
    <w:rsid w:val="084F1615"/>
    <w:rsid w:val="086020A2"/>
    <w:rsid w:val="0877635D"/>
    <w:rsid w:val="087E6B5E"/>
    <w:rsid w:val="087F38BE"/>
    <w:rsid w:val="0889189F"/>
    <w:rsid w:val="08986C52"/>
    <w:rsid w:val="089E1F10"/>
    <w:rsid w:val="08AD6F31"/>
    <w:rsid w:val="08B462DA"/>
    <w:rsid w:val="08CE5560"/>
    <w:rsid w:val="08E82570"/>
    <w:rsid w:val="090644DC"/>
    <w:rsid w:val="090925C7"/>
    <w:rsid w:val="0920540C"/>
    <w:rsid w:val="09217572"/>
    <w:rsid w:val="092C0ABD"/>
    <w:rsid w:val="09366E9A"/>
    <w:rsid w:val="09466E4E"/>
    <w:rsid w:val="09491587"/>
    <w:rsid w:val="09553B63"/>
    <w:rsid w:val="096058F3"/>
    <w:rsid w:val="09631973"/>
    <w:rsid w:val="09766CD4"/>
    <w:rsid w:val="09960925"/>
    <w:rsid w:val="099964B3"/>
    <w:rsid w:val="09B5130A"/>
    <w:rsid w:val="09C070A2"/>
    <w:rsid w:val="09C232C5"/>
    <w:rsid w:val="09D63877"/>
    <w:rsid w:val="09DB643B"/>
    <w:rsid w:val="09DE63D9"/>
    <w:rsid w:val="09F92E78"/>
    <w:rsid w:val="09FC31E8"/>
    <w:rsid w:val="0A010578"/>
    <w:rsid w:val="0A0E2C1E"/>
    <w:rsid w:val="0A0F198F"/>
    <w:rsid w:val="0A110812"/>
    <w:rsid w:val="0A1920F5"/>
    <w:rsid w:val="0A1D0CAF"/>
    <w:rsid w:val="0A2C72D2"/>
    <w:rsid w:val="0A31627B"/>
    <w:rsid w:val="0A330043"/>
    <w:rsid w:val="0A332027"/>
    <w:rsid w:val="0A3608EF"/>
    <w:rsid w:val="0A3977E5"/>
    <w:rsid w:val="0A4C5174"/>
    <w:rsid w:val="0A506736"/>
    <w:rsid w:val="0A6665C9"/>
    <w:rsid w:val="0A6A5C48"/>
    <w:rsid w:val="0A6E312A"/>
    <w:rsid w:val="0A76063A"/>
    <w:rsid w:val="0A800DE4"/>
    <w:rsid w:val="0A843877"/>
    <w:rsid w:val="0A89395B"/>
    <w:rsid w:val="0A99092D"/>
    <w:rsid w:val="0ABC6AA6"/>
    <w:rsid w:val="0ACF7321"/>
    <w:rsid w:val="0AD5082F"/>
    <w:rsid w:val="0AE421C0"/>
    <w:rsid w:val="0AE50CA1"/>
    <w:rsid w:val="0B03199A"/>
    <w:rsid w:val="0B0916EE"/>
    <w:rsid w:val="0B100D93"/>
    <w:rsid w:val="0B12028D"/>
    <w:rsid w:val="0B1E65F9"/>
    <w:rsid w:val="0B341652"/>
    <w:rsid w:val="0B484E70"/>
    <w:rsid w:val="0B5265D1"/>
    <w:rsid w:val="0B655FB6"/>
    <w:rsid w:val="0B684647"/>
    <w:rsid w:val="0B97458D"/>
    <w:rsid w:val="0B977391"/>
    <w:rsid w:val="0BC7705E"/>
    <w:rsid w:val="0BD70BE1"/>
    <w:rsid w:val="0BD9572F"/>
    <w:rsid w:val="0BE60CB6"/>
    <w:rsid w:val="0BF173FF"/>
    <w:rsid w:val="0BF17FF8"/>
    <w:rsid w:val="0C07544A"/>
    <w:rsid w:val="0C0A0E06"/>
    <w:rsid w:val="0C0B5BBB"/>
    <w:rsid w:val="0C167B66"/>
    <w:rsid w:val="0C1A28E5"/>
    <w:rsid w:val="0C2549FA"/>
    <w:rsid w:val="0C2E5463"/>
    <w:rsid w:val="0C3C4002"/>
    <w:rsid w:val="0C4F6362"/>
    <w:rsid w:val="0C5B6BA1"/>
    <w:rsid w:val="0C6709CB"/>
    <w:rsid w:val="0C7062C6"/>
    <w:rsid w:val="0C773A43"/>
    <w:rsid w:val="0C8D1522"/>
    <w:rsid w:val="0C90792D"/>
    <w:rsid w:val="0C91051E"/>
    <w:rsid w:val="0CBB3254"/>
    <w:rsid w:val="0CD52F73"/>
    <w:rsid w:val="0CD95E43"/>
    <w:rsid w:val="0CF12E49"/>
    <w:rsid w:val="0CF53FD6"/>
    <w:rsid w:val="0D0B74EF"/>
    <w:rsid w:val="0D295DA8"/>
    <w:rsid w:val="0D3E2EAD"/>
    <w:rsid w:val="0D4942DD"/>
    <w:rsid w:val="0D5044B7"/>
    <w:rsid w:val="0D5F0082"/>
    <w:rsid w:val="0D646FD0"/>
    <w:rsid w:val="0D6A309F"/>
    <w:rsid w:val="0D6F3C65"/>
    <w:rsid w:val="0D7566AD"/>
    <w:rsid w:val="0D7D0E29"/>
    <w:rsid w:val="0D9423EB"/>
    <w:rsid w:val="0D9C4739"/>
    <w:rsid w:val="0DA53E7E"/>
    <w:rsid w:val="0DB1540D"/>
    <w:rsid w:val="0DBF780A"/>
    <w:rsid w:val="0DC125E2"/>
    <w:rsid w:val="0DC267E8"/>
    <w:rsid w:val="0DC34374"/>
    <w:rsid w:val="0DC6622F"/>
    <w:rsid w:val="0DD324A4"/>
    <w:rsid w:val="0DE00220"/>
    <w:rsid w:val="0DF849EB"/>
    <w:rsid w:val="0E0C1A4B"/>
    <w:rsid w:val="0E1F10A4"/>
    <w:rsid w:val="0E2D31AD"/>
    <w:rsid w:val="0E2E755F"/>
    <w:rsid w:val="0E300C37"/>
    <w:rsid w:val="0E337304"/>
    <w:rsid w:val="0E507CF9"/>
    <w:rsid w:val="0E620644"/>
    <w:rsid w:val="0E6B35DC"/>
    <w:rsid w:val="0E7650A8"/>
    <w:rsid w:val="0E975183"/>
    <w:rsid w:val="0EA25BDD"/>
    <w:rsid w:val="0EA93835"/>
    <w:rsid w:val="0EAA135B"/>
    <w:rsid w:val="0EAB5F45"/>
    <w:rsid w:val="0EB10FE2"/>
    <w:rsid w:val="0EBD483F"/>
    <w:rsid w:val="0EDC3C6E"/>
    <w:rsid w:val="0EEA1111"/>
    <w:rsid w:val="0EEB1821"/>
    <w:rsid w:val="0EF420E1"/>
    <w:rsid w:val="0EFD48B5"/>
    <w:rsid w:val="0F084209"/>
    <w:rsid w:val="0F2A16D0"/>
    <w:rsid w:val="0F3F6F81"/>
    <w:rsid w:val="0F4738D1"/>
    <w:rsid w:val="0F474895"/>
    <w:rsid w:val="0F4824BB"/>
    <w:rsid w:val="0F542540"/>
    <w:rsid w:val="0F6B1561"/>
    <w:rsid w:val="0F74096A"/>
    <w:rsid w:val="0F9D0C2E"/>
    <w:rsid w:val="0F9F6C9B"/>
    <w:rsid w:val="0FAB1251"/>
    <w:rsid w:val="0FB740CF"/>
    <w:rsid w:val="0FCF319B"/>
    <w:rsid w:val="0FD70888"/>
    <w:rsid w:val="0FF8185A"/>
    <w:rsid w:val="10146669"/>
    <w:rsid w:val="10150F70"/>
    <w:rsid w:val="10331E8E"/>
    <w:rsid w:val="1053456A"/>
    <w:rsid w:val="10566781"/>
    <w:rsid w:val="10572D96"/>
    <w:rsid w:val="10660E5A"/>
    <w:rsid w:val="10696408"/>
    <w:rsid w:val="106E6C4D"/>
    <w:rsid w:val="10790661"/>
    <w:rsid w:val="107D477F"/>
    <w:rsid w:val="10827D27"/>
    <w:rsid w:val="108F2225"/>
    <w:rsid w:val="10A23A01"/>
    <w:rsid w:val="10BA04F1"/>
    <w:rsid w:val="10C30449"/>
    <w:rsid w:val="10C93004"/>
    <w:rsid w:val="10E44043"/>
    <w:rsid w:val="10F86AA8"/>
    <w:rsid w:val="10FE23FA"/>
    <w:rsid w:val="110925D8"/>
    <w:rsid w:val="11144CCC"/>
    <w:rsid w:val="1131702E"/>
    <w:rsid w:val="1136621E"/>
    <w:rsid w:val="11377F1F"/>
    <w:rsid w:val="113A4AA8"/>
    <w:rsid w:val="113E160A"/>
    <w:rsid w:val="113E4C1A"/>
    <w:rsid w:val="113E7DC7"/>
    <w:rsid w:val="1146369E"/>
    <w:rsid w:val="114D52A6"/>
    <w:rsid w:val="115F3BC1"/>
    <w:rsid w:val="11635100"/>
    <w:rsid w:val="11666B9B"/>
    <w:rsid w:val="11677546"/>
    <w:rsid w:val="116C2CA3"/>
    <w:rsid w:val="116C311E"/>
    <w:rsid w:val="11745EFC"/>
    <w:rsid w:val="11755B31"/>
    <w:rsid w:val="11816B93"/>
    <w:rsid w:val="11856687"/>
    <w:rsid w:val="118A103B"/>
    <w:rsid w:val="11BD47BA"/>
    <w:rsid w:val="11C46F35"/>
    <w:rsid w:val="11D648D0"/>
    <w:rsid w:val="11DA3958"/>
    <w:rsid w:val="11E001EE"/>
    <w:rsid w:val="123A135D"/>
    <w:rsid w:val="124234EF"/>
    <w:rsid w:val="125A3F11"/>
    <w:rsid w:val="125E4AB6"/>
    <w:rsid w:val="1265527C"/>
    <w:rsid w:val="126B3333"/>
    <w:rsid w:val="126C7C52"/>
    <w:rsid w:val="126F2109"/>
    <w:rsid w:val="127E7259"/>
    <w:rsid w:val="12974FE0"/>
    <w:rsid w:val="12A24E53"/>
    <w:rsid w:val="12AF2A5D"/>
    <w:rsid w:val="12B81957"/>
    <w:rsid w:val="12DD5EC9"/>
    <w:rsid w:val="12F2261B"/>
    <w:rsid w:val="13031BF0"/>
    <w:rsid w:val="130B0817"/>
    <w:rsid w:val="130B198E"/>
    <w:rsid w:val="131461D2"/>
    <w:rsid w:val="1315022B"/>
    <w:rsid w:val="1329123D"/>
    <w:rsid w:val="132D3EA7"/>
    <w:rsid w:val="13306DDC"/>
    <w:rsid w:val="133B417E"/>
    <w:rsid w:val="133E099F"/>
    <w:rsid w:val="135725D9"/>
    <w:rsid w:val="13675A6C"/>
    <w:rsid w:val="13791F55"/>
    <w:rsid w:val="13800DA6"/>
    <w:rsid w:val="13837B81"/>
    <w:rsid w:val="138F6C6C"/>
    <w:rsid w:val="13B90890"/>
    <w:rsid w:val="13C47DB4"/>
    <w:rsid w:val="13E23633"/>
    <w:rsid w:val="13F70939"/>
    <w:rsid w:val="13F7233D"/>
    <w:rsid w:val="13FE555A"/>
    <w:rsid w:val="13FF14F0"/>
    <w:rsid w:val="140415EB"/>
    <w:rsid w:val="141B551F"/>
    <w:rsid w:val="14214A6C"/>
    <w:rsid w:val="142B6BFD"/>
    <w:rsid w:val="143D21C5"/>
    <w:rsid w:val="145F1F8A"/>
    <w:rsid w:val="14607467"/>
    <w:rsid w:val="14673DDA"/>
    <w:rsid w:val="146959A8"/>
    <w:rsid w:val="146D6B26"/>
    <w:rsid w:val="14781E65"/>
    <w:rsid w:val="14786AC4"/>
    <w:rsid w:val="14803ADE"/>
    <w:rsid w:val="148C1946"/>
    <w:rsid w:val="14924484"/>
    <w:rsid w:val="14932172"/>
    <w:rsid w:val="149D13A9"/>
    <w:rsid w:val="14B2224C"/>
    <w:rsid w:val="14BB1BE0"/>
    <w:rsid w:val="14E059A2"/>
    <w:rsid w:val="14E1044C"/>
    <w:rsid w:val="14F41582"/>
    <w:rsid w:val="14F943CB"/>
    <w:rsid w:val="14FA4EE8"/>
    <w:rsid w:val="14FF5322"/>
    <w:rsid w:val="152E6D83"/>
    <w:rsid w:val="152F3A15"/>
    <w:rsid w:val="153A77E3"/>
    <w:rsid w:val="153C1237"/>
    <w:rsid w:val="15405B65"/>
    <w:rsid w:val="1545088C"/>
    <w:rsid w:val="156F1F39"/>
    <w:rsid w:val="15750B5B"/>
    <w:rsid w:val="1582015A"/>
    <w:rsid w:val="15820955"/>
    <w:rsid w:val="15836F90"/>
    <w:rsid w:val="15842387"/>
    <w:rsid w:val="15863D5C"/>
    <w:rsid w:val="158F5A6E"/>
    <w:rsid w:val="159C1504"/>
    <w:rsid w:val="15A67DBC"/>
    <w:rsid w:val="15A765F4"/>
    <w:rsid w:val="15AE2449"/>
    <w:rsid w:val="15B51BCC"/>
    <w:rsid w:val="15BD4A8E"/>
    <w:rsid w:val="15BE7DE4"/>
    <w:rsid w:val="15C14E8A"/>
    <w:rsid w:val="15CD03C0"/>
    <w:rsid w:val="15CE085F"/>
    <w:rsid w:val="15CE2665"/>
    <w:rsid w:val="15D37955"/>
    <w:rsid w:val="15E0119A"/>
    <w:rsid w:val="15E30FA9"/>
    <w:rsid w:val="15F03828"/>
    <w:rsid w:val="15F22A1F"/>
    <w:rsid w:val="15F27F87"/>
    <w:rsid w:val="15F709E7"/>
    <w:rsid w:val="15FA7119"/>
    <w:rsid w:val="161029C0"/>
    <w:rsid w:val="161223DC"/>
    <w:rsid w:val="161224AA"/>
    <w:rsid w:val="16157670"/>
    <w:rsid w:val="162228E0"/>
    <w:rsid w:val="162846C8"/>
    <w:rsid w:val="162B221B"/>
    <w:rsid w:val="1655618A"/>
    <w:rsid w:val="165C0F16"/>
    <w:rsid w:val="16661B63"/>
    <w:rsid w:val="1675573B"/>
    <w:rsid w:val="16861701"/>
    <w:rsid w:val="16872A06"/>
    <w:rsid w:val="169B61A5"/>
    <w:rsid w:val="16B6795E"/>
    <w:rsid w:val="16C17241"/>
    <w:rsid w:val="16C45664"/>
    <w:rsid w:val="16D162FD"/>
    <w:rsid w:val="16D452BE"/>
    <w:rsid w:val="16D626D4"/>
    <w:rsid w:val="16DD6E74"/>
    <w:rsid w:val="16E34B46"/>
    <w:rsid w:val="16ED6797"/>
    <w:rsid w:val="17126F0E"/>
    <w:rsid w:val="172839C6"/>
    <w:rsid w:val="17283EEA"/>
    <w:rsid w:val="1743060B"/>
    <w:rsid w:val="174C5E9E"/>
    <w:rsid w:val="174F3339"/>
    <w:rsid w:val="175F13B4"/>
    <w:rsid w:val="175F5F0E"/>
    <w:rsid w:val="17600E69"/>
    <w:rsid w:val="17630B01"/>
    <w:rsid w:val="17713F0B"/>
    <w:rsid w:val="177D43F5"/>
    <w:rsid w:val="17834DBE"/>
    <w:rsid w:val="178847A7"/>
    <w:rsid w:val="17B71F4D"/>
    <w:rsid w:val="17BA72E9"/>
    <w:rsid w:val="17BE329A"/>
    <w:rsid w:val="17C35168"/>
    <w:rsid w:val="17CB3868"/>
    <w:rsid w:val="17D2351B"/>
    <w:rsid w:val="17D9057A"/>
    <w:rsid w:val="17DA5D8C"/>
    <w:rsid w:val="17E0220D"/>
    <w:rsid w:val="17EA02A4"/>
    <w:rsid w:val="17FA7BDB"/>
    <w:rsid w:val="180526B5"/>
    <w:rsid w:val="18093649"/>
    <w:rsid w:val="180A0746"/>
    <w:rsid w:val="181B3B6A"/>
    <w:rsid w:val="18210ACB"/>
    <w:rsid w:val="1823144A"/>
    <w:rsid w:val="182E3433"/>
    <w:rsid w:val="183910D1"/>
    <w:rsid w:val="183C1C0D"/>
    <w:rsid w:val="18536AF6"/>
    <w:rsid w:val="186F06BE"/>
    <w:rsid w:val="18700F1F"/>
    <w:rsid w:val="189D0BD3"/>
    <w:rsid w:val="18A20777"/>
    <w:rsid w:val="18B26D5B"/>
    <w:rsid w:val="18E02D21"/>
    <w:rsid w:val="18E55BDB"/>
    <w:rsid w:val="18E85AA2"/>
    <w:rsid w:val="18ED747A"/>
    <w:rsid w:val="18EE4C2B"/>
    <w:rsid w:val="190621AA"/>
    <w:rsid w:val="19274253"/>
    <w:rsid w:val="1928434E"/>
    <w:rsid w:val="192C5A66"/>
    <w:rsid w:val="1935277F"/>
    <w:rsid w:val="193F7DB9"/>
    <w:rsid w:val="194067AB"/>
    <w:rsid w:val="19547E43"/>
    <w:rsid w:val="1955189F"/>
    <w:rsid w:val="19562D1F"/>
    <w:rsid w:val="1962557A"/>
    <w:rsid w:val="19661335"/>
    <w:rsid w:val="19663FB4"/>
    <w:rsid w:val="196809E5"/>
    <w:rsid w:val="19707379"/>
    <w:rsid w:val="19732ACB"/>
    <w:rsid w:val="19A64818"/>
    <w:rsid w:val="19AC3FEC"/>
    <w:rsid w:val="19AE333F"/>
    <w:rsid w:val="19B23A2F"/>
    <w:rsid w:val="19B347D2"/>
    <w:rsid w:val="19B539D6"/>
    <w:rsid w:val="19CB714E"/>
    <w:rsid w:val="19CD1576"/>
    <w:rsid w:val="19D065F3"/>
    <w:rsid w:val="19F03915"/>
    <w:rsid w:val="1A1068BB"/>
    <w:rsid w:val="1A207614"/>
    <w:rsid w:val="1A33492D"/>
    <w:rsid w:val="1A432007"/>
    <w:rsid w:val="1A45312B"/>
    <w:rsid w:val="1A4C60E5"/>
    <w:rsid w:val="1A523859"/>
    <w:rsid w:val="1A5A0033"/>
    <w:rsid w:val="1A5C3108"/>
    <w:rsid w:val="1A66289B"/>
    <w:rsid w:val="1A6F586F"/>
    <w:rsid w:val="1A7248CC"/>
    <w:rsid w:val="1A7C4DC7"/>
    <w:rsid w:val="1A9B0321"/>
    <w:rsid w:val="1AA960B0"/>
    <w:rsid w:val="1AC2551C"/>
    <w:rsid w:val="1AD01E62"/>
    <w:rsid w:val="1AD60696"/>
    <w:rsid w:val="1AE96D67"/>
    <w:rsid w:val="1AEC31E9"/>
    <w:rsid w:val="1AF220BF"/>
    <w:rsid w:val="1AF5548D"/>
    <w:rsid w:val="1AF733C7"/>
    <w:rsid w:val="1B04735D"/>
    <w:rsid w:val="1B153812"/>
    <w:rsid w:val="1B171F58"/>
    <w:rsid w:val="1B1A35B3"/>
    <w:rsid w:val="1B20206F"/>
    <w:rsid w:val="1B2D3846"/>
    <w:rsid w:val="1B36016B"/>
    <w:rsid w:val="1B3C7CDB"/>
    <w:rsid w:val="1B4573D8"/>
    <w:rsid w:val="1B4B367E"/>
    <w:rsid w:val="1B59326E"/>
    <w:rsid w:val="1B7431D7"/>
    <w:rsid w:val="1B7618E2"/>
    <w:rsid w:val="1B78650A"/>
    <w:rsid w:val="1B7B506B"/>
    <w:rsid w:val="1B890719"/>
    <w:rsid w:val="1B8B1534"/>
    <w:rsid w:val="1B8B3861"/>
    <w:rsid w:val="1B9B524A"/>
    <w:rsid w:val="1B9F3253"/>
    <w:rsid w:val="1BA36261"/>
    <w:rsid w:val="1BE33E9D"/>
    <w:rsid w:val="1BF3024F"/>
    <w:rsid w:val="1BFB6376"/>
    <w:rsid w:val="1C032397"/>
    <w:rsid w:val="1C10688F"/>
    <w:rsid w:val="1C135949"/>
    <w:rsid w:val="1C1F6986"/>
    <w:rsid w:val="1C21457E"/>
    <w:rsid w:val="1C2656D7"/>
    <w:rsid w:val="1C46308A"/>
    <w:rsid w:val="1C4B6079"/>
    <w:rsid w:val="1C4C70C7"/>
    <w:rsid w:val="1C521ED2"/>
    <w:rsid w:val="1C630441"/>
    <w:rsid w:val="1C726DBA"/>
    <w:rsid w:val="1C775C44"/>
    <w:rsid w:val="1C80077F"/>
    <w:rsid w:val="1C8354CA"/>
    <w:rsid w:val="1C851B8B"/>
    <w:rsid w:val="1C944701"/>
    <w:rsid w:val="1C982FB7"/>
    <w:rsid w:val="1C983F6E"/>
    <w:rsid w:val="1CAA71AA"/>
    <w:rsid w:val="1CDB1412"/>
    <w:rsid w:val="1CE17872"/>
    <w:rsid w:val="1CE83DD8"/>
    <w:rsid w:val="1D1232A7"/>
    <w:rsid w:val="1D125D6F"/>
    <w:rsid w:val="1D1436CA"/>
    <w:rsid w:val="1D2507A6"/>
    <w:rsid w:val="1D402609"/>
    <w:rsid w:val="1D451EC3"/>
    <w:rsid w:val="1D4C0C68"/>
    <w:rsid w:val="1D4F3551"/>
    <w:rsid w:val="1D5F48F8"/>
    <w:rsid w:val="1D75488A"/>
    <w:rsid w:val="1D7F76B1"/>
    <w:rsid w:val="1D882D91"/>
    <w:rsid w:val="1D992087"/>
    <w:rsid w:val="1DBE3065"/>
    <w:rsid w:val="1DD2442D"/>
    <w:rsid w:val="1DE139A9"/>
    <w:rsid w:val="1DE15D6C"/>
    <w:rsid w:val="1DFB07FC"/>
    <w:rsid w:val="1E105BB5"/>
    <w:rsid w:val="1E1E1E3D"/>
    <w:rsid w:val="1E1E4DD6"/>
    <w:rsid w:val="1E206900"/>
    <w:rsid w:val="1E2E1230"/>
    <w:rsid w:val="1E3C3BCF"/>
    <w:rsid w:val="1E424601"/>
    <w:rsid w:val="1E4377D0"/>
    <w:rsid w:val="1E4E4AC2"/>
    <w:rsid w:val="1E5C5AC8"/>
    <w:rsid w:val="1E5D1845"/>
    <w:rsid w:val="1E6630E1"/>
    <w:rsid w:val="1E710ADE"/>
    <w:rsid w:val="1E7C50AC"/>
    <w:rsid w:val="1E8E4C11"/>
    <w:rsid w:val="1E9A49ED"/>
    <w:rsid w:val="1ECF4C88"/>
    <w:rsid w:val="1ED05C56"/>
    <w:rsid w:val="1ED744AC"/>
    <w:rsid w:val="1ED87790"/>
    <w:rsid w:val="1EE0784E"/>
    <w:rsid w:val="1EE13794"/>
    <w:rsid w:val="1EEA5976"/>
    <w:rsid w:val="1EED0F0B"/>
    <w:rsid w:val="1EF224BB"/>
    <w:rsid w:val="1F042C41"/>
    <w:rsid w:val="1F061775"/>
    <w:rsid w:val="1F09312B"/>
    <w:rsid w:val="1F184A7F"/>
    <w:rsid w:val="1F257B10"/>
    <w:rsid w:val="1F267FCA"/>
    <w:rsid w:val="1F27786E"/>
    <w:rsid w:val="1F2E3886"/>
    <w:rsid w:val="1F35473C"/>
    <w:rsid w:val="1F391D25"/>
    <w:rsid w:val="1F39376D"/>
    <w:rsid w:val="1F3B5C83"/>
    <w:rsid w:val="1F4C187C"/>
    <w:rsid w:val="1F502E6E"/>
    <w:rsid w:val="1F533D5B"/>
    <w:rsid w:val="1F5B0C1F"/>
    <w:rsid w:val="1F5B4F36"/>
    <w:rsid w:val="1F646D58"/>
    <w:rsid w:val="1F6B1261"/>
    <w:rsid w:val="1F74185B"/>
    <w:rsid w:val="1F7C09E0"/>
    <w:rsid w:val="1FAF6994"/>
    <w:rsid w:val="1FB13B65"/>
    <w:rsid w:val="1FBB5648"/>
    <w:rsid w:val="1FBD02A1"/>
    <w:rsid w:val="1FC64C29"/>
    <w:rsid w:val="1FD0702E"/>
    <w:rsid w:val="1FE02C22"/>
    <w:rsid w:val="1FE223DD"/>
    <w:rsid w:val="1FEB2AB6"/>
    <w:rsid w:val="20006C90"/>
    <w:rsid w:val="20116639"/>
    <w:rsid w:val="20155655"/>
    <w:rsid w:val="20281DE2"/>
    <w:rsid w:val="206F41B2"/>
    <w:rsid w:val="20743577"/>
    <w:rsid w:val="20794A74"/>
    <w:rsid w:val="207D2EA6"/>
    <w:rsid w:val="208369FF"/>
    <w:rsid w:val="208B6F54"/>
    <w:rsid w:val="20933558"/>
    <w:rsid w:val="20BA0013"/>
    <w:rsid w:val="20C400DA"/>
    <w:rsid w:val="20C73EE7"/>
    <w:rsid w:val="20C85436"/>
    <w:rsid w:val="20DA5DFC"/>
    <w:rsid w:val="20F273C5"/>
    <w:rsid w:val="20F443D6"/>
    <w:rsid w:val="21057D93"/>
    <w:rsid w:val="21262AC3"/>
    <w:rsid w:val="21263ADF"/>
    <w:rsid w:val="21270EE1"/>
    <w:rsid w:val="212A4C29"/>
    <w:rsid w:val="21446F77"/>
    <w:rsid w:val="214809D4"/>
    <w:rsid w:val="21726859"/>
    <w:rsid w:val="21736BE0"/>
    <w:rsid w:val="218F6175"/>
    <w:rsid w:val="21BD006C"/>
    <w:rsid w:val="21BF1EAD"/>
    <w:rsid w:val="21D0047C"/>
    <w:rsid w:val="21E169E1"/>
    <w:rsid w:val="21E30486"/>
    <w:rsid w:val="21EC172E"/>
    <w:rsid w:val="21FA750B"/>
    <w:rsid w:val="21FA7B2B"/>
    <w:rsid w:val="220F01AC"/>
    <w:rsid w:val="22102DFE"/>
    <w:rsid w:val="22181FFD"/>
    <w:rsid w:val="221B27F8"/>
    <w:rsid w:val="221C5C74"/>
    <w:rsid w:val="222F5278"/>
    <w:rsid w:val="223558EA"/>
    <w:rsid w:val="2239492E"/>
    <w:rsid w:val="223964AD"/>
    <w:rsid w:val="223E7E9B"/>
    <w:rsid w:val="224E18AF"/>
    <w:rsid w:val="22523C1B"/>
    <w:rsid w:val="22524C5B"/>
    <w:rsid w:val="225B79FC"/>
    <w:rsid w:val="22630E49"/>
    <w:rsid w:val="226F6804"/>
    <w:rsid w:val="228A46E7"/>
    <w:rsid w:val="228F2836"/>
    <w:rsid w:val="22B61F98"/>
    <w:rsid w:val="22B86134"/>
    <w:rsid w:val="22C0796D"/>
    <w:rsid w:val="22D7605B"/>
    <w:rsid w:val="22E5537F"/>
    <w:rsid w:val="22EA7EBE"/>
    <w:rsid w:val="22FD5322"/>
    <w:rsid w:val="2301542D"/>
    <w:rsid w:val="230D2D0E"/>
    <w:rsid w:val="231971B8"/>
    <w:rsid w:val="231B23F3"/>
    <w:rsid w:val="232D2878"/>
    <w:rsid w:val="23307100"/>
    <w:rsid w:val="234F5229"/>
    <w:rsid w:val="235A13C1"/>
    <w:rsid w:val="236C2E29"/>
    <w:rsid w:val="236D59DC"/>
    <w:rsid w:val="2379327E"/>
    <w:rsid w:val="23A44956"/>
    <w:rsid w:val="23A619BB"/>
    <w:rsid w:val="23AD54F4"/>
    <w:rsid w:val="23B7629C"/>
    <w:rsid w:val="23BF3C04"/>
    <w:rsid w:val="23C54DF5"/>
    <w:rsid w:val="23DD2E61"/>
    <w:rsid w:val="23E96409"/>
    <w:rsid w:val="23F05AE5"/>
    <w:rsid w:val="23F4684C"/>
    <w:rsid w:val="24061C16"/>
    <w:rsid w:val="24284C3B"/>
    <w:rsid w:val="244F6282"/>
    <w:rsid w:val="2450148A"/>
    <w:rsid w:val="245D0543"/>
    <w:rsid w:val="246971E0"/>
    <w:rsid w:val="246D6467"/>
    <w:rsid w:val="248B2616"/>
    <w:rsid w:val="248C6C7D"/>
    <w:rsid w:val="24910C88"/>
    <w:rsid w:val="24960ACB"/>
    <w:rsid w:val="24960EA2"/>
    <w:rsid w:val="249C6E96"/>
    <w:rsid w:val="24A02BBA"/>
    <w:rsid w:val="24A52534"/>
    <w:rsid w:val="24A94602"/>
    <w:rsid w:val="24D44ED3"/>
    <w:rsid w:val="24D70857"/>
    <w:rsid w:val="24E05429"/>
    <w:rsid w:val="24E877C5"/>
    <w:rsid w:val="24EA41AC"/>
    <w:rsid w:val="24ED4D75"/>
    <w:rsid w:val="24ED6359"/>
    <w:rsid w:val="24FB2782"/>
    <w:rsid w:val="25013175"/>
    <w:rsid w:val="2503374B"/>
    <w:rsid w:val="250921F4"/>
    <w:rsid w:val="2509312B"/>
    <w:rsid w:val="25096EA1"/>
    <w:rsid w:val="250F7C7C"/>
    <w:rsid w:val="25190633"/>
    <w:rsid w:val="25197B3E"/>
    <w:rsid w:val="252566B1"/>
    <w:rsid w:val="252D2B9E"/>
    <w:rsid w:val="252E36CE"/>
    <w:rsid w:val="253E4DA8"/>
    <w:rsid w:val="253E7A36"/>
    <w:rsid w:val="2548363B"/>
    <w:rsid w:val="25674318"/>
    <w:rsid w:val="257232C3"/>
    <w:rsid w:val="258A07DF"/>
    <w:rsid w:val="25B027CE"/>
    <w:rsid w:val="25B27035"/>
    <w:rsid w:val="25DF2464"/>
    <w:rsid w:val="25E52987"/>
    <w:rsid w:val="261819A4"/>
    <w:rsid w:val="262145C3"/>
    <w:rsid w:val="262D6C2F"/>
    <w:rsid w:val="262E4C62"/>
    <w:rsid w:val="26396E6A"/>
    <w:rsid w:val="263E163D"/>
    <w:rsid w:val="26473D66"/>
    <w:rsid w:val="2653552E"/>
    <w:rsid w:val="265B327B"/>
    <w:rsid w:val="26630B0D"/>
    <w:rsid w:val="2668478A"/>
    <w:rsid w:val="26765C84"/>
    <w:rsid w:val="26786926"/>
    <w:rsid w:val="267D0A43"/>
    <w:rsid w:val="268B7464"/>
    <w:rsid w:val="26A178BB"/>
    <w:rsid w:val="26A61EFC"/>
    <w:rsid w:val="26BC4C5F"/>
    <w:rsid w:val="26CF072B"/>
    <w:rsid w:val="26DF2FF5"/>
    <w:rsid w:val="27034A59"/>
    <w:rsid w:val="2705676B"/>
    <w:rsid w:val="271060F9"/>
    <w:rsid w:val="271308D3"/>
    <w:rsid w:val="2737271F"/>
    <w:rsid w:val="273B67F7"/>
    <w:rsid w:val="27480C73"/>
    <w:rsid w:val="27501098"/>
    <w:rsid w:val="27576238"/>
    <w:rsid w:val="275B3DA4"/>
    <w:rsid w:val="27664C84"/>
    <w:rsid w:val="27811982"/>
    <w:rsid w:val="2782397E"/>
    <w:rsid w:val="27933BB7"/>
    <w:rsid w:val="27952B7B"/>
    <w:rsid w:val="27952CFE"/>
    <w:rsid w:val="279C0A45"/>
    <w:rsid w:val="279F0B51"/>
    <w:rsid w:val="27A66E22"/>
    <w:rsid w:val="27A87F41"/>
    <w:rsid w:val="27B154F1"/>
    <w:rsid w:val="27CF19B5"/>
    <w:rsid w:val="27E7184E"/>
    <w:rsid w:val="27F73C85"/>
    <w:rsid w:val="27F84532"/>
    <w:rsid w:val="27FB5FCE"/>
    <w:rsid w:val="27FC632B"/>
    <w:rsid w:val="28081112"/>
    <w:rsid w:val="28343B01"/>
    <w:rsid w:val="283A5948"/>
    <w:rsid w:val="283F57CB"/>
    <w:rsid w:val="28482D75"/>
    <w:rsid w:val="285B2285"/>
    <w:rsid w:val="286D29E1"/>
    <w:rsid w:val="286D3FCD"/>
    <w:rsid w:val="287167DA"/>
    <w:rsid w:val="287F1350"/>
    <w:rsid w:val="28850E78"/>
    <w:rsid w:val="2886598D"/>
    <w:rsid w:val="28911DD4"/>
    <w:rsid w:val="289E5C88"/>
    <w:rsid w:val="28A003ED"/>
    <w:rsid w:val="28A40488"/>
    <w:rsid w:val="28A91E3B"/>
    <w:rsid w:val="28AE1065"/>
    <w:rsid w:val="28B17F6A"/>
    <w:rsid w:val="28C050EC"/>
    <w:rsid w:val="28CE0917"/>
    <w:rsid w:val="28D13687"/>
    <w:rsid w:val="28D338A4"/>
    <w:rsid w:val="28D71CDE"/>
    <w:rsid w:val="28D85F10"/>
    <w:rsid w:val="28E61E0A"/>
    <w:rsid w:val="2914779D"/>
    <w:rsid w:val="29190B3B"/>
    <w:rsid w:val="292A1D3D"/>
    <w:rsid w:val="29314134"/>
    <w:rsid w:val="29480998"/>
    <w:rsid w:val="294A62C4"/>
    <w:rsid w:val="29572288"/>
    <w:rsid w:val="295E7742"/>
    <w:rsid w:val="296B4FFA"/>
    <w:rsid w:val="29726847"/>
    <w:rsid w:val="29791C1A"/>
    <w:rsid w:val="297C4826"/>
    <w:rsid w:val="29860257"/>
    <w:rsid w:val="2995719D"/>
    <w:rsid w:val="29982F8A"/>
    <w:rsid w:val="29A769E4"/>
    <w:rsid w:val="29AA7FC0"/>
    <w:rsid w:val="29B448C3"/>
    <w:rsid w:val="29B702A4"/>
    <w:rsid w:val="29DF308A"/>
    <w:rsid w:val="29EC3B37"/>
    <w:rsid w:val="29EC4D57"/>
    <w:rsid w:val="29FE24E5"/>
    <w:rsid w:val="2A1260E2"/>
    <w:rsid w:val="2A151AB6"/>
    <w:rsid w:val="2A1E0E63"/>
    <w:rsid w:val="2A3624D9"/>
    <w:rsid w:val="2A4150D8"/>
    <w:rsid w:val="2A465BAB"/>
    <w:rsid w:val="2A4E3EA5"/>
    <w:rsid w:val="2A555CB4"/>
    <w:rsid w:val="2A7223F9"/>
    <w:rsid w:val="2A8B07C3"/>
    <w:rsid w:val="2A9D774A"/>
    <w:rsid w:val="2AB83E9D"/>
    <w:rsid w:val="2AB9142D"/>
    <w:rsid w:val="2ABE2C69"/>
    <w:rsid w:val="2AC0023B"/>
    <w:rsid w:val="2ACE4ACA"/>
    <w:rsid w:val="2AD7212B"/>
    <w:rsid w:val="2AD85022"/>
    <w:rsid w:val="2ADF4024"/>
    <w:rsid w:val="2AE863BF"/>
    <w:rsid w:val="2AF47B66"/>
    <w:rsid w:val="2AFB5BA1"/>
    <w:rsid w:val="2B08132F"/>
    <w:rsid w:val="2B173480"/>
    <w:rsid w:val="2B2C4202"/>
    <w:rsid w:val="2B4D3533"/>
    <w:rsid w:val="2B4F5C1E"/>
    <w:rsid w:val="2B557948"/>
    <w:rsid w:val="2B5A2202"/>
    <w:rsid w:val="2B620A9A"/>
    <w:rsid w:val="2B80626A"/>
    <w:rsid w:val="2B876249"/>
    <w:rsid w:val="2B8B1D95"/>
    <w:rsid w:val="2B9C0AE1"/>
    <w:rsid w:val="2BA31A8A"/>
    <w:rsid w:val="2BE32F0A"/>
    <w:rsid w:val="2BEB3C1D"/>
    <w:rsid w:val="2C0251CB"/>
    <w:rsid w:val="2C0954BB"/>
    <w:rsid w:val="2C0A333A"/>
    <w:rsid w:val="2C0F012D"/>
    <w:rsid w:val="2C356378"/>
    <w:rsid w:val="2C3847B3"/>
    <w:rsid w:val="2C3F6F7D"/>
    <w:rsid w:val="2C4609A3"/>
    <w:rsid w:val="2C561B4D"/>
    <w:rsid w:val="2C607342"/>
    <w:rsid w:val="2C700EAE"/>
    <w:rsid w:val="2C740D0D"/>
    <w:rsid w:val="2C8552B4"/>
    <w:rsid w:val="2C8879B0"/>
    <w:rsid w:val="2C9C4CD4"/>
    <w:rsid w:val="2C9E5451"/>
    <w:rsid w:val="2C9F5B38"/>
    <w:rsid w:val="2C9F7969"/>
    <w:rsid w:val="2CB20CB9"/>
    <w:rsid w:val="2CB41A50"/>
    <w:rsid w:val="2CB653A9"/>
    <w:rsid w:val="2CC94D36"/>
    <w:rsid w:val="2CCB5FC1"/>
    <w:rsid w:val="2CF945E5"/>
    <w:rsid w:val="2CFB4024"/>
    <w:rsid w:val="2D0736CD"/>
    <w:rsid w:val="2D083ECB"/>
    <w:rsid w:val="2D0F04FC"/>
    <w:rsid w:val="2D1003A7"/>
    <w:rsid w:val="2D1101B5"/>
    <w:rsid w:val="2D122B7E"/>
    <w:rsid w:val="2D1C1D45"/>
    <w:rsid w:val="2D1F1994"/>
    <w:rsid w:val="2D307202"/>
    <w:rsid w:val="2D3E586E"/>
    <w:rsid w:val="2D426E92"/>
    <w:rsid w:val="2D442793"/>
    <w:rsid w:val="2D490004"/>
    <w:rsid w:val="2D554478"/>
    <w:rsid w:val="2D615C8E"/>
    <w:rsid w:val="2D6161DC"/>
    <w:rsid w:val="2D74241F"/>
    <w:rsid w:val="2D7C4DA1"/>
    <w:rsid w:val="2D8708D8"/>
    <w:rsid w:val="2D940FD2"/>
    <w:rsid w:val="2D97632B"/>
    <w:rsid w:val="2D990460"/>
    <w:rsid w:val="2D9A2D57"/>
    <w:rsid w:val="2DA17162"/>
    <w:rsid w:val="2DA54273"/>
    <w:rsid w:val="2DAD1D8D"/>
    <w:rsid w:val="2DCF6188"/>
    <w:rsid w:val="2DE44217"/>
    <w:rsid w:val="2DF906F3"/>
    <w:rsid w:val="2E183793"/>
    <w:rsid w:val="2E35110C"/>
    <w:rsid w:val="2E3A0A3D"/>
    <w:rsid w:val="2E3C2528"/>
    <w:rsid w:val="2E3D59A0"/>
    <w:rsid w:val="2E3F2DA6"/>
    <w:rsid w:val="2E404727"/>
    <w:rsid w:val="2E480AEE"/>
    <w:rsid w:val="2E4F00CC"/>
    <w:rsid w:val="2E58524A"/>
    <w:rsid w:val="2E644DE9"/>
    <w:rsid w:val="2E695706"/>
    <w:rsid w:val="2E8A5534"/>
    <w:rsid w:val="2EB64EED"/>
    <w:rsid w:val="2EBC5B1C"/>
    <w:rsid w:val="2EC00E68"/>
    <w:rsid w:val="2EC21690"/>
    <w:rsid w:val="2EC317D3"/>
    <w:rsid w:val="2EC5700D"/>
    <w:rsid w:val="2EC76A98"/>
    <w:rsid w:val="2ED818A8"/>
    <w:rsid w:val="2EE808EF"/>
    <w:rsid w:val="2EEB0E4A"/>
    <w:rsid w:val="2EFF616A"/>
    <w:rsid w:val="2F045265"/>
    <w:rsid w:val="2F0C118F"/>
    <w:rsid w:val="2F261C5F"/>
    <w:rsid w:val="2F2D3F9E"/>
    <w:rsid w:val="2F3A3193"/>
    <w:rsid w:val="2F3B773F"/>
    <w:rsid w:val="2F542AD1"/>
    <w:rsid w:val="2F5F2BCE"/>
    <w:rsid w:val="2F6672AA"/>
    <w:rsid w:val="2F6A7056"/>
    <w:rsid w:val="2F6C58E4"/>
    <w:rsid w:val="2F7D6A09"/>
    <w:rsid w:val="2F7E7DAB"/>
    <w:rsid w:val="2F8256E8"/>
    <w:rsid w:val="2F875792"/>
    <w:rsid w:val="2F892875"/>
    <w:rsid w:val="2F986A0C"/>
    <w:rsid w:val="2F9903B3"/>
    <w:rsid w:val="2FB94CA2"/>
    <w:rsid w:val="2FBD5CA6"/>
    <w:rsid w:val="2FBF1E64"/>
    <w:rsid w:val="2FC66F89"/>
    <w:rsid w:val="2FD461FC"/>
    <w:rsid w:val="2FF44E6A"/>
    <w:rsid w:val="2FF81ACE"/>
    <w:rsid w:val="2FF849A0"/>
    <w:rsid w:val="300100AE"/>
    <w:rsid w:val="300246FB"/>
    <w:rsid w:val="30093D45"/>
    <w:rsid w:val="30102A63"/>
    <w:rsid w:val="301E08AC"/>
    <w:rsid w:val="30221E45"/>
    <w:rsid w:val="3025300D"/>
    <w:rsid w:val="302B753E"/>
    <w:rsid w:val="304510F4"/>
    <w:rsid w:val="304F4381"/>
    <w:rsid w:val="305E446B"/>
    <w:rsid w:val="308375A7"/>
    <w:rsid w:val="3088728F"/>
    <w:rsid w:val="309D02BA"/>
    <w:rsid w:val="30AF460C"/>
    <w:rsid w:val="30AF76EE"/>
    <w:rsid w:val="30B73E5E"/>
    <w:rsid w:val="30CA159C"/>
    <w:rsid w:val="30E65BEE"/>
    <w:rsid w:val="31045065"/>
    <w:rsid w:val="31055D2E"/>
    <w:rsid w:val="31077D68"/>
    <w:rsid w:val="310E203F"/>
    <w:rsid w:val="314000C1"/>
    <w:rsid w:val="314A5D62"/>
    <w:rsid w:val="31504FAA"/>
    <w:rsid w:val="315C3B30"/>
    <w:rsid w:val="316F532F"/>
    <w:rsid w:val="317102C8"/>
    <w:rsid w:val="3184766C"/>
    <w:rsid w:val="31B72F3C"/>
    <w:rsid w:val="31BA39C7"/>
    <w:rsid w:val="31EF29C4"/>
    <w:rsid w:val="31F84007"/>
    <w:rsid w:val="320541A2"/>
    <w:rsid w:val="320A5FE9"/>
    <w:rsid w:val="320D4370"/>
    <w:rsid w:val="32121AB5"/>
    <w:rsid w:val="3214140E"/>
    <w:rsid w:val="322B33C6"/>
    <w:rsid w:val="322C20DD"/>
    <w:rsid w:val="323A4620"/>
    <w:rsid w:val="32417EFA"/>
    <w:rsid w:val="32601CA7"/>
    <w:rsid w:val="326118DE"/>
    <w:rsid w:val="326168BF"/>
    <w:rsid w:val="326324E8"/>
    <w:rsid w:val="32643F57"/>
    <w:rsid w:val="327343AC"/>
    <w:rsid w:val="32762C2B"/>
    <w:rsid w:val="32850840"/>
    <w:rsid w:val="328B1DB1"/>
    <w:rsid w:val="32CE2707"/>
    <w:rsid w:val="32DA195F"/>
    <w:rsid w:val="32E97DAB"/>
    <w:rsid w:val="32F0569E"/>
    <w:rsid w:val="330C1FAE"/>
    <w:rsid w:val="33181237"/>
    <w:rsid w:val="331813E5"/>
    <w:rsid w:val="3331509A"/>
    <w:rsid w:val="3350536F"/>
    <w:rsid w:val="335773AB"/>
    <w:rsid w:val="33596256"/>
    <w:rsid w:val="33630CC3"/>
    <w:rsid w:val="33751F41"/>
    <w:rsid w:val="338A589D"/>
    <w:rsid w:val="338D6416"/>
    <w:rsid w:val="338F54A3"/>
    <w:rsid w:val="3398738C"/>
    <w:rsid w:val="339A77AB"/>
    <w:rsid w:val="33A91593"/>
    <w:rsid w:val="33B30CA3"/>
    <w:rsid w:val="33C066AE"/>
    <w:rsid w:val="33C90F3B"/>
    <w:rsid w:val="33CA0704"/>
    <w:rsid w:val="33CC5BE2"/>
    <w:rsid w:val="340F2C57"/>
    <w:rsid w:val="341024AB"/>
    <w:rsid w:val="341611A4"/>
    <w:rsid w:val="34247E8D"/>
    <w:rsid w:val="342E2692"/>
    <w:rsid w:val="34331AD7"/>
    <w:rsid w:val="343A1E1E"/>
    <w:rsid w:val="344B3B8E"/>
    <w:rsid w:val="344F0C11"/>
    <w:rsid w:val="34735D6A"/>
    <w:rsid w:val="34900C89"/>
    <w:rsid w:val="349244B0"/>
    <w:rsid w:val="349D5D64"/>
    <w:rsid w:val="34A07376"/>
    <w:rsid w:val="34AF3D68"/>
    <w:rsid w:val="34BE4995"/>
    <w:rsid w:val="34C7663B"/>
    <w:rsid w:val="34C937AD"/>
    <w:rsid w:val="34CA0BEA"/>
    <w:rsid w:val="34CB2E88"/>
    <w:rsid w:val="34EA4EFB"/>
    <w:rsid w:val="34FE45BB"/>
    <w:rsid w:val="35001158"/>
    <w:rsid w:val="35291AC6"/>
    <w:rsid w:val="35386072"/>
    <w:rsid w:val="353A7BF0"/>
    <w:rsid w:val="353E41B8"/>
    <w:rsid w:val="35455D91"/>
    <w:rsid w:val="354E6A67"/>
    <w:rsid w:val="355529F0"/>
    <w:rsid w:val="355A52ED"/>
    <w:rsid w:val="357651A6"/>
    <w:rsid w:val="35897BF1"/>
    <w:rsid w:val="358E3C81"/>
    <w:rsid w:val="35E80870"/>
    <w:rsid w:val="361879A1"/>
    <w:rsid w:val="36244A18"/>
    <w:rsid w:val="363C6CA6"/>
    <w:rsid w:val="36472647"/>
    <w:rsid w:val="36482CF1"/>
    <w:rsid w:val="364C5F30"/>
    <w:rsid w:val="36687282"/>
    <w:rsid w:val="369B10DA"/>
    <w:rsid w:val="36B3484F"/>
    <w:rsid w:val="36B41939"/>
    <w:rsid w:val="36B43044"/>
    <w:rsid w:val="36B86B13"/>
    <w:rsid w:val="36BB5A51"/>
    <w:rsid w:val="36BC4C58"/>
    <w:rsid w:val="36C35EC9"/>
    <w:rsid w:val="36CD746A"/>
    <w:rsid w:val="36DD7F4D"/>
    <w:rsid w:val="36DE19AC"/>
    <w:rsid w:val="36E04DC1"/>
    <w:rsid w:val="36EB5218"/>
    <w:rsid w:val="36F20D30"/>
    <w:rsid w:val="36FB1231"/>
    <w:rsid w:val="3701026C"/>
    <w:rsid w:val="37036A36"/>
    <w:rsid w:val="370F6184"/>
    <w:rsid w:val="37115C49"/>
    <w:rsid w:val="371608D3"/>
    <w:rsid w:val="371675CE"/>
    <w:rsid w:val="37336308"/>
    <w:rsid w:val="376D6AAD"/>
    <w:rsid w:val="37896CDB"/>
    <w:rsid w:val="37900066"/>
    <w:rsid w:val="3792650D"/>
    <w:rsid w:val="379317DA"/>
    <w:rsid w:val="37A10C9D"/>
    <w:rsid w:val="37A2460E"/>
    <w:rsid w:val="37A33896"/>
    <w:rsid w:val="37A726AC"/>
    <w:rsid w:val="37A72D3C"/>
    <w:rsid w:val="37B44F2C"/>
    <w:rsid w:val="37B66869"/>
    <w:rsid w:val="37B855F7"/>
    <w:rsid w:val="37C13F11"/>
    <w:rsid w:val="37C22077"/>
    <w:rsid w:val="37CB5CF4"/>
    <w:rsid w:val="37D0035A"/>
    <w:rsid w:val="37DC37C3"/>
    <w:rsid w:val="3808667B"/>
    <w:rsid w:val="381B32AB"/>
    <w:rsid w:val="384639B4"/>
    <w:rsid w:val="3851785D"/>
    <w:rsid w:val="38542464"/>
    <w:rsid w:val="38647DB3"/>
    <w:rsid w:val="38721BB5"/>
    <w:rsid w:val="38894D98"/>
    <w:rsid w:val="388A4F1E"/>
    <w:rsid w:val="388B17E3"/>
    <w:rsid w:val="388D3BD3"/>
    <w:rsid w:val="38A02702"/>
    <w:rsid w:val="38AC5B4C"/>
    <w:rsid w:val="38C473F5"/>
    <w:rsid w:val="38DD5AAB"/>
    <w:rsid w:val="38E47304"/>
    <w:rsid w:val="38EB0C11"/>
    <w:rsid w:val="38EF0274"/>
    <w:rsid w:val="38EF1109"/>
    <w:rsid w:val="390F4A0D"/>
    <w:rsid w:val="39261BBD"/>
    <w:rsid w:val="392B54D9"/>
    <w:rsid w:val="393051E4"/>
    <w:rsid w:val="39382F3B"/>
    <w:rsid w:val="394B3E8E"/>
    <w:rsid w:val="3950439A"/>
    <w:rsid w:val="395C147E"/>
    <w:rsid w:val="395D1767"/>
    <w:rsid w:val="39837460"/>
    <w:rsid w:val="39955D75"/>
    <w:rsid w:val="399C31D4"/>
    <w:rsid w:val="39A06C79"/>
    <w:rsid w:val="39A76BB5"/>
    <w:rsid w:val="39B04BB0"/>
    <w:rsid w:val="39B8074C"/>
    <w:rsid w:val="39BF69BB"/>
    <w:rsid w:val="39DE5A13"/>
    <w:rsid w:val="39DF0676"/>
    <w:rsid w:val="39E5021A"/>
    <w:rsid w:val="39E7368D"/>
    <w:rsid w:val="39EA4680"/>
    <w:rsid w:val="39EA4C55"/>
    <w:rsid w:val="39FA1994"/>
    <w:rsid w:val="3A041F5B"/>
    <w:rsid w:val="3A141414"/>
    <w:rsid w:val="3A157679"/>
    <w:rsid w:val="3A187E4E"/>
    <w:rsid w:val="3A224038"/>
    <w:rsid w:val="3A246994"/>
    <w:rsid w:val="3A516F43"/>
    <w:rsid w:val="3A7047AC"/>
    <w:rsid w:val="3A86712F"/>
    <w:rsid w:val="3A892109"/>
    <w:rsid w:val="3A9B2F09"/>
    <w:rsid w:val="3AA45E96"/>
    <w:rsid w:val="3AB72A65"/>
    <w:rsid w:val="3AE11911"/>
    <w:rsid w:val="3AE87472"/>
    <w:rsid w:val="3AF0773F"/>
    <w:rsid w:val="3AFC7BBC"/>
    <w:rsid w:val="3B0036AC"/>
    <w:rsid w:val="3B186779"/>
    <w:rsid w:val="3B1A0277"/>
    <w:rsid w:val="3B1E60AC"/>
    <w:rsid w:val="3B267046"/>
    <w:rsid w:val="3B2C2786"/>
    <w:rsid w:val="3B2E17FF"/>
    <w:rsid w:val="3B375898"/>
    <w:rsid w:val="3B3955B9"/>
    <w:rsid w:val="3B3D1B0B"/>
    <w:rsid w:val="3B461FD5"/>
    <w:rsid w:val="3B475FBD"/>
    <w:rsid w:val="3B4A6102"/>
    <w:rsid w:val="3B601D2D"/>
    <w:rsid w:val="3B6F0784"/>
    <w:rsid w:val="3B853999"/>
    <w:rsid w:val="3B857C49"/>
    <w:rsid w:val="3B872883"/>
    <w:rsid w:val="3B891017"/>
    <w:rsid w:val="3B9A2377"/>
    <w:rsid w:val="3BB3731D"/>
    <w:rsid w:val="3BC4227E"/>
    <w:rsid w:val="3BC96890"/>
    <w:rsid w:val="3BDA0CB3"/>
    <w:rsid w:val="3BDD2CE3"/>
    <w:rsid w:val="3BE8683B"/>
    <w:rsid w:val="3C063688"/>
    <w:rsid w:val="3C1E77A1"/>
    <w:rsid w:val="3C314E9C"/>
    <w:rsid w:val="3C315106"/>
    <w:rsid w:val="3C37474D"/>
    <w:rsid w:val="3C3A6FCB"/>
    <w:rsid w:val="3C3D4EFB"/>
    <w:rsid w:val="3C464471"/>
    <w:rsid w:val="3C574DC9"/>
    <w:rsid w:val="3C5A305A"/>
    <w:rsid w:val="3C5E5BF2"/>
    <w:rsid w:val="3C6D01E4"/>
    <w:rsid w:val="3C6D1E0E"/>
    <w:rsid w:val="3C7C23FE"/>
    <w:rsid w:val="3C9428C7"/>
    <w:rsid w:val="3C970CA8"/>
    <w:rsid w:val="3C9F1D12"/>
    <w:rsid w:val="3CB725BA"/>
    <w:rsid w:val="3CD874A9"/>
    <w:rsid w:val="3CF52FDB"/>
    <w:rsid w:val="3D020C74"/>
    <w:rsid w:val="3D127F47"/>
    <w:rsid w:val="3D2453E1"/>
    <w:rsid w:val="3D270821"/>
    <w:rsid w:val="3D2D2C7E"/>
    <w:rsid w:val="3D480F71"/>
    <w:rsid w:val="3D493FF7"/>
    <w:rsid w:val="3D4D39E8"/>
    <w:rsid w:val="3D767346"/>
    <w:rsid w:val="3D8717A4"/>
    <w:rsid w:val="3D964C35"/>
    <w:rsid w:val="3DA0319D"/>
    <w:rsid w:val="3DA535E1"/>
    <w:rsid w:val="3DC366BB"/>
    <w:rsid w:val="3DC62449"/>
    <w:rsid w:val="3DC9689B"/>
    <w:rsid w:val="3DDB10B7"/>
    <w:rsid w:val="3DE948D2"/>
    <w:rsid w:val="3E065808"/>
    <w:rsid w:val="3E2D26EE"/>
    <w:rsid w:val="3E32228C"/>
    <w:rsid w:val="3E3E2BFE"/>
    <w:rsid w:val="3E4C39B3"/>
    <w:rsid w:val="3E4C7E3C"/>
    <w:rsid w:val="3E690F18"/>
    <w:rsid w:val="3E691181"/>
    <w:rsid w:val="3E735F60"/>
    <w:rsid w:val="3E737005"/>
    <w:rsid w:val="3E773170"/>
    <w:rsid w:val="3E83190F"/>
    <w:rsid w:val="3E894239"/>
    <w:rsid w:val="3E901C7C"/>
    <w:rsid w:val="3EAA5829"/>
    <w:rsid w:val="3EAC30A9"/>
    <w:rsid w:val="3EAF60C1"/>
    <w:rsid w:val="3EB276F9"/>
    <w:rsid w:val="3EB92A82"/>
    <w:rsid w:val="3EBB3888"/>
    <w:rsid w:val="3EC86023"/>
    <w:rsid w:val="3ECA20B9"/>
    <w:rsid w:val="3ECF4342"/>
    <w:rsid w:val="3ED00308"/>
    <w:rsid w:val="3ED22166"/>
    <w:rsid w:val="3ED90443"/>
    <w:rsid w:val="3ED948DF"/>
    <w:rsid w:val="3EE250BA"/>
    <w:rsid w:val="3EE31B9B"/>
    <w:rsid w:val="3EE5603F"/>
    <w:rsid w:val="3EE75619"/>
    <w:rsid w:val="3EEA5614"/>
    <w:rsid w:val="3EEC513F"/>
    <w:rsid w:val="3EF319D4"/>
    <w:rsid w:val="3F081F60"/>
    <w:rsid w:val="3F360548"/>
    <w:rsid w:val="3F4F1142"/>
    <w:rsid w:val="3F5321EE"/>
    <w:rsid w:val="3F6612CF"/>
    <w:rsid w:val="3F744B5E"/>
    <w:rsid w:val="3F8A3E06"/>
    <w:rsid w:val="3FB25A37"/>
    <w:rsid w:val="3FBB7AA8"/>
    <w:rsid w:val="3FF103CD"/>
    <w:rsid w:val="3FF57949"/>
    <w:rsid w:val="3FFC6805"/>
    <w:rsid w:val="40055591"/>
    <w:rsid w:val="400D0B69"/>
    <w:rsid w:val="4018116B"/>
    <w:rsid w:val="40204742"/>
    <w:rsid w:val="40270D50"/>
    <w:rsid w:val="402C16FC"/>
    <w:rsid w:val="402C66C8"/>
    <w:rsid w:val="40395A4D"/>
    <w:rsid w:val="40524017"/>
    <w:rsid w:val="408062AA"/>
    <w:rsid w:val="40831549"/>
    <w:rsid w:val="409054D6"/>
    <w:rsid w:val="40945C75"/>
    <w:rsid w:val="40B13BB2"/>
    <w:rsid w:val="40CB7C4E"/>
    <w:rsid w:val="40CE71FD"/>
    <w:rsid w:val="40CF35E5"/>
    <w:rsid w:val="40D0010D"/>
    <w:rsid w:val="40E5363C"/>
    <w:rsid w:val="40F61EA8"/>
    <w:rsid w:val="40FF2E2B"/>
    <w:rsid w:val="411609BA"/>
    <w:rsid w:val="41183D63"/>
    <w:rsid w:val="412B2B20"/>
    <w:rsid w:val="4142729E"/>
    <w:rsid w:val="41441E2A"/>
    <w:rsid w:val="414762C7"/>
    <w:rsid w:val="41486EE1"/>
    <w:rsid w:val="4164192B"/>
    <w:rsid w:val="4173379F"/>
    <w:rsid w:val="417D05D5"/>
    <w:rsid w:val="418C5CB4"/>
    <w:rsid w:val="41916915"/>
    <w:rsid w:val="419229E3"/>
    <w:rsid w:val="41BD64D0"/>
    <w:rsid w:val="41C95FDD"/>
    <w:rsid w:val="41D74A53"/>
    <w:rsid w:val="41F06B09"/>
    <w:rsid w:val="41F95059"/>
    <w:rsid w:val="420275B0"/>
    <w:rsid w:val="420D0201"/>
    <w:rsid w:val="420F00F1"/>
    <w:rsid w:val="42143C41"/>
    <w:rsid w:val="421D1E57"/>
    <w:rsid w:val="4229368A"/>
    <w:rsid w:val="42310137"/>
    <w:rsid w:val="423C118F"/>
    <w:rsid w:val="42430F44"/>
    <w:rsid w:val="42470DA9"/>
    <w:rsid w:val="424A05BA"/>
    <w:rsid w:val="424A2A65"/>
    <w:rsid w:val="425D3E28"/>
    <w:rsid w:val="427F3327"/>
    <w:rsid w:val="42801216"/>
    <w:rsid w:val="42A60ABC"/>
    <w:rsid w:val="42C42797"/>
    <w:rsid w:val="42D86FB2"/>
    <w:rsid w:val="42DA5063"/>
    <w:rsid w:val="42DD4E87"/>
    <w:rsid w:val="42E61E7C"/>
    <w:rsid w:val="43091CEE"/>
    <w:rsid w:val="43156B79"/>
    <w:rsid w:val="43220B7F"/>
    <w:rsid w:val="43272941"/>
    <w:rsid w:val="432966D0"/>
    <w:rsid w:val="432E20A4"/>
    <w:rsid w:val="4336094C"/>
    <w:rsid w:val="433A3A5A"/>
    <w:rsid w:val="433C4CFD"/>
    <w:rsid w:val="434636D0"/>
    <w:rsid w:val="4350115B"/>
    <w:rsid w:val="435176FE"/>
    <w:rsid w:val="43576AD2"/>
    <w:rsid w:val="43654AA2"/>
    <w:rsid w:val="43AB4477"/>
    <w:rsid w:val="43AE5495"/>
    <w:rsid w:val="43C207BE"/>
    <w:rsid w:val="43C23C43"/>
    <w:rsid w:val="43D97363"/>
    <w:rsid w:val="43E644E9"/>
    <w:rsid w:val="43ED1A74"/>
    <w:rsid w:val="43F573C4"/>
    <w:rsid w:val="43F57624"/>
    <w:rsid w:val="440134DA"/>
    <w:rsid w:val="44035868"/>
    <w:rsid w:val="44244D2E"/>
    <w:rsid w:val="4426495C"/>
    <w:rsid w:val="443D69C3"/>
    <w:rsid w:val="445E0622"/>
    <w:rsid w:val="445E6062"/>
    <w:rsid w:val="44601891"/>
    <w:rsid w:val="446631C8"/>
    <w:rsid w:val="446C5630"/>
    <w:rsid w:val="446F7930"/>
    <w:rsid w:val="447204CB"/>
    <w:rsid w:val="44817C04"/>
    <w:rsid w:val="44A829DC"/>
    <w:rsid w:val="44C81C72"/>
    <w:rsid w:val="44CD01C2"/>
    <w:rsid w:val="44CF7E21"/>
    <w:rsid w:val="44DA69C3"/>
    <w:rsid w:val="44DE518F"/>
    <w:rsid w:val="44E40071"/>
    <w:rsid w:val="44EB48A7"/>
    <w:rsid w:val="44EE609D"/>
    <w:rsid w:val="44F10CFF"/>
    <w:rsid w:val="44FD0598"/>
    <w:rsid w:val="44FF093C"/>
    <w:rsid w:val="450905AE"/>
    <w:rsid w:val="45192E44"/>
    <w:rsid w:val="4532344D"/>
    <w:rsid w:val="45350ED0"/>
    <w:rsid w:val="453A4223"/>
    <w:rsid w:val="453C1474"/>
    <w:rsid w:val="453C66A3"/>
    <w:rsid w:val="453D73F4"/>
    <w:rsid w:val="457A3F89"/>
    <w:rsid w:val="457B3AE9"/>
    <w:rsid w:val="457B71A9"/>
    <w:rsid w:val="45901740"/>
    <w:rsid w:val="4597068E"/>
    <w:rsid w:val="459C5106"/>
    <w:rsid w:val="45A81D8E"/>
    <w:rsid w:val="45AB3DFD"/>
    <w:rsid w:val="45B345E4"/>
    <w:rsid w:val="45D07A38"/>
    <w:rsid w:val="45DA32A2"/>
    <w:rsid w:val="45DF5B75"/>
    <w:rsid w:val="45E50156"/>
    <w:rsid w:val="45EE2B95"/>
    <w:rsid w:val="45F557AE"/>
    <w:rsid w:val="45FE09DC"/>
    <w:rsid w:val="4600099D"/>
    <w:rsid w:val="461F3743"/>
    <w:rsid w:val="462F24B8"/>
    <w:rsid w:val="46320083"/>
    <w:rsid w:val="463C4F09"/>
    <w:rsid w:val="46492E65"/>
    <w:rsid w:val="465377A9"/>
    <w:rsid w:val="46616BA0"/>
    <w:rsid w:val="466A5062"/>
    <w:rsid w:val="467423A7"/>
    <w:rsid w:val="467944EF"/>
    <w:rsid w:val="46886F35"/>
    <w:rsid w:val="46CF4584"/>
    <w:rsid w:val="46D000C1"/>
    <w:rsid w:val="46D455AA"/>
    <w:rsid w:val="46DE3E1D"/>
    <w:rsid w:val="46E422BE"/>
    <w:rsid w:val="46E93AC7"/>
    <w:rsid w:val="46EB44BD"/>
    <w:rsid w:val="46F306D0"/>
    <w:rsid w:val="47014B54"/>
    <w:rsid w:val="47086643"/>
    <w:rsid w:val="47267D29"/>
    <w:rsid w:val="47557DCA"/>
    <w:rsid w:val="4760686A"/>
    <w:rsid w:val="47723F88"/>
    <w:rsid w:val="47763FBF"/>
    <w:rsid w:val="47904979"/>
    <w:rsid w:val="479073CF"/>
    <w:rsid w:val="479933E5"/>
    <w:rsid w:val="479D2EE3"/>
    <w:rsid w:val="47A10B99"/>
    <w:rsid w:val="47A45C40"/>
    <w:rsid w:val="47A83EAB"/>
    <w:rsid w:val="47A9504E"/>
    <w:rsid w:val="47B00878"/>
    <w:rsid w:val="47BA6B35"/>
    <w:rsid w:val="47CD37E3"/>
    <w:rsid w:val="47D6196F"/>
    <w:rsid w:val="47DA540C"/>
    <w:rsid w:val="47E357B7"/>
    <w:rsid w:val="47E90ACC"/>
    <w:rsid w:val="48020B2B"/>
    <w:rsid w:val="48171B28"/>
    <w:rsid w:val="482F0B6E"/>
    <w:rsid w:val="484D557D"/>
    <w:rsid w:val="48541962"/>
    <w:rsid w:val="486651ED"/>
    <w:rsid w:val="4877482D"/>
    <w:rsid w:val="487948F7"/>
    <w:rsid w:val="487E3634"/>
    <w:rsid w:val="488072C0"/>
    <w:rsid w:val="4898696B"/>
    <w:rsid w:val="48AC4B85"/>
    <w:rsid w:val="48AD0640"/>
    <w:rsid w:val="48AF0462"/>
    <w:rsid w:val="48C1115C"/>
    <w:rsid w:val="48C657F3"/>
    <w:rsid w:val="48C67133"/>
    <w:rsid w:val="48D55060"/>
    <w:rsid w:val="48EA2C72"/>
    <w:rsid w:val="48EA5F73"/>
    <w:rsid w:val="48FC7DFD"/>
    <w:rsid w:val="490D18E7"/>
    <w:rsid w:val="49104B6D"/>
    <w:rsid w:val="49304059"/>
    <w:rsid w:val="493C092F"/>
    <w:rsid w:val="49563BF0"/>
    <w:rsid w:val="496D36BA"/>
    <w:rsid w:val="49753D8F"/>
    <w:rsid w:val="499D7AA1"/>
    <w:rsid w:val="49BA5414"/>
    <w:rsid w:val="49D026C2"/>
    <w:rsid w:val="49E13D6A"/>
    <w:rsid w:val="49E56323"/>
    <w:rsid w:val="49EE218C"/>
    <w:rsid w:val="4A04461E"/>
    <w:rsid w:val="4A152C38"/>
    <w:rsid w:val="4A190505"/>
    <w:rsid w:val="4A3A37EC"/>
    <w:rsid w:val="4A4B0D7C"/>
    <w:rsid w:val="4A4B2C39"/>
    <w:rsid w:val="4A8B3D53"/>
    <w:rsid w:val="4A9247AA"/>
    <w:rsid w:val="4AA0484E"/>
    <w:rsid w:val="4AA31978"/>
    <w:rsid w:val="4AB45C83"/>
    <w:rsid w:val="4ABE6376"/>
    <w:rsid w:val="4AC5197D"/>
    <w:rsid w:val="4AC77A78"/>
    <w:rsid w:val="4ACC7B4E"/>
    <w:rsid w:val="4ADE4198"/>
    <w:rsid w:val="4AEB2959"/>
    <w:rsid w:val="4AEF21F3"/>
    <w:rsid w:val="4B0D7D13"/>
    <w:rsid w:val="4B174229"/>
    <w:rsid w:val="4B3D0885"/>
    <w:rsid w:val="4B43012C"/>
    <w:rsid w:val="4B4C2876"/>
    <w:rsid w:val="4B5B5BFB"/>
    <w:rsid w:val="4B715FAC"/>
    <w:rsid w:val="4B761998"/>
    <w:rsid w:val="4B7D25A0"/>
    <w:rsid w:val="4B8B5F36"/>
    <w:rsid w:val="4B942E09"/>
    <w:rsid w:val="4BA03C6E"/>
    <w:rsid w:val="4BA05E27"/>
    <w:rsid w:val="4BA077A1"/>
    <w:rsid w:val="4BA60433"/>
    <w:rsid w:val="4BA92CB8"/>
    <w:rsid w:val="4BB2193B"/>
    <w:rsid w:val="4BB73A44"/>
    <w:rsid w:val="4BE865D7"/>
    <w:rsid w:val="4BEA5B57"/>
    <w:rsid w:val="4BF014CC"/>
    <w:rsid w:val="4BFD200B"/>
    <w:rsid w:val="4C026ED6"/>
    <w:rsid w:val="4C121E8A"/>
    <w:rsid w:val="4C213268"/>
    <w:rsid w:val="4C274E56"/>
    <w:rsid w:val="4C352378"/>
    <w:rsid w:val="4C3D7792"/>
    <w:rsid w:val="4C544166"/>
    <w:rsid w:val="4C5766C9"/>
    <w:rsid w:val="4C5F282D"/>
    <w:rsid w:val="4C6F04FE"/>
    <w:rsid w:val="4C85185D"/>
    <w:rsid w:val="4C89181E"/>
    <w:rsid w:val="4C8E7DC1"/>
    <w:rsid w:val="4C954A68"/>
    <w:rsid w:val="4C9F00C9"/>
    <w:rsid w:val="4CAD4C5E"/>
    <w:rsid w:val="4CD36490"/>
    <w:rsid w:val="4CDF471B"/>
    <w:rsid w:val="4CE012F9"/>
    <w:rsid w:val="4CE8733A"/>
    <w:rsid w:val="4CEA5EF5"/>
    <w:rsid w:val="4CEC6514"/>
    <w:rsid w:val="4CEC703A"/>
    <w:rsid w:val="4D021A2E"/>
    <w:rsid w:val="4D076A8A"/>
    <w:rsid w:val="4D136654"/>
    <w:rsid w:val="4D18028C"/>
    <w:rsid w:val="4D22449C"/>
    <w:rsid w:val="4D257367"/>
    <w:rsid w:val="4D480138"/>
    <w:rsid w:val="4D56716E"/>
    <w:rsid w:val="4D57313C"/>
    <w:rsid w:val="4D592393"/>
    <w:rsid w:val="4D6133EB"/>
    <w:rsid w:val="4D620E36"/>
    <w:rsid w:val="4D76326B"/>
    <w:rsid w:val="4D7732FD"/>
    <w:rsid w:val="4D7A20DF"/>
    <w:rsid w:val="4D7E2C46"/>
    <w:rsid w:val="4D926FF8"/>
    <w:rsid w:val="4D937E82"/>
    <w:rsid w:val="4DA42009"/>
    <w:rsid w:val="4DA47096"/>
    <w:rsid w:val="4DB656B2"/>
    <w:rsid w:val="4DBC45ED"/>
    <w:rsid w:val="4DC81EF4"/>
    <w:rsid w:val="4DE52881"/>
    <w:rsid w:val="4DED23C4"/>
    <w:rsid w:val="4DED49DA"/>
    <w:rsid w:val="4DF2790D"/>
    <w:rsid w:val="4DFD52B3"/>
    <w:rsid w:val="4E015A19"/>
    <w:rsid w:val="4E122468"/>
    <w:rsid w:val="4E1D1C34"/>
    <w:rsid w:val="4E302696"/>
    <w:rsid w:val="4E340401"/>
    <w:rsid w:val="4E36039E"/>
    <w:rsid w:val="4E3B4D5A"/>
    <w:rsid w:val="4E400EEF"/>
    <w:rsid w:val="4E42310F"/>
    <w:rsid w:val="4E66332D"/>
    <w:rsid w:val="4E670E15"/>
    <w:rsid w:val="4E7E14A0"/>
    <w:rsid w:val="4E7F70D0"/>
    <w:rsid w:val="4E8A006A"/>
    <w:rsid w:val="4E8A13FF"/>
    <w:rsid w:val="4EA56473"/>
    <w:rsid w:val="4EB01559"/>
    <w:rsid w:val="4EB62966"/>
    <w:rsid w:val="4EBC3D25"/>
    <w:rsid w:val="4EC4525C"/>
    <w:rsid w:val="4EC61B54"/>
    <w:rsid w:val="4ED14CB7"/>
    <w:rsid w:val="4EEA337E"/>
    <w:rsid w:val="4EFF20E7"/>
    <w:rsid w:val="4F016FE5"/>
    <w:rsid w:val="4F257041"/>
    <w:rsid w:val="4F2B2E12"/>
    <w:rsid w:val="4F302585"/>
    <w:rsid w:val="4F326C42"/>
    <w:rsid w:val="4F3632BE"/>
    <w:rsid w:val="4F4D346E"/>
    <w:rsid w:val="4F50740C"/>
    <w:rsid w:val="4F5103FA"/>
    <w:rsid w:val="4F511121"/>
    <w:rsid w:val="4F545534"/>
    <w:rsid w:val="4F7F29B4"/>
    <w:rsid w:val="4F7F5B54"/>
    <w:rsid w:val="4F92323B"/>
    <w:rsid w:val="4F950CFE"/>
    <w:rsid w:val="4FB82079"/>
    <w:rsid w:val="4FBD5E48"/>
    <w:rsid w:val="4FBD66D6"/>
    <w:rsid w:val="4FC72F32"/>
    <w:rsid w:val="4FC7713B"/>
    <w:rsid w:val="4FD659F4"/>
    <w:rsid w:val="4FDC70FF"/>
    <w:rsid w:val="50055358"/>
    <w:rsid w:val="500C29C8"/>
    <w:rsid w:val="50164291"/>
    <w:rsid w:val="501F7B40"/>
    <w:rsid w:val="50236562"/>
    <w:rsid w:val="50293355"/>
    <w:rsid w:val="502F3094"/>
    <w:rsid w:val="50396A2F"/>
    <w:rsid w:val="50423F67"/>
    <w:rsid w:val="504823A2"/>
    <w:rsid w:val="504F3C6B"/>
    <w:rsid w:val="505B4D29"/>
    <w:rsid w:val="505E2F0C"/>
    <w:rsid w:val="506001C2"/>
    <w:rsid w:val="50634E4A"/>
    <w:rsid w:val="50653C8E"/>
    <w:rsid w:val="50726AE7"/>
    <w:rsid w:val="50746940"/>
    <w:rsid w:val="50752C2F"/>
    <w:rsid w:val="508E3220"/>
    <w:rsid w:val="50901208"/>
    <w:rsid w:val="509B6B6E"/>
    <w:rsid w:val="50B07915"/>
    <w:rsid w:val="50C70224"/>
    <w:rsid w:val="50C86D9B"/>
    <w:rsid w:val="50CB24C3"/>
    <w:rsid w:val="50CD0CEB"/>
    <w:rsid w:val="50CF3D2E"/>
    <w:rsid w:val="50DF2317"/>
    <w:rsid w:val="50E03C6E"/>
    <w:rsid w:val="50E53551"/>
    <w:rsid w:val="50E720C7"/>
    <w:rsid w:val="50EF0E0A"/>
    <w:rsid w:val="510752AF"/>
    <w:rsid w:val="51200241"/>
    <w:rsid w:val="51285036"/>
    <w:rsid w:val="51305500"/>
    <w:rsid w:val="517039E3"/>
    <w:rsid w:val="51712313"/>
    <w:rsid w:val="517459B0"/>
    <w:rsid w:val="517B7B79"/>
    <w:rsid w:val="518106B3"/>
    <w:rsid w:val="519F6E89"/>
    <w:rsid w:val="51B10B82"/>
    <w:rsid w:val="51C7750A"/>
    <w:rsid w:val="51CC1003"/>
    <w:rsid w:val="51DF05D8"/>
    <w:rsid w:val="51F53992"/>
    <w:rsid w:val="51FA6879"/>
    <w:rsid w:val="520B13E3"/>
    <w:rsid w:val="52156187"/>
    <w:rsid w:val="522C2C5D"/>
    <w:rsid w:val="524B7790"/>
    <w:rsid w:val="524D5DDA"/>
    <w:rsid w:val="524E6825"/>
    <w:rsid w:val="525C3A36"/>
    <w:rsid w:val="52654F21"/>
    <w:rsid w:val="52780FDE"/>
    <w:rsid w:val="52781352"/>
    <w:rsid w:val="528552E4"/>
    <w:rsid w:val="52A11C20"/>
    <w:rsid w:val="52B508CE"/>
    <w:rsid w:val="52BD04BD"/>
    <w:rsid w:val="52BF30EB"/>
    <w:rsid w:val="52C04906"/>
    <w:rsid w:val="52C9528C"/>
    <w:rsid w:val="52CA3233"/>
    <w:rsid w:val="52CB1D32"/>
    <w:rsid w:val="52D74DF5"/>
    <w:rsid w:val="52E856F0"/>
    <w:rsid w:val="52EE4D6A"/>
    <w:rsid w:val="52FB618A"/>
    <w:rsid w:val="531526DC"/>
    <w:rsid w:val="5324009D"/>
    <w:rsid w:val="53242193"/>
    <w:rsid w:val="532976FA"/>
    <w:rsid w:val="533A1B9B"/>
    <w:rsid w:val="534A60CB"/>
    <w:rsid w:val="535D3A38"/>
    <w:rsid w:val="535E028D"/>
    <w:rsid w:val="536518E0"/>
    <w:rsid w:val="53657B2A"/>
    <w:rsid w:val="537246ED"/>
    <w:rsid w:val="538E4BC8"/>
    <w:rsid w:val="53B24089"/>
    <w:rsid w:val="53B55F6E"/>
    <w:rsid w:val="53C66EDC"/>
    <w:rsid w:val="53D829CB"/>
    <w:rsid w:val="53D832F5"/>
    <w:rsid w:val="53DD7F26"/>
    <w:rsid w:val="53E32D90"/>
    <w:rsid w:val="53EA027C"/>
    <w:rsid w:val="53EC56CA"/>
    <w:rsid w:val="53EC6AC6"/>
    <w:rsid w:val="53F43F4B"/>
    <w:rsid w:val="53FF3A24"/>
    <w:rsid w:val="54055868"/>
    <w:rsid w:val="541105EA"/>
    <w:rsid w:val="5417062A"/>
    <w:rsid w:val="541F212D"/>
    <w:rsid w:val="54420174"/>
    <w:rsid w:val="5447610E"/>
    <w:rsid w:val="54480123"/>
    <w:rsid w:val="544830F6"/>
    <w:rsid w:val="544F6A3E"/>
    <w:rsid w:val="5461610E"/>
    <w:rsid w:val="54662A00"/>
    <w:rsid w:val="54810090"/>
    <w:rsid w:val="54833FF1"/>
    <w:rsid w:val="549D3EDA"/>
    <w:rsid w:val="54E725D7"/>
    <w:rsid w:val="54F246DF"/>
    <w:rsid w:val="54FB1595"/>
    <w:rsid w:val="54FD01AC"/>
    <w:rsid w:val="55140E90"/>
    <w:rsid w:val="551A050E"/>
    <w:rsid w:val="552025D5"/>
    <w:rsid w:val="552A1993"/>
    <w:rsid w:val="553A38CD"/>
    <w:rsid w:val="55453DD9"/>
    <w:rsid w:val="55466E62"/>
    <w:rsid w:val="55490AD3"/>
    <w:rsid w:val="558623B1"/>
    <w:rsid w:val="55AD1D04"/>
    <w:rsid w:val="55B11DDE"/>
    <w:rsid w:val="55BA172E"/>
    <w:rsid w:val="55BA762C"/>
    <w:rsid w:val="56071608"/>
    <w:rsid w:val="560C1580"/>
    <w:rsid w:val="56170B9E"/>
    <w:rsid w:val="56175047"/>
    <w:rsid w:val="56231B6C"/>
    <w:rsid w:val="56313EED"/>
    <w:rsid w:val="56381A2B"/>
    <w:rsid w:val="565B2381"/>
    <w:rsid w:val="5676616B"/>
    <w:rsid w:val="567D3F60"/>
    <w:rsid w:val="567D4899"/>
    <w:rsid w:val="56802284"/>
    <w:rsid w:val="569B6925"/>
    <w:rsid w:val="56A81315"/>
    <w:rsid w:val="56AF6AAA"/>
    <w:rsid w:val="56B30CE3"/>
    <w:rsid w:val="56CF66FB"/>
    <w:rsid w:val="56D6392A"/>
    <w:rsid w:val="56DC7FF6"/>
    <w:rsid w:val="56EE0811"/>
    <w:rsid w:val="570C3144"/>
    <w:rsid w:val="570F0FAA"/>
    <w:rsid w:val="5710345C"/>
    <w:rsid w:val="5714604E"/>
    <w:rsid w:val="57194E75"/>
    <w:rsid w:val="572A21FB"/>
    <w:rsid w:val="57492D31"/>
    <w:rsid w:val="574A6098"/>
    <w:rsid w:val="57610048"/>
    <w:rsid w:val="57644254"/>
    <w:rsid w:val="5792652B"/>
    <w:rsid w:val="57943FBD"/>
    <w:rsid w:val="57953DC6"/>
    <w:rsid w:val="57AF6526"/>
    <w:rsid w:val="57B70667"/>
    <w:rsid w:val="57BB0DFB"/>
    <w:rsid w:val="57C90FC9"/>
    <w:rsid w:val="57DD4747"/>
    <w:rsid w:val="57F93FE2"/>
    <w:rsid w:val="580A6E57"/>
    <w:rsid w:val="582852E4"/>
    <w:rsid w:val="58355870"/>
    <w:rsid w:val="58435469"/>
    <w:rsid w:val="586676CF"/>
    <w:rsid w:val="587133A9"/>
    <w:rsid w:val="58830F86"/>
    <w:rsid w:val="588C7A6F"/>
    <w:rsid w:val="58936877"/>
    <w:rsid w:val="589A4209"/>
    <w:rsid w:val="589B2EB6"/>
    <w:rsid w:val="589F0489"/>
    <w:rsid w:val="58A0448F"/>
    <w:rsid w:val="58AA21D9"/>
    <w:rsid w:val="58B46980"/>
    <w:rsid w:val="58B61F4E"/>
    <w:rsid w:val="58B62931"/>
    <w:rsid w:val="58BB1B02"/>
    <w:rsid w:val="58BB2CEF"/>
    <w:rsid w:val="58BD00DF"/>
    <w:rsid w:val="58BE3E73"/>
    <w:rsid w:val="58C7166A"/>
    <w:rsid w:val="58D435D0"/>
    <w:rsid w:val="58D87666"/>
    <w:rsid w:val="58DD63A5"/>
    <w:rsid w:val="58E56E25"/>
    <w:rsid w:val="58F21491"/>
    <w:rsid w:val="58FC3E5D"/>
    <w:rsid w:val="58FF1862"/>
    <w:rsid w:val="5903555F"/>
    <w:rsid w:val="59124DE8"/>
    <w:rsid w:val="591A7E3E"/>
    <w:rsid w:val="591D17B0"/>
    <w:rsid w:val="591E490F"/>
    <w:rsid w:val="59207E2E"/>
    <w:rsid w:val="59316E2D"/>
    <w:rsid w:val="595F69B0"/>
    <w:rsid w:val="59606747"/>
    <w:rsid w:val="59620781"/>
    <w:rsid w:val="59752B0C"/>
    <w:rsid w:val="59755E43"/>
    <w:rsid w:val="59805339"/>
    <w:rsid w:val="59891F99"/>
    <w:rsid w:val="598B4155"/>
    <w:rsid w:val="599F69B9"/>
    <w:rsid w:val="59B32110"/>
    <w:rsid w:val="59CC1E60"/>
    <w:rsid w:val="59D76475"/>
    <w:rsid w:val="59E95EB8"/>
    <w:rsid w:val="5A0650CF"/>
    <w:rsid w:val="5A0C4506"/>
    <w:rsid w:val="5A0F56F5"/>
    <w:rsid w:val="5A205081"/>
    <w:rsid w:val="5A2E1C12"/>
    <w:rsid w:val="5A35549B"/>
    <w:rsid w:val="5A407469"/>
    <w:rsid w:val="5A4341BA"/>
    <w:rsid w:val="5A4818C8"/>
    <w:rsid w:val="5A515104"/>
    <w:rsid w:val="5A600E0C"/>
    <w:rsid w:val="5A645EEC"/>
    <w:rsid w:val="5A6B5272"/>
    <w:rsid w:val="5A6F4FD6"/>
    <w:rsid w:val="5A716F67"/>
    <w:rsid w:val="5A767A79"/>
    <w:rsid w:val="5A7773AC"/>
    <w:rsid w:val="5A8175CB"/>
    <w:rsid w:val="5A84736C"/>
    <w:rsid w:val="5A850CDA"/>
    <w:rsid w:val="5A9C623B"/>
    <w:rsid w:val="5AAD10B3"/>
    <w:rsid w:val="5AB33525"/>
    <w:rsid w:val="5AFE07F2"/>
    <w:rsid w:val="5B0D0B17"/>
    <w:rsid w:val="5B1769FD"/>
    <w:rsid w:val="5B27739E"/>
    <w:rsid w:val="5B281193"/>
    <w:rsid w:val="5B2908B1"/>
    <w:rsid w:val="5B34012D"/>
    <w:rsid w:val="5B43111E"/>
    <w:rsid w:val="5B4A2027"/>
    <w:rsid w:val="5B4C32B3"/>
    <w:rsid w:val="5B572133"/>
    <w:rsid w:val="5B5E47F5"/>
    <w:rsid w:val="5B606856"/>
    <w:rsid w:val="5B714D26"/>
    <w:rsid w:val="5B823D37"/>
    <w:rsid w:val="5B83398C"/>
    <w:rsid w:val="5B8E721C"/>
    <w:rsid w:val="5B9B2E22"/>
    <w:rsid w:val="5BAF43D6"/>
    <w:rsid w:val="5BDB7A2A"/>
    <w:rsid w:val="5C046F56"/>
    <w:rsid w:val="5C074B2C"/>
    <w:rsid w:val="5C176CA3"/>
    <w:rsid w:val="5C272EEC"/>
    <w:rsid w:val="5C3141A0"/>
    <w:rsid w:val="5C3E18C2"/>
    <w:rsid w:val="5C463802"/>
    <w:rsid w:val="5C531011"/>
    <w:rsid w:val="5C560CAC"/>
    <w:rsid w:val="5C5865CB"/>
    <w:rsid w:val="5C63568C"/>
    <w:rsid w:val="5C7127D5"/>
    <w:rsid w:val="5C73080F"/>
    <w:rsid w:val="5C812945"/>
    <w:rsid w:val="5CA33586"/>
    <w:rsid w:val="5CA613C0"/>
    <w:rsid w:val="5CB001AB"/>
    <w:rsid w:val="5CC5410A"/>
    <w:rsid w:val="5CC5515B"/>
    <w:rsid w:val="5CD82207"/>
    <w:rsid w:val="5CDF7245"/>
    <w:rsid w:val="5D035EA0"/>
    <w:rsid w:val="5D1713D4"/>
    <w:rsid w:val="5D373386"/>
    <w:rsid w:val="5D396F60"/>
    <w:rsid w:val="5D3E30FD"/>
    <w:rsid w:val="5D3F7B7B"/>
    <w:rsid w:val="5D4B373F"/>
    <w:rsid w:val="5D4F6E39"/>
    <w:rsid w:val="5D647EF4"/>
    <w:rsid w:val="5D690AC4"/>
    <w:rsid w:val="5D6B5A5E"/>
    <w:rsid w:val="5D806519"/>
    <w:rsid w:val="5D815FBA"/>
    <w:rsid w:val="5D973874"/>
    <w:rsid w:val="5D97431E"/>
    <w:rsid w:val="5DA9177C"/>
    <w:rsid w:val="5DAB2E39"/>
    <w:rsid w:val="5DB768DB"/>
    <w:rsid w:val="5DC23238"/>
    <w:rsid w:val="5DC854C6"/>
    <w:rsid w:val="5DD124FE"/>
    <w:rsid w:val="5DD70A7A"/>
    <w:rsid w:val="5DE276EA"/>
    <w:rsid w:val="5DE6285A"/>
    <w:rsid w:val="5DF62EA9"/>
    <w:rsid w:val="5E0610AE"/>
    <w:rsid w:val="5E0947FB"/>
    <w:rsid w:val="5E2139C6"/>
    <w:rsid w:val="5E493DFD"/>
    <w:rsid w:val="5E4D4684"/>
    <w:rsid w:val="5E5E3507"/>
    <w:rsid w:val="5E6148B0"/>
    <w:rsid w:val="5E62004A"/>
    <w:rsid w:val="5E6609AF"/>
    <w:rsid w:val="5E672A1F"/>
    <w:rsid w:val="5E687D06"/>
    <w:rsid w:val="5E6D1EF9"/>
    <w:rsid w:val="5E753F44"/>
    <w:rsid w:val="5E8C4E06"/>
    <w:rsid w:val="5E8F6449"/>
    <w:rsid w:val="5E911F44"/>
    <w:rsid w:val="5E91597C"/>
    <w:rsid w:val="5EA90871"/>
    <w:rsid w:val="5EDF618C"/>
    <w:rsid w:val="5EE3414B"/>
    <w:rsid w:val="5EF07797"/>
    <w:rsid w:val="5EF65ECD"/>
    <w:rsid w:val="5EF723FF"/>
    <w:rsid w:val="5EF81330"/>
    <w:rsid w:val="5EFC20B3"/>
    <w:rsid w:val="5F0100AF"/>
    <w:rsid w:val="5F053010"/>
    <w:rsid w:val="5F141CB5"/>
    <w:rsid w:val="5F145DEE"/>
    <w:rsid w:val="5F5458EB"/>
    <w:rsid w:val="5F5A4056"/>
    <w:rsid w:val="5F5C225A"/>
    <w:rsid w:val="5F5F6BC4"/>
    <w:rsid w:val="5F6E0BB6"/>
    <w:rsid w:val="5F724CD6"/>
    <w:rsid w:val="5F791A0F"/>
    <w:rsid w:val="5F795309"/>
    <w:rsid w:val="5F7C00C5"/>
    <w:rsid w:val="5F90624D"/>
    <w:rsid w:val="5FAA3AFF"/>
    <w:rsid w:val="5FB473EB"/>
    <w:rsid w:val="5FBD0E72"/>
    <w:rsid w:val="5FC8406E"/>
    <w:rsid w:val="5FD52C11"/>
    <w:rsid w:val="5FEB236A"/>
    <w:rsid w:val="5FEF04C3"/>
    <w:rsid w:val="6010617A"/>
    <w:rsid w:val="60326087"/>
    <w:rsid w:val="60364F19"/>
    <w:rsid w:val="60470412"/>
    <w:rsid w:val="6051377B"/>
    <w:rsid w:val="6053261B"/>
    <w:rsid w:val="60641A95"/>
    <w:rsid w:val="608D7586"/>
    <w:rsid w:val="60907BC3"/>
    <w:rsid w:val="6094395C"/>
    <w:rsid w:val="60AB7A00"/>
    <w:rsid w:val="60C1321A"/>
    <w:rsid w:val="60C26E50"/>
    <w:rsid w:val="60C568F5"/>
    <w:rsid w:val="60C840B6"/>
    <w:rsid w:val="60D93467"/>
    <w:rsid w:val="60DA3431"/>
    <w:rsid w:val="60DC2D50"/>
    <w:rsid w:val="60DD4216"/>
    <w:rsid w:val="60E9528C"/>
    <w:rsid w:val="61117719"/>
    <w:rsid w:val="6113766F"/>
    <w:rsid w:val="6119535B"/>
    <w:rsid w:val="61256D26"/>
    <w:rsid w:val="6126426A"/>
    <w:rsid w:val="61320599"/>
    <w:rsid w:val="613D7883"/>
    <w:rsid w:val="614E4A12"/>
    <w:rsid w:val="615D2C4A"/>
    <w:rsid w:val="61925E90"/>
    <w:rsid w:val="619B67ED"/>
    <w:rsid w:val="61B23758"/>
    <w:rsid w:val="61B520CB"/>
    <w:rsid w:val="61B7475E"/>
    <w:rsid w:val="61B85363"/>
    <w:rsid w:val="61C75328"/>
    <w:rsid w:val="61C976FF"/>
    <w:rsid w:val="61CA264B"/>
    <w:rsid w:val="61D70DFC"/>
    <w:rsid w:val="61D9680D"/>
    <w:rsid w:val="61E4151D"/>
    <w:rsid w:val="61E5122B"/>
    <w:rsid w:val="61EB0147"/>
    <w:rsid w:val="61EE593F"/>
    <w:rsid w:val="61FE3558"/>
    <w:rsid w:val="62021A60"/>
    <w:rsid w:val="62122BED"/>
    <w:rsid w:val="623A2E38"/>
    <w:rsid w:val="623A6FFE"/>
    <w:rsid w:val="62606CEA"/>
    <w:rsid w:val="62640F9B"/>
    <w:rsid w:val="62751A14"/>
    <w:rsid w:val="627667D9"/>
    <w:rsid w:val="62800BBC"/>
    <w:rsid w:val="62810C98"/>
    <w:rsid w:val="62864B78"/>
    <w:rsid w:val="62B367AF"/>
    <w:rsid w:val="62C226EC"/>
    <w:rsid w:val="62C6071F"/>
    <w:rsid w:val="62C66431"/>
    <w:rsid w:val="62CE4776"/>
    <w:rsid w:val="62D02444"/>
    <w:rsid w:val="62DD126D"/>
    <w:rsid w:val="62E24CA7"/>
    <w:rsid w:val="630E6937"/>
    <w:rsid w:val="63135C09"/>
    <w:rsid w:val="632E1296"/>
    <w:rsid w:val="632E1496"/>
    <w:rsid w:val="63352116"/>
    <w:rsid w:val="633D24B0"/>
    <w:rsid w:val="634419C1"/>
    <w:rsid w:val="63441D44"/>
    <w:rsid w:val="635B7AF6"/>
    <w:rsid w:val="6360113A"/>
    <w:rsid w:val="636257C3"/>
    <w:rsid w:val="6362624B"/>
    <w:rsid w:val="636722C4"/>
    <w:rsid w:val="637067B4"/>
    <w:rsid w:val="639F1FDE"/>
    <w:rsid w:val="63B079EF"/>
    <w:rsid w:val="63B1555D"/>
    <w:rsid w:val="63B6017E"/>
    <w:rsid w:val="63B81766"/>
    <w:rsid w:val="63C26C73"/>
    <w:rsid w:val="63CB4836"/>
    <w:rsid w:val="63CD5CA1"/>
    <w:rsid w:val="63D03DB5"/>
    <w:rsid w:val="63D8600F"/>
    <w:rsid w:val="63DF56C4"/>
    <w:rsid w:val="63EC07C2"/>
    <w:rsid w:val="63F03F8D"/>
    <w:rsid w:val="64096C1E"/>
    <w:rsid w:val="641F3A19"/>
    <w:rsid w:val="64245231"/>
    <w:rsid w:val="642F579B"/>
    <w:rsid w:val="64365AB5"/>
    <w:rsid w:val="64377C2D"/>
    <w:rsid w:val="643C05A6"/>
    <w:rsid w:val="644B60ED"/>
    <w:rsid w:val="64637041"/>
    <w:rsid w:val="647B1409"/>
    <w:rsid w:val="648D1D82"/>
    <w:rsid w:val="64A5650A"/>
    <w:rsid w:val="64C631CE"/>
    <w:rsid w:val="64DD69E7"/>
    <w:rsid w:val="64E15641"/>
    <w:rsid w:val="65003392"/>
    <w:rsid w:val="65281DD3"/>
    <w:rsid w:val="6535528C"/>
    <w:rsid w:val="654074CA"/>
    <w:rsid w:val="654416AF"/>
    <w:rsid w:val="654B053C"/>
    <w:rsid w:val="65526757"/>
    <w:rsid w:val="65602C75"/>
    <w:rsid w:val="65A45615"/>
    <w:rsid w:val="65A56185"/>
    <w:rsid w:val="65A60389"/>
    <w:rsid w:val="65A6675E"/>
    <w:rsid w:val="65A6692F"/>
    <w:rsid w:val="65E05465"/>
    <w:rsid w:val="65E840DD"/>
    <w:rsid w:val="65EE2E35"/>
    <w:rsid w:val="660967DC"/>
    <w:rsid w:val="660C5B17"/>
    <w:rsid w:val="6613149F"/>
    <w:rsid w:val="662C3B8C"/>
    <w:rsid w:val="664438B4"/>
    <w:rsid w:val="665D2780"/>
    <w:rsid w:val="665F653E"/>
    <w:rsid w:val="66683320"/>
    <w:rsid w:val="666F1DE3"/>
    <w:rsid w:val="66880D76"/>
    <w:rsid w:val="668B039B"/>
    <w:rsid w:val="669374CF"/>
    <w:rsid w:val="66981A45"/>
    <w:rsid w:val="66A8679E"/>
    <w:rsid w:val="66CB12ED"/>
    <w:rsid w:val="66DF32CF"/>
    <w:rsid w:val="66E03E96"/>
    <w:rsid w:val="66E401B8"/>
    <w:rsid w:val="66EA30A1"/>
    <w:rsid w:val="66F8249E"/>
    <w:rsid w:val="67067AB5"/>
    <w:rsid w:val="67084D16"/>
    <w:rsid w:val="672B7E52"/>
    <w:rsid w:val="672D4F56"/>
    <w:rsid w:val="67371FE2"/>
    <w:rsid w:val="67385E4C"/>
    <w:rsid w:val="67447613"/>
    <w:rsid w:val="675B463A"/>
    <w:rsid w:val="676705B3"/>
    <w:rsid w:val="67762842"/>
    <w:rsid w:val="678A2BAE"/>
    <w:rsid w:val="6796142E"/>
    <w:rsid w:val="67B53825"/>
    <w:rsid w:val="67B76ECC"/>
    <w:rsid w:val="67C279C8"/>
    <w:rsid w:val="67D43165"/>
    <w:rsid w:val="67E84832"/>
    <w:rsid w:val="67FB19F2"/>
    <w:rsid w:val="68076CE6"/>
    <w:rsid w:val="680D45C4"/>
    <w:rsid w:val="681A1C02"/>
    <w:rsid w:val="681A706F"/>
    <w:rsid w:val="681B5200"/>
    <w:rsid w:val="682008D2"/>
    <w:rsid w:val="682829FF"/>
    <w:rsid w:val="6848203A"/>
    <w:rsid w:val="685D5516"/>
    <w:rsid w:val="68644E62"/>
    <w:rsid w:val="68707848"/>
    <w:rsid w:val="689133B7"/>
    <w:rsid w:val="689A53DC"/>
    <w:rsid w:val="68A17E46"/>
    <w:rsid w:val="68C52952"/>
    <w:rsid w:val="68D74805"/>
    <w:rsid w:val="68DB3760"/>
    <w:rsid w:val="68E71AC4"/>
    <w:rsid w:val="68E97798"/>
    <w:rsid w:val="68EC30F4"/>
    <w:rsid w:val="68F02282"/>
    <w:rsid w:val="68F2368A"/>
    <w:rsid w:val="68F25B3B"/>
    <w:rsid w:val="68F64DE7"/>
    <w:rsid w:val="690470DA"/>
    <w:rsid w:val="69100C7E"/>
    <w:rsid w:val="691809A3"/>
    <w:rsid w:val="69224D72"/>
    <w:rsid w:val="69305CA8"/>
    <w:rsid w:val="69374B66"/>
    <w:rsid w:val="69397820"/>
    <w:rsid w:val="694721E0"/>
    <w:rsid w:val="694D0BC8"/>
    <w:rsid w:val="6951757E"/>
    <w:rsid w:val="695F1796"/>
    <w:rsid w:val="69692119"/>
    <w:rsid w:val="697362CF"/>
    <w:rsid w:val="69976B67"/>
    <w:rsid w:val="69A139C2"/>
    <w:rsid w:val="69BD01E4"/>
    <w:rsid w:val="69CB325A"/>
    <w:rsid w:val="69D27AF5"/>
    <w:rsid w:val="69D95B74"/>
    <w:rsid w:val="69F407AD"/>
    <w:rsid w:val="69F644CC"/>
    <w:rsid w:val="6A1A3862"/>
    <w:rsid w:val="6A2353BE"/>
    <w:rsid w:val="6A2522E9"/>
    <w:rsid w:val="6A442AF3"/>
    <w:rsid w:val="6A734D3D"/>
    <w:rsid w:val="6A7B239A"/>
    <w:rsid w:val="6A823C8D"/>
    <w:rsid w:val="6AA51551"/>
    <w:rsid w:val="6AB2260C"/>
    <w:rsid w:val="6AC04E32"/>
    <w:rsid w:val="6AD2290E"/>
    <w:rsid w:val="6AED5C30"/>
    <w:rsid w:val="6AF92F4D"/>
    <w:rsid w:val="6B0825BF"/>
    <w:rsid w:val="6B104250"/>
    <w:rsid w:val="6B226653"/>
    <w:rsid w:val="6B2E0438"/>
    <w:rsid w:val="6B37184B"/>
    <w:rsid w:val="6B383046"/>
    <w:rsid w:val="6B4D0C1B"/>
    <w:rsid w:val="6B601370"/>
    <w:rsid w:val="6B6A1AFF"/>
    <w:rsid w:val="6B6A7F90"/>
    <w:rsid w:val="6B6C14FB"/>
    <w:rsid w:val="6B7A48BB"/>
    <w:rsid w:val="6B7B357B"/>
    <w:rsid w:val="6B7E5C38"/>
    <w:rsid w:val="6B8A7D7E"/>
    <w:rsid w:val="6B8D54C1"/>
    <w:rsid w:val="6B9045C0"/>
    <w:rsid w:val="6BCD142C"/>
    <w:rsid w:val="6BCD7DFF"/>
    <w:rsid w:val="6BCF2A70"/>
    <w:rsid w:val="6BE823D5"/>
    <w:rsid w:val="6BEA5A68"/>
    <w:rsid w:val="6BF61704"/>
    <w:rsid w:val="6C042224"/>
    <w:rsid w:val="6C0A63C3"/>
    <w:rsid w:val="6C2216A6"/>
    <w:rsid w:val="6C472ABC"/>
    <w:rsid w:val="6C4B7004"/>
    <w:rsid w:val="6C5A5A5F"/>
    <w:rsid w:val="6C5B1EBD"/>
    <w:rsid w:val="6C6F2885"/>
    <w:rsid w:val="6C701643"/>
    <w:rsid w:val="6C733E2B"/>
    <w:rsid w:val="6C746882"/>
    <w:rsid w:val="6C7575F2"/>
    <w:rsid w:val="6C8D08A5"/>
    <w:rsid w:val="6C8E26E7"/>
    <w:rsid w:val="6C932A49"/>
    <w:rsid w:val="6C941D83"/>
    <w:rsid w:val="6CA052D0"/>
    <w:rsid w:val="6CB40E26"/>
    <w:rsid w:val="6CB550D0"/>
    <w:rsid w:val="6CCA5062"/>
    <w:rsid w:val="6CCD4BB0"/>
    <w:rsid w:val="6CCD70C9"/>
    <w:rsid w:val="6CD72490"/>
    <w:rsid w:val="6CEE6961"/>
    <w:rsid w:val="6CF85136"/>
    <w:rsid w:val="6D0914F3"/>
    <w:rsid w:val="6D1E02C7"/>
    <w:rsid w:val="6D2532FC"/>
    <w:rsid w:val="6D3E62CA"/>
    <w:rsid w:val="6D4516F4"/>
    <w:rsid w:val="6D517180"/>
    <w:rsid w:val="6D6253FC"/>
    <w:rsid w:val="6D812FF6"/>
    <w:rsid w:val="6D8D0D21"/>
    <w:rsid w:val="6D8E029C"/>
    <w:rsid w:val="6D9155DA"/>
    <w:rsid w:val="6D930CA7"/>
    <w:rsid w:val="6D9C6065"/>
    <w:rsid w:val="6DA1092A"/>
    <w:rsid w:val="6DAF18B3"/>
    <w:rsid w:val="6DB12CE1"/>
    <w:rsid w:val="6DB74357"/>
    <w:rsid w:val="6DBD1686"/>
    <w:rsid w:val="6DC97D73"/>
    <w:rsid w:val="6DCA1F25"/>
    <w:rsid w:val="6DD60019"/>
    <w:rsid w:val="6DD67B8B"/>
    <w:rsid w:val="6DD95352"/>
    <w:rsid w:val="6DF90DFC"/>
    <w:rsid w:val="6DFD4612"/>
    <w:rsid w:val="6E142F1D"/>
    <w:rsid w:val="6E1537A0"/>
    <w:rsid w:val="6E28207D"/>
    <w:rsid w:val="6E2D2FF9"/>
    <w:rsid w:val="6E5C309F"/>
    <w:rsid w:val="6E6A3607"/>
    <w:rsid w:val="6E6D696E"/>
    <w:rsid w:val="6E7853F6"/>
    <w:rsid w:val="6E825E5F"/>
    <w:rsid w:val="6E9C26BD"/>
    <w:rsid w:val="6E9C4B83"/>
    <w:rsid w:val="6EA73BFE"/>
    <w:rsid w:val="6EAF0B15"/>
    <w:rsid w:val="6EB760D5"/>
    <w:rsid w:val="6EB90E36"/>
    <w:rsid w:val="6EBC2580"/>
    <w:rsid w:val="6EBE36CF"/>
    <w:rsid w:val="6ECB10CA"/>
    <w:rsid w:val="6EE07BD2"/>
    <w:rsid w:val="6EF81299"/>
    <w:rsid w:val="6F0B400A"/>
    <w:rsid w:val="6F0C0630"/>
    <w:rsid w:val="6F103D8D"/>
    <w:rsid w:val="6F162F5F"/>
    <w:rsid w:val="6F1B7CE3"/>
    <w:rsid w:val="6F2D369B"/>
    <w:rsid w:val="6F3972B7"/>
    <w:rsid w:val="6F3F3E33"/>
    <w:rsid w:val="6F455CC3"/>
    <w:rsid w:val="6F476B4F"/>
    <w:rsid w:val="6F4B2CC1"/>
    <w:rsid w:val="6F4E18C9"/>
    <w:rsid w:val="6F5E2D51"/>
    <w:rsid w:val="6F786B62"/>
    <w:rsid w:val="6F79609F"/>
    <w:rsid w:val="6FA505FC"/>
    <w:rsid w:val="6FA62621"/>
    <w:rsid w:val="6FA76A73"/>
    <w:rsid w:val="6FB715E2"/>
    <w:rsid w:val="6FCB7806"/>
    <w:rsid w:val="6FD1742E"/>
    <w:rsid w:val="6FD7471C"/>
    <w:rsid w:val="6FDE6B6E"/>
    <w:rsid w:val="6FDF026D"/>
    <w:rsid w:val="6FDF4EEF"/>
    <w:rsid w:val="6FEA399E"/>
    <w:rsid w:val="7006096B"/>
    <w:rsid w:val="701641A2"/>
    <w:rsid w:val="70283FC3"/>
    <w:rsid w:val="702C16AA"/>
    <w:rsid w:val="70340726"/>
    <w:rsid w:val="704020FA"/>
    <w:rsid w:val="704D1D0F"/>
    <w:rsid w:val="705D3281"/>
    <w:rsid w:val="70633D0A"/>
    <w:rsid w:val="70707670"/>
    <w:rsid w:val="70742502"/>
    <w:rsid w:val="708E545B"/>
    <w:rsid w:val="7092119B"/>
    <w:rsid w:val="709A4377"/>
    <w:rsid w:val="70B4621D"/>
    <w:rsid w:val="70BC6081"/>
    <w:rsid w:val="70BF66DA"/>
    <w:rsid w:val="70C75131"/>
    <w:rsid w:val="70C85F1F"/>
    <w:rsid w:val="70D067FD"/>
    <w:rsid w:val="70EE40E5"/>
    <w:rsid w:val="7101398C"/>
    <w:rsid w:val="71026B11"/>
    <w:rsid w:val="710D2A72"/>
    <w:rsid w:val="712343F2"/>
    <w:rsid w:val="714A38FD"/>
    <w:rsid w:val="715D1B55"/>
    <w:rsid w:val="71616006"/>
    <w:rsid w:val="71693683"/>
    <w:rsid w:val="7179160D"/>
    <w:rsid w:val="71A755DB"/>
    <w:rsid w:val="71AF3F93"/>
    <w:rsid w:val="71C0422E"/>
    <w:rsid w:val="71D310CC"/>
    <w:rsid w:val="71E93A9B"/>
    <w:rsid w:val="71EA22FB"/>
    <w:rsid w:val="71EC3D52"/>
    <w:rsid w:val="71EF4705"/>
    <w:rsid w:val="71FA3BFD"/>
    <w:rsid w:val="720A3657"/>
    <w:rsid w:val="720C2385"/>
    <w:rsid w:val="720C432D"/>
    <w:rsid w:val="72123494"/>
    <w:rsid w:val="72292596"/>
    <w:rsid w:val="722D3F3D"/>
    <w:rsid w:val="723135AB"/>
    <w:rsid w:val="72361824"/>
    <w:rsid w:val="724E5212"/>
    <w:rsid w:val="72536EB7"/>
    <w:rsid w:val="725670EA"/>
    <w:rsid w:val="726915C0"/>
    <w:rsid w:val="726919E2"/>
    <w:rsid w:val="72744231"/>
    <w:rsid w:val="727B5A5F"/>
    <w:rsid w:val="72980536"/>
    <w:rsid w:val="729F1849"/>
    <w:rsid w:val="72A1490C"/>
    <w:rsid w:val="72A72BE7"/>
    <w:rsid w:val="72AB763D"/>
    <w:rsid w:val="72B14141"/>
    <w:rsid w:val="72D27424"/>
    <w:rsid w:val="72DC0AE9"/>
    <w:rsid w:val="73014E99"/>
    <w:rsid w:val="73016B90"/>
    <w:rsid w:val="730F3052"/>
    <w:rsid w:val="73125FD0"/>
    <w:rsid w:val="73131D48"/>
    <w:rsid w:val="73142AB6"/>
    <w:rsid w:val="732008CD"/>
    <w:rsid w:val="73245BD7"/>
    <w:rsid w:val="73371CF2"/>
    <w:rsid w:val="735F23C9"/>
    <w:rsid w:val="73615932"/>
    <w:rsid w:val="73721EA0"/>
    <w:rsid w:val="73747590"/>
    <w:rsid w:val="737978DD"/>
    <w:rsid w:val="737F260B"/>
    <w:rsid w:val="738877C9"/>
    <w:rsid w:val="73903103"/>
    <w:rsid w:val="739554FD"/>
    <w:rsid w:val="73A80AF8"/>
    <w:rsid w:val="73BA3498"/>
    <w:rsid w:val="73C211D9"/>
    <w:rsid w:val="73D07467"/>
    <w:rsid w:val="73E442FD"/>
    <w:rsid w:val="73EF6311"/>
    <w:rsid w:val="7405670D"/>
    <w:rsid w:val="74056904"/>
    <w:rsid w:val="743943FD"/>
    <w:rsid w:val="743A2140"/>
    <w:rsid w:val="74583985"/>
    <w:rsid w:val="74671085"/>
    <w:rsid w:val="7469541B"/>
    <w:rsid w:val="747545F3"/>
    <w:rsid w:val="747B7229"/>
    <w:rsid w:val="748D1056"/>
    <w:rsid w:val="749B419D"/>
    <w:rsid w:val="74B35591"/>
    <w:rsid w:val="74BE1A94"/>
    <w:rsid w:val="74C524D5"/>
    <w:rsid w:val="74C94FAB"/>
    <w:rsid w:val="74CC07F7"/>
    <w:rsid w:val="74CD1008"/>
    <w:rsid w:val="74CD466E"/>
    <w:rsid w:val="74CE1152"/>
    <w:rsid w:val="74D70892"/>
    <w:rsid w:val="74F4582E"/>
    <w:rsid w:val="750B1136"/>
    <w:rsid w:val="751A7EE5"/>
    <w:rsid w:val="75220361"/>
    <w:rsid w:val="75271B85"/>
    <w:rsid w:val="752D4797"/>
    <w:rsid w:val="752F1B10"/>
    <w:rsid w:val="75302430"/>
    <w:rsid w:val="75365D86"/>
    <w:rsid w:val="7542366D"/>
    <w:rsid w:val="75434ADF"/>
    <w:rsid w:val="754C32EF"/>
    <w:rsid w:val="75584003"/>
    <w:rsid w:val="75631673"/>
    <w:rsid w:val="75700B9D"/>
    <w:rsid w:val="75712478"/>
    <w:rsid w:val="75767E3F"/>
    <w:rsid w:val="75797B36"/>
    <w:rsid w:val="75835B51"/>
    <w:rsid w:val="75997497"/>
    <w:rsid w:val="75B712DB"/>
    <w:rsid w:val="75BA14A4"/>
    <w:rsid w:val="75CA4DF3"/>
    <w:rsid w:val="75CB2C18"/>
    <w:rsid w:val="75D50D07"/>
    <w:rsid w:val="75F42270"/>
    <w:rsid w:val="76103E16"/>
    <w:rsid w:val="76116C35"/>
    <w:rsid w:val="76150692"/>
    <w:rsid w:val="7626048C"/>
    <w:rsid w:val="76371473"/>
    <w:rsid w:val="7640737E"/>
    <w:rsid w:val="764A70D7"/>
    <w:rsid w:val="764D6766"/>
    <w:rsid w:val="76504F0F"/>
    <w:rsid w:val="765171D8"/>
    <w:rsid w:val="76713593"/>
    <w:rsid w:val="767B1AD1"/>
    <w:rsid w:val="76804AB5"/>
    <w:rsid w:val="76806A00"/>
    <w:rsid w:val="76845213"/>
    <w:rsid w:val="768F16E6"/>
    <w:rsid w:val="76954024"/>
    <w:rsid w:val="769E7DAB"/>
    <w:rsid w:val="769E7FF5"/>
    <w:rsid w:val="76BE1FCB"/>
    <w:rsid w:val="76BF24DE"/>
    <w:rsid w:val="76C02839"/>
    <w:rsid w:val="76CD57CE"/>
    <w:rsid w:val="76EE0585"/>
    <w:rsid w:val="76F62789"/>
    <w:rsid w:val="76F67243"/>
    <w:rsid w:val="77004AF4"/>
    <w:rsid w:val="770551D1"/>
    <w:rsid w:val="77112FEB"/>
    <w:rsid w:val="771F15FE"/>
    <w:rsid w:val="77296E5B"/>
    <w:rsid w:val="774B2E4F"/>
    <w:rsid w:val="77591A23"/>
    <w:rsid w:val="77596CD6"/>
    <w:rsid w:val="77675DE6"/>
    <w:rsid w:val="776B1342"/>
    <w:rsid w:val="776F3B87"/>
    <w:rsid w:val="777B6495"/>
    <w:rsid w:val="77843D52"/>
    <w:rsid w:val="77984799"/>
    <w:rsid w:val="779B724B"/>
    <w:rsid w:val="779D6649"/>
    <w:rsid w:val="77BB7A93"/>
    <w:rsid w:val="77C50867"/>
    <w:rsid w:val="77CF02CF"/>
    <w:rsid w:val="77CF6588"/>
    <w:rsid w:val="77E32435"/>
    <w:rsid w:val="77ED1461"/>
    <w:rsid w:val="77F47058"/>
    <w:rsid w:val="77F8249A"/>
    <w:rsid w:val="77FD01ED"/>
    <w:rsid w:val="781A07A8"/>
    <w:rsid w:val="781B77CB"/>
    <w:rsid w:val="78305249"/>
    <w:rsid w:val="783E36BD"/>
    <w:rsid w:val="78442083"/>
    <w:rsid w:val="784422A3"/>
    <w:rsid w:val="784907D0"/>
    <w:rsid w:val="784C3D32"/>
    <w:rsid w:val="784F1CCD"/>
    <w:rsid w:val="78520C3F"/>
    <w:rsid w:val="78634C1B"/>
    <w:rsid w:val="786A3170"/>
    <w:rsid w:val="787769DB"/>
    <w:rsid w:val="787F7F5D"/>
    <w:rsid w:val="78867782"/>
    <w:rsid w:val="7888534D"/>
    <w:rsid w:val="78885BD6"/>
    <w:rsid w:val="788A6E6D"/>
    <w:rsid w:val="78916E3B"/>
    <w:rsid w:val="7897352B"/>
    <w:rsid w:val="78AA5AED"/>
    <w:rsid w:val="78AE276F"/>
    <w:rsid w:val="78B42725"/>
    <w:rsid w:val="78CF6381"/>
    <w:rsid w:val="78D20DEC"/>
    <w:rsid w:val="78E7022D"/>
    <w:rsid w:val="78F06998"/>
    <w:rsid w:val="78F97A52"/>
    <w:rsid w:val="78FC5985"/>
    <w:rsid w:val="790459D4"/>
    <w:rsid w:val="791530A5"/>
    <w:rsid w:val="79221ACD"/>
    <w:rsid w:val="792A6E9D"/>
    <w:rsid w:val="792D3C1F"/>
    <w:rsid w:val="794302FC"/>
    <w:rsid w:val="7946448F"/>
    <w:rsid w:val="795013C6"/>
    <w:rsid w:val="795A09C1"/>
    <w:rsid w:val="795F1B2D"/>
    <w:rsid w:val="797B2DA6"/>
    <w:rsid w:val="79857C4E"/>
    <w:rsid w:val="798E26DB"/>
    <w:rsid w:val="799851AE"/>
    <w:rsid w:val="79AF30EA"/>
    <w:rsid w:val="79B713F5"/>
    <w:rsid w:val="79BC0673"/>
    <w:rsid w:val="79BE4BAA"/>
    <w:rsid w:val="79D53D08"/>
    <w:rsid w:val="79FD4EAF"/>
    <w:rsid w:val="7A221F30"/>
    <w:rsid w:val="7A245A05"/>
    <w:rsid w:val="7A2E4784"/>
    <w:rsid w:val="7A440CF1"/>
    <w:rsid w:val="7A51253F"/>
    <w:rsid w:val="7A5945E3"/>
    <w:rsid w:val="7A5D3456"/>
    <w:rsid w:val="7A5D61CD"/>
    <w:rsid w:val="7A5E7D4D"/>
    <w:rsid w:val="7A697EBD"/>
    <w:rsid w:val="7A89551C"/>
    <w:rsid w:val="7A95625B"/>
    <w:rsid w:val="7A9638DD"/>
    <w:rsid w:val="7A964913"/>
    <w:rsid w:val="7AAA11E4"/>
    <w:rsid w:val="7AAC0B30"/>
    <w:rsid w:val="7AAE2488"/>
    <w:rsid w:val="7AB97B90"/>
    <w:rsid w:val="7ABE2599"/>
    <w:rsid w:val="7ADB2209"/>
    <w:rsid w:val="7ADD231B"/>
    <w:rsid w:val="7AE05908"/>
    <w:rsid w:val="7AF16292"/>
    <w:rsid w:val="7AF67779"/>
    <w:rsid w:val="7AFD47DA"/>
    <w:rsid w:val="7B010E4B"/>
    <w:rsid w:val="7B037A39"/>
    <w:rsid w:val="7B133A4F"/>
    <w:rsid w:val="7B170DF8"/>
    <w:rsid w:val="7B1717C9"/>
    <w:rsid w:val="7B310C29"/>
    <w:rsid w:val="7B396E35"/>
    <w:rsid w:val="7B4B4433"/>
    <w:rsid w:val="7B6A3DF4"/>
    <w:rsid w:val="7B700809"/>
    <w:rsid w:val="7B712812"/>
    <w:rsid w:val="7B8A5BF2"/>
    <w:rsid w:val="7B913F02"/>
    <w:rsid w:val="7B9A3EC6"/>
    <w:rsid w:val="7B9B7DC8"/>
    <w:rsid w:val="7B9E291C"/>
    <w:rsid w:val="7B9E2B0E"/>
    <w:rsid w:val="7BC260B9"/>
    <w:rsid w:val="7BD007D6"/>
    <w:rsid w:val="7BD01D9C"/>
    <w:rsid w:val="7BDB7E43"/>
    <w:rsid w:val="7BE23213"/>
    <w:rsid w:val="7BEB32A0"/>
    <w:rsid w:val="7BEB34DB"/>
    <w:rsid w:val="7BEC26F9"/>
    <w:rsid w:val="7BEF30E0"/>
    <w:rsid w:val="7BF12E4E"/>
    <w:rsid w:val="7BFC106B"/>
    <w:rsid w:val="7C0D0619"/>
    <w:rsid w:val="7C112ED8"/>
    <w:rsid w:val="7C270EF8"/>
    <w:rsid w:val="7C3649FC"/>
    <w:rsid w:val="7C3809D6"/>
    <w:rsid w:val="7C4A4532"/>
    <w:rsid w:val="7C5B4759"/>
    <w:rsid w:val="7C6465A3"/>
    <w:rsid w:val="7C6E7D15"/>
    <w:rsid w:val="7C705B15"/>
    <w:rsid w:val="7C767A9C"/>
    <w:rsid w:val="7CB26565"/>
    <w:rsid w:val="7CB767EF"/>
    <w:rsid w:val="7CF130FA"/>
    <w:rsid w:val="7CFB252B"/>
    <w:rsid w:val="7CFC380D"/>
    <w:rsid w:val="7D0F2244"/>
    <w:rsid w:val="7D122927"/>
    <w:rsid w:val="7D155A92"/>
    <w:rsid w:val="7D1B480B"/>
    <w:rsid w:val="7D1D34B3"/>
    <w:rsid w:val="7D2C6EAF"/>
    <w:rsid w:val="7D3D6515"/>
    <w:rsid w:val="7D652012"/>
    <w:rsid w:val="7D7504F2"/>
    <w:rsid w:val="7D7A30EF"/>
    <w:rsid w:val="7D7E2937"/>
    <w:rsid w:val="7D8C1153"/>
    <w:rsid w:val="7DCC1C19"/>
    <w:rsid w:val="7DCD2948"/>
    <w:rsid w:val="7DE815DC"/>
    <w:rsid w:val="7DED1B13"/>
    <w:rsid w:val="7DFF1EEC"/>
    <w:rsid w:val="7E006343"/>
    <w:rsid w:val="7E523131"/>
    <w:rsid w:val="7E5E2A54"/>
    <w:rsid w:val="7E69339B"/>
    <w:rsid w:val="7E6B6A26"/>
    <w:rsid w:val="7E6E029E"/>
    <w:rsid w:val="7E6E67C6"/>
    <w:rsid w:val="7E7E0B2F"/>
    <w:rsid w:val="7E822E76"/>
    <w:rsid w:val="7E82620A"/>
    <w:rsid w:val="7E8A7D30"/>
    <w:rsid w:val="7EA475C3"/>
    <w:rsid w:val="7EC801CA"/>
    <w:rsid w:val="7ED0114D"/>
    <w:rsid w:val="7EE378B4"/>
    <w:rsid w:val="7F0C291C"/>
    <w:rsid w:val="7F111F0A"/>
    <w:rsid w:val="7F1F3E3D"/>
    <w:rsid w:val="7F2059D2"/>
    <w:rsid w:val="7F355145"/>
    <w:rsid w:val="7F400355"/>
    <w:rsid w:val="7F47061E"/>
    <w:rsid w:val="7F47281E"/>
    <w:rsid w:val="7F491A74"/>
    <w:rsid w:val="7F492DD9"/>
    <w:rsid w:val="7F545082"/>
    <w:rsid w:val="7F617D5D"/>
    <w:rsid w:val="7F745FC2"/>
    <w:rsid w:val="7F751C63"/>
    <w:rsid w:val="7F7A1229"/>
    <w:rsid w:val="7F807535"/>
    <w:rsid w:val="7F8652FA"/>
    <w:rsid w:val="7F8A18BE"/>
    <w:rsid w:val="7F8C6E6D"/>
    <w:rsid w:val="7FD262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6">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ind w:left="360" w:firstLine="360"/>
    </w:pPr>
  </w:style>
  <w:style w:type="paragraph" w:styleId="3">
    <w:name w:val="Body Text Indent"/>
    <w:basedOn w:val="1"/>
    <w:link w:val="22"/>
    <w:qFormat/>
    <w:uiPriority w:val="0"/>
    <w:pPr>
      <w:spacing w:after="120"/>
      <w:ind w:left="420" w:leftChars="200"/>
    </w:pPr>
    <w:rPr>
      <w:kern w:val="0"/>
      <w:sz w:val="20"/>
      <w:szCs w:val="21"/>
    </w:rPr>
  </w:style>
  <w:style w:type="paragraph" w:styleId="4">
    <w:name w:val="Body Text"/>
    <w:basedOn w:val="1"/>
    <w:unhideWhenUsed/>
    <w:qFormat/>
    <w:uiPriority w:val="99"/>
    <w:pPr>
      <w:spacing w:before="120" w:after="120"/>
    </w:pPr>
  </w:style>
  <w:style w:type="paragraph" w:styleId="7">
    <w:name w:val="Document Map"/>
    <w:basedOn w:val="1"/>
    <w:link w:val="25"/>
    <w:qFormat/>
    <w:uiPriority w:val="0"/>
    <w:rPr>
      <w:rFonts w:ascii="宋体"/>
      <w:sz w:val="18"/>
      <w:szCs w:val="18"/>
    </w:rPr>
  </w:style>
  <w:style w:type="paragraph" w:styleId="8">
    <w:name w:val="annotation text"/>
    <w:basedOn w:val="1"/>
    <w:link w:val="26"/>
    <w:qFormat/>
    <w:uiPriority w:val="0"/>
    <w:pPr>
      <w:jc w:val="left"/>
    </w:pPr>
  </w:style>
  <w:style w:type="paragraph" w:styleId="9">
    <w:name w:val="Block Text"/>
    <w:basedOn w:val="1"/>
    <w:qFormat/>
    <w:uiPriority w:val="0"/>
    <w:pPr>
      <w:widowControl/>
      <w:ind w:left="-929" w:leftChars="-387" w:right="-751" w:rightChars="-313"/>
      <w:jc w:val="left"/>
    </w:pPr>
    <w:rPr>
      <w:rFonts w:ascii="宋体" w:hAnsi="宋体"/>
      <w:kern w:val="0"/>
    </w:rPr>
  </w:style>
  <w:style w:type="paragraph" w:styleId="10">
    <w:name w:val="Balloon Text"/>
    <w:basedOn w:val="1"/>
    <w:link w:val="27"/>
    <w:unhideWhenUsed/>
    <w:qFormat/>
    <w:uiPriority w:val="0"/>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uiPriority w:val="99"/>
    <w:rPr>
      <w:sz w:val="24"/>
    </w:rPr>
  </w:style>
  <w:style w:type="paragraph" w:styleId="14">
    <w:name w:val="Title"/>
    <w:basedOn w:val="1"/>
    <w:next w:val="1"/>
    <w:link w:val="30"/>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8"/>
    <w:next w:val="8"/>
    <w:link w:val="31"/>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正文文本缩进 字符1"/>
    <w:link w:val="3"/>
    <w:qFormat/>
    <w:uiPriority w:val="0"/>
    <w:rPr>
      <w:rFonts w:ascii="Times New Roman" w:hAnsi="Times New Roman" w:eastAsia="宋体" w:cs="Times New Roman"/>
      <w:szCs w:val="21"/>
    </w:rPr>
  </w:style>
  <w:style w:type="character" w:customStyle="1" w:styleId="23">
    <w:name w:val="标题 1 字符"/>
    <w:link w:val="5"/>
    <w:qFormat/>
    <w:uiPriority w:val="0"/>
    <w:rPr>
      <w:rFonts w:ascii="Times New Roman" w:hAnsi="Times New Roman" w:eastAsia="宋体" w:cs="Times New Roman"/>
      <w:b/>
      <w:bCs/>
      <w:kern w:val="44"/>
      <w:sz w:val="44"/>
      <w:szCs w:val="44"/>
    </w:rPr>
  </w:style>
  <w:style w:type="character" w:customStyle="1" w:styleId="24">
    <w:name w:val="标题 3 字符"/>
    <w:link w:val="6"/>
    <w:qFormat/>
    <w:uiPriority w:val="0"/>
    <w:rPr>
      <w:rFonts w:ascii="Times New Roman" w:hAnsi="Times New Roman" w:eastAsia="宋体" w:cs="Times New Roman"/>
      <w:b/>
      <w:bCs/>
      <w:sz w:val="32"/>
      <w:szCs w:val="32"/>
    </w:rPr>
  </w:style>
  <w:style w:type="character" w:customStyle="1" w:styleId="25">
    <w:name w:val="文档结构图 字符"/>
    <w:link w:val="7"/>
    <w:qFormat/>
    <w:uiPriority w:val="0"/>
    <w:rPr>
      <w:rFonts w:ascii="宋体" w:hAnsi="Times New Roman" w:eastAsia="宋体" w:cs="Times New Roman"/>
      <w:sz w:val="18"/>
      <w:szCs w:val="18"/>
    </w:rPr>
  </w:style>
  <w:style w:type="character" w:customStyle="1" w:styleId="26">
    <w:name w:val="批注文字 字符"/>
    <w:link w:val="8"/>
    <w:qFormat/>
    <w:uiPriority w:val="0"/>
    <w:rPr>
      <w:rFonts w:ascii="Times New Roman" w:hAnsi="Times New Roman" w:eastAsia="宋体" w:cs="Times New Roman"/>
      <w:szCs w:val="24"/>
    </w:rPr>
  </w:style>
  <w:style w:type="character" w:customStyle="1" w:styleId="27">
    <w:name w:val="批注框文本 字符"/>
    <w:link w:val="10"/>
    <w:semiHidden/>
    <w:qFormat/>
    <w:uiPriority w:val="99"/>
    <w:rPr>
      <w:rFonts w:ascii="Times New Roman" w:hAnsi="Times New Roman" w:eastAsia="宋体" w:cs="Times New Roman"/>
      <w:sz w:val="18"/>
      <w:szCs w:val="18"/>
    </w:rPr>
  </w:style>
  <w:style w:type="character" w:customStyle="1" w:styleId="28">
    <w:name w:val="页脚 字符"/>
    <w:link w:val="11"/>
    <w:qFormat/>
    <w:uiPriority w:val="99"/>
    <w:rPr>
      <w:rFonts w:ascii="Times New Roman" w:hAnsi="Times New Roman" w:eastAsia="宋体" w:cs="Times New Roman"/>
      <w:sz w:val="18"/>
      <w:szCs w:val="18"/>
    </w:rPr>
  </w:style>
  <w:style w:type="character" w:customStyle="1" w:styleId="29">
    <w:name w:val="页眉 字符"/>
    <w:link w:val="12"/>
    <w:qFormat/>
    <w:uiPriority w:val="0"/>
    <w:rPr>
      <w:rFonts w:ascii="Times New Roman" w:hAnsi="Times New Roman" w:eastAsia="宋体" w:cs="Times New Roman"/>
      <w:sz w:val="18"/>
      <w:szCs w:val="18"/>
    </w:rPr>
  </w:style>
  <w:style w:type="character" w:customStyle="1" w:styleId="30">
    <w:name w:val="标题 字符"/>
    <w:link w:val="14"/>
    <w:qFormat/>
    <w:uiPriority w:val="0"/>
    <w:rPr>
      <w:rFonts w:ascii="Cambria" w:hAnsi="Cambria" w:eastAsia="楷体_GB2312" w:cs="Times New Roman"/>
      <w:b/>
      <w:bCs/>
      <w:kern w:val="0"/>
      <w:sz w:val="32"/>
      <w:szCs w:val="32"/>
    </w:rPr>
  </w:style>
  <w:style w:type="character" w:customStyle="1" w:styleId="31">
    <w:name w:val="批注主题 字符"/>
    <w:link w:val="15"/>
    <w:qFormat/>
    <w:uiPriority w:val="0"/>
    <w:rPr>
      <w:rFonts w:ascii="Times New Roman" w:hAnsi="Times New Roman" w:eastAsia="宋体" w:cs="Times New Roman"/>
      <w:b/>
      <w:bCs/>
      <w:szCs w:val="24"/>
    </w:rPr>
  </w:style>
  <w:style w:type="character" w:customStyle="1" w:styleId="32">
    <w:name w:val="正文文本缩进 字符"/>
    <w:semiHidden/>
    <w:qFormat/>
    <w:uiPriority w:val="99"/>
    <w:rPr>
      <w:rFonts w:ascii="Times New Roman" w:hAnsi="Times New Roman" w:eastAsia="宋体" w:cs="Times New Roman"/>
      <w:szCs w:val="24"/>
    </w:rPr>
  </w:style>
  <w:style w:type="character" w:customStyle="1" w:styleId="33">
    <w:name w:val="页脚 Char"/>
    <w:qFormat/>
    <w:locked/>
    <w:uiPriority w:val="99"/>
    <w:rPr>
      <w:rFonts w:cs="Times New Roman"/>
      <w:sz w:val="18"/>
      <w:szCs w:val="18"/>
    </w:rPr>
  </w:style>
  <w:style w:type="character" w:customStyle="1" w:styleId="34">
    <w:name w:val="页眉 Char1"/>
    <w:qFormat/>
    <w:locked/>
    <w:uiPriority w:val="99"/>
    <w:rPr>
      <w:rFonts w:cs="Times New Roman"/>
      <w:sz w:val="18"/>
      <w:szCs w:val="18"/>
    </w:rPr>
  </w:style>
  <w:style w:type="paragraph" w:customStyle="1" w:styleId="35">
    <w:name w:val="_Style 34"/>
    <w:unhideWhenUsed/>
    <w:uiPriority w:val="99"/>
    <w:rPr>
      <w:rFonts w:ascii="Times New Roman" w:hAnsi="Times New Roman" w:eastAsia="宋体" w:cs="Times New Roman"/>
      <w:kern w:val="2"/>
      <w:sz w:val="21"/>
      <w:szCs w:val="24"/>
      <w:lang w:val="en-US" w:eastAsia="zh-CN" w:bidi="ar-SA"/>
    </w:rPr>
  </w:style>
  <w:style w:type="paragraph" w:customStyle="1" w:styleId="36">
    <w:name w:val="特点"/>
    <w:basedOn w:val="1"/>
    <w:next w:val="3"/>
    <w:qFormat/>
    <w:uiPriority w:val="0"/>
    <w:pPr>
      <w:spacing w:line="300" w:lineRule="exact"/>
      <w:ind w:right="26" w:firstLine="435"/>
    </w:pPr>
    <w:rPr>
      <w:rFonts w:eastAsia="黑体"/>
      <w:sz w:val="18"/>
    </w:rPr>
  </w:style>
  <w:style w:type="paragraph" w:customStyle="1" w:styleId="3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39">
    <w:name w:val="列出段落3"/>
    <w:basedOn w:val="1"/>
    <w:qFormat/>
    <w:uiPriority w:val="34"/>
    <w:pPr>
      <w:ind w:firstLine="420" w:firstLineChars="200"/>
    </w:p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Char Char Char Char Char Char Char"/>
    <w:basedOn w:val="1"/>
    <w:qFormat/>
    <w:uiPriority w:val="0"/>
    <w:rPr>
      <w:rFonts w:ascii="Tahoma" w:hAnsi="Tahoma"/>
      <w:sz w:val="24"/>
      <w:szCs w:val="20"/>
    </w:rPr>
  </w:style>
  <w:style w:type="paragraph" w:customStyle="1" w:styleId="44">
    <w:name w:val="列出段落2"/>
    <w:basedOn w:val="1"/>
    <w:qFormat/>
    <w:uiPriority w:val="34"/>
    <w:pPr>
      <w:ind w:firstLine="420" w:firstLineChars="200"/>
    </w:pPr>
  </w:style>
  <w:style w:type="paragraph" w:customStyle="1" w:styleId="45">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38318</Words>
  <Characters>39061</Characters>
  <Lines>305</Lines>
  <Paragraphs>86</Paragraphs>
  <TotalTime>0</TotalTime>
  <ScaleCrop>false</ScaleCrop>
  <LinksUpToDate>false</LinksUpToDate>
  <CharactersWithSpaces>39274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2023-09-25T11:21:00Z</dcterms:created>
  <dc:creator>Song Cangnan</dc:creator>
  <cp:lastModifiedBy>刘丽丽_产品管理部</cp:lastModifiedBy>
  <cp:lastPrinted>2023-09-05T03:59:00Z</cp:lastPrinted>
  <dcterms:modified xsi:type="dcterms:W3CDTF">2025-06-26T03:18:20Z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D822C52643E040288D55644BB70667E5</vt:lpwstr>
  </property>
</Properties>
</file>