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幸福99丰裕固收386天25155期理财</w:t>
      </w:r>
      <w:r>
        <w:rPr>
          <w:rFonts w:hint="eastAsia" w:ascii="宋体" w:hAnsi="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r>
        <w:rPr>
          <w:rFonts w:hint="eastAsia" w:ascii="宋体" w:hAnsi="宋体" w:cs="宋体"/>
          <w:sz w:val="32"/>
          <w:szCs w:val="32"/>
          <w:highlight w:val="none"/>
        </w:rPr>
        <w:br w:type="page"/>
      </w: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幸福99丰裕固收386天25155期理财</w:t>
      </w:r>
      <w:r>
        <w:rPr>
          <w:rFonts w:hint="eastAsia" w:ascii="宋体" w:hAnsi="宋体" w:cs="宋体"/>
          <w:b/>
          <w:bCs/>
          <w:sz w:val="44"/>
          <w:szCs w:val="44"/>
          <w:highlight w:val="none"/>
        </w:rPr>
        <w:t>合同文件</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tbl>
      <w:tblPr>
        <w:tblStyle w:val="8"/>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5160"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理财计划合同文件中的文件名称</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幸福99丰裕固收386天25155期理财风险揭示书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幸福99丰裕固收386天25155期理财产品说明书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杭银理财投资者权益须知</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杭银理财理财计划投资协议书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杭银理财理财计划销售协议书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理财计划销售协议书</w:t>
            </w:r>
          </w:p>
        </w:tc>
      </w:tr>
    </w:tbl>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lang w:eastAsia="zh-CN"/>
        </w:rPr>
        <w:t>幸福99丰裕固收386天25155期理财</w:t>
      </w:r>
      <w:r>
        <w:rPr>
          <w:rFonts w:hint="eastAsia" w:ascii="宋体" w:hAnsi="宋体" w:cs="宋体"/>
          <w:b/>
          <w:bCs/>
          <w:sz w:val="44"/>
          <w:szCs w:val="44"/>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202502</w:t>
      </w:r>
      <w:r>
        <w:rPr>
          <w:rFonts w:hint="eastAsia" w:ascii="宋体" w:hAnsi="宋体" w:cs="宋体"/>
          <w:sz w:val="28"/>
          <w:szCs w:val="28"/>
          <w:highlight w:val="none"/>
        </w:rPr>
        <w:t>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w:t>
      </w:r>
      <w:r>
        <w:rPr>
          <w:rFonts w:hint="eastAsia" w:ascii="宋体" w:hAnsi="宋体" w:cs="宋体"/>
          <w:bCs/>
          <w:sz w:val="24"/>
          <w:highlight w:val="none"/>
          <w:lang w:eastAsia="zh-CN"/>
        </w:rPr>
        <w:t>（</w:t>
      </w:r>
      <w:r>
        <w:rPr>
          <w:rFonts w:hint="eastAsia" w:ascii="宋体" w:hAnsi="宋体" w:cs="宋体"/>
          <w:bCs/>
          <w:sz w:val="24"/>
          <w:highlight w:val="none"/>
          <w:lang w:val="en-US" w:eastAsia="zh-CN"/>
        </w:rPr>
        <w:t>代理销售</w:t>
      </w:r>
      <w:r>
        <w:rPr>
          <w:rFonts w:hint="eastAsia" w:ascii="宋体" w:hAnsi="宋体" w:cs="宋体"/>
          <w:bCs/>
          <w:sz w:val="24"/>
          <w:highlight w:val="none"/>
          <w:lang w:eastAsia="zh-CN"/>
        </w:rPr>
        <w:t>）</w:t>
      </w:r>
      <w:r>
        <w:rPr>
          <w:rFonts w:hint="eastAsia" w:ascii="宋体" w:hAnsi="宋体" w:cs="宋体"/>
          <w:bCs/>
          <w:sz w:val="24"/>
          <w:highlight w:val="none"/>
        </w:rPr>
        <w:t>销售协议书，</w:t>
      </w:r>
      <w:r>
        <w:rPr>
          <w:rFonts w:hint="eastAsia" w:ascii="宋体" w:hAnsi="宋体" w:cs="宋体"/>
          <w:b/>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w:t>
      </w:r>
      <w:r>
        <w:rPr>
          <w:rFonts w:hint="eastAsia" w:ascii="宋体" w:hAnsi="宋体" w:cs="宋体"/>
          <w:b/>
          <w:sz w:val="24"/>
          <w:highlight w:val="none"/>
          <w:lang w:val="en-US" w:eastAsia="zh-CN"/>
        </w:rPr>
        <w:t>法律、</w:t>
      </w:r>
      <w:r>
        <w:rPr>
          <w:rFonts w:hint="eastAsia" w:ascii="宋体" w:hAnsi="宋体" w:cs="宋体"/>
          <w:b/>
          <w:sz w:val="24"/>
          <w:highlight w:val="none"/>
        </w:rPr>
        <w:t>法规发生变化，可能会影响理财计划的发行、投资、兑付等正常工作流程的进行，导致理财计划本金或收益蒙受部分或全部损失的风险。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提前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信息传递风险：1.理财计划管理人将按照本理财计划销售文件中约定的信息披露方式、途径向投资者公示本理财计划的各类信息和重大事件，投资者应及时查询、了解。由于投资者未能及时主动了解理财计划信息或由于不</w:t>
      </w:r>
      <w:r>
        <w:rPr>
          <w:rFonts w:hint="eastAsia" w:ascii="宋体" w:hAnsi="宋体" w:cs="宋体"/>
          <w:b/>
          <w:sz w:val="24"/>
          <w:highlight w:val="none"/>
          <w:lang w:val="en-US" w:eastAsia="zh-CN"/>
        </w:rPr>
        <w:t>可</w:t>
      </w:r>
      <w:r>
        <w:rPr>
          <w:rFonts w:hint="eastAsia" w:ascii="宋体" w:hAnsi="宋体" w:cs="宋体"/>
          <w:b/>
          <w:sz w:val="24"/>
          <w:highlight w:val="none"/>
        </w:rPr>
        <w:t>抗力及/或意外事件的影响导致投资者无法及时了解理财计划信息，从而影响投资者的投资决策，由此产生的责任和风险由投资者自行承担。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eastAsia="zh-CN"/>
        </w:rPr>
        <w:t>关</w:t>
      </w:r>
      <w:r>
        <w:rPr>
          <w:rFonts w:ascii="宋体" w:hAnsi="宋体" w:cs="宋体"/>
          <w:b/>
          <w:sz w:val="24"/>
          <w:highlight w:val="none"/>
        </w:rPr>
        <w:t>联关系</w:t>
      </w:r>
      <w:r>
        <w:rPr>
          <w:rFonts w:hint="eastAsia" w:ascii="宋体" w:hAnsi="宋体" w:cs="宋体"/>
          <w:b/>
          <w:sz w:val="24"/>
          <w:highlight w:val="none"/>
          <w:lang w:val="en-US" w:eastAsia="zh-CN"/>
        </w:rPr>
        <w:t>及关联交易</w:t>
      </w:r>
      <w:r>
        <w:rPr>
          <w:rFonts w:ascii="宋体" w:hAnsi="宋体" w:cs="宋体"/>
          <w:b/>
          <w:sz w:val="24"/>
          <w:highlight w:val="none"/>
        </w:rPr>
        <w:t>风险：</w:t>
      </w:r>
      <w:r>
        <w:rPr>
          <w:rFonts w:hint="eastAsia" w:ascii="宋体" w:hAnsi="宋体" w:cs="宋体"/>
          <w:b/>
          <w:sz w:val="24"/>
          <w:highlight w:val="none"/>
          <w:lang w:val="en-US" w:eastAsia="zh-CN"/>
        </w:rPr>
        <w:t>本理财计划由杭银理财发行并管理，独立履行理财计划管理人职责，杭银理财有权委托销售服务机构进行代理销售，可能涉及委托</w:t>
      </w:r>
      <w:r>
        <w:rPr>
          <w:rFonts w:ascii="宋体" w:hAnsi="宋体" w:cs="宋体"/>
          <w:b/>
          <w:sz w:val="24"/>
          <w:highlight w:val="none"/>
        </w:rPr>
        <w:t>杭州银行股份有限公司</w:t>
      </w:r>
      <w:r>
        <w:rPr>
          <w:rFonts w:hint="eastAsia" w:ascii="宋体" w:hAnsi="宋体" w:cs="宋体"/>
          <w:b/>
          <w:sz w:val="24"/>
          <w:highlight w:val="none"/>
          <w:lang w:eastAsia="zh-CN"/>
        </w:rPr>
        <w:t>（</w:t>
      </w:r>
      <w:r>
        <w:rPr>
          <w:rFonts w:hint="eastAsia" w:ascii="宋体" w:hAnsi="宋体" w:cs="宋体"/>
          <w:b/>
          <w:sz w:val="24"/>
          <w:highlight w:val="none"/>
          <w:lang w:val="en-US" w:eastAsia="zh-CN"/>
        </w:rPr>
        <w:t>以下简称“杭州银行”</w:t>
      </w:r>
      <w:r>
        <w:rPr>
          <w:rFonts w:hint="eastAsia" w:ascii="宋体" w:hAnsi="宋体" w:cs="宋体"/>
          <w:b/>
          <w:sz w:val="24"/>
          <w:highlight w:val="none"/>
          <w:lang w:eastAsia="zh-CN"/>
        </w:rPr>
        <w:t>）</w:t>
      </w:r>
      <w:r>
        <w:rPr>
          <w:rFonts w:hint="eastAsia" w:ascii="宋体" w:hAnsi="宋体" w:cs="宋体"/>
          <w:b/>
          <w:sz w:val="24"/>
          <w:highlight w:val="none"/>
          <w:lang w:val="en-US" w:eastAsia="zh-CN"/>
        </w:rPr>
        <w:t>作为理财计划的销售服务机构</w:t>
      </w:r>
      <w:r>
        <w:rPr>
          <w:rFonts w:ascii="宋体" w:hAnsi="宋体" w:cs="宋体"/>
          <w:b/>
          <w:sz w:val="24"/>
          <w:highlight w:val="none"/>
        </w:rPr>
        <w:t>，</w:t>
      </w:r>
      <w:r>
        <w:rPr>
          <w:rFonts w:hint="eastAsia" w:ascii="宋体" w:hAnsi="宋体" w:cs="宋体"/>
          <w:b/>
          <w:sz w:val="24"/>
          <w:highlight w:val="none"/>
          <w:lang w:val="en-US" w:eastAsia="zh-CN"/>
        </w:rPr>
        <w:t>负责理财计划的代理销售工作。</w:t>
      </w:r>
      <w:r>
        <w:rPr>
          <w:rFonts w:ascii="宋体" w:hAnsi="宋体" w:cs="宋体"/>
          <w:b/>
          <w:sz w:val="24"/>
          <w:highlight w:val="none"/>
        </w:rPr>
        <w:t>杭银理财系杭州银行全资子公司，双方存在关联关系。</w:t>
      </w:r>
      <w:r>
        <w:rPr>
          <w:rFonts w:hint="eastAsia" w:ascii="宋体" w:hAnsi="宋体" w:cs="宋体"/>
          <w:b/>
          <w:sz w:val="24"/>
          <w:highlight w:val="none"/>
          <w:lang w:val="en-US" w:eastAsia="zh-CN"/>
        </w:rPr>
        <w:t>尽管杭银理财将严格遵守法律、行政法规、金融监管规定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val="en-US" w:eastAsia="zh-CN"/>
        </w:rPr>
        <w:t>投资者合规风险：</w:t>
      </w:r>
      <w:r>
        <w:rPr>
          <w:rFonts w:hint="eastAsia" w:ascii="宋体" w:hAnsi="宋体" w:cs="宋体"/>
          <w:b/>
          <w:bCs w:val="0"/>
          <w:color w:val="000000"/>
          <w:sz w:val="24"/>
          <w:highlight w:val="none"/>
          <w:lang w:val="en-US" w:eastAsia="zh-CN"/>
        </w:rPr>
        <w:t>根据</w:t>
      </w:r>
      <w:r>
        <w:rPr>
          <w:rFonts w:hint="eastAsia" w:ascii="宋体" w:hAnsi="宋体" w:cs="宋体"/>
          <w:b/>
          <w:bCs w:val="0"/>
          <w:color w:val="000000"/>
          <w:sz w:val="24"/>
          <w:highlight w:val="none"/>
        </w:rPr>
        <w:t>法律、行政法规、金融监管规定及</w:t>
      </w:r>
      <w:r>
        <w:rPr>
          <w:rFonts w:hint="eastAsia" w:ascii="宋体" w:hAnsi="宋体" w:cs="宋体"/>
          <w:b/>
          <w:bCs w:val="0"/>
          <w:color w:val="000000"/>
          <w:sz w:val="24"/>
          <w:highlight w:val="none"/>
          <w:lang w:val="en-US" w:eastAsia="zh-CN"/>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申请、冻结份额等交易限制措施，由此产生的损失及责任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资金流动性风险：本理财计划认购份额确认后，封闭式运作，产品终止前投资者不得提前赎回。</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收益不达业绩比较基准风险：本理财计划可投资于债券及非标准化债权类资产等固定收益类及权益类资产，因融资人违约及市场波动或导致投资者的本金出现损失。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w:t>
      </w:r>
      <w:bookmarkStart w:id="0" w:name="OLE_LINK1"/>
      <w:r>
        <w:rPr>
          <w:rFonts w:hint="eastAsia" w:ascii="宋体" w:hAnsi="宋体" w:cs="宋体"/>
          <w:b/>
          <w:sz w:val="24"/>
          <w:highlight w:val="none"/>
          <w:lang w:eastAsia="zh-CN"/>
        </w:rPr>
        <w:t>（</w:t>
      </w:r>
      <w:r>
        <w:rPr>
          <w:rFonts w:hint="eastAsia" w:ascii="宋体" w:hAnsi="宋体" w:cs="宋体"/>
          <w:b/>
          <w:sz w:val="24"/>
          <w:highlight w:val="none"/>
          <w:lang w:val="en-US" w:eastAsia="zh-CN"/>
        </w:rPr>
        <w:t>如有</w:t>
      </w:r>
      <w:r>
        <w:rPr>
          <w:rFonts w:hint="eastAsia" w:ascii="宋体" w:hAnsi="宋体" w:cs="宋体"/>
          <w:b/>
          <w:sz w:val="24"/>
          <w:highlight w:val="none"/>
          <w:lang w:eastAsia="zh-CN"/>
        </w:rPr>
        <w:t>）</w:t>
      </w:r>
      <w:bookmarkEnd w:id="0"/>
      <w:r>
        <w:rPr>
          <w:rFonts w:hint="eastAsia" w:ascii="宋体" w:hAnsi="宋体" w:cs="宋体"/>
          <w:b/>
          <w:sz w:val="24"/>
          <w:highlight w:val="none"/>
        </w:rPr>
        <w:t>，由此产生的风险及损失将由投资者自行承担。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hint="eastAsia" w:ascii="宋体" w:hAnsi="宋体" w:cs="宋体"/>
          <w:bCs/>
          <w:sz w:val="24"/>
          <w:highlight w:val="none"/>
        </w:rPr>
      </w:pP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w:t>
      </w:r>
      <w:r>
        <w:rPr>
          <w:rFonts w:hint="eastAsia" w:ascii="宋体" w:hAnsi="宋体" w:cs="宋体"/>
          <w:b/>
          <w:sz w:val="24"/>
          <w:highlight w:val="none"/>
          <w:lang w:val="en-US" w:eastAsia="zh-CN"/>
        </w:rPr>
        <w:t>公募</w:t>
      </w:r>
      <w:r>
        <w:rPr>
          <w:rFonts w:hint="eastAsia" w:ascii="宋体" w:hAnsi="宋体" w:cs="宋体"/>
          <w:b/>
          <w:sz w:val="24"/>
          <w:highlight w:val="none"/>
        </w:rPr>
        <w:t>、</w:t>
      </w:r>
      <w:r>
        <w:rPr>
          <w:rFonts w:hint="eastAsia" w:ascii="宋体" w:hAnsi="宋体" w:cs="宋体"/>
          <w:b/>
          <w:sz w:val="24"/>
          <w:highlight w:val="none"/>
          <w:lang w:val="en-US" w:eastAsia="zh-CN"/>
        </w:rPr>
        <w:t>封闭式</w:t>
      </w:r>
      <w:r>
        <w:rPr>
          <w:rFonts w:hint="eastAsia" w:ascii="宋体" w:hAnsi="宋体" w:cs="宋体"/>
          <w:b/>
          <w:sz w:val="24"/>
          <w:highlight w:val="none"/>
        </w:rPr>
        <w:t>、〖</w:t>
      </w:r>
      <w:r>
        <w:rPr>
          <w:rFonts w:hint="eastAsia" w:ascii="宋体" w:hAnsi="宋体" w:cs="宋体"/>
          <w:b/>
          <w:sz w:val="24"/>
          <w:highlight w:val="none"/>
          <w:lang w:val="en-US" w:eastAsia="zh-CN"/>
        </w:rPr>
        <w:t>固定收益类</w:t>
      </w:r>
      <w:r>
        <w:rPr>
          <w:rFonts w:hint="eastAsia" w:ascii="宋体" w:hAnsi="宋体" w:cs="宋体"/>
          <w:b/>
          <w:sz w:val="24"/>
          <w:highlight w:val="none"/>
        </w:rPr>
        <w:t>〗净值型理财计划，〖386天〗</w:t>
      </w:r>
      <w:r>
        <w:rPr>
          <w:rFonts w:hint="eastAsia" w:ascii="宋体" w:hAnsi="宋体" w:cs="宋体"/>
          <w:bCs/>
          <w:color w:val="000000"/>
          <w:sz w:val="24"/>
          <w:highlight w:val="none"/>
        </w:rPr>
        <w:t>，</w:t>
      </w:r>
      <w:r>
        <w:rPr>
          <w:rFonts w:hint="eastAsia" w:ascii="宋体" w:hAnsi="宋体" w:cs="宋体"/>
          <w:b/>
          <w:sz w:val="24"/>
          <w:highlight w:val="none"/>
        </w:rPr>
        <w:t>不保证本金与收益。理财计划过往业绩不代表其未来表现，不等于理财计划实际收益，投资须谨慎！根据本公司理财产品内部风险评级，该理财计划风险评级结果为〖</w:t>
      </w:r>
      <w:r>
        <w:rPr>
          <w:rFonts w:hint="eastAsia" w:ascii="宋体" w:hAnsi="宋体" w:cs="宋体"/>
          <w:b/>
          <w:sz w:val="24"/>
          <w:highlight w:val="none"/>
          <w:lang w:val="en-US" w:eastAsia="zh-CN"/>
        </w:rPr>
        <w:t>R2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sz w:val="24"/>
          <w:highlight w:val="none"/>
        </w:rPr>
        <w:t>总体风险〖</w:t>
      </w:r>
      <w:r>
        <w:rPr>
          <w:rFonts w:hint="eastAsia" w:ascii="宋体" w:hAnsi="宋体" w:cs="宋体"/>
          <w:b/>
          <w:sz w:val="24"/>
          <w:highlight w:val="none"/>
          <w:lang w:val="en-US" w:eastAsia="zh-CN"/>
        </w:rPr>
        <w:t>程度较低，收益波动较小，虽然存在一些可能对产品本金和收益安全产生不利影响的因素，但产品本金出现损失的可能性较小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val="0"/>
          <w:bCs/>
          <w:sz w:val="24"/>
          <w:highlight w:val="none"/>
        </w:rPr>
        <w:t>本理财计划投资者适当性评估由销售机构负责，销售机构应确保个人投资者的风险承受能力不低于本理财计划风险评级。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pStyle w:val="14"/>
        <w:spacing w:line="360" w:lineRule="auto"/>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4"/>
        <w:spacing w:line="360" w:lineRule="auto"/>
        <w:jc w:val="both"/>
        <w:rPr>
          <w:rFonts w:hint="eastAsia" w:ascii="宋体" w:hAnsi="宋体" w:cs="宋体"/>
          <w:b/>
          <w:color w:val="auto"/>
          <w:highlight w:val="none"/>
        </w:rPr>
      </w:pP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4"/>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如超过一年未进行风险承受能力评估或影响本人风险承受能力的因素发生变化，本人将于再次购买理财计划时及时完成风险承受能力评估。</w:t>
      </w:r>
    </w:p>
    <w:p>
      <w:pPr>
        <w:pStyle w:val="14"/>
        <w:spacing w:line="360" w:lineRule="auto"/>
        <w:ind w:firstLine="472" w:firstLineChars="196"/>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ind w:firstLine="472" w:firstLineChars="196"/>
        <w:jc w:val="both"/>
        <w:rPr>
          <w:rFonts w:ascii="宋体" w:hAnsi="宋体" w:cs="宋体"/>
          <w:b/>
          <w:bCs/>
          <w:color w:val="auto"/>
          <w:highlight w:val="none"/>
          <w:u w:val="single"/>
        </w:rPr>
      </w:pPr>
      <w:r>
        <w:rPr>
          <w:rFonts w:hint="eastAsia" w:ascii="宋体" w:hAnsi="宋体" w:cs="宋体"/>
          <w:b/>
          <w:bCs/>
          <w:color w:val="auto"/>
          <w:highlight w:val="none"/>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4"/>
        <w:spacing w:line="360" w:lineRule="auto"/>
        <w:ind w:firstLine="360" w:firstLineChars="15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rPr>
          <w:rFonts w:hint="eastAsia" w:ascii="宋体" w:hAnsi="宋体"/>
          <w:b/>
          <w:kern w:val="0"/>
          <w:szCs w:val="21"/>
          <w:highlight w:val="none"/>
        </w:rPr>
      </w:pPr>
    </w:p>
    <w:p>
      <w:pPr>
        <w:pStyle w:val="14"/>
        <w:spacing w:line="360" w:lineRule="auto"/>
        <w:ind w:firstLine="482" w:firstLineChars="200"/>
        <w:jc w:val="center"/>
        <w:outlineLvl w:val="1"/>
        <w:rPr>
          <w:rFonts w:hint="eastAsia"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投资者确认栏（机构投资者）</w:t>
      </w:r>
    </w:p>
    <w:p>
      <w:pPr>
        <w:pStyle w:val="1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highlight w:val="none"/>
          <w:u w:val="single"/>
        </w:rPr>
        <w:t>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rPr>
        <w:t>投资者（公章）                          法定代表人或授权代理人（签章）</w:t>
      </w: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highlight w:val="none"/>
          <w:u w:val="single"/>
        </w:rPr>
        <w:t xml:space="preserve">      </w:t>
      </w:r>
      <w:r>
        <w:rPr>
          <w:rFonts w:hint="eastAsia" w:ascii="宋体" w:hAnsi="宋体" w:cs="宋体"/>
          <w:color w:val="auto"/>
          <w:highlight w:val="none"/>
        </w:rPr>
        <w:t>年</w:t>
      </w:r>
      <w:r>
        <w:rPr>
          <w:rFonts w:hint="eastAsia" w:ascii="宋体" w:hAnsi="宋体" w:cs="宋体"/>
          <w:highlight w:val="none"/>
          <w:u w:val="single"/>
        </w:rPr>
        <w:t xml:space="preserve">    </w:t>
      </w:r>
      <w:r>
        <w:rPr>
          <w:rFonts w:hint="eastAsia" w:ascii="宋体" w:hAnsi="宋体" w:cs="宋体"/>
          <w:color w:val="auto"/>
          <w:highlight w:val="none"/>
        </w:rPr>
        <w:t>月</w:t>
      </w:r>
      <w:r>
        <w:rPr>
          <w:rFonts w:hint="eastAsia" w:ascii="宋体" w:hAnsi="宋体" w:cs="宋体"/>
          <w:highlight w:val="none"/>
          <w:u w:val="single"/>
        </w:rPr>
        <w:t xml:space="preserve">    </w:t>
      </w:r>
      <w:r>
        <w:rPr>
          <w:rFonts w:hint="eastAsia" w:ascii="宋体" w:hAnsi="宋体" w:cs="宋体"/>
          <w:color w:val="auto"/>
          <w:highlight w:val="none"/>
        </w:rPr>
        <w:t>日</w:t>
      </w:r>
    </w:p>
    <w:p>
      <w:pPr>
        <w:spacing w:line="360" w:lineRule="auto"/>
        <w:jc w:val="center"/>
        <w:outlineLvl w:val="0"/>
        <w:rPr>
          <w:rFonts w:hint="eastAsia" w:ascii="宋体" w:hAnsi="宋体" w:cs="宋体"/>
          <w:b/>
          <w:bCs/>
          <w:sz w:val="44"/>
          <w:szCs w:val="44"/>
          <w:highlight w:val="none"/>
        </w:rPr>
      </w:pPr>
      <w:r>
        <w:rPr>
          <w:rFonts w:hint="eastAsia" w:ascii="宋体" w:hAnsi="宋体" w:cs="宋体"/>
          <w:bCs/>
          <w:sz w:val="24"/>
          <w:highlight w:val="none"/>
        </w:rPr>
        <w:br w:type="page"/>
      </w:r>
      <w:r>
        <w:rPr>
          <w:rFonts w:hint="eastAsia" w:ascii="宋体" w:hAnsi="宋体" w:cs="宋体"/>
          <w:b/>
          <w:bCs/>
          <w:sz w:val="44"/>
          <w:szCs w:val="44"/>
          <w:highlight w:val="none"/>
          <w:lang w:eastAsia="zh-CN"/>
        </w:rPr>
        <w:t>幸福99丰裕固收386天25155期理财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202502</w:t>
      </w:r>
      <w:r>
        <w:rPr>
          <w:rFonts w:hint="eastAsia" w:ascii="宋体" w:hAnsi="宋体" w:cs="宋体"/>
          <w:sz w:val="28"/>
          <w:szCs w:val="28"/>
          <w:highlight w:val="none"/>
        </w:rPr>
        <w:t>版）</w:t>
      </w:r>
    </w:p>
    <w:p>
      <w:pPr>
        <w:spacing w:line="360" w:lineRule="auto"/>
        <w:jc w:val="right"/>
        <w:rPr>
          <w:rFonts w:hint="eastAsia" w:ascii="宋体" w:hAnsi="宋体" w:cs="宋体"/>
          <w:bCs/>
          <w:color w:val="auto"/>
          <w:sz w:val="24"/>
          <w:highlight w:val="none"/>
        </w:rPr>
      </w:pPr>
      <w:r>
        <w:rPr>
          <w:rFonts w:hint="eastAsia" w:ascii="宋体" w:hAnsi="宋体" w:cs="宋体"/>
          <w:color w:val="000000"/>
          <w:sz w:val="24"/>
          <w:highlight w:val="none"/>
        </w:rPr>
        <w:t>备案编号</w:t>
      </w:r>
      <w:r>
        <w:rPr>
          <w:rFonts w:hint="eastAsia" w:ascii="宋体" w:hAnsi="宋体" w:cs="宋体"/>
          <w:color w:val="auto"/>
          <w:sz w:val="24"/>
          <w:highlight w:val="none"/>
        </w:rPr>
        <w:t>:</w:t>
      </w:r>
      <w:r>
        <w:rPr>
          <w:rFonts w:hint="eastAsia" w:ascii="宋体" w:hAnsi="宋体" w:cs="宋体"/>
          <w:bCs/>
          <w:color w:val="auto"/>
          <w:sz w:val="24"/>
          <w:highlight w:val="none"/>
        </w:rPr>
        <w:t>〖</w:t>
      </w:r>
      <w:r>
        <w:rPr>
          <w:rFonts w:hint="eastAsia" w:ascii="宋体" w:hAnsi="宋体" w:cs="宋体"/>
          <w:color w:val="000000"/>
          <w:sz w:val="24"/>
          <w:highlight w:val="none"/>
          <w:lang w:val="en-US" w:eastAsia="zh-CN"/>
        </w:rPr>
        <w:t>Z7002225000296</w:t>
      </w:r>
      <w:r>
        <w:rPr>
          <w:rFonts w:hint="eastAsia" w:ascii="宋体" w:hAnsi="宋体" w:cs="宋体"/>
          <w:bCs/>
          <w:color w:val="auto"/>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投资协议书》《风险揭示书》《投资者权益须知》《理财计划销售协议书》，将共同构成投资者与管理人之间的理财计划销售文件。</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在本理财计划存续期内，如因监管政策或法律法规发生变化，在不损害投资者利益的前提下，管理人有权对因上述变化导致的本理财计划说明书条款变化进行修订。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hint="eastAsia"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https://www.hzbankwealth.com.cn。</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rPr>
          <w:rFonts w:hint="eastAsia" w:ascii="宋体" w:hAnsi="宋体" w:cs="宋体"/>
          <w:bCs/>
          <w:color w:val="auto"/>
          <w:kern w:val="2"/>
          <w:highlight w:val="none"/>
          <w:u w:val="single"/>
        </w:rPr>
        <w:instrText xml:space="preserve"> HYPERLINK "http://www.hzbank.com.cn" </w:instrText>
      </w:r>
      <w:r>
        <w:fldChar w:fldCharType="separate"/>
      </w:r>
      <w:r>
        <w:rPr>
          <w:rFonts w:hint="eastAsia" w:ascii="宋体" w:hAnsi="宋体" w:cs="宋体"/>
          <w:bCs/>
          <w:color w:val="auto"/>
          <w:kern w:val="2"/>
          <w:highlight w:val="none"/>
          <w:u w:val="single"/>
        </w:rPr>
        <w:t>www.hzbank.com.cn</w:t>
      </w:r>
      <w:r>
        <w:fldChar w:fldCharType="end"/>
      </w:r>
      <w:r>
        <w:rPr>
          <w:rFonts w:hint="eastAsia" w:ascii="宋体" w:hAnsi="宋体" w:cs="宋体"/>
          <w:bCs/>
          <w:color w:val="auto"/>
          <w:kern w:val="2"/>
          <w:highlight w:val="none"/>
        </w:rPr>
        <w:t>，客服热线为95398。</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幸福99丰裕固收386天25155期理财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幸福99丰裕固收386天25155期理财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幸福99丰裕固收386天25155期理财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幸福99丰裕固收386天25155期理财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幸福99丰裕固收386天25155期理财</w:t>
      </w:r>
      <w:r>
        <w:rPr>
          <w:rFonts w:hint="eastAsia" w:ascii="宋体" w:hAnsi="宋体" w:cs="宋体"/>
          <w:bCs/>
          <w:color w:val="auto"/>
          <w:kern w:val="2"/>
          <w:highlight w:val="none"/>
        </w:rPr>
        <w:t>合同不可分割组成部分的理财计划销售协议书，以及对该文件的有效修改与补充。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指《理财计划风险揭示书》《理财计划产品说明书》《投资者权益须知》《理财计划投资协议书》《理财计划销售协议书》五个部分。</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幸福99丰裕固收386天25155期理财</w:t>
      </w:r>
      <w:r>
        <w:rPr>
          <w:rFonts w:hint="eastAsia" w:ascii="宋体" w:hAnsi="宋体" w:cs="宋体"/>
          <w:bCs/>
          <w:highlight w:val="none"/>
        </w:rPr>
        <w:t>。</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4"/>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4"/>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w:t>
      </w:r>
      <w:r>
        <w:rPr>
          <w:rFonts w:hint="eastAsia" w:ascii="宋体" w:hAnsi="宋体" w:cs="宋体"/>
          <w:szCs w:val="21"/>
          <w:highlight w:val="none"/>
        </w:rPr>
        <w:t>〖</w:t>
      </w:r>
      <w:r>
        <w:rPr>
          <w:rFonts w:hint="eastAsia" w:ascii="宋体" w:hAnsi="宋体" w:cs="宋体"/>
          <w:bCs/>
          <w:highlight w:val="none"/>
        </w:rPr>
        <w:t>上海证券交易所、深圳证券交易所</w:t>
      </w:r>
      <w:r>
        <w:rPr>
          <w:rFonts w:hint="eastAsia" w:ascii="宋体" w:hAnsi="宋体" w:cs="宋体"/>
          <w:szCs w:val="21"/>
          <w:highlight w:val="none"/>
        </w:rPr>
        <w:t>〗</w:t>
      </w:r>
      <w:r>
        <w:rPr>
          <w:rFonts w:hint="eastAsia" w:ascii="宋体" w:hAnsi="宋体" w:cs="宋体"/>
          <w:bCs/>
          <w:highlight w:val="none"/>
        </w:rPr>
        <w:t>的正常交易日。如涉及到监管条例部分，统一以监管条例表述替代。</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如因国家相关主管部门临时调整节假日安排，导致原定成立日、到期日、估值日等日期安排发生变化的，原则上采用顺延方式对原定日期进行调整，如有特殊安排，以管理人对外披露的公告为准。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4"/>
        <w:numPr>
          <w:ilvl w:val="0"/>
          <w:numId w:val="15"/>
        </w:numPr>
        <w:adjustRightInd/>
        <w:spacing w:line="360" w:lineRule="auto"/>
        <w:ind w:left="0" w:firstLine="0"/>
        <w:rPr>
          <w:rFonts w:hint="eastAsia" w:ascii="宋体" w:hAnsi="宋体" w:cs="宋体"/>
          <w:b/>
          <w:color w:val="auto"/>
          <w:kern w:val="2"/>
          <w:highlight w:val="none"/>
        </w:rPr>
      </w:pPr>
      <w:r>
        <w:rPr>
          <w:rFonts w:hint="eastAsia" w:ascii="宋体" w:hAnsi="宋体" w:cs="宋体"/>
          <w:b/>
          <w:bCs w:val="0"/>
          <w:color w:val="auto"/>
          <w:kern w:val="2"/>
          <w:highlight w:val="none"/>
          <w:lang w:val="en-US" w:eastAsia="zh-CN"/>
        </w:rPr>
        <w:t>流动性</w:t>
      </w:r>
      <w:r>
        <w:rPr>
          <w:rFonts w:hint="eastAsia"/>
          <w:b/>
          <w:bCs w:val="0"/>
          <w:highlight w:val="none"/>
          <w:lang w:val="en-US" w:eastAsia="zh-CN"/>
        </w:rPr>
        <w:t>受限资产：</w:t>
      </w:r>
      <w:r>
        <w:rPr>
          <w:rFonts w:hint="eastAsia"/>
          <w:highlight w:val="none"/>
          <w:lang w:val="en-US" w:eastAsia="zh-CN"/>
        </w:rPr>
        <w:t>是指由于法律法规、监管、合同或操作障碍等原因无法以合理价格予以变现的资产，包括到期日在</w:t>
      </w:r>
      <w:r>
        <w:rPr>
          <w:rFonts w:hint="eastAsia" w:ascii="宋体" w:hAnsi="宋体" w:eastAsia="宋体" w:cs="宋体"/>
          <w:highlight w:val="none"/>
          <w:lang w:val="en-US" w:eastAsia="zh-CN"/>
        </w:rPr>
        <w:t>10</w:t>
      </w:r>
      <w:r>
        <w:rPr>
          <w:rFonts w:hint="eastAsia"/>
          <w:highlight w:val="none"/>
          <w:lang w:val="en-US" w:eastAsia="zh-CN"/>
        </w:rPr>
        <w:t>个交易日以上的逆回购与银行定期存款（含协议约定有条件提前支取的银行存款）、距可赎回日在</w:t>
      </w:r>
      <w:r>
        <w:rPr>
          <w:rFonts w:hint="eastAsia" w:ascii="宋体" w:hAnsi="宋体" w:eastAsia="宋体" w:cs="宋体"/>
          <w:highlight w:val="none"/>
          <w:lang w:val="en-US" w:eastAsia="zh-CN"/>
        </w:rPr>
        <w:t>10</w:t>
      </w:r>
      <w:r>
        <w:rPr>
          <w:rFonts w:hint="eastAsia"/>
          <w:highlight w:val="none"/>
          <w:lang w:val="en-US" w:eastAsia="zh-CN"/>
        </w:rPr>
        <w:t>个交易日以上的资产管理产品、停牌股票、流通受限的新股及非公开发行股票、资产支持证券（票据），因发行人债务违约无法进行转让或交易的债券和非金融企业债务融资工具，以及其他流动性受限资产。</w:t>
      </w:r>
    </w:p>
    <w:p>
      <w:pPr>
        <w:pStyle w:val="14"/>
        <w:numPr>
          <w:ilvl w:val="0"/>
          <w:numId w:val="15"/>
        </w:numPr>
        <w:adjustRightInd/>
        <w:spacing w:line="360" w:lineRule="auto"/>
        <w:ind w:left="0" w:firstLine="0"/>
        <w:rPr>
          <w:rFonts w:hint="eastAsia" w:ascii="宋体" w:hAnsi="宋体" w:cs="宋体"/>
          <w:b/>
          <w:color w:val="auto"/>
          <w:kern w:val="2"/>
          <w:highlight w:val="none"/>
        </w:rPr>
      </w:pPr>
      <w:r>
        <w:rPr>
          <w:rFonts w:hint="eastAsia"/>
          <w:b/>
          <w:bCs/>
          <w:highlight w:val="none"/>
          <w:lang w:val="en-US" w:eastAsia="zh-CN"/>
        </w:rPr>
        <w:t>投资退出期：</w:t>
      </w:r>
      <w:r>
        <w:rPr>
          <w:rFonts w:hint="eastAsia" w:ascii="Times New Roman" w:hAnsi="Times New Roman" w:eastAsia="宋体" w:cs="Times New Roman"/>
          <w:highlight w:val="none"/>
          <w:lang w:val="en-US" w:eastAsia="zh-CN"/>
        </w:rPr>
        <w:t>是指理财计划临近到期前，管理人通过资产变现用以进行资金交割清算的准备期。</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4"/>
        <w:numPr>
          <w:ilvl w:val="0"/>
          <w:numId w:val="16"/>
        </w:numPr>
        <w:adjustRightInd/>
        <w:spacing w:line="360" w:lineRule="auto"/>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4"/>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4"/>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4"/>
        <w:numPr>
          <w:ilvl w:val="0"/>
          <w:numId w:val="17"/>
        </w:numPr>
        <w:adjustRightInd/>
        <w:spacing w:line="360" w:lineRule="auto"/>
        <w:ind w:firstLine="482" w:firstLineChars="200"/>
        <w:rPr>
          <w:rFonts w:hint="eastAsia" w:ascii="宋体" w:hAnsi="宋体" w:cs="宋体"/>
          <w:b/>
          <w:bCs w:val="0"/>
          <w:color w:val="auto"/>
          <w:kern w:val="2"/>
          <w:highlight w:val="none"/>
        </w:rPr>
      </w:pPr>
      <w:r>
        <w:rPr>
          <w:rFonts w:hint="eastAsia" w:ascii="宋体" w:hAnsi="宋体" w:cs="宋体"/>
          <w:b/>
          <w:bCs w:val="0"/>
          <w:color w:val="auto"/>
          <w:kern w:val="2"/>
          <w:highlight w:val="none"/>
          <w:lang w:val="en-US" w:eastAsia="zh-CN"/>
        </w:rPr>
        <w:t>摆动定价机制：</w:t>
      </w:r>
      <w:r>
        <w:rPr>
          <w:rFonts w:hint="eastAsia" w:ascii="宋体" w:hAnsi="宋体" w:cs="宋体"/>
          <w:b w:val="0"/>
          <w:bCs/>
          <w:color w:val="auto"/>
          <w:kern w:val="2"/>
          <w:highlight w:val="none"/>
          <w:lang w:val="en-US" w:eastAsia="zh-CN"/>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4"/>
        <w:numPr>
          <w:ilvl w:val="0"/>
          <w:numId w:val="17"/>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bCs w:val="0"/>
          <w:color w:val="auto"/>
          <w:kern w:val="2"/>
          <w:highlight w:val="none"/>
          <w:lang w:val="en-US" w:eastAsia="zh-CN"/>
        </w:rPr>
        <w:t>短期赎回费机制：</w:t>
      </w:r>
      <w:r>
        <w:rPr>
          <w:rFonts w:hint="eastAsia" w:ascii="宋体" w:hAnsi="宋体" w:cs="宋体"/>
          <w:b w:val="0"/>
          <w:bCs/>
          <w:color w:val="auto"/>
          <w:kern w:val="2"/>
          <w:highlight w:val="none"/>
          <w:lang w:val="en-US" w:eastAsia="zh-CN"/>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4"/>
        <w:adjustRightInd/>
        <w:spacing w:line="360" w:lineRule="auto"/>
        <w:rPr>
          <w:rFonts w:hint="eastAsia" w:ascii="宋体" w:hAnsi="宋体" w:cs="宋体"/>
          <w:bCs/>
          <w:color w:val="auto"/>
          <w:kern w:val="2"/>
          <w:highlight w:val="none"/>
        </w:rPr>
      </w:pPr>
    </w:p>
    <w:p>
      <w:pPr>
        <w:pStyle w:val="14"/>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w:t>
      </w:r>
      <w:r>
        <w:rPr>
          <w:rFonts w:hint="eastAsia" w:ascii="宋体" w:hAnsi="宋体" w:cs="宋体"/>
          <w:b/>
          <w:sz w:val="24"/>
          <w:highlight w:val="none"/>
          <w:lang w:val="en-US" w:eastAsia="zh-CN"/>
        </w:rPr>
        <w:t>R2</w:t>
      </w:r>
      <w:r>
        <w:rPr>
          <w:rFonts w:hint="eastAsia" w:ascii="宋体" w:hAnsi="宋体" w:cs="宋体"/>
          <w:b/>
          <w:color w:val="auto"/>
          <w:kern w:val="2"/>
          <w:highlight w:val="none"/>
        </w:rPr>
        <w:t>〗，〖</w:t>
      </w:r>
      <w:r>
        <w:rPr>
          <w:rFonts w:hint="eastAsia" w:ascii="宋体" w:hAnsi="宋体" w:cs="宋体"/>
          <w:b/>
          <w:sz w:val="24"/>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0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内部风险评级</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风险程度</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R1</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低</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R2</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中低</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R3</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R4</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中高</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R5</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高</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进取型</w:t>
            </w:r>
          </w:p>
        </w:tc>
      </w:tr>
    </w:tbl>
    <w:p>
      <w:pPr>
        <w:pStyle w:val="14"/>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4"/>
        <w:adjustRightInd/>
        <w:spacing w:line="360" w:lineRule="auto"/>
        <w:rPr>
          <w:rFonts w:hint="eastAsia" w:ascii="宋体" w:hAnsi="宋体" w:cs="宋体"/>
          <w:bCs/>
          <w:color w:val="auto"/>
          <w:kern w:val="2"/>
          <w:highlight w:val="none"/>
        </w:rPr>
      </w:pPr>
    </w:p>
    <w:p>
      <w:pPr>
        <w:pStyle w:val="14"/>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产品名称</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幸福99丰裕固收386天25155期理财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产品简称</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丰裕固收25155期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产品编号</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〖FYG25155〗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登记编码</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本理财计划在全国银行业理财信息登记系统的登记编码是〖Z7002225000296〗，投资者可依据该编码在“中国理财网（www.chinawealth.com.cn）”查询本理财计划信息。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发行对象</w:t>
            </w:r>
          </w:p>
        </w:tc>
        <w:tc>
          <w:tcPr>
            <w:tcW w:w="7185" w:type="dxa"/>
            <w:noWrap w:val="0"/>
            <w:vAlign w:val="center"/>
          </w:tcPr>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本理财计划适合</w:t>
            </w:r>
            <w:r>
              <w:rPr>
                <w:rFonts w:hint="eastAsia" w:ascii="宋体" w:hAnsi="宋体" w:eastAsia="宋体" w:cs="宋体"/>
                <w:b/>
                <w:kern w:val="2"/>
                <w:sz w:val="21"/>
                <w:szCs w:val="21"/>
                <w:highlight w:val="none"/>
                <w:lang w:val="en-US" w:eastAsia="zh-CN" w:bidi="ar-SA"/>
              </w:rPr>
              <w:t>〖</w:t>
            </w:r>
            <w:r>
              <w:rPr>
                <w:rFonts w:hint="eastAsia" w:ascii="宋体" w:hAnsi="宋体" w:eastAsia="宋体" w:cs="宋体"/>
                <w:b/>
                <w:color w:val="000000"/>
                <w:kern w:val="2"/>
                <w:sz w:val="21"/>
                <w:szCs w:val="21"/>
                <w:highlight w:val="none"/>
                <w:lang w:val="en-US" w:eastAsia="zh-CN" w:bidi="ar-SA"/>
              </w:rPr>
              <w:t>机构投资者〗以及〖稳健型、平衡型、成长型、进取型〗的个人投资者。</w:t>
            </w:r>
            <w:r>
              <w:rPr>
                <w:rFonts w:hint="eastAsia" w:ascii="宋体" w:hAnsi="宋体" w:eastAsia="宋体" w:cs="宋体"/>
                <w:bCs/>
                <w:kern w:val="2"/>
                <w:sz w:val="21"/>
                <w:szCs w:val="24"/>
                <w:highlight w:val="none"/>
                <w:lang w:val="en-US" w:eastAsia="zh-CN" w:bidi="ar-SA"/>
              </w:rPr>
              <w:t>投资者风险承受能力评级水平以销售机构评估为准。</w:t>
            </w:r>
          </w:p>
          <w:p>
            <w:pPr>
              <w:widowControl/>
              <w:spacing w:line="300" w:lineRule="auto"/>
              <w:contextualSpacing/>
              <w:jc w:val="both"/>
              <w:rPr>
                <w:rFonts w:hint="eastAsia" w:ascii="宋体" w:hAnsi="宋体" w:eastAsia="宋体" w:cs="黑体"/>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其中：</w:t>
            </w:r>
            <w:r>
              <w:rPr>
                <w:rFonts w:hint="eastAsia" w:ascii="宋体" w:hAnsi="宋体" w:eastAsia="宋体" w:cs="黑体"/>
                <w:color w:val="000000"/>
                <w:kern w:val="2"/>
                <w:sz w:val="21"/>
                <w:szCs w:val="21"/>
                <w:highlight w:val="none"/>
                <w:lang w:val="en-US" w:eastAsia="zh-CN" w:bidi="ar-SA"/>
              </w:rPr>
              <w:t xml:space="preserve"> </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A份额（销售代码〖FYG25155A〗）：普通个人投资者和机构客户。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B份额（销售代码〖FYG25155B〗）：普通个人投资者和机构客户。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C份额（销售代码〖FYG25155C〗）：普通个人投资者和机构客户。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D份额（销售代码〖FYG25155D〗）：普通个人投资者和机构客户。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E份额（公司专属）（销售代码〖FYG25155E〗）：普通个人投资者和机构客户。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F份额（销售代码〖FYG25155F〗）：普通个人投资者和机构客户。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G份额（销售代码〖FYG25155G〗）：普通个人投资者和机构客户。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H份额（北行专属）（销售代码〖FYG25155H〗）：普通个人投资者和机构客户。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I份额（爽盈优选）（销售代码〖FYG25155I〗）：普通个人投资者和机构客户。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J份额（销售代码〖FYG25155J〗）：部分代销机构客户、浙商银行行庆尊享。</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K份额（鲲鹏优选）（销售代码〖FYG25155K〗）：普通个人投资者和机构客户。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L份额（兰行专属）（销售代码〖FYG25155L〗）：普通个人投资者和机构客户。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N份额惠享款（长长财富·专属）（销售代码〖FYG25155N〗）：普通个人投资者和机构客户。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P份额（芙蓉锦程·优选）（销售代码〖FYG25155P〗）：普通个人投资者和机构客户。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Q份额惠享款（候鸟专属）（销售代码〖FYG25155Q〗）：普通个人投资者和机构客户。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R份额惠享款吉行十二号（销售代码〖FYG25155R〗）：普通个人投资者和机构客户。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S份额惠享款（齐鲁-逢六有约）（销售代码〖FYG25155S〗）：普通个人投资者和机构客户。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U份额惠享款（销售代码〖FYG25155U〗）：普通个人投资者和机构客户。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V份额（金芙蓉专属）（销售代码〖FYG25155V〗）：普通个人投资者和机构客户。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W份额惠享款（销售代码〖FYG25155W〗）：普通个人投资者和机构客户。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X份额（销售代码〖FYG25155X〗）：普通个人投资者。</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Y份额惠享款（销售代码〖FYG25155Y〗）：普通个人投资者和机构客户。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Z份额惠享款（销售代码〖FYG25155Z〗）：普通个人投资者和机构客户。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产品类型</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〖固定收益类〗</w:t>
            </w:r>
            <w:r>
              <w:rPr>
                <w:rFonts w:hint="eastAsia" w:ascii="宋体" w:hAnsi="宋体" w:eastAsia="宋体" w:cs="宋体"/>
                <w:color w:val="000000"/>
                <w:kern w:val="2"/>
                <w:sz w:val="21"/>
                <w:szCs w:val="21"/>
                <w:highlight w:val="none"/>
                <w:lang w:val="en-US" w:eastAsia="zh-CN" w:bidi="ar-SA"/>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运作模式</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分级产品</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销售范围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全国</w:t>
            </w:r>
            <w:r>
              <w:rPr>
                <w:rFonts w:hint="eastAsia" w:ascii="宋体" w:hAnsi="宋体" w:eastAsia="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可通过杭银理财直销渠道和代理销售机构的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营业网点、网上银行、手机银行</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交易币种</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发行规模上限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〖2025〗年〖8〗月〖12〗日-〖2025〗年〖8〗月〖18〗日</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认购时间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认购期首日〖9：00〗至认购结束日〖17：00〗</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成立日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〖2025〗年〖8〗月〖19〗日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到期日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〖2026〗年〖9〗月〖9〗日，若到期日为非工作日则顺延至下一个工作日。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理财期限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〖386〗天（实际理财期限受制于管理人提前终止权等条款）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认购起点金额</w:t>
            </w:r>
          </w:p>
        </w:tc>
        <w:tc>
          <w:tcPr>
            <w:tcW w:w="7185" w:type="dxa"/>
            <w:noWrap w:val="0"/>
            <w:vAlign w:val="center"/>
          </w:tcPr>
          <w:p>
            <w:pPr>
              <w:widowControl/>
              <w:spacing w:line="360" w:lineRule="auto"/>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〖A份额〗起点〖1〗元整，超过认购起点部分，应为〖1〗元的整数倍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〖B份额〗起点〖1〗元整，超过认购起点部分，应为〖1〗元的整数倍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〖C份额〗起点〖1〗元整，超过认购起点部分，应为〖1〗元的整数倍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〖D份额〗起点〖1〗元整，超过认购起点部分，应为〖1〗元的整数倍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〖E份额〗起点〖1〗元整，超过认购起点部分，应为〖1〗元的整数倍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〖F份额〗起点〖1〗元整，超过认购起点部分，应为〖1〗元的整数倍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〖G份额〗起点〖1〗元整，超过认购起点部分，应为〖1〗元的整数倍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〖H份额〗起点〖1〗元整，超过认购起点部分，应为〖1〗元的整数倍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〖I份额〗起点〖1〗元整，超过认购起点部分，应为〖1〗元的整数倍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〖J份额〗起点〖1〗元整，超过认购起点部分，应为〖1〗元的整数倍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〖K份额〗起点〖1〗元整，超过认购起点部分，应为〖1〗元的整数倍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〖L份额〗起点〖1〗元整，超过认购起点部分，应为〖1〗元的整数倍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〖N份额〗起点〖1〗元整，超过认购起点部分，应为〖1〗元的整数倍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〖P份额〗起点〖1〗元整，超过认购起点部分，应为〖1〗元的整数倍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〖Q份额〗起点〖10000〗元整，超过认购起点部分，应为〖1〗元的整数倍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〖R份额〗起点〖1〗元整，超过认购起点部分，应为〖1〗元的整数倍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〖S份额〗起点〖1〗元整，超过认购起点部分，应为〖1〗元的整数倍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〖U份额〗起点〖100000〗元整，超过认购起点部分，应为〖1〗元的整数倍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〖V份额〗起点〖1000000〗元整，超过认购起点部分，应为〖1〗元的整数倍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〖W份额〗起点〖1〗元整，超过认购起点部分，应为〖1〗元的整数倍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〖X份额〗起点〖1〗元整，超过认购起点部分，应为〖1〗元的整数倍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〖Y份额〗起点〖1〗元整，超过认购起点部分，应为〖1〗元的整数倍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〖Z份额〗起点〖1〗元整，超过认购起点部分，应为〖1〗元的整数倍</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产品成立</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eastAsia="宋体" w:cs="宋体"/>
                <w:kern w:val="2"/>
                <w:sz w:val="21"/>
                <w:szCs w:val="21"/>
                <w:highlight w:val="none"/>
                <w:lang w:val="en-US" w:eastAsia="zh-CN" w:bidi="ar-SA"/>
              </w:rPr>
              <w:t>〖3000〗</w:t>
            </w:r>
            <w:r>
              <w:rPr>
                <w:rFonts w:hint="eastAsia" w:ascii="宋体" w:hAnsi="宋体" w:eastAsia="宋体" w:cs="宋体"/>
                <w:color w:val="000000"/>
                <w:kern w:val="2"/>
                <w:sz w:val="21"/>
                <w:szCs w:val="21"/>
                <w:highlight w:val="none"/>
                <w:lang w:val="en-US" w:eastAsia="zh-CN" w:bidi="ar-SA"/>
              </w:rPr>
              <w:t>万元，则管理人可宣布本理财计划不成立并在原定理财计划成立日后</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个工作日内通过管理人或销售机构发布不成立信息，投资者购买的理财资金将在原定成立日后2个工作日内划转至投资者指定理财账户，</w:t>
            </w:r>
            <w:r>
              <w:rPr>
                <w:rFonts w:hint="eastAsia" w:ascii="宋体" w:hAnsi="宋体" w:eastAsia="宋体" w:cs="宋体"/>
                <w:b/>
                <w:color w:val="000000"/>
                <w:kern w:val="2"/>
                <w:sz w:val="21"/>
                <w:szCs w:val="21"/>
                <w:highlight w:val="none"/>
                <w:lang w:val="en-US" w:eastAsia="zh-CN" w:bidi="ar-SA"/>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单户限额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单户持有份额不得超过理财计划总份额的50%。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单位净值=理财计划估值日理财计划总净值÷理财计划总份额，单位净值保留小数点后四位，四舍五入。</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理财计划总净值=理财计划认购总额+理财计划所获总收益-理财计划总费用（包括但不限于固定管理费、托管费、销售服务费、浮动管理费等）。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资金与收益支付方式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理财计划到期后，最快</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个工作日，最晚</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个工作日内（遇节假日顺延）支付。如遇资金在途或法定工作日调整，实际资金到账日以公告为准。</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业绩比较基准</w:t>
            </w:r>
          </w:p>
        </w:tc>
        <w:tc>
          <w:tcPr>
            <w:tcW w:w="7185" w:type="dxa"/>
            <w:noWrap w:val="0"/>
            <w:vAlign w:val="center"/>
          </w:tcPr>
          <w:p>
            <w:pPr>
              <w:widowControl/>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本理财计划〖A份额〗业绩比较基准为〖2.40%-2.70%〗（年化）。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本理财计划〖B份额〗业绩比较基准为〖2.50%-2.80%〗（年化）。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本理财计划〖C份额〗业绩比较基准为〖2.60%-2.90%〗（年化）。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本理财计划〖D份额〗业绩比较基准为〖2.55%-2.85%〗（年化）。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本理财计划〖E份额〗业绩比较基准为〖2.25%-2.55%〗（年化）。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本理财计划〖F份额〗业绩比较基准为〖2.55%-2.85%〗（年化）。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本理财计划〖G份额〗业绩比较基准为〖2.65%-2.95%〗（年化）。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本理财计划〖H份额〗业绩比较基准为〖2.50%-2.80%〗（年化）。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本理财计划〖I份额〗业绩比较基准为〖2.40%-2.70%〗（年化）。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本理财计划〖J份额〗业绩比较基准为〖2.65%-2.95%〗（年化）。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本理财计划〖K份额〗业绩比较基准为〖2.40%-2.70%〗（年化）。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本理财计划〖L份额〗业绩比较基准为〖2.60%-2.90%〗（年化）。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本理财计划〖N份额〗业绩比较基准为〖2.50%-2.80%〗（年化）。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本理财计划〖P份额〗业绩比较基准为〖2.55%-2.85%〗（年化）。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本理财计划〖Q份额〗业绩比较基准为〖2.60%-2.90%〗（年化）。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本理财计划〖R份额〗业绩比较基准为〖2.55%-2.85%〗（年化）。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本理财计划〖S份额〗业绩比较基准为〖2.56%-2.86%〗（年化）。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本理财计划〖U份额〗业绩比较基准为〖2.50%-2.80%〗（年化）。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本理财计划〖V份额〗业绩比较基准为〖2.60%-2.90%〗（年化）。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本理财计划〖W份额〗业绩比较基准为〖2.40%-2.70%〗（年化）。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本理财计划〖X份额〗业绩比较基准为〖2.65%-2.95%〗（年化）。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本理财计划〖Y份额〗业绩比较基准为〖2.50%-2.80%〗（年化）。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本理财计划〖Z份额〗业绩比较基准为〖2.60%-2.90%〗（年化）。</w:t>
            </w:r>
          </w:p>
          <w:p>
            <w:pPr>
              <w:widowControl/>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业绩基准测算依据：本理财计划重点投资于货币市场工具、债券、非标准化债权类资产等资产，管理人根据固定收益市场历史表现，结合当前利率水平、资产配比及市场同类型产品情况，经综合判断得出。</w:t>
            </w:r>
          </w:p>
          <w:p>
            <w:pPr>
              <w:widowControl/>
              <w:spacing w:line="360" w:lineRule="auto"/>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管理人有权根据市场情况及理财计划运作情况调整业绩基准，并至少于新业绩基准启用前</w:t>
            </w:r>
            <w:r>
              <w:rPr>
                <w:rFonts w:hint="eastAsia" w:ascii="宋体" w:hAnsi="宋体" w:eastAsia="宋体" w:cs="宋体"/>
                <w:kern w:val="0"/>
                <w:sz w:val="21"/>
                <w:szCs w:val="24"/>
                <w:highlight w:val="none"/>
                <w:lang w:val="en-US" w:eastAsia="zh-CN" w:bidi="ar-SA"/>
              </w:rPr>
              <w:t>〖2〗</w:t>
            </w:r>
            <w:r>
              <w:rPr>
                <w:rFonts w:hint="eastAsia" w:ascii="宋体" w:hAnsi="宋体" w:eastAsia="宋体" w:cs="宋体"/>
                <w:kern w:val="2"/>
                <w:sz w:val="21"/>
                <w:szCs w:val="21"/>
                <w:highlight w:val="none"/>
                <w:lang w:val="en-US" w:eastAsia="zh-CN" w:bidi="ar-SA"/>
              </w:rPr>
              <w:t>个工作日公告。</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本理财计划为净值型理财产品，其业绩表现将随市场波动具有不确定性。本公司提醒投资者关注，业绩比较基准不是预期收益率，并不代表理财计划的未来表现和实际收益率，不构成对理财计划收益的承诺。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产品费用</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1.销售服务费：〖A份额〗收取年化〖0.30%〗的销售服务费, 〖B份额〗收取年化〖0.20%〗的销售服务费, 〖C份额〗收取年化〖0.10%〗的销售服务费, 〖D份额〗收取年化〖0.15%〗的销售服务费, 〖E份额〗收取年化〖0.40%〗的销售服务费, 〖F份额〗收取年化〖0.15%〗的销售服务费, 〖G份额〗收取年化〖0.05%〗的销售服务费, 〖H份额〗收取年化〖0.20%〗的销售服务费, 〖I份额〗收取年化〖0.30%〗的销售服务费, 〖J份额〗收取年化〖0.05%〗的销售服务费, 〖K份额〗收取年化〖0.30%〗的销售服务费, 〖L份额〗收取年化〖0.10%〗的销售服务费, 〖N份额〗收取年化〖0.20%〗的销售服务费, 〖P份额〗收取年化〖0.15%〗的销售服务费, 〖Q份额〗收取年化〖0.10%〗的销售服务费, 〖R份额〗收取年化〖0.15%〗的销售服务费, 〖S份额〗收取年化〖0.15%〗的销售服务费, 〖U份额〗收取年化〖0.20%〗的销售服务费, 〖V份额〗收取年化〖0.10%〗的销售服务费, 〖W份额〗收取年化〖0.30%〗的销售服务费, 〖X份额〗收取年化〖0.05%〗的销售服务费, 〖Y份额〗收取年化〖0.20%〗的销售服务费, 〖Z份额〗收取年化〖0.10%〗的销售服务费。其中〖A份额〗、〖B份额〗、〖C份额〗、〖D份额〗、〖E份额〗、〖F份额〗、〖G份额〗、〖H份额〗、〖I份额〗、〖J份额〗、〖K份额〗、〖L份额〗、〖P份额〗、〖V份额〗、〖X份额〗对应份额每日计提销售服务费；〖N份额〗、〖Q份额〗、〖R份额〗、〖S份额〗、〖U份额〗、〖W份额〗、〖Y份额〗、〖Z份额〗对应份额销售服务费于产品成立日一次性收取。</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2.托管费：收取年化</w:t>
            </w:r>
            <w:r>
              <w:rPr>
                <w:rFonts w:hint="eastAsia" w:ascii="宋体" w:hAnsi="宋体" w:eastAsia="宋体" w:cs="宋体"/>
                <w:kern w:val="2"/>
                <w:sz w:val="21"/>
                <w:szCs w:val="21"/>
                <w:highlight w:val="none"/>
                <w:lang w:val="en-US" w:eastAsia="zh-CN" w:bidi="ar-SA"/>
              </w:rPr>
              <w:t>〖0.025%〗</w:t>
            </w:r>
            <w:r>
              <w:rPr>
                <w:rFonts w:hint="eastAsia" w:ascii="宋体" w:hAnsi="宋体" w:eastAsia="宋体" w:cs="宋体"/>
                <w:color w:val="000000"/>
                <w:kern w:val="2"/>
                <w:sz w:val="21"/>
                <w:szCs w:val="21"/>
                <w:highlight w:val="none"/>
                <w:lang w:val="en-US" w:eastAsia="zh-CN" w:bidi="ar-SA"/>
              </w:rPr>
              <w:t>的托管费。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3.固定管理费：〖A份额〗收取年化〖0.05%〗的固定管理费, 〖B份额〗收取年化〖0.05%〗的固定管理费, 〖C份额〗收取年化〖0.05%〗的固定管理费, 〖D份额〗收取年化〖0.05%〗的固定管理费, 〖E份额〗收取年化〖0.10%〗的固定管理费, 〖F份额〗收取年化〖0.05%〗的固定管理费, 〖G份额〗收取年化〖0.05%〗的固定管理费, 〖H份额〗收取年化〖0.05%〗的固定管理费, 〖I份额〗收取年化〖0.05%〗的固定管理费, 〖J份额〗收取年化〖0.05%〗的固定管理费, 〖K份额〗收取年化〖0.05%〗的固定管理费, 〖L份额〗收取年化〖0.05%〗的固定管理费, 〖N份额〗收取年化〖0.05%〗的固定管理费, 〖P份额〗收取年化〖0.05%〗的固定管理费, 〖Q份额〗收取年化〖0.05%〗的固定管理费, 〖R份额〗收取年化〖0.05%〗的固定管理费, 〖S份额〗收取年化〖0.04%〗的固定管理费, 〖U份额〗收取年化〖0.05%〗的固定管理费, 〖V份额〗收取年化〖0.05%〗的固定管理费, 〖W份额〗收取年化〖0.05%〗的固定管理费, 〖X份额〗收取年化〖0.05%〗的固定管理费, 〖Y份额〗收取年化〖0.05%〗的固定管理费, 〖Z份额〗收取年化〖0.05%〗的固定管理费。</w:t>
            </w:r>
          </w:p>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4.认购费：本理财计划免除认购费。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5.浮动管理费：管理人根据理财计划投资情况计算浮动管理费，本理财计划份额到期日（提前终止日）的折合年化收益率在〖业绩比较基准下限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至上限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〖50%〗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,在超过〖</w:t>
            </w:r>
            <w:r>
              <w:rPr>
                <w:rFonts w:hint="eastAsia" w:ascii="宋体" w:hAnsi="宋体" w:eastAsia="宋体" w:cs="宋体"/>
                <w:b w:val="0"/>
                <w:bCs/>
                <w:kern w:val="2"/>
                <w:sz w:val="21"/>
                <w:szCs w:val="21"/>
                <w:highlight w:val="none"/>
                <w:lang w:val="en-US" w:eastAsia="zh-CN" w:bidi="ar-SA"/>
              </w:rPr>
              <w:t>业绩比较基准上限</w:t>
            </w:r>
            <w:r>
              <w:rPr>
                <w:rFonts w:hint="eastAsia" w:ascii="宋体" w:hAnsi="宋体" w:eastAsia="宋体" w:cs="宋体"/>
                <w:b w:val="0"/>
                <w:bCs/>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〖80%〗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提前终止</w:t>
            </w:r>
          </w:p>
        </w:tc>
        <w:tc>
          <w:tcPr>
            <w:tcW w:w="7185" w:type="dxa"/>
            <w:noWrap w:val="0"/>
            <w:vAlign w:val="center"/>
          </w:tcPr>
          <w:p>
            <w:pPr>
              <w:widowControl/>
              <w:spacing w:line="360" w:lineRule="auto"/>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税费规定</w:t>
            </w:r>
          </w:p>
        </w:tc>
        <w:tc>
          <w:tcPr>
            <w:tcW w:w="7185" w:type="dxa"/>
            <w:noWrap w:val="0"/>
            <w:vAlign w:val="center"/>
          </w:tcPr>
          <w:p>
            <w:pPr>
              <w:widowControl w:val="0"/>
              <w:spacing w:line="360" w:lineRule="auto"/>
              <w:jc w:val="both"/>
              <w:outlineLvl w:val="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融资服务</w:t>
            </w:r>
          </w:p>
        </w:tc>
        <w:tc>
          <w:tcPr>
            <w:tcW w:w="7185" w:type="dxa"/>
            <w:noWrap w:val="0"/>
            <w:vAlign w:val="bottom"/>
          </w:tcPr>
          <w:p>
            <w:pPr>
              <w:widowControl w:val="0"/>
              <w:spacing w:line="360" w:lineRule="auto"/>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认购期内按照活期存款利率计息，认购期内的利息不计入认购本金份额。到期日（或理财计划实际终止日）到理财资金返还到账日为清算期，清算期内不计付利息。</w:t>
            </w:r>
            <w:r>
              <w:rPr>
                <w:rFonts w:hint="eastAsia" w:ascii="宋体" w:hAnsi="宋体" w:eastAsia="宋体" w:cs="宋体"/>
                <w:color w:val="000000"/>
                <w:kern w:val="0"/>
                <w:sz w:val="21"/>
                <w:szCs w:val="21"/>
                <w:highlight w:val="none"/>
                <w:lang w:val="en-US" w:eastAsia="zh-CN" w:bidi="ar-SA"/>
              </w:rPr>
              <w:t>（具体以销售机构规定为准）</w:t>
            </w:r>
          </w:p>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0"/>
        </w:numPr>
        <w:spacing w:line="360" w:lineRule="auto"/>
        <w:ind w:firstLine="480" w:firstLineChars="200"/>
        <w:jc w:val="left"/>
        <w:outlineLvl w:val="9"/>
        <w:rPr>
          <w:rFonts w:hint="eastAsia" w:ascii="宋体" w:hAnsi="宋体" w:cs="宋体"/>
          <w:b w:val="0"/>
          <w:bCs/>
          <w:color w:val="auto"/>
          <w:sz w:val="24"/>
          <w:highlight w:val="none"/>
        </w:rPr>
      </w:pPr>
      <w:r>
        <w:rPr>
          <w:rFonts w:hint="eastAsia" w:ascii="宋体" w:hAnsi="宋体" w:cs="宋体"/>
          <w:bCs/>
          <w:color w:val="auto"/>
          <w:kern w:val="2"/>
          <w:sz w:val="24"/>
          <w:highlight w:val="none"/>
        </w:rPr>
        <w:t>本理财计划自成立日起</w:t>
      </w:r>
      <w:r>
        <w:rPr>
          <w:rFonts w:hint="eastAsia" w:ascii="宋体" w:hAnsi="宋体" w:cs="宋体"/>
          <w:bCs/>
          <w:sz w:val="24"/>
          <w:highlight w:val="none"/>
        </w:rPr>
        <w:t>〖</w:t>
      </w:r>
      <w:r>
        <w:rPr>
          <w:rFonts w:hint="eastAsia" w:ascii="宋体" w:hAnsi="宋体" w:cs="宋体"/>
          <w:bCs/>
          <w:color w:val="auto"/>
          <w:kern w:val="2"/>
          <w:sz w:val="24"/>
          <w:highlight w:val="none"/>
          <w:lang w:val="en-US" w:eastAsia="zh-CN"/>
        </w:rPr>
        <w:t>1个月</w:t>
      </w:r>
      <w:r>
        <w:rPr>
          <w:rFonts w:hint="eastAsia" w:ascii="宋体" w:hAnsi="宋体" w:cs="宋体"/>
          <w:bCs/>
          <w:sz w:val="24"/>
          <w:highlight w:val="none"/>
        </w:rPr>
        <w:t>〗</w:t>
      </w:r>
      <w:r>
        <w:rPr>
          <w:rFonts w:hint="eastAsia" w:ascii="宋体" w:hAnsi="宋体" w:cs="宋体"/>
          <w:bCs/>
          <w:color w:val="auto"/>
          <w:kern w:val="2"/>
          <w:sz w:val="24"/>
          <w:highlight w:val="none"/>
        </w:rPr>
        <w:t>为建仓期，管理人应当在建仓期结束前使各项投资比例符合约定。</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固定收益类资产：包括但不限于各类债券、存款、货币市场金融工具、债券基金、质押式及买断式回购、非标准化债权类资产，其他符合监管要求的固定收益类资产及资产管理产品。</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权益类资产：</w:t>
      </w:r>
      <w:r>
        <w:rPr>
          <w:rFonts w:hint="eastAsia" w:ascii="宋体" w:hAnsi="宋体" w:cs="宋体"/>
          <w:bCs/>
          <w:color w:val="auto"/>
          <w:kern w:val="2"/>
          <w:sz w:val="24"/>
          <w:highlight w:val="none"/>
          <w:lang w:val="en-US" w:eastAsia="zh-CN"/>
        </w:rPr>
        <w:t>仅限境内发行优先股和永续债。</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r>
        <w:rPr>
          <w:rFonts w:hint="eastAsia" w:ascii="宋体" w:hAnsi="宋体" w:cs="宋体"/>
          <w:bCs/>
          <w:color w:val="FF0000"/>
          <w:sz w:val="24"/>
          <w:highlight w:val="none"/>
        </w:rPr>
        <w:t xml:space="preserve"> </w:t>
      </w:r>
    </w:p>
    <w:tbl>
      <w:tblPr>
        <w:tblStyle w:val="8"/>
        <w:tblW w:w="8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0"/>
        <w:gridCol w:w="4716"/>
        <w:gridCol w:w="17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投资资产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配置比例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restart"/>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固定收益类资产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90%-100%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continue"/>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权益类资产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特殊资产类型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非标准化债权类资产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0%-50%</w:t>
            </w:r>
          </w:p>
        </w:tc>
      </w:tr>
    </w:tbl>
    <w:p>
      <w:pPr>
        <w:pStyle w:val="14"/>
        <w:numPr>
          <w:ilvl w:val="0"/>
          <w:numId w:val="22"/>
        </w:numPr>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本理财计划特殊资产类型为基于大类资产类型项下的进一步细化分类，其配置比例不得超过大类资产配置比例。</w:t>
      </w:r>
    </w:p>
    <w:p>
      <w:pPr>
        <w:pStyle w:val="14"/>
        <w:numPr>
          <w:ilvl w:val="0"/>
          <w:numId w:val="22"/>
        </w:numPr>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在理财计划存续期间如遇市场变化导致各类投资品投资比例暂时超出以上范围，为保护投资者利益，管理人将在流动性受限资产可出售、可转让或者恢复交易的15个交易日内调整至上述比例范围。</w:t>
      </w:r>
    </w:p>
    <w:p>
      <w:pPr>
        <w:pStyle w:val="14"/>
        <w:numPr>
          <w:ilvl w:val="0"/>
          <w:numId w:val="22"/>
        </w:numPr>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当出现金融市场发生重大变化、理财计划出现大比例规模变化等情况，为保护投资者利益，管理人有权根据市场情况超出约定比例范围投资较低风险资产。</w:t>
      </w:r>
    </w:p>
    <w:p>
      <w:pPr>
        <w:pStyle w:val="14"/>
        <w:numPr>
          <w:ilvl w:val="0"/>
          <w:numId w:val="22"/>
        </w:numPr>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本理财计划存在投资退出期，投资退出期至理财计划到期终止期间，为保障投资管理平稳运作，投资组合比例可能超出约定投资范围比例。</w:t>
      </w:r>
    </w:p>
    <w:p>
      <w:pPr>
        <w:pStyle w:val="14"/>
        <w:numPr>
          <w:ilvl w:val="0"/>
          <w:numId w:val="22"/>
        </w:numPr>
        <w:adjustRightInd/>
        <w:spacing w:line="360" w:lineRule="auto"/>
        <w:ind w:firstLine="458" w:firstLineChars="190"/>
        <w:rPr>
          <w:rFonts w:ascii="宋体" w:hAnsi="宋体" w:cs="宋体"/>
          <w:b/>
          <w:bCs w:val="0"/>
          <w:color w:val="auto"/>
          <w:kern w:val="2"/>
          <w:highlight w:val="none"/>
        </w:rPr>
      </w:pPr>
      <w:r>
        <w:rPr>
          <w:rFonts w:hint="eastAsia" w:ascii="宋体" w:hAnsi="宋体" w:cs="宋体"/>
          <w:b/>
          <w:bCs w:val="0"/>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4"/>
        <w:numPr>
          <w:ilvl w:val="0"/>
          <w:numId w:val="23"/>
        </w:numPr>
        <w:adjustRightInd/>
        <w:spacing w:line="360" w:lineRule="auto"/>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4"/>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将通过对宏观经济形势、各项国家政策、及证券市场环境的分析来判断经济周期目前的位置，主动判断市场时机进行资产配置，确定在债券、非标准化债权类资产、权益类资产等各类资产上的投资比例。</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4"/>
        <w:adjustRightInd/>
        <w:spacing w:line="360" w:lineRule="auto"/>
        <w:ind w:firstLine="480" w:firstLineChars="200"/>
        <w:rPr>
          <w:rFonts w:hint="eastAsia" w:ascii="宋体" w:hAnsi="宋体" w:cs="宋体"/>
          <w:bCs/>
          <w:highlight w:val="none"/>
        </w:rPr>
      </w:pPr>
      <w:r>
        <w:rPr>
          <w:rFonts w:hint="eastAsia" w:ascii="宋体" w:hAnsi="宋体" w:cs="宋体"/>
          <w:bCs/>
          <w:color w:val="auto"/>
          <w:kern w:val="2"/>
          <w:highlight w:val="none"/>
        </w:rPr>
        <w:t>管理人本着稳健投资的理念，在研究债券市场宏观环境和利率走势的基础上，严格评估信用风险，通过久期策略、骑乘策略、杠杆策略和交易策略等，配置固定收益资产及资产管理产品，力争获取稳定收益。</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非标准化债权类资产投资策略</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管理人发挥自身能力优势，在合规前提下开展风险可控、期限匹配的非标准化债权类资产投资，力争获取稳定收益。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0" w:firstLine="480" w:firstLineChars="200"/>
        <w:jc w:val="left"/>
        <w:outlineLvl w:val="2"/>
        <w:rPr>
          <w:rFonts w:hint="eastAsia" w:ascii="宋体" w:hAnsi="宋体" w:cs="宋体"/>
          <w:b/>
          <w:sz w:val="24"/>
          <w:highlight w:val="none"/>
        </w:rPr>
      </w:pPr>
      <w:r>
        <w:rPr>
          <w:rFonts w:hint="eastAsia" w:ascii="宋体" w:hAnsi="宋体" w:cs="宋体"/>
          <w:bCs/>
          <w:color w:val="000000"/>
          <w:sz w:val="24"/>
          <w:highlight w:val="none"/>
          <w:lang w:eastAsia="zh-CN"/>
        </w:rPr>
        <w:t>投资限制中列示的资产品种不代表管理人的实际投向，本理财计划投资范围以“投资范围”章节表述为准。</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本理财计划投资的非标准化债权类资产到期日不得晚于理财计划到期日。</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本理财计划的总资产不得超过净资产的200%。</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7"/>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投资于权益类、其他类资产的可能流动性风险（如有）：权益类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包括但不限于上市公司普通股、上市公司优先股、股票基金、股票定向增发、未上市公司股权等，受国家政策、经济周期、利率、汇率、股票发行人经营情况、大宗商品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托管人名称</w:t>
            </w:r>
          </w:p>
        </w:tc>
        <w:tc>
          <w:tcPr>
            <w:tcW w:w="6553" w:type="dxa"/>
            <w:noWrap w:val="0"/>
            <w:vAlign w:val="top"/>
          </w:tcPr>
          <w:p>
            <w:pPr>
              <w:widowControl w:val="0"/>
              <w:spacing w:line="360" w:lineRule="auto"/>
              <w:jc w:val="left"/>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托管人住所</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托管人职责</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主要提供包括账户开立、资金保管、资金结算、估值核对等理财产品托管服务。</w:t>
            </w:r>
          </w:p>
        </w:tc>
      </w:tr>
    </w:tbl>
    <w:p>
      <w:pPr>
        <w:numPr>
          <w:ilvl w:val="0"/>
          <w:numId w:val="30"/>
        </w:numPr>
        <w:spacing w:line="360" w:lineRule="auto"/>
        <w:ind w:firstLine="482"/>
        <w:jc w:val="left"/>
        <w:outlineLvl w:val="2"/>
        <w:rPr>
          <w:rFonts w:hint="eastAsia" w:ascii="宋体" w:hAnsi="宋体" w:cs="宋体"/>
          <w:bCs/>
          <w:color w:val="000000"/>
          <w:sz w:val="24"/>
          <w:highlight w:val="none"/>
        </w:rPr>
      </w:pPr>
      <w:r>
        <w:rPr>
          <w:rFonts w:hint="eastAsia" w:ascii="宋体" w:hAnsi="宋体" w:cs="宋体"/>
          <w:b/>
          <w:sz w:val="24"/>
          <w:highlight w:val="none"/>
        </w:rPr>
        <w:t>销售机构</w:t>
      </w:r>
    </w:p>
    <w:tbl>
      <w:tblPr>
        <w:tblStyle w:val="8"/>
        <w:tblW w:w="8522" w:type="dxa"/>
        <w:tblInd w:w="0" w:type="dxa"/>
        <w:tblLayout w:type="fixed"/>
        <w:tblCellMar>
          <w:top w:w="0" w:type="dxa"/>
          <w:left w:w="108" w:type="dxa"/>
          <w:bottom w:w="0" w:type="dxa"/>
          <w:right w:w="108" w:type="dxa"/>
        </w:tblCellMar>
      </w:tblPr>
      <w:tblGrid>
        <w:gridCol w:w="675"/>
        <w:gridCol w:w="1701"/>
        <w:gridCol w:w="1105"/>
        <w:gridCol w:w="5041"/>
      </w:tblGrid>
      <w:tr>
        <w:tblPrEx>
          <w:tblLayout w:type="fixed"/>
          <w:tblCellMar>
            <w:top w:w="0" w:type="dxa"/>
            <w:left w:w="108" w:type="dxa"/>
            <w:bottom w:w="0" w:type="dxa"/>
            <w:right w:w="108" w:type="dxa"/>
          </w:tblCellMar>
        </w:tblPrEx>
        <w:trPr>
          <w:trHeight w:val="300" w:hRule="atLeast"/>
        </w:trPr>
        <w:tc>
          <w:tcPr>
            <w:tcW w:w="67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销售机构信息</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杭州银行股份有限公司</w:t>
            </w:r>
          </w:p>
        </w:tc>
        <w:tc>
          <w:tcPr>
            <w:tcW w:w="11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95398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苏州银行股份有限公司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江苏省苏州工业园区钟园路728号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96067</w:t>
            </w:r>
          </w:p>
        </w:tc>
      </w:tr>
      <w:tr>
        <w:tblPrEx>
          <w:tblLayout w:type="fixed"/>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厦门银行股份有限公司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福建省厦门市思明区湖滨北路101号商业银行大厦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400-858-8888</w:t>
            </w:r>
          </w:p>
        </w:tc>
      </w:tr>
      <w:tr>
        <w:tblPrEx>
          <w:tblLayout w:type="fixed"/>
          <w:tblCellMar>
            <w:top w:w="0" w:type="dxa"/>
            <w:left w:w="108" w:type="dxa"/>
            <w:bottom w:w="0" w:type="dxa"/>
            <w:right w:w="108" w:type="dxa"/>
          </w:tblCellMar>
        </w:tblPrEx>
        <w:trPr>
          <w:trHeight w:val="30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中信银行股份有限公司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北京市朝阳区光华路10号院1号楼6-30层、32-42层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95558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齐鲁银行股份有限公司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山东省济南市历下区经十路10817号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400-609-6588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甘肃省兰州市城关区东岗西路525—1号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4008696666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杭银理财有限责任公司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浙江省杭州市拱墅区庆春路38号金龙财富中心</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400-8950-999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绍兴银行股份有限公司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浙江省绍兴市越城区中兴南路1号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4000896528</w:t>
            </w:r>
          </w:p>
        </w:tc>
      </w:tr>
      <w:tr>
        <w:tblPrEx>
          <w:tblLayout w:type="fixed"/>
          <w:tblCellMar>
            <w:top w:w="0" w:type="dxa"/>
            <w:left w:w="108" w:type="dxa"/>
            <w:bottom w:w="0" w:type="dxa"/>
            <w:right w:w="108" w:type="dxa"/>
          </w:tblCellMar>
        </w:tblPrEx>
        <w:trPr>
          <w:trHeight w:val="72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浙江萧山农村商业银行股份有限公司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浙江省杭州市萧山区城厢街道人民路258号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4008896596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海南省海口市龙华区海秀东路31号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0898-96566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秦皇岛银行股份有限公司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河北省秦皇岛市海港区河北大街西段560号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0335-96336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温州银行股份有限公司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浙江省温州市鹿城区会展路1316号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0577-96699</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中邮邮惠万家银行有限责任公司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上海市虹口区东大名路1080号25层、26层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95504</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大连农村商业银行股份有限公司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辽宁省大连经济技术开发区五彩城A区1栋-A1号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96689</w:t>
            </w:r>
          </w:p>
        </w:tc>
      </w:tr>
      <w:tr>
        <w:tblPrEx>
          <w:tblLayout w:type="fixed"/>
          <w:tblCellMar>
            <w:top w:w="0" w:type="dxa"/>
            <w:left w:w="108" w:type="dxa"/>
            <w:bottom w:w="0" w:type="dxa"/>
            <w:right w:w="108" w:type="dxa"/>
          </w:tblCellMar>
        </w:tblPrEx>
        <w:trPr>
          <w:trHeight w:val="29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吉林银行股份有限公司</w:t>
            </w: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经济开发区东南湖大路1817号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400-88-96666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福建海峡银行股份有限公司</w:t>
            </w: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福建省福州市台江区江滨中大道358号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400-893-9999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兰州银行股份有限公司</w:t>
            </w:r>
          </w:p>
        </w:tc>
        <w:tc>
          <w:tcPr>
            <w:tcW w:w="110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甘肃省兰州市酒泉路211号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400-88-96799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厦门农村商业银行股份有限公司</w:t>
            </w:r>
          </w:p>
        </w:tc>
        <w:tc>
          <w:tcPr>
            <w:tcW w:w="110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中国(福建)自由贸易试验区厦门片区东港北路31号(1层、17层、19层、27-28层、30-31层)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40083-96336</w:t>
            </w:r>
          </w:p>
        </w:tc>
      </w:tr>
      <w:tr>
        <w:tblPrEx>
          <w:tblLayout w:type="fixed"/>
          <w:tblCellMar>
            <w:top w:w="0" w:type="dxa"/>
            <w:left w:w="108" w:type="dxa"/>
            <w:bottom w:w="0" w:type="dxa"/>
            <w:right w:w="108" w:type="dxa"/>
          </w:tblCellMar>
        </w:tblPrEx>
        <w:trPr>
          <w:trHeight w:val="16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销售机构职责</w:t>
            </w:r>
          </w:p>
        </w:tc>
        <w:tc>
          <w:tcPr>
            <w:tcW w:w="7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后续如新增</w:t>
      </w:r>
      <w:r>
        <w:rPr>
          <w:rFonts w:hint="eastAsia" w:ascii="宋体" w:hAnsi="宋体" w:cs="宋体"/>
          <w:bCs/>
          <w:color w:val="000000"/>
          <w:sz w:val="24"/>
          <w:highlight w:val="none"/>
          <w:lang w:val="en-US" w:eastAsia="zh-CN"/>
        </w:rPr>
        <w:t>/减少销售机构或销售机构信息变更，请以管理人最新公告或官方网站展示为准</w:t>
      </w:r>
      <w:r>
        <w:rPr>
          <w:rFonts w:hint="eastAsia" w:ascii="宋体" w:hAnsi="宋体" w:cs="宋体"/>
          <w:bCs/>
          <w:color w:val="000000"/>
          <w:sz w:val="24"/>
          <w:highlight w:val="none"/>
        </w:rPr>
        <w:t>。</w:t>
      </w:r>
    </w:p>
    <w:p>
      <w:pPr>
        <w:spacing w:line="360" w:lineRule="auto"/>
        <w:ind w:firstLine="480" w:firstLineChars="200"/>
        <w:rPr>
          <w:rFonts w:hint="eastAsia" w:ascii="宋体" w:hAnsi="宋体" w:cs="宋体"/>
          <w:bCs/>
          <w:color w:val="000000"/>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本理财计划估值日为每个工作日，定期由理财管理人和理财托管人核对估值结果并向投资者披露，具体日期以管理人公告为准。</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4"/>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对于符合监管要求的债权类资产，按照摊余成本法进行计量。其余债权类资产，按市价法估值。市价法不能确定其公允价值的，采用估值技术进行估值。</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3"/>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3"/>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4"/>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4"/>
        <w:spacing w:line="360" w:lineRule="auto"/>
        <w:ind w:firstLine="480" w:firstLineChars="200"/>
        <w:rPr>
          <w:rFonts w:hint="eastAsia" w:ascii="宋体" w:hAnsi="宋体" w:cs="宋体"/>
          <w:bCs/>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4"/>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本理财计划涉及费用包括销售服务费、托管费、固定管理费、认购费、浮动管理费以及理财计划运作和清算中产生的其他费用等。</w:t>
      </w:r>
    </w:p>
    <w:p>
      <w:pPr>
        <w:numPr>
          <w:ilvl w:val="0"/>
          <w:numId w:val="35"/>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销售服务费</w:t>
      </w:r>
    </w:p>
    <w:p>
      <w:pPr>
        <w:spacing w:line="360" w:lineRule="auto"/>
        <w:ind w:firstLine="420" w:firstLineChars="0"/>
        <w:jc w:val="left"/>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理财计划财产分为每日计提销售服务费的〖A份额〗、〖B份额〗、〖C份额〗、〖D份额〗、〖E份额〗、〖F份额〗、〖G份额〗、〖H份额〗、〖I份额〗、〖J份额〗、〖K份额〗、〖L份额〗、〖P份额〗、〖V份额〗、〖X份额〗和销售服务费于产品成立日一次性收取的〖N份额〗、〖Q份额〗、〖R份额〗、〖S份额〗、〖U份额〗、〖W份额〗、〖Y份额〗、〖Z份额〗。A份额的年化销售服务费率为〖0.30%〗, B份额的年化销售服务费率为〖0.20%〗, C份额的年化销售服务费率为〖0.10%〗, D份额的年化销售服务费率为〖0.15%〗, E份额的年化销售服务费率为〖0.40%〗, F份额的年化销售服务费率为〖0.15%〗, G份额的年化销售服务费率为〖0.05%〗, H份额的年化销售服务费率为〖0.20%〗, I份额的年化销售服务费率为〖0.30%〗, J份额的年化销售服务费率为〖0.05%〗, K份额的年化销售服务费率为〖0.30%〗, L份额的年化销售服务费率为〖0.10%〗, N份额的年化销售服务费率为〖0.20%〗, P份额的年化销售服务费率为〖0.15%〗, Q份额的年化销售服务费率为〖0.10%〗, R份额的年化销售服务费率为〖0.15%〗, S份额的年化销售服务费率为〖0.15%〗, U份额的年化销售服务费率为〖0.20%〗, V份额的年化销售服务费率为〖0.10%〗, W份额的年化销售服务费率为〖0.30%〗, X份额的年化销售服务费率为〖0.05%〗, Y份额的年化销售服务费率为〖0.20%〗, Z份额的年化销售服务费率为〖0.10%〗。两种计算方法如下：</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（1）销售费按日计提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H1＝E1×〖0.30%〗÷365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H1为〖A份额〗每日应计提的销售服务费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E1为〖A份额〗前一日资产净值</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销售服务费原则上按日计提。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（2）销售费一次性收取</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H2＝E2×〖0.20%〗×P÷365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H2为〖N份额〗应计提的销售服务费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E2为〖N份额〗成立日产品份额</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P为产品投资期限天数</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销售服务费于产品成立日一次性收取，每日摊销。</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理财计划财产A份额的年化固定管理费率为〖0.05%〗, B份额的年化固定管理费率为〖0.05%〗, C份额的年化固定管理费率为〖0.05%〗, D份额的年化固定管理费率为〖0.05%〗, E份额的年化固定管理费率为〖0.10%〗, F份额的年化固定管理费率为〖0.05%〗, G份额的年化固定管理费率为〖0.05%〗, H份额的年化固定管理费率为〖0.05%〗, I份额的年化固定管理费率为〖0.05%〗, J份额的年化固定管理费率为〖0.05%〗, K份额的年化固定管理费率为〖0.05%〗, L份额的年化固定管理费率为〖0.05%〗, N份额的年化固定管理费率为〖0.05%〗, P份额的年化固定管理费率为〖0.05%〗, Q份额的年化固定管理费率为〖0.05%〗, R份额的年化固定管理费率为〖0.05%〗, S份额的年化固定管理费率为〖0.04%〗, U份额的年化固定管理费率为〖0.05%〗, V份额的年化固定管理费率为〖0.05%〗, W份额的年化固定管理费率为〖0.05%〗, X份额的年化固定管理费率为〖0.05%〗, Y份额的年化固定管理费率为〖0.05%〗, Z份额的年化固定管理费率为〖0.05%〗,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H＝E×〖0.05%</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份额每日应计提的固定管理费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固定管理费原则上按日计提，如理财计划实际运作结果不达业绩比较基准下限时，管理人有权减免固定管理费。</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本理财计划免除认购费。</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理财管理人根据理财计划投资情况计算浮动管理费，浮动管理费原则上按估值日计提，到期收取。具体计算方法如下：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（1）若本理财计划到期日（提前终止日）的折合年化收益率超过业绩比较基准下限但未达到业绩比较基准上限，则超过业绩比较基准下限的部分管理人收取〖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（2）若本理财计划到期日（提前终止日）的折合年化收益率超过业绩比较基准上限，则〖业绩比较基准下限(含)至上限(含)〗的部分管理人收取〖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%〗作为浮动管理费，超过〖业绩比较基准上限〗的部分管理人收取〖</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%〗+(R-S)×〖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H为理财计划到期（提前终止）时应收取浮动管理费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E为投资者持有份额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K为收取浮动管理费前投资者持有份额对应持有区间折合年化收益率</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NAV0为理财计划成立日之初的单位净值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NAV1为理财计划到期日未扣除浮动管理费前的单位净值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S为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业绩比较基准下限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N为理财计划份额成立日（含）至估值日（含）的区间天数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T为理财计划运作期间每单位份额的实际分红金额合计（如有）</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9"/>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9"/>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9"/>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投资者理财收益＝认购份额×到期日（提前终止日）单位净值+份额持有期间累计分红-认购金额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认购份额=认购金额÷1元。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到期日（提前终止日）单位净值为提取相关费用及税费后的单位理财计划份额净值。</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示例说明</w:t>
      </w:r>
    </w:p>
    <w:p>
      <w:pPr>
        <w:numPr>
          <w:ilvl w:val="0"/>
          <w:numId w:val="0"/>
        </w:numPr>
        <w:spacing w:line="360" w:lineRule="auto"/>
        <w:ind w:left="420" w:firstLine="0"/>
        <w:jc w:val="left"/>
        <w:outlineLvl w:val="2"/>
        <w:rPr>
          <w:rFonts w:hint="eastAsia" w:ascii="宋体" w:hAnsi="宋体" w:cs="宋体"/>
          <w:b/>
          <w:sz w:val="24"/>
          <w:highlight w:val="none"/>
        </w:rPr>
      </w:pPr>
      <w:r>
        <w:rPr>
          <w:rFonts w:hint="eastAsia" w:ascii="宋体" w:hAnsi="宋体" w:cs="宋体"/>
          <w:bCs/>
          <w:color w:val="000000"/>
          <w:sz w:val="24"/>
          <w:highlight w:val="none"/>
        </w:rPr>
        <w:t>以下示例均为假设情况，不构成业绩预测，不代表本理财计划实际投资业绩。</w:t>
      </w:r>
    </w:p>
    <w:p>
      <w:pPr>
        <w:numPr>
          <w:ilvl w:val="0"/>
          <w:numId w:val="41"/>
        </w:numPr>
        <w:spacing w:line="360" w:lineRule="auto"/>
        <w:jc w:val="left"/>
        <w:rPr>
          <w:rFonts w:hint="eastAsia"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到期时扣除托管费、固定管理费、销售服务费（如有）后，如理财计划未扣除浮动管理费前的净值为1.0615，此时，(1.0615÷1.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00-1)×365÷362=6.20%&gt;5.00%，即</w:t>
      </w:r>
      <w:r>
        <w:rPr>
          <w:rFonts w:hint="eastAsia" w:ascii="宋体" w:hAnsi="宋体" w:cs="宋体"/>
          <w:bCs/>
          <w:color w:val="000000"/>
          <w:sz w:val="24"/>
          <w:highlight w:val="none"/>
          <w:lang w:val="en-US" w:eastAsia="zh-CN"/>
        </w:rPr>
        <w:t>在</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4.00%-5.00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投资收益</w:t>
      </w:r>
      <w:r>
        <w:rPr>
          <w:rFonts w:hint="eastAsia" w:ascii="宋体" w:hAnsi="宋体" w:cs="宋体"/>
          <w:bCs/>
          <w:color w:val="000000"/>
          <w:sz w:val="24"/>
          <w:highlight w:val="none"/>
          <w:lang w:val="en-US" w:eastAsia="zh-CN"/>
        </w:rPr>
        <w:t>管理人收取80%作为浮动管理费，</w:t>
      </w:r>
      <w:r>
        <w:rPr>
          <w:rFonts w:hint="eastAsia" w:ascii="宋体" w:hAnsi="宋体" w:cs="宋体"/>
          <w:bCs/>
          <w:color w:val="000000"/>
          <w:sz w:val="24"/>
          <w:highlight w:val="none"/>
        </w:rPr>
        <w:t>超过〖5.00%〗</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w:t>
      </w:r>
      <w:r>
        <w:rPr>
          <w:rFonts w:hint="eastAsia" w:ascii="宋体" w:hAnsi="宋体" w:cs="宋体"/>
          <w:bCs/>
          <w:color w:val="000000"/>
          <w:sz w:val="24"/>
          <w:highlight w:val="none"/>
          <w:lang w:val="en-US" w:eastAsia="zh-CN"/>
        </w:rPr>
        <w:t>收益管理人收取100%作为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1.0615÷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100</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%-4</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%)×80%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×362÷365=</w:t>
      </w:r>
      <w:r>
        <w:rPr>
          <w:rFonts w:hint="eastAsia" w:ascii="宋体" w:hAnsi="宋体" w:cs="宋体"/>
          <w:bCs/>
          <w:color w:val="000000"/>
          <w:sz w:val="24"/>
          <w:highlight w:val="none"/>
          <w:lang w:val="en-US" w:eastAsia="zh-CN"/>
        </w:rPr>
        <w:t>1,984.52</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0,000.00×（1.0615-1.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00）-1,984.52= 4,165.48（元）</w:t>
      </w:r>
    </w:p>
    <w:p>
      <w:pPr>
        <w:numPr>
          <w:ilvl w:val="0"/>
          <w:numId w:val="41"/>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lang w:eastAsia="zh-CN"/>
        </w:rPr>
        <w:t>，</w:t>
      </w:r>
      <w:r>
        <w:rPr>
          <w:rFonts w:hint="eastAsia" w:ascii="宋体" w:hAnsi="宋体" w:cs="宋体"/>
          <w:b/>
          <w:color w:val="000000"/>
          <w:sz w:val="24"/>
          <w:highlight w:val="none"/>
          <w:lang w:val="en-US" w:eastAsia="zh-CN"/>
        </w:rPr>
        <w:t>但未达到业绩比较基准上限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理财计划未扣除浮动管理费前的净值为1.0415，此时，(1.0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00-1)×365÷362=4.18%，即投资收益超过〖4.00%〗</w:t>
      </w:r>
      <w:r>
        <w:rPr>
          <w:rFonts w:hint="eastAsia" w:ascii="宋体" w:hAnsi="宋体" w:cs="宋体"/>
          <w:bCs/>
          <w:color w:val="000000"/>
          <w:sz w:val="24"/>
          <w:highlight w:val="none"/>
          <w:lang w:val="en-US" w:eastAsia="zh-CN"/>
        </w:rPr>
        <w:t>但未达到</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.00%〗，则超过〖4.00%〗部分</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rPr>
        <w:t>投资收益管理人收取</w:t>
      </w:r>
      <w:r>
        <w:rPr>
          <w:rFonts w:hint="eastAsia" w:ascii="宋体" w:hAnsi="宋体" w:cs="宋体"/>
          <w:bCs/>
          <w:color w:val="000000"/>
          <w:sz w:val="24"/>
          <w:highlight w:val="none"/>
          <w:lang w:val="en-US" w:eastAsia="zh-CN"/>
        </w:rPr>
        <w:t>80%作为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1.0415÷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362-4.00%]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80%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w:t>
      </w:r>
      <w:r>
        <w:rPr>
          <w:rFonts w:hint="eastAsia" w:ascii="宋体" w:hAnsi="宋体" w:cs="宋体"/>
          <w:bCs/>
          <w:color w:val="000000"/>
          <w:sz w:val="24"/>
          <w:highlight w:val="none"/>
        </w:rPr>
        <w:t>÷365=146.30（元）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100,000.00×（1.0415-1.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00）-146.30 =4</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003.70（元）</w:t>
      </w:r>
    </w:p>
    <w:p>
      <w:pPr>
        <w:numPr>
          <w:ilvl w:val="0"/>
          <w:numId w:val="41"/>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三</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扣除托管费、固定管理费、销售服务费（如有）后，投资收益率未达到〖</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到期时扣除托管费、固定管理费、销售服务费（如有）后，如理财计划未扣除浮动管理费前的净值为1.0362，此时，(1.0362÷1.00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-1)×365÷362=3.65%&lt;</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.00%，即投资收益未达到〖4.00%〗，则投资管理人不收取浮动管理费，投资者最终收益为：100,000.00×(1.0365-1.00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）=3,650.00（元）</w:t>
      </w:r>
    </w:p>
    <w:p>
      <w:pPr>
        <w:numPr>
          <w:ilvl w:val="0"/>
          <w:numId w:val="41"/>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四</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到期时扣除托管费、固定管理费、销售服务费（如有）后，如理财计划未扣除浮动管理费前的净值为0.9975，则投资管理人不收取浮动管理费，投资者最终收益为：100,000.00×（0.9975-1.00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）=-250.00（元）。</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如新增认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4"/>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4"/>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申购及赎回</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本理财计划封闭式运作，存续期间不开放申购和赎回。</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具体以销售机构规定为准）</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szCs w:val="24"/>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如发生以下事项时，管理人可对本理财计划行使全部或部分提前终止权：</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融资人行使提前到期或还款权利的。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8"/>
        </w:numPr>
        <w:spacing w:line="360" w:lineRule="auto"/>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4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4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8"/>
        </w:numPr>
        <w:spacing w:line="360" w:lineRule="auto"/>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理财计划净值：管理人应在理财计划成立后，每周披露一次净值。</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如本理财计划成立不足90个工作日或剩余存续期不超过90个工作日的，管理人可不编制当期的季度、半年和年度报告等运行报告。</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8"/>
        </w:numPr>
        <w:spacing w:line="360" w:lineRule="auto"/>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2"/>
        </w:numPr>
        <w:tabs>
          <w:tab w:val="left" w:pos="6090"/>
        </w:tabs>
        <w:spacing w:line="360" w:lineRule="auto"/>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授权使用时限与履行相关法律法规和监管要求的必要时限一致。</w:t>
      </w:r>
    </w:p>
    <w:p>
      <w:pPr>
        <w:numPr>
          <w:ilvl w:val="0"/>
          <w:numId w:val="5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被告人所在地有管辖权的人民法院诉讼解决。</w:t>
      </w:r>
    </w:p>
    <w:p>
      <w:pPr>
        <w:numPr>
          <w:ilvl w:val="0"/>
          <w:numId w:val="5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202502</w:t>
      </w:r>
      <w:r>
        <w:rPr>
          <w:rFonts w:hint="eastAsia" w:ascii="宋体" w:hAnsi="宋体" w:cs="宋体"/>
          <w:sz w:val="28"/>
          <w:szCs w:val="28"/>
          <w:highlight w:val="none"/>
        </w:rPr>
        <w:t>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3"/>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w:t>
      </w:r>
      <w:r>
        <w:rPr>
          <w:rFonts w:hint="eastAsia" w:ascii="宋体" w:hAnsi="宋体" w:cs="宋体"/>
          <w:kern w:val="0"/>
          <w:sz w:val="24"/>
          <w:highlight w:val="none"/>
          <w:lang w:val="en-US" w:eastAsia="zh-CN"/>
        </w:rPr>
        <w:t>代理销售</w:t>
      </w:r>
      <w:r>
        <w:rPr>
          <w:rFonts w:hint="eastAsia" w:ascii="宋体" w:hAnsi="宋体" w:cs="宋体"/>
          <w:kern w:val="0"/>
          <w:sz w:val="24"/>
          <w:highlight w:val="none"/>
          <w:lang w:eastAsia="zh-CN"/>
        </w:rPr>
        <w:t>）销售协议书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r>
        <w:rPr>
          <w:rFonts w:hint="eastAsia" w:ascii="宋体" w:hAnsi="宋体" w:cs="宋体"/>
          <w:kern w:val="0"/>
          <w:sz w:val="24"/>
          <w:highlight w:val="none"/>
          <w:lang w:val="en-US" w:eastAsia="zh-CN"/>
        </w:rPr>
        <w:t>在没有销售人员推介的情况下，投资者通过自助终端等电子设备进行自主购买的情况除外。</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55"/>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机构投资者及进取型的个人投资者</w:t>
            </w:r>
          </w:p>
        </w:tc>
      </w:tr>
    </w:tbl>
    <w:p>
      <w:pPr>
        <w:pStyle w:val="14"/>
        <w:adjustRightInd/>
        <w:spacing w:line="360" w:lineRule="auto"/>
        <w:ind w:firstLine="480" w:firstLineChars="200"/>
        <w:rPr>
          <w:rFonts w:hint="default" w:ascii="宋体" w:hAnsi="宋体" w:eastAsia="宋体" w:cs="宋体"/>
          <w:b/>
          <w:kern w:val="0"/>
          <w:sz w:val="24"/>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numPr>
          <w:ilvl w:val="0"/>
          <w:numId w:val="56"/>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58"/>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58"/>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58"/>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58"/>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0"/>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投资者如认为理财</w:t>
      </w:r>
      <w:r>
        <w:rPr>
          <w:rFonts w:hint="eastAsia" w:ascii="宋体" w:hAnsi="宋体" w:cs="宋体"/>
          <w:kern w:val="0"/>
          <w:sz w:val="24"/>
          <w:highlight w:val="none"/>
          <w:lang w:val="en-US" w:eastAsia="zh-CN"/>
        </w:rPr>
        <w:t>计划</w:t>
      </w:r>
      <w:r>
        <w:rPr>
          <w:rFonts w:hint="eastAsia" w:ascii="宋体" w:hAnsi="宋体" w:cs="宋体"/>
          <w:kern w:val="0"/>
          <w:sz w:val="24"/>
          <w:highlight w:val="none"/>
        </w:rPr>
        <w:t>推介销售材料及过程中有不实或未尽风险告知职责或其它疑义事项，或对理财计划、销售机构及理财计划管理人服务有任何意见或建议，可通过拨打销售机构</w:t>
      </w:r>
      <w:r>
        <w:rPr>
          <w:rFonts w:hint="eastAsia" w:ascii="宋体" w:hAnsi="宋体" w:cs="宋体"/>
          <w:kern w:val="0"/>
          <w:sz w:val="24"/>
          <w:highlight w:val="none"/>
          <w:lang w:val="en-US" w:eastAsia="zh-CN"/>
        </w:rPr>
        <w:t>或管理人</w:t>
      </w:r>
      <w:r>
        <w:rPr>
          <w:rFonts w:hint="eastAsia" w:ascii="宋体" w:hAnsi="宋体" w:cs="宋体"/>
          <w:kern w:val="0"/>
          <w:sz w:val="24"/>
          <w:highlight w:val="none"/>
        </w:rPr>
        <w:t>热线或客服电话进行反馈</w:t>
      </w:r>
      <w:r>
        <w:rPr>
          <w:rFonts w:hint="eastAsia" w:ascii="宋体" w:hAnsi="宋体" w:cs="宋体"/>
          <w:kern w:val="0"/>
          <w:sz w:val="24"/>
          <w:highlight w:val="none"/>
          <w:lang w:eastAsia="zh-CN"/>
        </w:rPr>
        <w:t>，</w:t>
      </w:r>
      <w:r>
        <w:rPr>
          <w:rFonts w:hint="eastAsia" w:ascii="宋体" w:hAnsi="宋体" w:cs="宋体"/>
          <w:kern w:val="0"/>
          <w:sz w:val="24"/>
          <w:highlight w:val="none"/>
        </w:rPr>
        <w:t>将由专人接听、记录您的意见建议，并由双方协商共同解决。</w:t>
      </w:r>
    </w:p>
    <w:p>
      <w:pPr>
        <w:numPr>
          <w:ilvl w:val="0"/>
          <w:numId w:val="60"/>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杭银理财联络方式：</w:t>
      </w:r>
    </w:p>
    <w:p>
      <w:pPr>
        <w:numPr>
          <w:ilvl w:val="0"/>
          <w:numId w:val="61"/>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1"/>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61"/>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fldChar w:fldCharType="begin"/>
      </w:r>
      <w:r>
        <w:rPr>
          <w:rStyle w:val="11"/>
          <w:rFonts w:hint="eastAsia" w:ascii="宋体" w:hAnsi="宋体" w:cs="宋体"/>
          <w:color w:val="auto"/>
          <w:kern w:val="0"/>
          <w:sz w:val="24"/>
          <w:highlight w:val="none"/>
          <w:u w:val="none"/>
          <w:lang w:val="en-US" w:eastAsia="zh-CN"/>
        </w:rPr>
        <w:instrText xml:space="preserve"> HYPERLINK "http://www.hzbankwealth.cn" </w:instrText>
      </w:r>
      <w:r>
        <w:fldChar w:fldCharType="separate"/>
      </w:r>
      <w:r>
        <w:rPr>
          <w:rStyle w:val="11"/>
          <w:rFonts w:hint="eastAsia" w:ascii="宋体" w:hAnsi="宋体" w:cs="宋体"/>
          <w:color w:val="auto"/>
          <w:kern w:val="0"/>
          <w:sz w:val="24"/>
          <w:highlight w:val="none"/>
          <w:u w:val="none"/>
          <w:lang w:val="en-US" w:eastAsia="zh-CN"/>
        </w:rPr>
        <w:t>www.hzbank.com.cn</w:t>
      </w:r>
      <w: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202502</w:t>
      </w:r>
      <w:r>
        <w:rPr>
          <w:rFonts w:hint="eastAsia" w:ascii="宋体" w:hAnsi="宋体" w:cs="宋体"/>
          <w:sz w:val="28"/>
          <w:szCs w:val="28"/>
          <w:highlight w:val="none"/>
        </w:rPr>
        <w:t>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6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4"/>
        </w:numPr>
        <w:spacing w:line="360" w:lineRule="auto"/>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sz w:val="24"/>
          <w:highlight w:val="none"/>
          <w:lang w:eastAsia="zh-CN"/>
        </w:rPr>
        <w:t>，</w:t>
      </w:r>
      <w:r>
        <w:rPr>
          <w:rFonts w:hint="eastAsia" w:ascii="宋体" w:hAnsi="宋体" w:cs="宋体"/>
          <w:b w:val="0"/>
          <w:bCs/>
          <w:color w:val="000000"/>
          <w:sz w:val="24"/>
          <w:highlight w:val="none"/>
          <w:lang w:val="en-US" w:eastAsia="zh-CN"/>
        </w:rPr>
        <w:t>授权使用时限与履行相关法律法规和监管要求的必要时限一致</w:t>
      </w:r>
      <w:r>
        <w:rPr>
          <w:rFonts w:hint="eastAsia" w:ascii="宋体" w:hAnsi="宋体" w:cs="宋体"/>
          <w:b w:val="0"/>
          <w:bCs/>
          <w:color w:val="000000"/>
          <w:sz w:val="24"/>
          <w:highlight w:val="none"/>
        </w:rPr>
        <w:t>。</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val="en-US" w:eastAsia="zh-CN"/>
        </w:rPr>
        <w:t>被告人</w:t>
      </w:r>
      <w:r>
        <w:rPr>
          <w:rFonts w:hint="eastAsia" w:ascii="宋体" w:hAnsi="宋体"/>
          <w:sz w:val="24"/>
          <w:highlight w:val="none"/>
        </w:rPr>
        <w:t>所在地人民法院司法裁决。诉讼期间，未涉及争议的条款仍需继续履行。</w:t>
      </w:r>
    </w:p>
    <w:p>
      <w:pPr>
        <w:spacing w:line="360" w:lineRule="auto"/>
        <w:ind w:left="482"/>
        <w:rPr>
          <w:b/>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68"/>
        </w:numPr>
        <w:spacing w:line="360" w:lineRule="auto"/>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68"/>
        </w:numPr>
        <w:spacing w:line="360" w:lineRule="auto"/>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68"/>
        </w:numPr>
        <w:spacing w:line="360" w:lineRule="auto"/>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pStyle w:val="6"/>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outlineLvl w:val="9"/>
        <w:rPr>
          <w:rFonts w:hint="eastAsia" w:ascii="Arial" w:hAnsi="Arial"/>
          <w:sz w:val="24"/>
          <w:highlight w:val="none"/>
        </w:rPr>
      </w:pPr>
      <w:r>
        <w:rPr>
          <w:rFonts w:hint="eastAsia" w:ascii="Arial" w:hAnsi="Arial"/>
          <w:sz w:val="24"/>
          <w:highlight w:val="none"/>
        </w:rPr>
        <w:t xml:space="preserve">   年   月   日</w:t>
      </w: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both"/>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202502</w:t>
      </w:r>
      <w:r>
        <w:rPr>
          <w:rFonts w:hint="eastAsia" w:ascii="宋体" w:hAnsi="宋体" w:eastAsia="宋体" w:cs="宋体"/>
          <w:sz w:val="28"/>
          <w:szCs w:val="28"/>
          <w:highlight w:val="none"/>
        </w:rPr>
        <w:t>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（20250</w:t>
      </w:r>
      <w:r>
        <w:rPr>
          <w:rFonts w:hint="eastAsia" w:ascii="宋体" w:hAnsi="宋体" w:cs="宋体"/>
          <w:b/>
          <w:bCs/>
          <w:sz w:val="24"/>
          <w:highlight w:val="none"/>
          <w:lang w:val="en-US" w:eastAsia="zh-CN"/>
        </w:rPr>
        <w:t>2</w:t>
      </w:r>
      <w:bookmarkStart w:id="2" w:name="_GoBack"/>
      <w:bookmarkEnd w:id="2"/>
      <w:r>
        <w:rPr>
          <w:rFonts w:hint="eastAsia" w:ascii="Calibri" w:hAnsi="Calibri" w:eastAsia="宋体" w:cs="黑体"/>
          <w:b/>
          <w:bCs/>
          <w:sz w:val="24"/>
          <w:highlight w:val="none"/>
          <w:lang w:val="en-US" w:eastAsia="zh-CN"/>
        </w:rPr>
        <w:t>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69"/>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69"/>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销售机构对投资者负有信息保密义务，未经投资者书面许可，销售机构不得向任何组织、个人提供或泄露与投资者有关的业务资料及信息，但法律、法规</w:t>
      </w:r>
      <w:bookmarkStart w:id="1" w:name="OLE_LINK3"/>
      <w:r>
        <w:rPr>
          <w:rFonts w:hint="eastAsia" w:ascii="宋体" w:hAnsi="宋体" w:eastAsia="宋体" w:cs="黑体"/>
          <w:sz w:val="24"/>
          <w:highlight w:val="none"/>
          <w:lang w:val="en-US" w:eastAsia="zh-CN"/>
        </w:rPr>
        <w:t>、监管机构</w:t>
      </w:r>
      <w:bookmarkEnd w:id="1"/>
      <w:r>
        <w:rPr>
          <w:rFonts w:hint="eastAsia" w:ascii="宋体" w:hAnsi="宋体" w:eastAsia="宋体" w:cs="黑体"/>
          <w:sz w:val="24"/>
          <w:highlight w:val="none"/>
          <w:lang w:val="en-US" w:eastAsia="zh-CN"/>
        </w:rPr>
        <w:t>另有规定的除外。</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64"/>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64"/>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64"/>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78"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被告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w:t>
      </w:r>
      <w:r>
        <w:rPr>
          <w:rFonts w:hint="eastAsia" w:ascii="宋体" w:hAnsi="宋体"/>
          <w:sz w:val="24"/>
          <w:highlight w:val="none"/>
        </w:rPr>
        <w:t>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各执壹份，具有同等法律效力。</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7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7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7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default"/>
          <w:highlight w:val="none"/>
          <w:lang w:val="en-US" w:eastAsia="zh-CN"/>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b/>
        <w:bCs/>
      </w:rPr>
      <w:t>理财非存款 产品有风险 投资</w:t>
    </w:r>
    <w:r>
      <w:rPr>
        <w:rFonts w:hint="eastAsia"/>
        <w:b/>
        <w:bCs/>
        <w:lang w:val="en-US" w:eastAsia="zh-CN"/>
      </w:rPr>
      <w:t>须</w:t>
    </w:r>
    <w:r>
      <w:rPr>
        <w:rFonts w:hint="eastAsia"/>
        <w:b/>
        <w:bCs/>
      </w:rPr>
      <w:t>谨慎</w:t>
    </w:r>
    <w:r>
      <w:rPr>
        <w:b/>
        <w:bCs/>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4">
    <w:nsid w:val="D8D75090"/>
    <w:multiLevelType w:val="singleLevel"/>
    <w:tmpl w:val="D8D75090"/>
    <w:lvl w:ilvl="0" w:tentative="0">
      <w:start w:val="1"/>
      <w:numFmt w:val="decimal"/>
      <w:suff w:val="nothing"/>
      <w:lvlText w:val="（%1）"/>
      <w:lvlJc w:val="left"/>
      <w:rPr>
        <w:rFonts w:hint="default"/>
        <w:b w:val="0"/>
        <w:bCs w:val="0"/>
      </w:rPr>
    </w:lvl>
  </w:abstractNum>
  <w:abstractNum w:abstractNumId="25">
    <w:nsid w:val="DD2251DF"/>
    <w:multiLevelType w:val="singleLevel"/>
    <w:tmpl w:val="DD2251DF"/>
    <w:lvl w:ilvl="0" w:tentative="0">
      <w:start w:val="1"/>
      <w:numFmt w:val="decimal"/>
      <w:suff w:val="nothing"/>
      <w:lvlText w:val="（%1）"/>
      <w:lvlJc w:val="left"/>
      <w:rPr>
        <w:rFonts w:hint="default"/>
        <w:b w:val="0"/>
        <w:bCs w:val="0"/>
      </w:rPr>
    </w:lvl>
  </w:abstractNum>
  <w:abstractNum w:abstractNumId="26">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7">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8">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8">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39">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5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5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5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5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5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5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5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6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6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6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6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6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6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0">
    <w:nsid w:val="62F21FDB"/>
    <w:multiLevelType w:val="multilevel"/>
    <w:tmpl w:val="62F21F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68F6C37C"/>
    <w:multiLevelType w:val="singleLevel"/>
    <w:tmpl w:val="68F6C37C"/>
    <w:lvl w:ilvl="0" w:tentative="0">
      <w:start w:val="1"/>
      <w:numFmt w:val="decimal"/>
      <w:lvlText w:val="%1."/>
      <w:lvlJc w:val="left"/>
      <w:pPr>
        <w:tabs>
          <w:tab w:val="left" w:pos="312"/>
        </w:tabs>
      </w:pPr>
      <w:rPr>
        <w:rFonts w:hint="default"/>
        <w:highlight w:val="none"/>
      </w:rPr>
    </w:lvl>
  </w:abstractNum>
  <w:abstractNum w:abstractNumId="7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0"/>
  </w:num>
  <w:num w:numId="3">
    <w:abstractNumId w:val="43"/>
  </w:num>
  <w:num w:numId="4">
    <w:abstractNumId w:val="38"/>
  </w:num>
  <w:num w:numId="5">
    <w:abstractNumId w:val="21"/>
  </w:num>
  <w:num w:numId="6">
    <w:abstractNumId w:val="73"/>
  </w:num>
  <w:num w:numId="7">
    <w:abstractNumId w:val="32"/>
  </w:num>
  <w:num w:numId="8">
    <w:abstractNumId w:val="74"/>
  </w:num>
  <w:num w:numId="9">
    <w:abstractNumId w:val="48"/>
  </w:num>
  <w:num w:numId="10">
    <w:abstractNumId w:val="45"/>
  </w:num>
  <w:num w:numId="11">
    <w:abstractNumId w:val="30"/>
  </w:num>
  <w:num w:numId="12">
    <w:abstractNumId w:val="28"/>
  </w:num>
  <w:num w:numId="13">
    <w:abstractNumId w:val="34"/>
  </w:num>
  <w:num w:numId="14">
    <w:abstractNumId w:val="27"/>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3"/>
  </w:num>
  <w:num w:numId="22">
    <w:abstractNumId w:val="71"/>
  </w:num>
  <w:num w:numId="23">
    <w:abstractNumId w:val="5"/>
  </w:num>
  <w:num w:numId="24">
    <w:abstractNumId w:val="1"/>
  </w:num>
  <w:num w:numId="25">
    <w:abstractNumId w:val="44"/>
  </w:num>
  <w:num w:numId="26">
    <w:abstractNumId w:val="29"/>
  </w:num>
  <w:num w:numId="27">
    <w:abstractNumId w:val="20"/>
  </w:num>
  <w:num w:numId="28">
    <w:abstractNumId w:val="39"/>
  </w:num>
  <w:num w:numId="29">
    <w:abstractNumId w:val="23"/>
  </w:num>
  <w:num w:numId="30">
    <w:abstractNumId w:val="6"/>
  </w:num>
  <w:num w:numId="31">
    <w:abstractNumId w:val="47"/>
  </w:num>
  <w:num w:numId="32">
    <w:abstractNumId w:val="4"/>
  </w:num>
  <w:num w:numId="33">
    <w:abstractNumId w:val="70"/>
  </w:num>
  <w:num w:numId="34">
    <w:abstractNumId w:val="37"/>
  </w:num>
  <w:num w:numId="35">
    <w:abstractNumId w:val="72"/>
  </w:num>
  <w:num w:numId="36">
    <w:abstractNumId w:val="31"/>
  </w:num>
  <w:num w:numId="37">
    <w:abstractNumId w:val="25"/>
  </w:num>
  <w:num w:numId="38">
    <w:abstractNumId w:val="42"/>
  </w:num>
  <w:num w:numId="39">
    <w:abstractNumId w:val="2"/>
  </w:num>
  <w:num w:numId="40">
    <w:abstractNumId w:val="26"/>
  </w:num>
  <w:num w:numId="41">
    <w:abstractNumId w:val="17"/>
  </w:num>
  <w:num w:numId="42">
    <w:abstractNumId w:val="46"/>
  </w:num>
  <w:num w:numId="43">
    <w:abstractNumId w:val="35"/>
  </w:num>
  <w:num w:numId="44">
    <w:abstractNumId w:val="19"/>
  </w:num>
  <w:num w:numId="45">
    <w:abstractNumId w:val="49"/>
  </w:num>
  <w:num w:numId="46">
    <w:abstractNumId w:val="12"/>
  </w:num>
  <w:num w:numId="47">
    <w:abstractNumId w:val="10"/>
  </w:num>
  <w:num w:numId="48">
    <w:abstractNumId w:val="13"/>
  </w:num>
  <w:num w:numId="49">
    <w:abstractNumId w:val="36"/>
  </w:num>
  <w:num w:numId="50">
    <w:abstractNumId w:val="24"/>
  </w:num>
  <w:num w:numId="51">
    <w:abstractNumId w:val="3"/>
  </w:num>
  <w:num w:numId="52">
    <w:abstractNumId w:val="41"/>
  </w:num>
  <w:num w:numId="53">
    <w:abstractNumId w:val="57"/>
  </w:num>
  <w:num w:numId="54">
    <w:abstractNumId w:val="56"/>
  </w:num>
  <w:num w:numId="55">
    <w:abstractNumId w:val="58"/>
  </w:num>
  <w:num w:numId="56">
    <w:abstractNumId w:val="59"/>
  </w:num>
  <w:num w:numId="57">
    <w:abstractNumId w:val="60"/>
  </w:num>
  <w:num w:numId="58">
    <w:abstractNumId w:val="61"/>
  </w:num>
  <w:num w:numId="59">
    <w:abstractNumId w:val="62"/>
  </w:num>
  <w:num w:numId="60">
    <w:abstractNumId w:val="63"/>
  </w:num>
  <w:num w:numId="61">
    <w:abstractNumId w:val="40"/>
  </w:num>
  <w:num w:numId="62">
    <w:abstractNumId w:val="16"/>
  </w:num>
  <w:num w:numId="63">
    <w:abstractNumId w:val="50"/>
  </w:num>
  <w:num w:numId="64">
    <w:abstractNumId w:val="51"/>
  </w:num>
  <w:num w:numId="65">
    <w:abstractNumId w:val="52"/>
  </w:num>
  <w:num w:numId="66">
    <w:abstractNumId w:val="53"/>
  </w:num>
  <w:num w:numId="67">
    <w:abstractNumId w:val="54"/>
  </w:num>
  <w:num w:numId="68">
    <w:abstractNumId w:val="55"/>
  </w:num>
  <w:num w:numId="69">
    <w:abstractNumId w:val="64"/>
  </w:num>
  <w:num w:numId="70">
    <w:abstractNumId w:val="65"/>
  </w:num>
  <w:num w:numId="71">
    <w:abstractNumId w:val="15"/>
  </w:num>
  <w:num w:numId="72">
    <w:abstractNumId w:val="66"/>
  </w:num>
  <w:num w:numId="73">
    <w:abstractNumId w:val="67"/>
  </w:num>
  <w:num w:numId="74">
    <w:abstractNumId w:val="68"/>
  </w:num>
  <w:num w:numId="75">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0B1563"/>
    <w:rsid w:val="000C5797"/>
    <w:rsid w:val="00123AE9"/>
    <w:rsid w:val="00140EE3"/>
    <w:rsid w:val="00175D3F"/>
    <w:rsid w:val="00187BC5"/>
    <w:rsid w:val="00194470"/>
    <w:rsid w:val="001B4676"/>
    <w:rsid w:val="001C01B2"/>
    <w:rsid w:val="001D2C7B"/>
    <w:rsid w:val="002141BE"/>
    <w:rsid w:val="00232E3B"/>
    <w:rsid w:val="0023532C"/>
    <w:rsid w:val="00263368"/>
    <w:rsid w:val="00274E11"/>
    <w:rsid w:val="00304AEE"/>
    <w:rsid w:val="00327FC6"/>
    <w:rsid w:val="00343F73"/>
    <w:rsid w:val="00386FEC"/>
    <w:rsid w:val="003A1A36"/>
    <w:rsid w:val="003A3C2F"/>
    <w:rsid w:val="003D1B3C"/>
    <w:rsid w:val="003E5127"/>
    <w:rsid w:val="003E5FE8"/>
    <w:rsid w:val="004556BB"/>
    <w:rsid w:val="00475C26"/>
    <w:rsid w:val="004A724E"/>
    <w:rsid w:val="005571F8"/>
    <w:rsid w:val="00557E0E"/>
    <w:rsid w:val="00652A77"/>
    <w:rsid w:val="006B63C1"/>
    <w:rsid w:val="00720124"/>
    <w:rsid w:val="007542C9"/>
    <w:rsid w:val="00765C48"/>
    <w:rsid w:val="00773199"/>
    <w:rsid w:val="00793C62"/>
    <w:rsid w:val="007C65CD"/>
    <w:rsid w:val="008207F1"/>
    <w:rsid w:val="00852C69"/>
    <w:rsid w:val="00873DE6"/>
    <w:rsid w:val="00882FCB"/>
    <w:rsid w:val="008C74C9"/>
    <w:rsid w:val="008D78BD"/>
    <w:rsid w:val="008E13C5"/>
    <w:rsid w:val="00901BED"/>
    <w:rsid w:val="00902D93"/>
    <w:rsid w:val="00914DAB"/>
    <w:rsid w:val="00993044"/>
    <w:rsid w:val="009B2DC4"/>
    <w:rsid w:val="009B40C6"/>
    <w:rsid w:val="009B64A7"/>
    <w:rsid w:val="009C3F7C"/>
    <w:rsid w:val="009C43A4"/>
    <w:rsid w:val="00A20F48"/>
    <w:rsid w:val="00A338FE"/>
    <w:rsid w:val="00A77F3E"/>
    <w:rsid w:val="00B765F3"/>
    <w:rsid w:val="00C012A2"/>
    <w:rsid w:val="00C07905"/>
    <w:rsid w:val="00C2564F"/>
    <w:rsid w:val="00C944CB"/>
    <w:rsid w:val="00D06904"/>
    <w:rsid w:val="00D07D02"/>
    <w:rsid w:val="00D14693"/>
    <w:rsid w:val="00D16C82"/>
    <w:rsid w:val="00D34068"/>
    <w:rsid w:val="00D41665"/>
    <w:rsid w:val="00D44268"/>
    <w:rsid w:val="00D47AB0"/>
    <w:rsid w:val="00D61838"/>
    <w:rsid w:val="00D767CF"/>
    <w:rsid w:val="00DA1B4C"/>
    <w:rsid w:val="00DC5F5C"/>
    <w:rsid w:val="00DF33CE"/>
    <w:rsid w:val="00E13193"/>
    <w:rsid w:val="00E35C54"/>
    <w:rsid w:val="00E406C4"/>
    <w:rsid w:val="00E7096F"/>
    <w:rsid w:val="00EB473B"/>
    <w:rsid w:val="00EE319D"/>
    <w:rsid w:val="00F0077E"/>
    <w:rsid w:val="00F50192"/>
    <w:rsid w:val="00F5498F"/>
    <w:rsid w:val="00F5749D"/>
    <w:rsid w:val="00F8181B"/>
    <w:rsid w:val="00FA0296"/>
    <w:rsid w:val="00FA6CE7"/>
    <w:rsid w:val="00FE2923"/>
    <w:rsid w:val="02562BF7"/>
    <w:rsid w:val="02FF6A3A"/>
    <w:rsid w:val="03BA3F56"/>
    <w:rsid w:val="0460442C"/>
    <w:rsid w:val="04CC55AF"/>
    <w:rsid w:val="0500018B"/>
    <w:rsid w:val="05B13762"/>
    <w:rsid w:val="07376664"/>
    <w:rsid w:val="09130B13"/>
    <w:rsid w:val="0B1A5A6E"/>
    <w:rsid w:val="0B2D0BA7"/>
    <w:rsid w:val="0B9F06D4"/>
    <w:rsid w:val="0BFD0501"/>
    <w:rsid w:val="0C583EF5"/>
    <w:rsid w:val="0D6706EF"/>
    <w:rsid w:val="0DBE77E4"/>
    <w:rsid w:val="0E2830EC"/>
    <w:rsid w:val="101F6BD5"/>
    <w:rsid w:val="10504FB0"/>
    <w:rsid w:val="110C5156"/>
    <w:rsid w:val="110E3B80"/>
    <w:rsid w:val="117A174C"/>
    <w:rsid w:val="118D4B5D"/>
    <w:rsid w:val="11BF48B2"/>
    <w:rsid w:val="120050A9"/>
    <w:rsid w:val="133A19E0"/>
    <w:rsid w:val="13FC36E3"/>
    <w:rsid w:val="1442705A"/>
    <w:rsid w:val="14AD62A1"/>
    <w:rsid w:val="155F3FC2"/>
    <w:rsid w:val="15841F16"/>
    <w:rsid w:val="15C972B9"/>
    <w:rsid w:val="15FFB4E2"/>
    <w:rsid w:val="162A128A"/>
    <w:rsid w:val="16563388"/>
    <w:rsid w:val="17432384"/>
    <w:rsid w:val="175C17AC"/>
    <w:rsid w:val="17611875"/>
    <w:rsid w:val="1783542D"/>
    <w:rsid w:val="179972B0"/>
    <w:rsid w:val="17C82AD1"/>
    <w:rsid w:val="18FC27C6"/>
    <w:rsid w:val="1A835642"/>
    <w:rsid w:val="1B4B1291"/>
    <w:rsid w:val="1B757EAF"/>
    <w:rsid w:val="1CAD01AC"/>
    <w:rsid w:val="1D4F0AE0"/>
    <w:rsid w:val="1D866C77"/>
    <w:rsid w:val="1D9446FE"/>
    <w:rsid w:val="1DFF113E"/>
    <w:rsid w:val="1E831DF3"/>
    <w:rsid w:val="1E856DEB"/>
    <w:rsid w:val="1F3C1565"/>
    <w:rsid w:val="20BD2325"/>
    <w:rsid w:val="24A67BC4"/>
    <w:rsid w:val="25801A05"/>
    <w:rsid w:val="27CE3874"/>
    <w:rsid w:val="27EB3D24"/>
    <w:rsid w:val="28B13D99"/>
    <w:rsid w:val="2A4135AD"/>
    <w:rsid w:val="2AD52CEA"/>
    <w:rsid w:val="2B683C5D"/>
    <w:rsid w:val="2B8255D3"/>
    <w:rsid w:val="2CED7384"/>
    <w:rsid w:val="2D131CD0"/>
    <w:rsid w:val="2DD45D89"/>
    <w:rsid w:val="2FAF3215"/>
    <w:rsid w:val="307B1E47"/>
    <w:rsid w:val="32FF4CC1"/>
    <w:rsid w:val="33C67AA9"/>
    <w:rsid w:val="348C31DF"/>
    <w:rsid w:val="348E01C6"/>
    <w:rsid w:val="354C4323"/>
    <w:rsid w:val="35CD15B7"/>
    <w:rsid w:val="35D86BDE"/>
    <w:rsid w:val="35FD5667"/>
    <w:rsid w:val="36310E4A"/>
    <w:rsid w:val="36591675"/>
    <w:rsid w:val="372216A6"/>
    <w:rsid w:val="38663D34"/>
    <w:rsid w:val="39310E98"/>
    <w:rsid w:val="39977E11"/>
    <w:rsid w:val="3AA66AF1"/>
    <w:rsid w:val="3B885E8A"/>
    <w:rsid w:val="3BF91FE0"/>
    <w:rsid w:val="3D3D1991"/>
    <w:rsid w:val="3DF2217F"/>
    <w:rsid w:val="3E6E2E42"/>
    <w:rsid w:val="3EA23778"/>
    <w:rsid w:val="3EAC1C1C"/>
    <w:rsid w:val="3EE67142"/>
    <w:rsid w:val="3EFE04EE"/>
    <w:rsid w:val="3FCF347B"/>
    <w:rsid w:val="3FE830E5"/>
    <w:rsid w:val="3FF3288E"/>
    <w:rsid w:val="3FFF2FDA"/>
    <w:rsid w:val="40221B6B"/>
    <w:rsid w:val="40570634"/>
    <w:rsid w:val="41487A0A"/>
    <w:rsid w:val="42342BAA"/>
    <w:rsid w:val="425B6A60"/>
    <w:rsid w:val="426E7500"/>
    <w:rsid w:val="43685ADB"/>
    <w:rsid w:val="44045C03"/>
    <w:rsid w:val="446A4F91"/>
    <w:rsid w:val="46DB254E"/>
    <w:rsid w:val="478A2A1D"/>
    <w:rsid w:val="47C36E36"/>
    <w:rsid w:val="47FFEEA7"/>
    <w:rsid w:val="48A3615E"/>
    <w:rsid w:val="48B73C2B"/>
    <w:rsid w:val="48E00B0C"/>
    <w:rsid w:val="49CB5098"/>
    <w:rsid w:val="4B7B050C"/>
    <w:rsid w:val="4B954EA0"/>
    <w:rsid w:val="4CC84C98"/>
    <w:rsid w:val="4D4708A6"/>
    <w:rsid w:val="4E754A4E"/>
    <w:rsid w:val="4E9967DA"/>
    <w:rsid w:val="4ECF30D7"/>
    <w:rsid w:val="4EDFE998"/>
    <w:rsid w:val="4F1025D9"/>
    <w:rsid w:val="4FC27339"/>
    <w:rsid w:val="502B3CEE"/>
    <w:rsid w:val="509F5AAF"/>
    <w:rsid w:val="50EE58D7"/>
    <w:rsid w:val="519E097B"/>
    <w:rsid w:val="51EB2798"/>
    <w:rsid w:val="53A84543"/>
    <w:rsid w:val="56A66316"/>
    <w:rsid w:val="57C8521F"/>
    <w:rsid w:val="5851778C"/>
    <w:rsid w:val="58A020D2"/>
    <w:rsid w:val="5A5F3178"/>
    <w:rsid w:val="5A6368AB"/>
    <w:rsid w:val="5A7E2982"/>
    <w:rsid w:val="5B24597E"/>
    <w:rsid w:val="5B7358EA"/>
    <w:rsid w:val="5BEF430C"/>
    <w:rsid w:val="5C531CB6"/>
    <w:rsid w:val="5CF01D88"/>
    <w:rsid w:val="5D5C0387"/>
    <w:rsid w:val="5FDF50F0"/>
    <w:rsid w:val="608F3A1C"/>
    <w:rsid w:val="6336483C"/>
    <w:rsid w:val="636F22E5"/>
    <w:rsid w:val="646D7D7D"/>
    <w:rsid w:val="64A47711"/>
    <w:rsid w:val="64BB6AA4"/>
    <w:rsid w:val="64EB1FB1"/>
    <w:rsid w:val="65085FDD"/>
    <w:rsid w:val="66A625FE"/>
    <w:rsid w:val="66BC7D07"/>
    <w:rsid w:val="672D0717"/>
    <w:rsid w:val="68782DAE"/>
    <w:rsid w:val="68A1454F"/>
    <w:rsid w:val="69644745"/>
    <w:rsid w:val="69BC658F"/>
    <w:rsid w:val="69E424E9"/>
    <w:rsid w:val="6A042D14"/>
    <w:rsid w:val="6ABE1B22"/>
    <w:rsid w:val="6AF26EB9"/>
    <w:rsid w:val="6B29233B"/>
    <w:rsid w:val="6B8C2015"/>
    <w:rsid w:val="6C1B5E3A"/>
    <w:rsid w:val="6C3E06A6"/>
    <w:rsid w:val="6D966DB7"/>
    <w:rsid w:val="6DFFC3DA"/>
    <w:rsid w:val="6E9FBD1B"/>
    <w:rsid w:val="6EE209DA"/>
    <w:rsid w:val="6FDF216C"/>
    <w:rsid w:val="70597F18"/>
    <w:rsid w:val="7082330A"/>
    <w:rsid w:val="70B07D50"/>
    <w:rsid w:val="71876AC5"/>
    <w:rsid w:val="725917A9"/>
    <w:rsid w:val="73631A55"/>
    <w:rsid w:val="77B75243"/>
    <w:rsid w:val="77C21A5F"/>
    <w:rsid w:val="77D23D86"/>
    <w:rsid w:val="78DE14DC"/>
    <w:rsid w:val="792D1E0D"/>
    <w:rsid w:val="79321117"/>
    <w:rsid w:val="79EF62DB"/>
    <w:rsid w:val="7A3A7C0C"/>
    <w:rsid w:val="7A835F66"/>
    <w:rsid w:val="7A8955BC"/>
    <w:rsid w:val="7A9D6576"/>
    <w:rsid w:val="7AAF2916"/>
    <w:rsid w:val="7BBBE85A"/>
    <w:rsid w:val="7BF7B220"/>
    <w:rsid w:val="7C6B4330"/>
    <w:rsid w:val="7DAE1C60"/>
    <w:rsid w:val="7DF68476"/>
    <w:rsid w:val="7EB27B45"/>
    <w:rsid w:val="7EF85B51"/>
    <w:rsid w:val="7F535A03"/>
    <w:rsid w:val="7F7F7558"/>
    <w:rsid w:val="7FFBBF1D"/>
    <w:rsid w:val="9BDF7602"/>
    <w:rsid w:val="A359F53F"/>
    <w:rsid w:val="AF7F22A7"/>
    <w:rsid w:val="B77F6C8E"/>
    <w:rsid w:val="BBDD94B8"/>
    <w:rsid w:val="DDD7D223"/>
    <w:rsid w:val="DFBFAD6C"/>
    <w:rsid w:val="E235E6E6"/>
    <w:rsid w:val="E7FF9D5A"/>
    <w:rsid w:val="EEDB2018"/>
    <w:rsid w:val="EFDD886D"/>
    <w:rsid w:val="EFE74234"/>
    <w:rsid w:val="F6EBF8EA"/>
    <w:rsid w:val="FBF53B4B"/>
    <w:rsid w:val="FC7BB570"/>
    <w:rsid w:val="FEFF40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17"/>
    <w:uiPriority w:val="0"/>
    <w:pPr>
      <w:jc w:val="left"/>
    </w:pPr>
    <w:rPr>
      <w:rFonts w:cs="Times New Roman"/>
    </w:rPr>
  </w:style>
  <w:style w:type="paragraph" w:styleId="3">
    <w:name w:val="Balloon Text"/>
    <w:basedOn w:val="1"/>
    <w:link w:val="15"/>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styleId="7">
    <w:name w:val="annotation subject"/>
    <w:basedOn w:val="2"/>
    <w:next w:val="2"/>
    <w:link w:val="16"/>
    <w:uiPriority w:val="0"/>
    <w:rPr>
      <w:b/>
      <w:bCs/>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qFormat/>
    <w:uiPriority w:val="0"/>
    <w:rPr>
      <w:color w:val="0000FF"/>
      <w:u w:val="single"/>
    </w:rPr>
  </w:style>
  <w:style w:type="character" w:styleId="12">
    <w:name w:val="annotation reference"/>
    <w:uiPriority w:val="0"/>
    <w:rPr>
      <w:sz w:val="21"/>
      <w:szCs w:val="21"/>
    </w:rPr>
  </w:style>
  <w:style w:type="paragraph" w:customStyle="1" w:styleId="13">
    <w:name w:val="List Paragraph"/>
    <w:basedOn w:val="1"/>
    <w:unhideWhenUsed/>
    <w:qFormat/>
    <w:uiPriority w:val="99"/>
    <w:pPr>
      <w:ind w:firstLine="420" w:firstLineChars="200"/>
    </w:p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批注框文本 Char"/>
    <w:link w:val="3"/>
    <w:qFormat/>
    <w:uiPriority w:val="0"/>
    <w:rPr>
      <w:rFonts w:ascii="Calibri" w:hAnsi="Calibri" w:cs="黑体"/>
      <w:kern w:val="2"/>
      <w:sz w:val="18"/>
      <w:szCs w:val="18"/>
    </w:rPr>
  </w:style>
  <w:style w:type="character" w:customStyle="1" w:styleId="16">
    <w:name w:val="批注主题 Char"/>
    <w:link w:val="7"/>
    <w:uiPriority w:val="0"/>
    <w:rPr>
      <w:rFonts w:ascii="Calibri" w:hAnsi="Calibri" w:cs="黑体"/>
      <w:b/>
      <w:bCs/>
      <w:kern w:val="2"/>
      <w:sz w:val="21"/>
      <w:szCs w:val="24"/>
    </w:rPr>
  </w:style>
  <w:style w:type="character" w:customStyle="1" w:styleId="17">
    <w:name w:val="批注文字 Char"/>
    <w:link w:val="2"/>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38302</Words>
  <Characters>41223</Characters>
  <Lines>272</Lines>
  <Paragraphs>76</Paragraphs>
  <TotalTime>1</TotalTime>
  <ScaleCrop>false</ScaleCrop>
  <LinksUpToDate>false</LinksUpToDate>
  <CharactersWithSpaces>41721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2022-11-01T19:18:00Z</dcterms:created>
  <dc:creator>Administrator</dc:creator>
  <cp:lastModifiedBy>hccb</cp:lastModifiedBy>
  <dcterms:modified xsi:type="dcterms:W3CDTF">2025-08-06T07:23:44Z</dcterms:modified>
  <dc:title>杭银理财幸福99XXXX理财计划合同</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