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218期优选2年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218期优选2年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5年08月07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218期优选2年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5000189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376,272,477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7月31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8月06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8月07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7年08月25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5年08月08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