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w:t>
      </w:r>
      <w:r>
        <w:rPr>
          <w:rStyle w:val="27"/>
          <w:rFonts w:hint="eastAsia" w:ascii="宋体" w:hAnsi="宋体" w:cs="Times New Roman"/>
          <w:sz w:val="32"/>
          <w:szCs w:val="32"/>
          <w:lang w:val="en-US" w:eastAsia="zh-CN"/>
        </w:rPr>
        <w:t>5</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8</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permStart w:id="2" w:edGrp="everyone"/>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"_Toc176189753"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_Toc176189753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"_Toc176189754"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_Toc176189754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"_Toc176189755"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_Toc176189755 \h </w:instrText>
          </w:r>
          <w:r>
            <w:fldChar w:fldCharType="separate"/>
          </w:r>
          <w:r>
            <w:t>13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"_Toc176189756"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_Toc176189756 \h </w:instrText>
          </w:r>
          <w:r>
            <w:fldChar w:fldCharType="separate"/>
          </w:r>
          <w:r>
            <w:t>15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"_Toc176189757"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_Toc176189757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"_Toc176189758"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_Toc176189758 \h </w:instrText>
          </w:r>
          <w:r>
            <w:fldChar w:fldCharType="separate"/>
          </w:r>
          <w:r>
            <w:t>19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"_Toc176189759"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_Toc176189759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"_Toc176189760"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_Toc176189760 \h </w:instrText>
          </w:r>
          <w:r>
            <w:fldChar w:fldCharType="separate"/>
          </w:r>
          <w:r>
            <w:t>24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"_Toc176189761"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_Toc176189761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"_Toc176189762"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_Toc176189762 \h </w:instrText>
          </w:r>
          <w:r>
            <w:fldChar w:fldCharType="separate"/>
          </w:r>
          <w:r>
            <w:t>28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"_Toc176189763"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_Toc176189763 \h </w:instrText>
          </w:r>
          <w:r>
            <w:fldChar w:fldCharType="separate"/>
          </w:r>
          <w:r>
            <w:t>30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"_Toc176189764"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_Toc176189764 \h </w:instrText>
          </w:r>
          <w:r>
            <w:fldChar w:fldCharType="separate"/>
          </w:r>
          <w:r>
            <w:t>32</w:t>
          </w:r>
          <w:r>
            <w:fldChar w:fldCharType="end"/>
          </w:r>
          <w:r>
            <w:fldChar w:fldCharType="end"/>
          </w:r>
        </w:p>
        <w:p>
          <w:pPr>
            <w:spacing w:line="360" w:lineRule="auto"/>
          </w:pPr>
          <w:r>
            <w:fldChar w:fldCharType="end"/>
          </w:r>
        </w:p>
      </w:sdtContent>
    </w:sdt>
    <w:permEnd w:id="2"/>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76189753"/>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投资者：指符合相关法律法规、监管规定要求的，可以购买理财产品份额的自然人、法人或者依法成立的其他组织。</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【丰收封闭式固收类】</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【丰收封闭式固收类】</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【丰收封闭式固收类】</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【丰收封闭式固收类】</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【丰收封闭式固收类】</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【丰收封闭式固收类】</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【丰收封闭式固收类】</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【丰收封闭式固收类】</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【丰收封闭式固收类】</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eastAsia="黑体"/>
          <w:sz w:val="18"/>
        </w:rPr>
        <w:t>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销售服务费：指</w:t>
      </w:r>
      <w:r>
        <w:rPr>
          <w:rFonts w:hint="eastAsia" w:hAnsi="宋体"/>
          <w:sz w:val="18"/>
          <w:szCs w:val="18"/>
        </w:rPr>
        <w:t>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hAnsi="宋体"/>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76189754"/>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jc w:val="left"/>
              <w:rPr>
                <w:rFonts w:hint="eastAsia" w:ascii="宋体" w:hAnsi="宋体" w:eastAsia="宋体"/>
                <w:bCs/>
                <w:sz w:val="18"/>
                <w:szCs w:val="18"/>
                <w:lang w:eastAsia="zh-CN"/>
              </w:rPr>
            </w:pPr>
            <w:r>
              <w:rPr>
                <w:rFonts w:hint="eastAsia" w:ascii="宋体" w:hAnsi="宋体"/>
                <w:bCs/>
                <w:sz w:val="18"/>
                <w:szCs w:val="18"/>
                <w:lang w:eastAsia="zh-CN"/>
              </w:rPr>
              <w:t>【</w:t>
            </w:r>
            <w:r>
              <w:rPr>
                <w:rFonts w:hint="eastAsia" w:ascii="宋体" w:hAnsi="宋体"/>
                <w:bCs/>
                <w:sz w:val="18"/>
                <w:szCs w:val="18"/>
              </w:rPr>
              <w:t>兴银理财丰收封闭式1</w:t>
            </w:r>
            <w:r>
              <w:rPr>
                <w:rFonts w:hint="eastAsia" w:ascii="宋体" w:hAnsi="宋体"/>
                <w:bCs/>
                <w:sz w:val="18"/>
                <w:szCs w:val="18"/>
                <w:lang w:val="en-US" w:eastAsia="zh-CN"/>
              </w:rPr>
              <w:t>85</w:t>
            </w:r>
            <w:r>
              <w:rPr>
                <w:rFonts w:hint="eastAsia" w:ascii="宋体" w:hAnsi="宋体"/>
                <w:bCs/>
                <w:sz w:val="18"/>
                <w:szCs w:val="18"/>
              </w:rPr>
              <w:t>号固收类理财产品</w:t>
            </w:r>
            <w:r>
              <w:rPr>
                <w:rFonts w:hint="eastAsia" w:ascii="宋体" w:hAnsi="宋体"/>
                <w:bCs/>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85</w:t>
            </w:r>
            <w:r>
              <w:rPr>
                <w:rFonts w:hint="eastAsia" w:ascii="宋体" w:hAnsi="宋体"/>
                <w:bCs/>
                <w:sz w:val="18"/>
                <w:szCs w:val="18"/>
              </w:rPr>
              <w:t>号A】（适用【</w:t>
            </w:r>
            <w:r>
              <w:rPr>
                <w:rFonts w:hint="eastAsia" w:ascii="宋体" w:hAnsi="宋体"/>
                <w:bCs/>
                <w:sz w:val="18"/>
                <w:szCs w:val="18"/>
                <w:lang w:val="en-US" w:eastAsia="zh-CN"/>
              </w:rPr>
              <w:t>A</w:t>
            </w:r>
            <w:r>
              <w:rPr>
                <w:rFonts w:hint="eastAsia" w:ascii="宋体" w:hAnsi="宋体"/>
                <w:bCs/>
                <w:sz w:val="18"/>
                <w:szCs w:val="18"/>
              </w:rPr>
              <w:t>】类份额）</w:t>
            </w:r>
          </w:p>
          <w:p>
            <w:pPr>
              <w:spacing w:line="360" w:lineRule="auto"/>
              <w:jc w:val="left"/>
              <w:rPr>
                <w:rFonts w:hint="eastAsia" w:ascii="宋体" w:hAnsi="宋体"/>
                <w:bCs/>
                <w:sz w:val="18"/>
                <w:szCs w:val="18"/>
              </w:rPr>
            </w:pPr>
            <w:r>
              <w:rPr>
                <w:rFonts w:hint="eastAsia" w:ascii="宋体" w:hAnsi="宋体"/>
                <w:bCs/>
                <w:sz w:val="18"/>
                <w:szCs w:val="18"/>
              </w:rPr>
              <w:t>【丰收封闭式</w:t>
            </w:r>
            <w:r>
              <w:rPr>
                <w:rFonts w:hint="eastAsia" w:ascii="宋体" w:hAnsi="宋体"/>
                <w:bCs/>
                <w:sz w:val="18"/>
                <w:szCs w:val="18"/>
                <w:lang w:val="en-US" w:eastAsia="zh-CN"/>
              </w:rPr>
              <w:t>185</w:t>
            </w:r>
            <w:r>
              <w:rPr>
                <w:rFonts w:hint="eastAsia" w:ascii="宋体" w:hAnsi="宋体"/>
                <w:bCs/>
                <w:sz w:val="18"/>
                <w:szCs w:val="18"/>
              </w:rPr>
              <w:t>号B】（适用【</w:t>
            </w:r>
            <w:r>
              <w:rPr>
                <w:rFonts w:hint="eastAsia" w:ascii="宋体" w:hAnsi="宋体"/>
                <w:bCs/>
                <w:sz w:val="18"/>
                <w:szCs w:val="18"/>
                <w:lang w:val="en-US" w:eastAsia="zh-CN"/>
              </w:rPr>
              <w:t>B</w:t>
            </w:r>
            <w:r>
              <w:rPr>
                <w:rFonts w:hint="eastAsia" w:ascii="宋体" w:hAnsi="宋体"/>
                <w:bCs/>
                <w:sz w:val="18"/>
                <w:szCs w:val="18"/>
              </w:rPr>
              <w:t>】类份额）</w:t>
            </w:r>
          </w:p>
          <w:p>
            <w:pPr>
              <w:spacing w:line="360" w:lineRule="auto"/>
              <w:jc w:val="left"/>
              <w:rPr>
                <w:rFonts w:hint="eastAsia" w:hAnsi="宋体"/>
                <w:sz w:val="18"/>
                <w:szCs w:val="18"/>
              </w:rPr>
            </w:pPr>
            <w:r>
              <w:rPr>
                <w:rFonts w:hint="eastAsia" w:ascii="宋体" w:hAnsi="宋体"/>
                <w:bCs/>
                <w:sz w:val="18"/>
                <w:szCs w:val="18"/>
              </w:rPr>
              <w:t>【丰收封闭式1</w:t>
            </w:r>
            <w:r>
              <w:rPr>
                <w:rFonts w:hint="eastAsia" w:ascii="宋体" w:hAnsi="宋体"/>
                <w:bCs/>
                <w:sz w:val="18"/>
                <w:szCs w:val="18"/>
                <w:lang w:val="en-US" w:eastAsia="zh-CN"/>
              </w:rPr>
              <w:t>85</w:t>
            </w:r>
            <w:r>
              <w:rPr>
                <w:rFonts w:hint="eastAsia" w:ascii="宋体" w:hAnsi="宋体"/>
                <w:bCs/>
                <w:sz w:val="18"/>
                <w:szCs w:val="18"/>
              </w:rPr>
              <w:t>号C】（适用【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14"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【Z7002025001187】</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sz w:val="18"/>
                <w:szCs w:val="18"/>
              </w:rPr>
              <w:t>9C311850】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jc w:val="left"/>
              <w:rPr>
                <w:rFonts w:hint="eastAsia" w:hAnsi="宋体"/>
                <w:sz w:val="18"/>
                <w:szCs w:val="18"/>
              </w:rPr>
            </w:pPr>
            <w:r>
              <w:rPr>
                <w:rFonts w:hint="eastAsia" w:hAnsi="宋体"/>
                <w:sz w:val="18"/>
                <w:szCs w:val="18"/>
              </w:rPr>
              <w:t>【9C31185A】（适用【A】类份额）</w:t>
            </w:r>
          </w:p>
          <w:p>
            <w:pPr>
              <w:spacing w:line="360" w:lineRule="auto"/>
              <w:jc w:val="left"/>
              <w:rPr>
                <w:rFonts w:hint="eastAsia" w:hAnsi="宋体"/>
                <w:sz w:val="18"/>
                <w:szCs w:val="18"/>
              </w:rPr>
            </w:pPr>
            <w:r>
              <w:rPr>
                <w:rFonts w:hint="eastAsia" w:hAnsi="宋体"/>
                <w:sz w:val="18"/>
                <w:szCs w:val="18"/>
              </w:rPr>
              <w:t>【9C31185B】（适用【B】类份额）</w:t>
            </w:r>
          </w:p>
          <w:p>
            <w:pPr>
              <w:spacing w:line="360" w:lineRule="auto"/>
              <w:jc w:val="left"/>
              <w:rPr>
                <w:rFonts w:hint="eastAsia" w:hAnsi="宋体"/>
                <w:sz w:val="18"/>
                <w:szCs w:val="18"/>
              </w:rPr>
            </w:pPr>
            <w:r>
              <w:rPr>
                <w:rFonts w:hint="eastAsia" w:hAnsi="宋体"/>
                <w:sz w:val="18"/>
                <w:szCs w:val="18"/>
              </w:rPr>
              <w:t>【9C31185C】（适用【C】类份额）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黑体" w:hAnsi="黑体" w:eastAsia="黑体" w:cs="黑体"/>
                <w:sz w:val="18"/>
                <w:szCs w:val="18"/>
              </w:rPr>
              <w:t>公募</w:t>
            </w:r>
            <w:r>
              <w:rPr>
                <w:rFonts w:hint="eastAsia" w:ascii="黑体" w:hAnsi="黑体" w:eastAsia="黑体" w:cs="黑体"/>
                <w:bCs/>
                <w:sz w:val="18"/>
                <w:szCs w:val="18"/>
              </w:rPr>
              <w:t>、封闭式、固定收益类、非保本浮动收益、净值型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固定收益类</w:t>
            </w:r>
          </w:p>
          <w:p>
            <w:pPr>
              <w:adjustRightInd w:val="0"/>
              <w:snapToGrid w:val="0"/>
              <w:spacing w:line="360" w:lineRule="auto"/>
              <w:rPr>
                <w:rFonts w:ascii="黑体" w:hAnsi="黑体" w:eastAsia="黑体"/>
                <w:bCs/>
                <w:sz w:val="18"/>
                <w:szCs w:val="18"/>
              </w:rPr>
            </w:pPr>
            <w:r>
              <w:rPr>
                <w:rFonts w:hint="eastAsia" w:ascii="黑体" w:hAnsi="黑体" w:eastAsia="黑体"/>
                <w:sz w:val="18"/>
                <w:szCs w:val="18"/>
              </w:rPr>
              <w:t>固定</w:t>
            </w:r>
            <w:r>
              <w:rPr>
                <w:rFonts w:ascii="黑体" w:hAnsi="黑体" w:eastAsia="黑体"/>
                <w:sz w:val="18"/>
                <w:szCs w:val="18"/>
              </w:rPr>
              <w:t>收益</w:t>
            </w:r>
            <w:r>
              <w:rPr>
                <w:rFonts w:hint="eastAsia" w:ascii="黑体" w:hAnsi="黑体" w:eastAsia="黑体"/>
                <w:sz w:val="18"/>
                <w:szCs w:val="18"/>
              </w:rPr>
              <w:t>类</w:t>
            </w:r>
            <w:r>
              <w:rPr>
                <w:rFonts w:ascii="黑体" w:hAnsi="黑体" w:eastAsia="黑体"/>
                <w:sz w:val="18"/>
                <w:szCs w:val="18"/>
              </w:rPr>
              <w:t>产品是指根据监管</w:t>
            </w:r>
            <w:r>
              <w:rPr>
                <w:rFonts w:hint="eastAsia" w:ascii="黑体" w:hAnsi="黑体" w:eastAsia="黑体"/>
                <w:sz w:val="18"/>
                <w:szCs w:val="18"/>
              </w:rPr>
              <w:t>相关规定</w:t>
            </w:r>
            <w:r>
              <w:rPr>
                <w:rFonts w:ascii="黑体" w:hAnsi="黑体" w:eastAsia="黑体"/>
                <w:sz w:val="18"/>
                <w:szCs w:val="18"/>
              </w:rPr>
              <w:t>，投资于债权类资产的</w:t>
            </w:r>
            <w:r>
              <w:rPr>
                <w:rFonts w:hint="eastAsia" w:ascii="黑体" w:hAnsi="黑体" w:eastAsia="黑体"/>
                <w:sz w:val="18"/>
                <w:szCs w:val="18"/>
              </w:rPr>
              <w:t>比例</w:t>
            </w:r>
            <w:r>
              <w:rPr>
                <w:rFonts w:ascii="黑体" w:hAnsi="黑体" w:eastAsia="黑体"/>
                <w:sz w:val="18"/>
                <w:szCs w:val="18"/>
              </w:rPr>
              <w:t>不低于80%的产品</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color w:val="000000" w:themeColor="text1"/>
                <w:sz w:val="18"/>
                <w:szCs w:val="18"/>
                <w14:textFill>
                  <w14:solidFill>
                    <w14:schemeClr w14:val="tx1"/>
                  </w14:solidFill>
                </w14:textFill>
              </w:rPr>
            </w:pPr>
            <w:r>
              <w:rPr>
                <w:rFonts w:hint="eastAsia" w:ascii="黑体" w:hAnsi="黑体" w:eastAsia="黑体"/>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注：当销售机构销售产品风险评级为R4及以上的理财产品时，可在销售机构的营业网点进行，也可依据销售机构的政策在营业网点之外的其他场景进行（具体政策以销售机构公布执行的为准）。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30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365</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8</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20</w:t>
            </w:r>
            <w:r>
              <w:rPr>
                <w:rFonts w:hint="eastAsia" w:cs="Times New Roman" w:asciiTheme="minorEastAsia" w:hAnsiTheme="minorEastAsia"/>
                <w:sz w:val="18"/>
                <w:szCs w:val="18"/>
              </w:rPr>
              <w:t>】日【0</w:t>
            </w:r>
            <w:r>
              <w:rPr>
                <w:rFonts w:cs="Times New Roman" w:asciiTheme="minorEastAsia" w:hAnsiTheme="minorEastAsia"/>
                <w:sz w:val="18"/>
                <w:szCs w:val="18"/>
              </w:rPr>
              <w:t>9:00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【2</w:t>
            </w:r>
            <w:r>
              <w:rPr>
                <w:rFonts w:cs="Times New Roman" w:asciiTheme="minorEastAsia" w:hAnsiTheme="minorEastAsia"/>
                <w:sz w:val="18"/>
                <w:szCs w:val="18"/>
              </w:rPr>
              <w:t>0</w:t>
            </w:r>
            <w:r>
              <w:rPr>
                <w:rFonts w:hint="eastAsia" w:cs="Times New Roman" w:asciiTheme="minorEastAsia" w:hAnsiTheme="minorEastAsia"/>
                <w:sz w:val="18"/>
                <w:szCs w:val="18"/>
                <w:lang w:val="en-US" w:eastAsia="zh-CN"/>
              </w:rPr>
              <w:t>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8</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26</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w:t>
            </w:r>
            <w:r>
              <w:rPr>
                <w:rFonts w:asciiTheme="majorEastAsia" w:hAnsiTheme="majorEastAsia" w:eastAsiaTheme="majorEastAsia"/>
                <w:sz w:val="18"/>
                <w:szCs w:val="18"/>
              </w:rPr>
              <w:t>7:00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8</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27</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6</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8</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27</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bookmarkStart w:id="156" w:name="_GoBack"/>
            <w:bookmarkEnd w:id="156"/>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sz w:val="18"/>
                <w:szCs w:val="18"/>
              </w:rPr>
            </w:pPr>
            <w:r>
              <w:rPr>
                <w:rFonts w:hAnsi="宋体"/>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产品管理人设置业绩比较基准。</w:t>
            </w:r>
          </w:p>
          <w:p>
            <w:pPr>
              <w:autoSpaceDE w:val="0"/>
              <w:autoSpaceDN w:val="0"/>
              <w:adjustRightInd w:val="0"/>
              <w:spacing w:line="360" w:lineRule="auto"/>
              <w:jc w:val="left"/>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【以一年期定期存款利率为无风险利率，基于当前对未来市场的判断，根据拟投资债权类资产的信用利差、久期敞口以及流动性溢价，预判组合的波动幅度</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jc w:val="left"/>
              <w:rPr>
                <w:rFonts w:hint="eastAsia"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w:t>
            </w:r>
            <w:r>
              <w:rPr>
                <w:rFonts w:hint="eastAsia" w:ascii="宋体" w:hAnsi="宋体"/>
                <w:bCs/>
                <w:sz w:val="18"/>
                <w:szCs w:val="18"/>
                <w:lang w:val="en-US" w:eastAsia="zh-CN"/>
              </w:rPr>
              <w:t>00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20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10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30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25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45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sz w:val="18"/>
              </w:rPr>
            </w:pPr>
            <w:r>
              <w:rPr>
                <w:rFonts w:hint="eastAsia" w:ascii="黑体" w:hAnsi="黑体" w:eastAsia="黑体"/>
                <w:sz w:val="18"/>
              </w:rPr>
              <w:t>（</w:t>
            </w:r>
            <w:r>
              <w:rPr>
                <w:rFonts w:ascii="黑体" w:hAnsi="黑体" w:eastAsia="黑体"/>
                <w:sz w:val="18"/>
              </w:rPr>
              <w:t>1）</w:t>
            </w:r>
            <w:r>
              <w:rPr>
                <w:rFonts w:hint="eastAsia" w:ascii="黑体" w:hAnsi="黑体" w:eastAsia="黑体"/>
                <w:sz w:val="18"/>
                <w:szCs w:val="18"/>
              </w:rPr>
              <w:t>★</w:t>
            </w:r>
            <w:r>
              <w:rPr>
                <w:rFonts w:hint="eastAsia" w:ascii="黑体" w:hAnsi="黑体" w:eastAsia="黑体"/>
                <w:sz w:val="18"/>
              </w:rPr>
              <w:t>业绩报酬计提基准仅作为管理人计算超额业绩报酬的参照标准</w:t>
            </w:r>
            <w:r>
              <w:rPr>
                <w:rFonts w:hint="eastAsia" w:ascii="黑体" w:hAnsi="黑体" w:eastAsia="黑体"/>
                <w:bCs/>
                <w:sz w:val="18"/>
                <w:szCs w:val="18"/>
              </w:rPr>
              <w:t>。业绩报酬计提基准不是预期收益率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1.理财产品的费率标准</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1）认购费：</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hint="eastAsia"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2）销售服</w:t>
            </w:r>
            <w:r>
              <w:rPr>
                <w:rFonts w:hint="eastAsia" w:ascii="黑体" w:hAnsi="黑体" w:eastAsia="黑体"/>
                <w:bCs/>
                <w:color w:val="000000" w:themeColor="text1"/>
                <w:sz w:val="18"/>
                <w:szCs w:val="18"/>
                <w14:textFill>
                  <w14:solidFill>
                    <w14:schemeClr w14:val="tx1"/>
                  </w14:solidFill>
                </w14:textFill>
              </w:rPr>
              <w:t>务费：</w:t>
            </w:r>
          </w:p>
          <w:p>
            <w:pPr>
              <w:spacing w:line="360" w:lineRule="auto"/>
              <w:rPr>
                <w:rFonts w:hint="eastAsia" w:ascii="黑体" w:hAnsi="黑体" w:eastAsia="黑体"/>
                <w:bCs/>
                <w:sz w:val="18"/>
                <w:szCs w:val="18"/>
              </w:rPr>
            </w:pPr>
            <w:r>
              <w:rPr>
                <w:rFonts w:hint="eastAsia" w:ascii="黑体" w:hAnsi="黑体" w:eastAsia="黑体"/>
                <w:bCs/>
                <w:sz w:val="18"/>
                <w:szCs w:val="18"/>
              </w:rPr>
              <w:t>A类份额：年化费率【0.25%】;</w:t>
            </w:r>
          </w:p>
          <w:p>
            <w:pPr>
              <w:spacing w:line="360" w:lineRule="auto"/>
              <w:rPr>
                <w:rFonts w:hint="eastAsia" w:ascii="黑体" w:hAnsi="黑体" w:eastAsia="黑体"/>
                <w:bCs/>
                <w:sz w:val="18"/>
                <w:szCs w:val="18"/>
              </w:rPr>
            </w:pPr>
            <w:r>
              <w:rPr>
                <w:rFonts w:hint="eastAsia" w:ascii="黑体" w:hAnsi="黑体" w:eastAsia="黑体"/>
                <w:bCs/>
                <w:sz w:val="18"/>
                <w:szCs w:val="18"/>
              </w:rPr>
              <w:t>B类份额：年化费率【0.15%】;</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sz w:val="18"/>
                <w:szCs w:val="18"/>
              </w:rPr>
              <w:t>C类份额：年化费率【0.00%】。</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3）投资管理费：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w:t>
            </w:r>
            <w:r>
              <w:rPr>
                <w:rFonts w:hint="eastAsia" w:ascii="黑体" w:hAnsi="黑体" w:eastAsia="黑体"/>
                <w:sz w:val="18"/>
                <w:szCs w:val="18"/>
                <w:lang w:val="en-US" w:eastAsia="zh-CN"/>
              </w:rPr>
              <w:t>14</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4）产品托管费：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.0</w:t>
            </w:r>
            <w:r>
              <w:rPr>
                <w:rFonts w:hint="eastAsia" w:ascii="黑体" w:hAnsi="黑体" w:eastAsia="黑体"/>
                <w:sz w:val="18"/>
                <w:szCs w:val="18"/>
                <w:lang w:val="en-US" w:eastAsia="zh-CN"/>
              </w:rPr>
              <w:t>3</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widowControl/>
              <w:spacing w:line="360" w:lineRule="auto"/>
              <w:jc w:val="left"/>
              <w:rPr>
                <w:rFonts w:hint="eastAsia" w:ascii="黑体" w:hAnsi="黑体" w:eastAsia="黑体"/>
                <w:bCs/>
                <w:color w:val="000000" w:themeColor="text1"/>
                <w:sz w:val="18"/>
                <w:szCs w:val="18"/>
                <w:lang w:val="en-US" w:eastAsia="zh-CN"/>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5）超额业绩报酬：</w:t>
            </w:r>
            <w:r>
              <w:rPr>
                <w:rFonts w:hint="eastAsia" w:ascii="黑体" w:hAnsi="黑体" w:eastAsia="黑体"/>
                <w:bCs/>
                <w:color w:val="000000" w:themeColor="text1"/>
                <w:sz w:val="18"/>
                <w:szCs w:val="18"/>
                <w:lang w:val="en-US" w:eastAsia="zh-CN"/>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79154666"/>
      <w:bookmarkStart w:id="5" w:name="_Toc176189755"/>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spacing w:line="360" w:lineRule="auto"/>
        <w:ind w:firstLine="360" w:firstLineChars="200"/>
        <w:rPr>
          <w:rFonts w:asciiTheme="minorEastAsia" w:hAnsiTheme="minorEastAsia"/>
          <w:bCs/>
          <w:kern w:val="0"/>
          <w:sz w:val="18"/>
          <w:szCs w:val="18"/>
        </w:rPr>
      </w:pPr>
      <w:r>
        <w:rPr>
          <w:rFonts w:hint="eastAsia" w:asciiTheme="minorEastAsia" w:hAnsiTheme="minorEastAsia"/>
          <w:bCs/>
          <w:sz w:val="18"/>
          <w:szCs w:val="18"/>
        </w:rPr>
        <w:t>认购期/募集期内投资者可</w:t>
      </w:r>
      <w:r>
        <w:rPr>
          <w:rFonts w:hint="eastAsia" w:asciiTheme="minorEastAsia" w:hAnsiTheme="minorEastAsia"/>
          <w:bCs/>
          <w:kern w:val="0"/>
          <w:sz w:val="18"/>
          <w:szCs w:val="18"/>
        </w:rPr>
        <w:t>提交认购申请</w:t>
      </w:r>
      <w:r>
        <w:rPr>
          <w:rFonts w:hint="eastAsia" w:asciiTheme="minorEastAsia" w:hAnsiTheme="minorEastAsia"/>
          <w:bCs/>
          <w:sz w:val="18"/>
          <w:szCs w:val="18"/>
        </w:rPr>
        <w:t>。</w:t>
      </w:r>
      <w:r>
        <w:rPr>
          <w:rFonts w:hint="eastAsia" w:asciiTheme="minorEastAsia" w:hAnsiTheme="minorEastAsia"/>
          <w:bCs/>
          <w:kern w:val="0"/>
          <w:sz w:val="18"/>
          <w:szCs w:val="18"/>
        </w:rPr>
        <w:t>提交认购申请并不代表认购成功，产品管理人将在认购确认日确认投资者是否认购成功，是否成功以管理人的确认结果为准。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4771"/>
      <w:bookmarkStart w:id="10" w:name="_Toc176189756"/>
      <w:bookmarkStart w:id="11" w:name="_Toc3266"/>
      <w:bookmarkStart w:id="12" w:name="_Toc29784"/>
      <w:bookmarkStart w:id="13" w:name="_Toc29948"/>
      <w:bookmarkStart w:id="14" w:name="_Toc6714"/>
      <w:bookmarkStart w:id="15" w:name="_Toc90742688"/>
      <w:bookmarkStart w:id="16" w:name="_Toc15203"/>
      <w:bookmarkStart w:id="17" w:name="_Toc22074"/>
      <w:bookmarkStart w:id="18" w:name="_Toc79154668"/>
      <w:bookmarkStart w:id="19" w:name="_Toc27226"/>
      <w:bookmarkStart w:id="20" w:name="_Toc74065741"/>
      <w:bookmarkStart w:id="21" w:name="_Toc90742390"/>
      <w:bookmarkStart w:id="22" w:name="_Toc16265"/>
      <w:bookmarkStart w:id="23" w:name="_Toc7151"/>
      <w:bookmarkStart w:id="24" w:name="_Toc90742321"/>
      <w:bookmarkStart w:id="25" w:name="_Toc27189"/>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76189757"/>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color w:val="auto"/>
          <w:sz w:val="18"/>
          <w:szCs w:val="18"/>
        </w:rPr>
      </w:pPr>
      <w:permStart w:id="14"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r>
        <w:rPr>
          <w:rFonts w:hint="eastAsia" w:asciiTheme="majorEastAsia" w:hAnsiTheme="majorEastAsia" w:eastAsiaTheme="majorEastAsia"/>
          <w:bCs/>
          <w:color w:val="auto"/>
          <w:sz w:val="18"/>
          <w:szCs w:val="18"/>
        </w:rPr>
        <w:t>。</w:t>
      </w:r>
    </w:p>
    <w:permEnd w:id="14"/>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pStyle w:val="34"/>
        <w:spacing w:line="360" w:lineRule="auto"/>
        <w:ind w:firstLine="360" w:firstLineChars="200"/>
        <w:jc w:val="both"/>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（5）其他风险不高于前述资产的资产</w:t>
      </w:r>
      <w:r>
        <w:rPr>
          <w:rFonts w:hint="eastAsia" w:asciiTheme="majorEastAsia" w:hAnsiTheme="majorEastAsia" w:eastAsiaTheme="majorEastAsia"/>
          <w:bCs/>
          <w:color w:val="auto"/>
          <w:sz w:val="18"/>
          <w:szCs w:val="18"/>
        </w:rPr>
        <w:t>。</w:t>
      </w:r>
    </w:p>
    <w:permEnd w:id="15"/>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spacing w:line="360" w:lineRule="auto"/>
        <w:ind w:firstLine="360" w:firstLineChars="200"/>
        <w:rPr>
          <w:rFonts w:hint="eastAsia" w:asciiTheme="majorEastAsia" w:hAnsiTheme="majorEastAsia" w:eastAsiaTheme="majorEastAsia"/>
          <w:bCs/>
          <w:sz w:val="18"/>
          <w:szCs w:val="18"/>
        </w:rPr>
      </w:pPr>
      <w:permStart w:id="16" w:edGrp="everyone"/>
      <w:r>
        <w:rPr>
          <w:rFonts w:hint="eastAsia" w:asciiTheme="majorEastAsia" w:hAnsiTheme="majorEastAsia" w:eastAsiaTheme="majorEastAsia"/>
          <w:bCs/>
          <w:kern w:val="0"/>
          <w:sz w:val="18"/>
          <w:szCs w:val="18"/>
        </w:rPr>
        <w:t>（</w:t>
      </w:r>
      <w:r>
        <w:rPr>
          <w:rFonts w:hint="eastAsia" w:asciiTheme="majorEastAsia" w:hAnsiTheme="majorEastAsia" w:eastAsiaTheme="majorEastAsia"/>
          <w:bCs/>
          <w:sz w:val="18"/>
          <w:szCs w:val="18"/>
        </w:rPr>
        <w:t xml:space="preserve">1）本产品投资于债权类资产的比例不低于产品总资产的80%。 </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（2）本产品投资于金融衍生品类资产的比例合计不超过产品总资产的【20】%。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6"/>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7"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7"/>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8"/>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9"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9"/>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74065742"/>
      <w:bookmarkStart w:id="28" w:name="_Toc4741"/>
      <w:bookmarkStart w:id="29" w:name="_Toc14893"/>
      <w:bookmarkStart w:id="30" w:name="_Toc79154669"/>
      <w:bookmarkStart w:id="31" w:name="_Toc18526"/>
      <w:bookmarkStart w:id="32" w:name="_Toc7848"/>
      <w:bookmarkStart w:id="33" w:name="_Toc176189758"/>
      <w:bookmarkStart w:id="34" w:name="_Toc26986"/>
      <w:bookmarkStart w:id="35" w:name="_Toc17912"/>
      <w:bookmarkStart w:id="36" w:name="_Toc139991735"/>
      <w:bookmarkStart w:id="37" w:name="_Toc21988"/>
      <w:bookmarkStart w:id="38" w:name="_Toc1823"/>
      <w:bookmarkStart w:id="39" w:name="_Toc18797"/>
      <w:bookmarkStart w:id="40" w:name="_Toc141703885"/>
      <w:bookmarkStart w:id="41" w:name="_Toc18329"/>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1270"/>
      <w:bookmarkStart w:id="44" w:name="_Toc123102453"/>
      <w:bookmarkStart w:id="45" w:name="_Toc1427"/>
      <w:bookmarkStart w:id="46" w:name="_Toc17244"/>
      <w:bookmarkStart w:id="47" w:name="_Toc10463"/>
      <w:bookmarkStart w:id="48" w:name="_Toc79392606"/>
      <w:bookmarkStart w:id="49" w:name="_Toc48649707"/>
      <w:bookmarkStart w:id="50" w:name="_Toc7920"/>
      <w:bookmarkStart w:id="51" w:name="_Toc98560352"/>
      <w:bookmarkStart w:id="52" w:name="_Toc139991736"/>
      <w:bookmarkStart w:id="53" w:name="_Toc176189759"/>
      <w:bookmarkStart w:id="54" w:name="_Toc4003"/>
      <w:bookmarkStart w:id="55" w:name="_Toc123112234"/>
      <w:bookmarkStart w:id="56" w:name="_Toc23261"/>
      <w:bookmarkStart w:id="57" w:name="_Toc123051452"/>
      <w:bookmarkStart w:id="58" w:name="_Toc23822"/>
      <w:bookmarkStart w:id="59" w:name="_Toc141703886"/>
      <w:bookmarkStart w:id="60" w:name="_Toc20733"/>
      <w:bookmarkStart w:id="61" w:name="_Toc610"/>
      <w:bookmarkStart w:id="62" w:name="_Toc74065743"/>
      <w:bookmarkStart w:id="63" w:name="_Toc79154670"/>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20" w:edGrp="everyone"/>
      <w:r>
        <w:rPr>
          <w:rFonts w:hint="eastAsia" w:hAnsi="宋体"/>
          <w:sz w:val="18"/>
          <w:szCs w:val="18"/>
        </w:rPr>
        <w:t>本产品存续期间，每【周】进行一次估值。如遇产品到期日、季度末、半年度末、年度末等时间节点管理人将增加估值日。</w:t>
      </w:r>
    </w:p>
    <w:permEnd w:id="20"/>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0" w:firstLineChars="200"/>
        <w:rPr>
          <w:rFonts w:hAnsi="宋体"/>
          <w:bCs/>
          <w:sz w:val="18"/>
          <w:szCs w:val="18"/>
        </w:rPr>
      </w:pPr>
      <w:r>
        <w:rPr>
          <w:rFonts w:hAnsi="宋体"/>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color w:val="auto"/>
          <w:sz w:val="18"/>
        </w:rPr>
        <w:t>2.</w:t>
      </w:r>
      <w:r>
        <w:rPr>
          <w:rFonts w:hint="eastAsia" w:asciiTheme="majorEastAsia" w:hAnsiTheme="majorEastAsia" w:eastAsiaTheme="majorEastAsia"/>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0" w:firstLineChars="200"/>
        <w:rPr>
          <w:rFonts w:hAnsi="宋体"/>
          <w:sz w:val="18"/>
          <w:szCs w:val="18"/>
        </w:rPr>
      </w:pPr>
      <w:r>
        <w:rPr>
          <w:rFonts w:hAnsi="宋体"/>
          <w:bCs/>
          <w:sz w:val="18"/>
          <w:szCs w:val="18"/>
        </w:rPr>
        <w:t>3.非标准化债权类资产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0" w:firstLineChars="200"/>
        <w:rPr>
          <w:rFonts w:hAnsi="宋体"/>
          <w:bCs/>
          <w:sz w:val="18"/>
          <w:szCs w:val="18"/>
        </w:rPr>
      </w:pPr>
      <w:r>
        <w:rPr>
          <w:rFonts w:hAnsi="宋体"/>
          <w:bCs/>
          <w:sz w:val="18"/>
          <w:szCs w:val="18"/>
        </w:rPr>
        <w:t>4.上市公司股票估值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0" w:firstLineChars="200"/>
        <w:rPr>
          <w:rFonts w:hAnsi="宋体"/>
          <w:bCs/>
          <w:sz w:val="18"/>
          <w:szCs w:val="18"/>
        </w:rPr>
      </w:pPr>
      <w:r>
        <w:rPr>
          <w:rFonts w:hAnsi="宋体"/>
          <w:bCs/>
          <w:sz w:val="18"/>
          <w:szCs w:val="18"/>
        </w:rPr>
        <w:t>5.未上市公司股权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0" w:firstLineChars="200"/>
        <w:rPr>
          <w:rFonts w:hAnsi="宋体"/>
          <w:bCs/>
          <w:sz w:val="18"/>
          <w:szCs w:val="18"/>
        </w:rPr>
      </w:pPr>
      <w:r>
        <w:rPr>
          <w:rFonts w:hAnsi="宋体"/>
          <w:bCs/>
          <w:sz w:val="18"/>
          <w:szCs w:val="18"/>
        </w:rPr>
        <w:t>6.优先股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0" w:firstLineChars="200"/>
        <w:rPr>
          <w:rFonts w:hAnsi="宋体"/>
          <w:bCs/>
          <w:sz w:val="18"/>
          <w:szCs w:val="18"/>
        </w:rPr>
      </w:pPr>
      <w:r>
        <w:rPr>
          <w:rFonts w:hAnsi="宋体"/>
          <w:bCs/>
          <w:sz w:val="18"/>
          <w:szCs w:val="18"/>
        </w:rPr>
        <w:t>7.证券投资基金估值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0" w:firstLineChars="200"/>
        <w:rPr>
          <w:rFonts w:hAnsi="宋体"/>
          <w:bCs/>
          <w:sz w:val="18"/>
          <w:szCs w:val="18"/>
        </w:rPr>
      </w:pPr>
      <w:r>
        <w:rPr>
          <w:rFonts w:hAnsi="宋体"/>
          <w:bCs/>
          <w:sz w:val="18"/>
          <w:szCs w:val="18"/>
        </w:rPr>
        <w:t>8.其他资产管理产品的估值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信托公司、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0" w:firstLineChars="200"/>
        <w:rPr>
          <w:rFonts w:hAnsi="宋体"/>
          <w:bCs/>
          <w:sz w:val="18"/>
          <w:szCs w:val="18"/>
        </w:rPr>
      </w:pPr>
      <w:r>
        <w:rPr>
          <w:rFonts w:hAnsi="宋体"/>
          <w:bCs/>
          <w:sz w:val="18"/>
          <w:szCs w:val="18"/>
        </w:rPr>
        <w:t>9.衍生金融工具估值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0" w:firstLineChars="200"/>
        <w:rPr>
          <w:rFonts w:hAnsi="宋体"/>
          <w:bCs/>
          <w:sz w:val="18"/>
          <w:szCs w:val="18"/>
        </w:rPr>
      </w:pPr>
      <w:r>
        <w:rPr>
          <w:rFonts w:hAnsi="宋体"/>
          <w:bCs/>
          <w:sz w:val="18"/>
          <w:szCs w:val="18"/>
        </w:rPr>
        <w:t>10.存款、拆借、回购等货币市场工具的估值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ascii="黑体" w:hAnsi="黑体" w:eastAsia="黑体"/>
          <w:sz w:val="18"/>
          <w:szCs w:val="18"/>
        </w:rPr>
        <w:t>12.★估值方法的调整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39991737"/>
      <w:bookmarkStart w:id="66" w:name="_Toc14835"/>
      <w:bookmarkStart w:id="67" w:name="_Toc29251"/>
      <w:bookmarkStart w:id="68" w:name="_Toc31653"/>
      <w:bookmarkStart w:id="69" w:name="_Toc15143"/>
      <w:bookmarkStart w:id="70" w:name="_Toc26207"/>
      <w:bookmarkStart w:id="71" w:name="_Toc3601"/>
      <w:bookmarkStart w:id="72" w:name="_Toc74065744"/>
      <w:bookmarkStart w:id="73" w:name="_Toc123102454"/>
      <w:bookmarkStart w:id="74" w:name="_Toc31644"/>
      <w:bookmarkStart w:id="75" w:name="_Toc123051453"/>
      <w:bookmarkStart w:id="76" w:name="_Toc6405"/>
      <w:bookmarkStart w:id="77" w:name="_Toc176189760"/>
      <w:bookmarkStart w:id="78" w:name="_Toc141703887"/>
      <w:bookmarkStart w:id="79" w:name="_Toc98560353"/>
      <w:bookmarkStart w:id="80" w:name="_Toc79154671"/>
      <w:bookmarkStart w:id="81" w:name="_Toc12245"/>
      <w:bookmarkStart w:id="82" w:name="_Toc31235"/>
      <w:bookmarkStart w:id="83" w:name="_Toc123112235"/>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523711668"/>
      <w:bookmarkStart w:id="86" w:name="_Toc15118234"/>
      <w:bookmarkStart w:id="87" w:name="_Toc79392580"/>
      <w:bookmarkStart w:id="88" w:name="_Toc57530239"/>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0" w:firstLineChars="200"/>
        <w:rPr>
          <w:rFonts w:hAnsi="宋体"/>
          <w:bCs/>
          <w:color w:val="auto"/>
          <w:sz w:val="18"/>
          <w:szCs w:val="18"/>
        </w:rPr>
      </w:pPr>
      <w:permStart w:id="21" w:edGrp="everyone"/>
      <w:r>
        <w:rPr>
          <w:rFonts w:hAnsi="宋体"/>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1"/>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outlineLvl w:val="2"/>
        <w:rPr>
          <w:rFonts w:hAnsi="宋体"/>
          <w:color w:val="auto"/>
          <w:sz w:val="18"/>
          <w:szCs w:val="18"/>
        </w:rPr>
      </w:pPr>
      <w:permStart w:id="22"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outlineLvl w:val="2"/>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2"/>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97298"/>
      <w:bookmarkEnd w:id="89"/>
      <w:bookmarkStart w:id="90" w:name="_Hlt88825574"/>
      <w:bookmarkEnd w:id="90"/>
      <w:bookmarkStart w:id="91" w:name="_Toc11030"/>
      <w:bookmarkStart w:id="92" w:name="_Toc98560354"/>
      <w:bookmarkStart w:id="93" w:name="_Toc123051454"/>
      <w:bookmarkStart w:id="94" w:name="_Toc139991738"/>
      <w:bookmarkStart w:id="95" w:name="_Toc123112236"/>
      <w:bookmarkStart w:id="96" w:name="_Toc141703888"/>
      <w:bookmarkStart w:id="97" w:name="_Toc25783"/>
      <w:bookmarkStart w:id="98" w:name="_Toc18567"/>
      <w:bookmarkStart w:id="99" w:name="_Toc6447"/>
      <w:bookmarkStart w:id="100" w:name="_Toc79154672"/>
      <w:bookmarkStart w:id="101" w:name="_Toc9706"/>
      <w:bookmarkStart w:id="102" w:name="_Toc79392583"/>
      <w:bookmarkStart w:id="103" w:name="_Toc4559"/>
      <w:bookmarkStart w:id="104" w:name="_Toc10650"/>
      <w:bookmarkStart w:id="105" w:name="_Toc176189761"/>
      <w:bookmarkStart w:id="106" w:name="_Toc123102455"/>
      <w:bookmarkStart w:id="107" w:name="_Toc3321"/>
      <w:bookmarkStart w:id="108" w:name="_Toc7058"/>
      <w:bookmarkStart w:id="109" w:name="_Toc3771"/>
      <w:bookmarkStart w:id="110" w:name="_Toc74065745"/>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numPr>
          <w:ilvl w:val="0"/>
          <w:numId w:val="2"/>
        </w:numPr>
        <w:spacing w:line="360" w:lineRule="auto"/>
        <w:ind w:firstLine="360" w:firstLineChars="200"/>
        <w:jc w:val="left"/>
        <w:rPr>
          <w:rFonts w:hint="eastAsia" w:ascii="宋体" w:hAnsi="宋体"/>
          <w:kern w:val="0"/>
          <w:sz w:val="18"/>
          <w:szCs w:val="18"/>
        </w:rPr>
      </w:pPr>
      <w:permStart w:id="23" w:edGrp="everyone"/>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hint="eastAsia" w:ascii="宋体" w:hAnsi="宋体" w:eastAsiaTheme="majorEastAsia"/>
          <w:kern w:val="0"/>
          <w:sz w:val="18"/>
          <w:szCs w:val="18"/>
          <w:lang w:eastAsia="zh-CN"/>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r>
        <w:rPr>
          <w:rFonts w:hint="eastAsia" w:asciiTheme="majorEastAsia" w:hAnsiTheme="majorEastAsia" w:eastAsiaTheme="majorEastAsia"/>
          <w:color w:val="auto"/>
          <w:kern w:val="2"/>
          <w:sz w:val="18"/>
          <w:szCs w:val="18"/>
          <w:lang w:eastAsia="zh-CN"/>
        </w:rPr>
        <w:t>。</w:t>
      </w:r>
    </w:p>
    <w:permEnd w:id="23"/>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4"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①按投资者每份产品份额分别计算年化收益率并计提超额业绩报酬；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每份产品份额超额业绩报酬计提起始日为：募集期内认购的产品份额，以产品成立日为该份产品份额超额业绩报酬计提起始日。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产品管理人对每份份额当前年化收益率（R）超过当前业绩报酬计提基准的部分，按比例（N）以及产品份额持有天数（D）提取超额业绩报酬，计算方法如下：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4"/>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1745"/>
      <w:bookmarkStart w:id="112" w:name="_Toc3963"/>
      <w:r>
        <w:br w:type="page"/>
      </w:r>
      <w:bookmarkStart w:id="113" w:name="_Toc31821"/>
      <w:bookmarkStart w:id="114" w:name="_Toc16164"/>
      <w:bookmarkStart w:id="115" w:name="_Toc176189762"/>
      <w:bookmarkStart w:id="116" w:name="_Toc123112237"/>
      <w:bookmarkStart w:id="117" w:name="_Toc18206"/>
      <w:bookmarkStart w:id="118" w:name="_Toc74065746"/>
      <w:bookmarkStart w:id="119" w:name="_Toc21735"/>
      <w:bookmarkStart w:id="120" w:name="_Toc3572"/>
      <w:bookmarkStart w:id="121" w:name="_Toc123051455"/>
      <w:bookmarkStart w:id="122" w:name="_Toc98560355"/>
      <w:bookmarkStart w:id="123" w:name="_Toc725"/>
      <w:bookmarkStart w:id="124" w:name="_Toc141703889"/>
      <w:bookmarkStart w:id="125" w:name="_Toc139991739"/>
      <w:bookmarkStart w:id="126" w:name="_Toc123102456"/>
      <w:bookmarkStart w:id="127" w:name="_Toc3080"/>
      <w:bookmarkStart w:id="128" w:name="_Toc10398"/>
      <w:bookmarkStart w:id="129" w:name="_Toc79154673"/>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15118245"/>
      <w:bookmarkStart w:id="131" w:name="_Toc79392593"/>
      <w:bookmarkStart w:id="132" w:name="_Toc57530252"/>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部分终止的利益分配：产品管理人将依照销售文件公布部分终止日并指定利益分配日（一般为部分终止日之后的【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17198"/>
      <w:bookmarkStart w:id="134" w:name="_Toc5170"/>
      <w:bookmarkStart w:id="135" w:name="_Toc139991740"/>
      <w:bookmarkStart w:id="136" w:name="_Toc32584"/>
      <w:bookmarkStart w:id="137" w:name="_Toc32092"/>
      <w:bookmarkStart w:id="138" w:name="_Toc17920"/>
      <w:bookmarkStart w:id="139" w:name="_Toc123112238"/>
      <w:bookmarkStart w:id="140" w:name="_Toc3329"/>
      <w:bookmarkStart w:id="141" w:name="_Toc739"/>
      <w:bookmarkStart w:id="142" w:name="_Toc79392622"/>
      <w:bookmarkStart w:id="143" w:name="_Toc48649708"/>
      <w:bookmarkStart w:id="144" w:name="_Toc98560356"/>
      <w:bookmarkStart w:id="145" w:name="_Toc21237"/>
      <w:bookmarkStart w:id="146" w:name="_Toc176189763"/>
      <w:bookmarkStart w:id="147" w:name="_Toc123102457"/>
      <w:bookmarkStart w:id="148" w:name="_Toc141703890"/>
      <w:bookmarkStart w:id="149" w:name="_Toc79154674"/>
      <w:bookmarkStart w:id="150" w:name="_Toc123051456"/>
      <w:bookmarkStart w:id="151" w:name="_Toc29408"/>
      <w:bookmarkStart w:id="152" w:name="_Toc74065747"/>
      <w:bookmarkStart w:id="153" w:name="_Toc8791"/>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5"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5"/>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79154675"/>
      <w:bookmarkStart w:id="155" w:name="_Toc176189764"/>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6"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6"/>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rFonts w:cs="Arial"/>
                <w:sz w:val="18"/>
                <w:szCs w:val="18"/>
              </w:rPr>
              <w:t>/</w:t>
            </w:r>
            <w:r>
              <w:rPr>
                <w:rFonts w:hint="eastAsia" w:cs="Arial"/>
                <w:sz w:val="18"/>
                <w:szCs w:val="18"/>
              </w:rPr>
              <w:t>线上确认）：</w:t>
            </w:r>
          </w:p>
          <w:p>
            <w:pPr>
              <w:tabs>
                <w:tab w:val="left" w:pos="5609"/>
              </w:tabs>
              <w:spacing w:line="360" w:lineRule="auto"/>
              <w:ind w:firstLine="360"/>
              <w:jc w:val="left"/>
              <w:rPr>
                <w:rFonts w:cs="Arial"/>
                <w:sz w:val="18"/>
                <w:szCs w:val="18"/>
              </w:rPr>
            </w:pPr>
            <w:r>
              <w:rPr>
                <w:rFonts w:cs="Arial"/>
                <w:sz w:val="18"/>
                <w:szCs w:val="18"/>
              </w:rPr>
              <w:tab/>
            </w:r>
          </w:p>
          <w:p>
            <w:pPr>
              <w:spacing w:line="360" w:lineRule="auto"/>
              <w:ind w:firstLine="360"/>
              <w:jc w:val="left"/>
              <w:rPr>
                <w:rFonts w:cs="Arial"/>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cs="Arial"/>
                <w:sz w:val="18"/>
                <w:szCs w:val="18"/>
              </w:rPr>
              <w:t>线上确认）：</w:t>
            </w:r>
          </w:p>
          <w:p>
            <w:pPr>
              <w:spacing w:line="360" w:lineRule="auto"/>
              <w:ind w:firstLine="360"/>
              <w:jc w:val="left"/>
              <w:rPr>
                <w:sz w:val="18"/>
                <w:szCs w:val="18"/>
              </w:rPr>
            </w:pPr>
            <w:r>
              <w:rPr>
                <w:rFonts w:hint="eastAsia"/>
                <w:sz w:val="18"/>
                <w:szCs w:val="18"/>
              </w:rPr>
              <w:t>日期：</w:t>
            </w:r>
          </w:p>
        </w:tc>
      </w:tr>
    </w:tbl>
    <w:p>
      <w:pPr>
        <w:spacing w:line="360" w:lineRule="auto"/>
        <w:jc w:val="left"/>
        <w:rPr>
          <w:b/>
          <w:bCs/>
        </w:rPr>
      </w:pPr>
      <w:r>
        <w:rPr>
          <w:rFonts w:hint="eastAsia" w:ascii="宋体" w:hAnsi="宋体"/>
          <w:b/>
          <w:bCs/>
          <w:sz w:val="18"/>
          <w:szCs w:val="18"/>
        </w:rPr>
        <w:t>（本《产品说明书》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35</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E1494"/>
    <w:multiLevelType w:val="singleLevel"/>
    <w:tmpl w:val="9C7E1494"/>
    <w:lvl w:ilvl="0" w:tentative="0">
      <w:start w:val="2"/>
      <w:numFmt w:val="decimal"/>
      <w:suff w:val="nothing"/>
      <w:lvlText w:val="（%1）"/>
      <w:lvlJc w:val="left"/>
    </w:lvl>
  </w:abstractNum>
  <w:abstractNum w:abstractNumId="1">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dit="readOnly" w:enforcement="1" w:cryptProviderType="rsaAES" w:cryptAlgorithmClass="hash" w:cryptAlgorithmType="typeAny" w:cryptAlgorithmSid="14" w:cryptSpinCount="100000" w:hash="WhWCehpVO5rw4q4jgzrvQnxweXw9sEyQ9Wb825+VjIMUQxkZvV+ty3/uwQD6kWttklslZmS0o9l+K9CVPSdiMw==" w:salt="4yMQnss2tsYxigbL2CH0hg=="/>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37A51"/>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06A"/>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378B"/>
    <w:rsid w:val="000B41F8"/>
    <w:rsid w:val="000B6819"/>
    <w:rsid w:val="000B7F67"/>
    <w:rsid w:val="000C31AC"/>
    <w:rsid w:val="000C3B81"/>
    <w:rsid w:val="000C69CB"/>
    <w:rsid w:val="000C6BF4"/>
    <w:rsid w:val="000C7C96"/>
    <w:rsid w:val="000D01BB"/>
    <w:rsid w:val="000D0A91"/>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4E32"/>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27E9"/>
    <w:rsid w:val="00153415"/>
    <w:rsid w:val="001547CA"/>
    <w:rsid w:val="00154F9C"/>
    <w:rsid w:val="001562FA"/>
    <w:rsid w:val="0016331D"/>
    <w:rsid w:val="00163655"/>
    <w:rsid w:val="00163854"/>
    <w:rsid w:val="00165A9A"/>
    <w:rsid w:val="00167B0D"/>
    <w:rsid w:val="00171033"/>
    <w:rsid w:val="001715BB"/>
    <w:rsid w:val="00172BBF"/>
    <w:rsid w:val="0017394A"/>
    <w:rsid w:val="00174651"/>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5D11"/>
    <w:rsid w:val="001A6633"/>
    <w:rsid w:val="001B218F"/>
    <w:rsid w:val="001B21AE"/>
    <w:rsid w:val="001B3B95"/>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0FFD"/>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15680"/>
    <w:rsid w:val="00320153"/>
    <w:rsid w:val="003224C7"/>
    <w:rsid w:val="003229E9"/>
    <w:rsid w:val="00331380"/>
    <w:rsid w:val="00331423"/>
    <w:rsid w:val="00331AA1"/>
    <w:rsid w:val="00332367"/>
    <w:rsid w:val="0033357B"/>
    <w:rsid w:val="00335A6D"/>
    <w:rsid w:val="003363E0"/>
    <w:rsid w:val="00336C03"/>
    <w:rsid w:val="0033710A"/>
    <w:rsid w:val="00337172"/>
    <w:rsid w:val="00337AF2"/>
    <w:rsid w:val="00337EC3"/>
    <w:rsid w:val="003405D3"/>
    <w:rsid w:val="00341DFC"/>
    <w:rsid w:val="003444E9"/>
    <w:rsid w:val="003509B2"/>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3197"/>
    <w:rsid w:val="003A42AD"/>
    <w:rsid w:val="003A430B"/>
    <w:rsid w:val="003A5032"/>
    <w:rsid w:val="003B00EC"/>
    <w:rsid w:val="003B1841"/>
    <w:rsid w:val="003B32A0"/>
    <w:rsid w:val="003B343A"/>
    <w:rsid w:val="003B600B"/>
    <w:rsid w:val="003B72A3"/>
    <w:rsid w:val="003C2C6C"/>
    <w:rsid w:val="003C2FD0"/>
    <w:rsid w:val="003C3843"/>
    <w:rsid w:val="003C4A62"/>
    <w:rsid w:val="003C4CEB"/>
    <w:rsid w:val="003C51FE"/>
    <w:rsid w:val="003C56B8"/>
    <w:rsid w:val="003C5C1E"/>
    <w:rsid w:val="003C6DEC"/>
    <w:rsid w:val="003C7EAF"/>
    <w:rsid w:val="003D26D0"/>
    <w:rsid w:val="003D3411"/>
    <w:rsid w:val="003D5ED1"/>
    <w:rsid w:val="003D63E6"/>
    <w:rsid w:val="003E2F07"/>
    <w:rsid w:val="003E31AA"/>
    <w:rsid w:val="003E3D00"/>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92D"/>
    <w:rsid w:val="00422B14"/>
    <w:rsid w:val="00424562"/>
    <w:rsid w:val="0042456A"/>
    <w:rsid w:val="004259CB"/>
    <w:rsid w:val="00426CB5"/>
    <w:rsid w:val="0042700C"/>
    <w:rsid w:val="00430510"/>
    <w:rsid w:val="00430DF1"/>
    <w:rsid w:val="00434DA3"/>
    <w:rsid w:val="00436184"/>
    <w:rsid w:val="004365C7"/>
    <w:rsid w:val="004369A7"/>
    <w:rsid w:val="0043725F"/>
    <w:rsid w:val="00440E4C"/>
    <w:rsid w:val="00441309"/>
    <w:rsid w:val="00441A1F"/>
    <w:rsid w:val="00441A2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8B2"/>
    <w:rsid w:val="00467C9D"/>
    <w:rsid w:val="00470261"/>
    <w:rsid w:val="004711A9"/>
    <w:rsid w:val="00471A23"/>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1C11"/>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2DE"/>
    <w:rsid w:val="004F58A4"/>
    <w:rsid w:val="00500B33"/>
    <w:rsid w:val="0050192C"/>
    <w:rsid w:val="00502068"/>
    <w:rsid w:val="005023E9"/>
    <w:rsid w:val="005030D1"/>
    <w:rsid w:val="00503239"/>
    <w:rsid w:val="005048A9"/>
    <w:rsid w:val="00504CD2"/>
    <w:rsid w:val="0050525D"/>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77682"/>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1513"/>
    <w:rsid w:val="005B1F01"/>
    <w:rsid w:val="005B3D95"/>
    <w:rsid w:val="005B4391"/>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26E1F"/>
    <w:rsid w:val="0063051C"/>
    <w:rsid w:val="006307AD"/>
    <w:rsid w:val="00631736"/>
    <w:rsid w:val="006328AE"/>
    <w:rsid w:val="006345B0"/>
    <w:rsid w:val="0064020E"/>
    <w:rsid w:val="0064087A"/>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369"/>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DAD"/>
    <w:rsid w:val="007048B2"/>
    <w:rsid w:val="00706406"/>
    <w:rsid w:val="00706DCA"/>
    <w:rsid w:val="00707A7B"/>
    <w:rsid w:val="007123F2"/>
    <w:rsid w:val="00712CFF"/>
    <w:rsid w:val="0071321B"/>
    <w:rsid w:val="007143E3"/>
    <w:rsid w:val="0071446F"/>
    <w:rsid w:val="00714473"/>
    <w:rsid w:val="007166B2"/>
    <w:rsid w:val="0071733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97BD9"/>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C6C7F"/>
    <w:rsid w:val="007D115D"/>
    <w:rsid w:val="007D37FB"/>
    <w:rsid w:val="007D3AB0"/>
    <w:rsid w:val="007D3C57"/>
    <w:rsid w:val="007D5878"/>
    <w:rsid w:val="007D6324"/>
    <w:rsid w:val="007D68C9"/>
    <w:rsid w:val="007D6F94"/>
    <w:rsid w:val="007D7B84"/>
    <w:rsid w:val="007D7E7D"/>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3797D"/>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55D4"/>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2D84"/>
    <w:rsid w:val="008D4CB3"/>
    <w:rsid w:val="008D5CDB"/>
    <w:rsid w:val="008D643C"/>
    <w:rsid w:val="008D6554"/>
    <w:rsid w:val="008D756F"/>
    <w:rsid w:val="008D7E71"/>
    <w:rsid w:val="008E10E0"/>
    <w:rsid w:val="008E6072"/>
    <w:rsid w:val="008E6640"/>
    <w:rsid w:val="008F2669"/>
    <w:rsid w:val="008F2710"/>
    <w:rsid w:val="008F432E"/>
    <w:rsid w:val="008F784B"/>
    <w:rsid w:val="008F7A01"/>
    <w:rsid w:val="00900AF7"/>
    <w:rsid w:val="00901909"/>
    <w:rsid w:val="00901ACE"/>
    <w:rsid w:val="00901B37"/>
    <w:rsid w:val="009043D1"/>
    <w:rsid w:val="00904AA1"/>
    <w:rsid w:val="0090500B"/>
    <w:rsid w:val="0090746E"/>
    <w:rsid w:val="0090771A"/>
    <w:rsid w:val="00907D44"/>
    <w:rsid w:val="009106C1"/>
    <w:rsid w:val="00910BA4"/>
    <w:rsid w:val="00912C9D"/>
    <w:rsid w:val="00912DA8"/>
    <w:rsid w:val="00915499"/>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36C1F"/>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4167"/>
    <w:rsid w:val="00974BED"/>
    <w:rsid w:val="00976143"/>
    <w:rsid w:val="009770A0"/>
    <w:rsid w:val="00980073"/>
    <w:rsid w:val="00981B42"/>
    <w:rsid w:val="00982041"/>
    <w:rsid w:val="00983099"/>
    <w:rsid w:val="009832E7"/>
    <w:rsid w:val="009836DB"/>
    <w:rsid w:val="00984A57"/>
    <w:rsid w:val="00984EF3"/>
    <w:rsid w:val="009868B1"/>
    <w:rsid w:val="009911A1"/>
    <w:rsid w:val="00992322"/>
    <w:rsid w:val="00993261"/>
    <w:rsid w:val="00993578"/>
    <w:rsid w:val="0099630F"/>
    <w:rsid w:val="00997B82"/>
    <w:rsid w:val="00997E03"/>
    <w:rsid w:val="009A0770"/>
    <w:rsid w:val="009A0BA3"/>
    <w:rsid w:val="009A1A8B"/>
    <w:rsid w:val="009A2A56"/>
    <w:rsid w:val="009A418D"/>
    <w:rsid w:val="009A520C"/>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3FFA"/>
    <w:rsid w:val="009E6590"/>
    <w:rsid w:val="009F01CF"/>
    <w:rsid w:val="009F06C5"/>
    <w:rsid w:val="009F0C46"/>
    <w:rsid w:val="009F2607"/>
    <w:rsid w:val="009F2B8E"/>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66A4"/>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2BB"/>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AF7C1B"/>
    <w:rsid w:val="00B012B6"/>
    <w:rsid w:val="00B014BB"/>
    <w:rsid w:val="00B045EC"/>
    <w:rsid w:val="00B058FF"/>
    <w:rsid w:val="00B074D0"/>
    <w:rsid w:val="00B10CFD"/>
    <w:rsid w:val="00B11E34"/>
    <w:rsid w:val="00B134B0"/>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5E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BF7FA7"/>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2AC1"/>
    <w:rsid w:val="00C5311E"/>
    <w:rsid w:val="00C5343D"/>
    <w:rsid w:val="00C54A52"/>
    <w:rsid w:val="00C60A5E"/>
    <w:rsid w:val="00C61028"/>
    <w:rsid w:val="00C62B36"/>
    <w:rsid w:val="00C63219"/>
    <w:rsid w:val="00C64182"/>
    <w:rsid w:val="00C70604"/>
    <w:rsid w:val="00C7392F"/>
    <w:rsid w:val="00C74622"/>
    <w:rsid w:val="00C74920"/>
    <w:rsid w:val="00C7610F"/>
    <w:rsid w:val="00C773AA"/>
    <w:rsid w:val="00C773F9"/>
    <w:rsid w:val="00C775A1"/>
    <w:rsid w:val="00C77B0A"/>
    <w:rsid w:val="00C8091E"/>
    <w:rsid w:val="00C80EE0"/>
    <w:rsid w:val="00C8162B"/>
    <w:rsid w:val="00C816BA"/>
    <w:rsid w:val="00C81CA2"/>
    <w:rsid w:val="00C8291D"/>
    <w:rsid w:val="00C833B1"/>
    <w:rsid w:val="00C91C9D"/>
    <w:rsid w:val="00C93A2E"/>
    <w:rsid w:val="00C9595B"/>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0EF"/>
    <w:rsid w:val="00CE3283"/>
    <w:rsid w:val="00CE4D95"/>
    <w:rsid w:val="00CE629D"/>
    <w:rsid w:val="00CF07E6"/>
    <w:rsid w:val="00CF1BAF"/>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DD1"/>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6BB9"/>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4C52"/>
    <w:rsid w:val="00DF6462"/>
    <w:rsid w:val="00DF6D4A"/>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61D"/>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374C"/>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A5574"/>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1A4E"/>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0435"/>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B7ABD"/>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682F"/>
    <w:rsid w:val="020A6A96"/>
    <w:rsid w:val="02700047"/>
    <w:rsid w:val="0356786B"/>
    <w:rsid w:val="03621442"/>
    <w:rsid w:val="046E31C1"/>
    <w:rsid w:val="05032049"/>
    <w:rsid w:val="056C4F65"/>
    <w:rsid w:val="06F4696E"/>
    <w:rsid w:val="07245E56"/>
    <w:rsid w:val="072779FF"/>
    <w:rsid w:val="08B02EA2"/>
    <w:rsid w:val="09C9258B"/>
    <w:rsid w:val="0B34283A"/>
    <w:rsid w:val="0BAE1AE0"/>
    <w:rsid w:val="0BB762F5"/>
    <w:rsid w:val="0C023D8C"/>
    <w:rsid w:val="0E94232E"/>
    <w:rsid w:val="0F1306D5"/>
    <w:rsid w:val="10F01A1A"/>
    <w:rsid w:val="11295396"/>
    <w:rsid w:val="12302283"/>
    <w:rsid w:val="123618AD"/>
    <w:rsid w:val="12546039"/>
    <w:rsid w:val="14C70C81"/>
    <w:rsid w:val="14DF29AF"/>
    <w:rsid w:val="14F17F49"/>
    <w:rsid w:val="15144EC3"/>
    <w:rsid w:val="163E2FB7"/>
    <w:rsid w:val="190F41BD"/>
    <w:rsid w:val="19645879"/>
    <w:rsid w:val="19AC2481"/>
    <w:rsid w:val="1A48157B"/>
    <w:rsid w:val="1ABE2ED9"/>
    <w:rsid w:val="1BD70953"/>
    <w:rsid w:val="1BF87698"/>
    <w:rsid w:val="1C78144D"/>
    <w:rsid w:val="1CD60A49"/>
    <w:rsid w:val="1E585AB7"/>
    <w:rsid w:val="1EB160C2"/>
    <w:rsid w:val="1FF145B9"/>
    <w:rsid w:val="207D26DF"/>
    <w:rsid w:val="2193546F"/>
    <w:rsid w:val="22351588"/>
    <w:rsid w:val="23083986"/>
    <w:rsid w:val="23352853"/>
    <w:rsid w:val="23AF29A3"/>
    <w:rsid w:val="2547248D"/>
    <w:rsid w:val="26123FD6"/>
    <w:rsid w:val="26F50BA9"/>
    <w:rsid w:val="29026D00"/>
    <w:rsid w:val="29E76254"/>
    <w:rsid w:val="2A642791"/>
    <w:rsid w:val="2DB01609"/>
    <w:rsid w:val="2EA644DF"/>
    <w:rsid w:val="2FB532A0"/>
    <w:rsid w:val="2FC02C2F"/>
    <w:rsid w:val="2FF37D0C"/>
    <w:rsid w:val="30257ABB"/>
    <w:rsid w:val="319C4BEA"/>
    <w:rsid w:val="337E5E72"/>
    <w:rsid w:val="33DA2E89"/>
    <w:rsid w:val="34C829B2"/>
    <w:rsid w:val="35381804"/>
    <w:rsid w:val="36E45E20"/>
    <w:rsid w:val="386A3F56"/>
    <w:rsid w:val="38FC6385"/>
    <w:rsid w:val="3A810EF7"/>
    <w:rsid w:val="3C3802E9"/>
    <w:rsid w:val="3E0C1771"/>
    <w:rsid w:val="3E586AB8"/>
    <w:rsid w:val="3E5C1B1D"/>
    <w:rsid w:val="3EAE14E9"/>
    <w:rsid w:val="3FD261A6"/>
    <w:rsid w:val="3FEE509E"/>
    <w:rsid w:val="404E41C0"/>
    <w:rsid w:val="42EB2F9C"/>
    <w:rsid w:val="43380D15"/>
    <w:rsid w:val="43670202"/>
    <w:rsid w:val="45226963"/>
    <w:rsid w:val="45843AB1"/>
    <w:rsid w:val="469F5C49"/>
    <w:rsid w:val="47DE0F9A"/>
    <w:rsid w:val="4CD85774"/>
    <w:rsid w:val="4D39606F"/>
    <w:rsid w:val="4F8E3D4D"/>
    <w:rsid w:val="4FA308F4"/>
    <w:rsid w:val="4FFA094D"/>
    <w:rsid w:val="53B3493A"/>
    <w:rsid w:val="54FA7874"/>
    <w:rsid w:val="5537323C"/>
    <w:rsid w:val="55855837"/>
    <w:rsid w:val="565011AF"/>
    <w:rsid w:val="56503211"/>
    <w:rsid w:val="56D530F1"/>
    <w:rsid w:val="57BD5DAE"/>
    <w:rsid w:val="598B567E"/>
    <w:rsid w:val="59AC322E"/>
    <w:rsid w:val="5A1819D0"/>
    <w:rsid w:val="5B2B76E0"/>
    <w:rsid w:val="5B5D4C61"/>
    <w:rsid w:val="5BA577EB"/>
    <w:rsid w:val="5C0A5A92"/>
    <w:rsid w:val="5C624734"/>
    <w:rsid w:val="5C9F76ED"/>
    <w:rsid w:val="5FE91ABC"/>
    <w:rsid w:val="60D42826"/>
    <w:rsid w:val="62597F97"/>
    <w:rsid w:val="628E734C"/>
    <w:rsid w:val="63134AEC"/>
    <w:rsid w:val="642F6CC2"/>
    <w:rsid w:val="644D235A"/>
    <w:rsid w:val="64F66D8D"/>
    <w:rsid w:val="6580603B"/>
    <w:rsid w:val="68B96EA7"/>
    <w:rsid w:val="68C7223A"/>
    <w:rsid w:val="68EF6886"/>
    <w:rsid w:val="694A7300"/>
    <w:rsid w:val="699457CF"/>
    <w:rsid w:val="6EC434AF"/>
    <w:rsid w:val="6FDD1093"/>
    <w:rsid w:val="709C0126"/>
    <w:rsid w:val="727B3D9C"/>
    <w:rsid w:val="72F640B6"/>
    <w:rsid w:val="735A1493"/>
    <w:rsid w:val="73731560"/>
    <w:rsid w:val="73D318F9"/>
    <w:rsid w:val="73EB7F47"/>
    <w:rsid w:val="745F42C5"/>
    <w:rsid w:val="75CA0323"/>
    <w:rsid w:val="76022652"/>
    <w:rsid w:val="768501BE"/>
    <w:rsid w:val="76C8601E"/>
    <w:rsid w:val="7D80556D"/>
    <w:rsid w:val="7ED86E63"/>
    <w:rsid w:val="7EFC28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114D43D-ED98-4C7B-A3AE-26D78B80CA82}">
  <ds:schemaRefs/>
</ds:datastoreItem>
</file>

<file path=customXml/itemProps11.xml><?xml version="1.0" encoding="utf-8"?>
<ds:datastoreItem xmlns:ds="http://schemas.openxmlformats.org/officeDocument/2006/customXml" ds:itemID="{1AEEB1B7-F47D-4AFF-902F-0A79111B6E84}">
  <ds:schemaRefs/>
</ds:datastoreItem>
</file>

<file path=customXml/itemProps12.xml><?xml version="1.0" encoding="utf-8"?>
<ds:datastoreItem xmlns:ds="http://schemas.openxmlformats.org/officeDocument/2006/customXml" ds:itemID="{509BA638-9D3A-4AA3-A169-FF78BC0E4BE9}">
  <ds:schemaRefs/>
</ds:datastoreItem>
</file>

<file path=customXml/itemProps13.xml><?xml version="1.0" encoding="utf-8"?>
<ds:datastoreItem xmlns:ds="http://schemas.openxmlformats.org/officeDocument/2006/customXml" ds:itemID="{1990A2D8-324F-45D5-B9CD-07245ED2860B}">
  <ds:schemaRefs/>
</ds:datastoreItem>
</file>

<file path=customXml/itemProps14.xml><?xml version="1.0" encoding="utf-8"?>
<ds:datastoreItem xmlns:ds="http://schemas.openxmlformats.org/officeDocument/2006/customXml" ds:itemID="{2108FF18-8EC8-4170-A536-1AA8E39CC797}">
  <ds:schemaRefs/>
</ds:datastoreItem>
</file>

<file path=customXml/itemProps15.xml><?xml version="1.0" encoding="utf-8"?>
<ds:datastoreItem xmlns:ds="http://schemas.openxmlformats.org/officeDocument/2006/customXml" ds:itemID="{79B37214-9E52-4241-8DD2-9E9CD9442006}">
  <ds:schemaRefs/>
</ds:datastoreItem>
</file>

<file path=customXml/itemProps16.xml><?xml version="1.0" encoding="utf-8"?>
<ds:datastoreItem xmlns:ds="http://schemas.openxmlformats.org/officeDocument/2006/customXml" ds:itemID="{1A3BDF38-4832-4575-A8AB-7A1679738229}">
  <ds:schemaRefs/>
</ds:datastoreItem>
</file>

<file path=customXml/itemProps17.xml><?xml version="1.0" encoding="utf-8"?>
<ds:datastoreItem xmlns:ds="http://schemas.openxmlformats.org/officeDocument/2006/customXml" ds:itemID="{3A3C3A8D-C5E4-45AF-8B48-C3BF528808AD}">
  <ds:schemaRefs/>
</ds:datastoreItem>
</file>

<file path=customXml/itemProps18.xml><?xml version="1.0" encoding="utf-8"?>
<ds:datastoreItem xmlns:ds="http://schemas.openxmlformats.org/officeDocument/2006/customXml" ds:itemID="{0A7AA9EF-3B8C-4BAA-9155-A6E3E5337D3C}">
  <ds:schemaRefs/>
</ds:datastoreItem>
</file>

<file path=customXml/itemProps2.xml><?xml version="1.0" encoding="utf-8"?>
<ds:datastoreItem xmlns:ds="http://schemas.openxmlformats.org/officeDocument/2006/customXml" ds:itemID="{EC45DDBE-A426-47CA-BC62-D025DE29F1BC}">
  <ds:schemaRefs/>
</ds:datastoreItem>
</file>

<file path=customXml/itemProps3.xml><?xml version="1.0" encoding="utf-8"?>
<ds:datastoreItem xmlns:ds="http://schemas.openxmlformats.org/officeDocument/2006/customXml" ds:itemID="{CF487381-D648-48A1-B1E4-A4540B0D3650}">
  <ds:schemaRefs/>
</ds:datastoreItem>
</file>

<file path=customXml/itemProps4.xml><?xml version="1.0" encoding="utf-8"?>
<ds:datastoreItem xmlns:ds="http://schemas.openxmlformats.org/officeDocument/2006/customXml" ds:itemID="{7E5C9D84-6DB6-48FB-8632-D5279FC233C8}">
  <ds:schemaRefs/>
</ds:datastoreItem>
</file>

<file path=customXml/itemProps5.xml><?xml version="1.0" encoding="utf-8"?>
<ds:datastoreItem xmlns:ds="http://schemas.openxmlformats.org/officeDocument/2006/customXml" ds:itemID="{E6D3D55C-3DD8-4C31-8069-E5508DD844FB}">
  <ds:schemaRefs/>
</ds:datastoreItem>
</file>

<file path=customXml/itemProps6.xml><?xml version="1.0" encoding="utf-8"?>
<ds:datastoreItem xmlns:ds="http://schemas.openxmlformats.org/officeDocument/2006/customXml" ds:itemID="{AC86F3EB-DB57-4B60-8A7E-BBB67A22EE0B}">
  <ds:schemaRefs/>
</ds:datastoreItem>
</file>

<file path=customXml/itemProps7.xml><?xml version="1.0" encoding="utf-8"?>
<ds:datastoreItem xmlns:ds="http://schemas.openxmlformats.org/officeDocument/2006/customXml" ds:itemID="{BEEE0313-55EB-45FA-BBBD-C0232D367255}">
  <ds:schemaRefs/>
</ds:datastoreItem>
</file>

<file path=customXml/itemProps8.xml><?xml version="1.0" encoding="utf-8"?>
<ds:datastoreItem xmlns:ds="http://schemas.openxmlformats.org/officeDocument/2006/customXml" ds:itemID="{A06CD169-7F5C-4082-81B2-6ECAA9AF6149}">
  <ds:schemaRefs/>
</ds:datastoreItem>
</file>

<file path=customXml/itemProps9.xml><?xml version="1.0" encoding="utf-8"?>
<ds:datastoreItem xmlns:ds="http://schemas.openxmlformats.org/officeDocument/2006/customXml" ds:itemID="{D902962D-C8CC-43BF-804A-CD60AE6D747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3787</Words>
  <Characters>21586</Characters>
  <Lines>179</Lines>
  <Paragraphs>50</Paragraphs>
  <TotalTime>58</TotalTime>
  <ScaleCrop>false</ScaleCrop>
  <LinksUpToDate>false</LinksUpToDate>
  <CharactersWithSpaces>25323</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2024-11-15T02:41:00Z</dcterms:created>
  <dc:creator>张淼雯</dc:creator>
  <cp:lastModifiedBy>cib</cp:lastModifiedBy>
  <cp:lastPrinted>2020-09-21T06:35:00Z</cp:lastPrinted>
  <dcterms:modified xsi:type="dcterms:W3CDTF">2025-08-12T07:33:25Z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