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幸福99丰裕固收386天25159期理财</w:t>
      </w:r>
      <w:r>
        <w:rPr>
          <w:rFonts w:hint="eastAsia" w:ascii="宋体" w:hAnsi="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r>
        <w:rPr>
          <w:rFonts w:hint="eastAsia" w:ascii="宋体" w:hAnsi="宋体" w:cs="宋体"/>
          <w:sz w:val="32"/>
          <w:szCs w:val="32"/>
          <w:highlight w:val="none"/>
        </w:rPr>
        <w:br w:type="page"/>
      </w: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9"/>
        <w:rPr>
          <w:rFonts w:hint="eastAsia" w:ascii="宋体" w:hAnsi="宋体" w:cs="宋体"/>
          <w:sz w:val="32"/>
          <w:szCs w:val="32"/>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lang w:eastAsia="zh-CN"/>
        </w:rPr>
        <w:t>幸福99丰裕固收386天25159期理财</w:t>
      </w:r>
      <w:r>
        <w:rPr>
          <w:rFonts w:hint="eastAsia" w:ascii="宋体" w:hAnsi="宋体" w:cs="宋体"/>
          <w:b/>
          <w:bCs/>
          <w:sz w:val="44"/>
          <w:szCs w:val="44"/>
          <w:highlight w:val="none"/>
        </w:rPr>
        <w:t>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幸福99丰裕固收386天25159期理财风险揭示书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幸福99丰裕固收386天25159期理财产品说明书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lang w:eastAsia="zh-CN"/>
        </w:rPr>
        <w:t>幸福99丰裕固收386天25159期理财</w:t>
      </w:r>
      <w:r>
        <w:rPr>
          <w:rFonts w:hint="eastAsia" w:ascii="宋体" w:hAnsi="宋体" w:cs="宋体"/>
          <w:b/>
          <w:bCs/>
          <w:sz w:val="44"/>
          <w:szCs w:val="44"/>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代理销售</w:t>
      </w:r>
      <w:r>
        <w:rPr>
          <w:rFonts w:hint="eastAsia" w:ascii="宋体" w:hAnsi="宋体" w:cs="宋体"/>
          <w:bCs/>
          <w:sz w:val="24"/>
          <w:highlight w:val="none"/>
          <w:lang w:eastAsia="zh-CN"/>
        </w:rPr>
        <w:t>）</w:t>
      </w:r>
      <w:r>
        <w:rPr>
          <w:rFonts w:hint="eastAsia" w:ascii="宋体" w:hAnsi="宋体" w:cs="宋体"/>
          <w:bCs/>
          <w:sz w:val="24"/>
          <w:highlight w:val="none"/>
        </w:rPr>
        <w:t>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w:t>
      </w:r>
      <w:r>
        <w:rPr>
          <w:rFonts w:hint="eastAsia" w:ascii="宋体" w:hAnsi="宋体" w:cs="宋体"/>
          <w:b/>
          <w:sz w:val="24"/>
          <w:highlight w:val="none"/>
          <w:lang w:val="en-US" w:eastAsia="zh-CN"/>
        </w:rPr>
        <w:t>法律、</w:t>
      </w:r>
      <w:r>
        <w:rPr>
          <w:rFonts w:hint="eastAsia" w:ascii="宋体" w:hAnsi="宋体" w:cs="宋体"/>
          <w:b/>
          <w:sz w:val="24"/>
          <w:highlight w:val="none"/>
        </w:rPr>
        <w:t>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w:t>
      </w:r>
      <w:r>
        <w:rPr>
          <w:rFonts w:hint="eastAsia" w:ascii="宋体" w:hAnsi="宋体" w:cs="宋体"/>
          <w:b/>
          <w:sz w:val="24"/>
          <w:highlight w:val="none"/>
          <w:lang w:val="en-US" w:eastAsia="zh-CN"/>
        </w:rPr>
        <w:t>可</w:t>
      </w:r>
      <w:r>
        <w:rPr>
          <w:rFonts w:hint="eastAsia" w:ascii="宋体" w:hAnsi="宋体" w:cs="宋体"/>
          <w:b/>
          <w:sz w:val="24"/>
          <w:highlight w:val="none"/>
        </w:rPr>
        <w:t>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w:t>
      </w:r>
      <w:bookmarkStart w:id="0" w:name="OLE_LINK1"/>
      <w:r>
        <w:rPr>
          <w:rFonts w:hint="eastAsia" w:ascii="宋体" w:hAnsi="宋体" w:cs="宋体"/>
          <w:b/>
          <w:sz w:val="24"/>
          <w:highlight w:val="none"/>
          <w:lang w:eastAsia="zh-CN"/>
        </w:rPr>
        <w:t>（</w:t>
      </w:r>
      <w:r>
        <w:rPr>
          <w:rFonts w:hint="eastAsia" w:ascii="宋体" w:hAnsi="宋体" w:cs="宋体"/>
          <w:b/>
          <w:sz w:val="24"/>
          <w:highlight w:val="none"/>
          <w:lang w:val="en-US" w:eastAsia="zh-CN"/>
        </w:rPr>
        <w:t>如有</w:t>
      </w:r>
      <w:r>
        <w:rPr>
          <w:rFonts w:hint="eastAsia" w:ascii="宋体" w:hAnsi="宋体" w:cs="宋体"/>
          <w:b/>
          <w:sz w:val="24"/>
          <w:highlight w:val="none"/>
          <w:lang w:eastAsia="zh-CN"/>
        </w:rPr>
        <w:t>）</w:t>
      </w:r>
      <w:bookmarkEnd w:id="0"/>
      <w:r>
        <w:rPr>
          <w:rFonts w:hint="eastAsia" w:ascii="宋体" w:hAnsi="宋体" w:cs="宋体"/>
          <w:b/>
          <w:sz w:val="24"/>
          <w:highlight w:val="none"/>
        </w:rPr>
        <w:t>，由此产生的风险及损失将由投资者自行承担。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w:t>
      </w:r>
      <w:r>
        <w:rPr>
          <w:rFonts w:hint="eastAsia" w:ascii="宋体" w:hAnsi="宋体" w:cs="宋体"/>
          <w:b/>
          <w:sz w:val="24"/>
          <w:highlight w:val="none"/>
          <w:lang w:val="en-US" w:eastAsia="zh-CN"/>
        </w:rPr>
        <w:t>公募</w:t>
      </w:r>
      <w:r>
        <w:rPr>
          <w:rFonts w:hint="eastAsia" w:ascii="宋体" w:hAnsi="宋体" w:cs="宋体"/>
          <w:b/>
          <w:sz w:val="24"/>
          <w:highlight w:val="none"/>
        </w:rPr>
        <w:t>、</w:t>
      </w:r>
      <w:r>
        <w:rPr>
          <w:rFonts w:hint="eastAsia" w:ascii="宋体" w:hAnsi="宋体" w:cs="宋体"/>
          <w:b/>
          <w:sz w:val="24"/>
          <w:highlight w:val="none"/>
          <w:lang w:val="en-US" w:eastAsia="zh-CN"/>
        </w:rPr>
        <w:t>封闭式</w:t>
      </w:r>
      <w:r>
        <w:rPr>
          <w:rFonts w:hint="eastAsia" w:ascii="宋体" w:hAnsi="宋体" w:cs="宋体"/>
          <w:b/>
          <w:sz w:val="24"/>
          <w:highlight w:val="none"/>
        </w:rPr>
        <w:t>、〖</w:t>
      </w:r>
      <w:r>
        <w:rPr>
          <w:rFonts w:hint="eastAsia" w:ascii="宋体" w:hAnsi="宋体" w:cs="宋体"/>
          <w:b/>
          <w:sz w:val="24"/>
          <w:highlight w:val="none"/>
          <w:lang w:val="en-US" w:eastAsia="zh-CN"/>
        </w:rPr>
        <w:t>固定收益类</w:t>
      </w:r>
      <w:r>
        <w:rPr>
          <w:rFonts w:hint="eastAsia" w:ascii="宋体" w:hAnsi="宋体" w:cs="宋体"/>
          <w:b/>
          <w:sz w:val="24"/>
          <w:highlight w:val="none"/>
        </w:rPr>
        <w:t>〗净值型理财计划，〖386天〗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w:t>
      </w:r>
      <w:r>
        <w:rPr>
          <w:rFonts w:hint="eastAsia" w:ascii="宋体" w:hAnsi="宋体" w:cs="宋体"/>
          <w:b/>
          <w:sz w:val="24"/>
          <w:highlight w:val="none"/>
          <w:lang w:val="en-US" w:eastAsia="zh-CN"/>
        </w:rPr>
        <w:t>R2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w:t>
      </w:r>
      <w:r>
        <w:rPr>
          <w:rFonts w:hint="eastAsia" w:ascii="宋体" w:hAnsi="宋体" w:cs="宋体"/>
          <w:b/>
          <w:sz w:val="24"/>
          <w:highlight w:val="none"/>
          <w:lang w:val="en-US" w:eastAsia="zh-CN"/>
        </w:rPr>
        <w:t>程度较低，收益波动较小，虽然存在一些可能对产品本金和收益安全产生不利影响的因素，但产品本金出现损失的可能性较小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lang w:eastAsia="zh-CN"/>
        </w:rPr>
        <w:t>幸福99丰裕固收386天25159期理财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right"/>
        <w:rPr>
          <w:rFonts w:hint="eastAsia" w:ascii="宋体" w:hAnsi="宋体" w:cs="宋体"/>
          <w:bCs/>
          <w:color w:val="auto"/>
          <w:sz w:val="24"/>
          <w:highlight w:val="none"/>
        </w:rPr>
      </w:pPr>
      <w:r>
        <w:rPr>
          <w:rFonts w:hint="eastAsia" w:ascii="宋体" w:hAnsi="宋体" w:cs="宋体"/>
          <w:color w:val="000000"/>
          <w:sz w:val="24"/>
          <w:highlight w:val="none"/>
        </w:rPr>
        <w:t>备案编号</w:t>
      </w:r>
      <w:r>
        <w:rPr>
          <w:rFonts w:hint="eastAsia" w:ascii="宋体" w:hAnsi="宋体" w:cs="宋体"/>
          <w:color w:val="auto"/>
          <w:sz w:val="24"/>
          <w:highlight w:val="none"/>
        </w:rPr>
        <w:t>:</w:t>
      </w:r>
      <w:r>
        <w:rPr>
          <w:rFonts w:hint="eastAsia" w:ascii="宋体" w:hAnsi="宋体" w:cs="宋体"/>
          <w:bCs/>
          <w:color w:val="auto"/>
          <w:sz w:val="24"/>
          <w:highlight w:val="none"/>
        </w:rPr>
        <w:t>〖</w:t>
      </w:r>
      <w:r>
        <w:rPr>
          <w:rFonts w:hint="eastAsia" w:ascii="宋体" w:hAnsi="宋体" w:cs="宋体"/>
          <w:color w:val="000000"/>
          <w:sz w:val="24"/>
          <w:highlight w:val="none"/>
          <w:lang w:val="en-US" w:eastAsia="zh-CN"/>
        </w:rPr>
        <w:t>Z7002225000297</w:t>
      </w:r>
      <w:r>
        <w:rPr>
          <w:rFonts w:hint="eastAsia" w:ascii="宋体" w:hAnsi="宋体" w:cs="宋体"/>
          <w:bCs/>
          <w:color w:val="auto"/>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幸福99丰裕固收386天25159期理财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幸福99丰裕固收386天25159期理财</w:t>
      </w:r>
      <w:r>
        <w:rPr>
          <w:rFonts w:hint="eastAsia" w:ascii="宋体" w:hAnsi="宋体" w:cs="宋体"/>
          <w:bCs/>
          <w:color w:val="auto"/>
          <w:kern w:val="2"/>
          <w:highlight w:val="none"/>
        </w:rPr>
        <w:t>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幸福99丰裕固收386天25159期理财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w:t>
      </w:r>
      <w:r>
        <w:rPr>
          <w:rFonts w:hint="eastAsia" w:ascii="宋体" w:hAnsi="宋体" w:cs="宋体"/>
          <w:szCs w:val="21"/>
          <w:highlight w:val="none"/>
        </w:rPr>
        <w:t>〖</w:t>
      </w:r>
      <w:r>
        <w:rPr>
          <w:rFonts w:hint="eastAsia" w:ascii="宋体" w:hAnsi="宋体" w:cs="宋体"/>
          <w:bCs/>
          <w:highlight w:val="none"/>
        </w:rPr>
        <w:t>上海证券交易所、深圳证券交易所</w:t>
      </w:r>
      <w:r>
        <w:rPr>
          <w:rFonts w:hint="eastAsia" w:ascii="宋体" w:hAnsi="宋体" w:cs="宋体"/>
          <w:szCs w:val="21"/>
          <w:highlight w:val="none"/>
        </w:rPr>
        <w:t>〗</w:t>
      </w:r>
      <w:r>
        <w:rPr>
          <w:rFonts w:hint="eastAsia" w:ascii="宋体" w:hAnsi="宋体" w:cs="宋体"/>
          <w:bCs/>
          <w:highlight w:val="none"/>
        </w:rPr>
        <w:t>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b/>
          <w:bCs/>
          <w:highlight w:val="none"/>
          <w:lang w:val="en-US" w:eastAsia="zh-CN"/>
        </w:rPr>
        <w:t>投资退出期：</w:t>
      </w:r>
      <w:r>
        <w:rPr>
          <w:rFonts w:hint="eastAsia" w:ascii="Times New Roman" w:hAnsi="Times New Roman" w:eastAsia="宋体" w:cs="Times New Roman"/>
          <w:highlight w:val="none"/>
          <w:lang w:val="en-US" w:eastAsia="zh-CN"/>
        </w:rPr>
        <w:t>是指理财计划临近到期前，管理人通过资产变现用以进行资金交割清算的准备期。</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sz w:val="24"/>
          <w:highlight w:val="none"/>
          <w:lang w:val="en-US" w:eastAsia="zh-CN"/>
        </w:rPr>
        <w:t>R2</w:t>
      </w:r>
      <w:r>
        <w:rPr>
          <w:rFonts w:hint="eastAsia" w:ascii="宋体" w:hAnsi="宋体" w:cs="宋体"/>
          <w:b/>
          <w:color w:val="auto"/>
          <w:kern w:val="2"/>
          <w:highlight w:val="none"/>
        </w:rPr>
        <w:t>〗，〖</w:t>
      </w:r>
      <w:r>
        <w:rPr>
          <w:rFonts w:hint="eastAsia" w:ascii="宋体" w:hAnsi="宋体" w:cs="宋体"/>
          <w:b/>
          <w:sz w:val="24"/>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幸福99丰裕固收386天25159期理财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丰裕固收25159期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本理财计划在全国银行业理财信息登记系统的登记编码是〖Z7002225000297〗，投资者可依据该编码在“中国理财网（www.chinawealth.com.cn）”查询本理财计划信息。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A份额（销售代码〖FYG25159A〗）：普通个人投资者和机构客户。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B份额（销售代码〖FYG25159B〗）：普通个人投资者和机构客户。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C份额（销售代码〖FYG25159C〗）：普通个人投资者和机构客户。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D份额（销售代码〖FYG25159D〗）：普通个人投资者和机构客户。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E份额（公司专属）（销售代码〖FYG25159E〗）：普通个人投资者和机构客户。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F份额（销售代码〖FYG25159F〗）：普通个人投资者和机构客户。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G份额（销售代码〖FYG25159G〗）：普通个人投资者和机构客户。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H份额（北行专属）（销售代码〖FYG25159H〗）：普通个人投资者和机构客户。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I份额（爽盈优选）（销售代码〖FYG25159I〗）：普通个人投资者和机构客户。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J份额（销售代码〖FYG25159J〗）：普通个人投资者和机构客户。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K份额（鲲鹏优选）（销售代码〖FYG25159K〗）：普通个人投资者和机构客户。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L份额（兰行专属）（销售代码〖FYG25159L〗）：普通个人投资者和机构客户。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N份额惠享款（长长财富·专属）（销售代码〖FYG25159N〗）：普通个人投资者和机构客户。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P份额（芙蓉锦程·优选）（销售代码〖FYG25159P〗）：普通个人投资者和机构客户。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Q份额惠享款（候鸟专属）（销售代码〖FYG25159Q〗）：普通个人投资者和机构客户。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R份额惠享款吉行十二号（销售代码〖FYG25159R〗）：普通个人投资者和机构客户。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S份额惠享款（齐鲁-逢六有约）（销售代码〖FYG25159S〗）：普通个人投资者和机构客户。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U份额惠享款（销售代码〖FYG25159U〗）：普通个人投资者和机构客户。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V份额（金芙蓉专属）（销售代码〖FYG25159V〗）：普通个人投资者和机构客户。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W份额惠享款（销售代码〖FYG25159W〗）：普通个人投资者和机构客户。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X份额（销售代码〖FYG25159X〗）：普通个人投资者。</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Y份额惠享款（销售代码〖FYG25159Y〗）：普通个人投资者和机构客户。</w:t>
            </w:r>
            <w:r>
              <w:rPr>
                <w:rFonts w:hint="eastAsia" w:ascii="宋体" w:hAnsi="宋体" w:eastAsia="宋体" w:cs="宋体"/>
                <w:b w:val="0"/>
                <w:bCs/>
                <w:color w:val="000000"/>
                <w:kern w:val="2"/>
                <w:sz w:val="21"/>
                <w:szCs w:val="21"/>
                <w:highlight w:val="none"/>
                <w:lang w:val="en-US" w:eastAsia="zh-CN" w:bidi="ar-SA"/>
              </w:rPr>
              <w:br w:type="textWrapping"/>
            </w:r>
            <w:r>
              <w:rPr>
                <w:rFonts w:hint="eastAsia" w:ascii="宋体" w:hAnsi="宋体" w:eastAsia="宋体" w:cs="宋体"/>
                <w:b w:val="0"/>
                <w:bCs/>
                <w:color w:val="000000"/>
                <w:kern w:val="2"/>
                <w:sz w:val="21"/>
                <w:szCs w:val="21"/>
                <w:highlight w:val="none"/>
                <w:lang w:val="en-US" w:eastAsia="zh-CN" w:bidi="ar-SA"/>
              </w:rPr>
              <w:t>Z份额惠享款（销售代码〖FYG25159Z〗）：普通个人投资者和机构客户。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〖2025〗年〖8〗月〖19〗日-〖2025〗年〖8〗月〖25〗日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〖2026〗年〖9〗月〖16〗日，若到期日为非工作日则顺延至下一个工作日。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〖386〗天（实际理财期限受制于管理人提前终止权等条款）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〖G份额〗起点〖1〗元整，超过认购起点部分，应为〖1〗元的整数倍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〖H份额〗起点〖1〗元整，超过认购起点部分，应为〖1〗元的整数倍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〖J份额〗起点〖1〗元整，超过认购起点部分，应为〖1〗元的整数倍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〖K份额〗起点〖1〗元整，超过认购起点部分，应为〖1〗元的整数倍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〖L份额〗起点〖1〗元整，超过认购起点部分，应为〖1〗元的整数倍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〖N份额〗起点〖1〗元整，超过认购起点部分，应为〖1〗元的整数倍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〖P份额〗起点〖1〗元整，超过认购起点部分，应为〖1〗元的整数倍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〖Q份额〗起点〖10000〗元整，超过认购起点部分，应为〖1〗元的整数倍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〖R份额〗起点〖1〗元整，超过认购起点部分，应为〖1〗元的整数倍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〖S份额〗起点〖1〗元整，超过认购起点部分，应为〖1〗元的整数倍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〖U份额〗起点〖100000〗元整，超过认购起点部分，应为〖1〗元的整数倍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〖V份额〗起点〖1000000〗元整，超过认购起点部分，应为〖1〗元的整数倍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〖W份额〗起点〖1〗元整，超过认购起点部分，应为〖1〗元的整数倍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〖X份额〗起点〖1〗元整，超过认购起点部分，应为〖1〗元的整数倍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〖Y份额〗起点〖1〗元整，超过认购起点部分，应为〖1〗元的整数倍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〖Z份额〗起点〖1〗元整，超过认购起点部分，应为〖1〗元的整数倍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本理财计划〖E份额〗业绩比较基准为〖2.25%-2.55%〗（年化）。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本理财计划〖G份额〗业绩比较基准为〖2.65%-2.95%〗（年化）。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本理财计划〖H份额〗业绩比较基准为〖2.50%-2.80%〗（年化）。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本理财计划〖J份额〗业绩比较基准为〖2.65%-2.95%〗（年化）。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本理财计划〖K份额〗业绩比较基准为〖2.40%-2.70%〗（年化）。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本理财计划〖L份额〗业绩比较基准为〖2.60%-2.90%〗（年化）。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本理财计划〖N份额〗业绩比较基准为〖2.50%-2.80%〗（年化）。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本理财计划〖P份额〗业绩比较基准为〖2.55%-2.85%〗（年化）。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本理财计划〖Q份额〗业绩比较基准为〖2.60%-2.90%〗（年化）。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本理财计划〖R份额〗业绩比较基准为〖2.55%-2.85%〗（年化）。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本理财计划〖S份额〗业绩比较基准为〖2.56%-2.86%〗（年化）。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本理财计划〖U份额〗业绩比较基准为〖2.50%-2.80%〗（年化）。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本理财计划〖V份额〗业绩比较基准为〖2.60%-2.90%〗（年化）。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本理财计划〖W份额〗业绩比较基准为〖2.40%-2.70%〗（年化）。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本理财计划〖X份额〗业绩比较基准为〖2.65%-2.95%〗（年化）。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本理财计划〖Y份额〗业绩比较基准为〖2.50%-2.80%〗（年化）。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本理财计划〖Z份额〗业绩比较基准为〖2.60%-2.90%〗（年化）。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〖E份额〗收取年化〖0.40%〗的销售服务费, 〖F份额〗收取年化〖0.15%〗的销售服务费, 〖G份额〗收取年化〖0.05%〗的销售服务费, 〖H份额〗收取年化〖0.20%〗的销售服务费, 〖I份额〗收取年化〖0.30%〗的销售服务费, 〖J份额〗收取年化〖0.05%〗的销售服务费, 〖K份额〗收取年化〖0.30%〗的销售服务费, 〖L份额〗收取年化〖0.10%〗的销售服务费, 〖N份额〗收取年化〖0.20%〗的销售服务费, 〖P份额〗收取年化〖0.15%〗的销售服务费, 〖Q份额〗收取年化〖0.10%〗的销售服务费, 〖R份额〗收取年化〖0.15%〗的销售服务费, 〖S份额〗收取年化〖0.15%〗的销售服务费, 〖U份额〗收取年化〖0.20%〗的销售服务费, 〖V份额〗收取年化〖0.10%〗的销售服务费, 〖W份额〗收取年化〖0.30%〗的销售服务费, 〖X份额〗收取年化〖0.05%〗的销售服务费, 〖Y份额〗收取年化〖0.20%〗的销售服务费, 〖Z份额〗收取年化〖0.10%〗的销售服务费。其中〖A份额〗、〖B份额〗、〖C份额〗、〖D份额〗、〖E份额〗、〖F份额〗、〖G份额〗、〖H份额〗、〖I份额〗、〖J份额〗、〖K份额〗、〖L份额〗、〖P份额〗、〖V份额〗、〖X份额〗对应份额每日计提销售服务费；〖N份额〗、〖Q份额〗、〖R份额〗、〖S份额〗、〖U份额〗、〖W份额〗、〖Y份额〗、〖Z份额〗对应份额销售服务费于产品成立日一次性收取。</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3.固定管理费：〖A份额〗收取年化〖0.05%〗的固定管理费, 〖B份额〗收取年化〖0.05%〗的固定管理费, 〖C份额〗收取年化〖0.05%〗的固定管理费, 〖D份额〗收取年化〖0.05%〗的固定管理费, 〖E份额〗收取年化〖0.10%〗的固定管理费, 〖F份额〗收取年化〖0.05%〗的固定管理费, 〖G份额〗收取年化〖0.05%〗的固定管理费, 〖H份额〗收取年化〖0.05%〗的固定管理费, 〖I份额〗收取年化〖0.05%〗的固定管理费, 〖J份额〗收取年化〖0.05%〗的固定管理费, 〖K份额〗收取年化〖0.05%〗的固定管理费, 〖L份额〗收取年化〖0.05%〗的固定管理费, 〖N份额〗收取年化〖0.05%〗的固定管理费, 〖P份额〗收取年化〖0.05%〗的固定管理费, 〖Q份额〗收取年化〖0.05%〗的固定管理费, 〖R份额〗收取年化〖0.05%〗的固定管理费, 〖S份额〗收取年化〖0.04%〗的固定管理费, 〖U份额〗收取年化〖0.05%〗的固定管理费, 〖V份额〗收取年化〖0.05%〗的固定管理费, 〖W份额〗收取年化〖0.05%〗的固定管理费, 〖X份额〗收取年化〖0.05%〗的固定管理费, 〖Y份额〗收取年化〖0.05%〗的固定管理费, 〖Z份额〗收取年化〖0.05%〗的固定管理费。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〖50%〗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,在超过〖</w:t>
            </w:r>
            <w:r>
              <w:rPr>
                <w:rFonts w:hint="eastAsia" w:ascii="宋体" w:hAnsi="宋体" w:eastAsia="宋体" w:cs="宋体"/>
                <w:b w:val="0"/>
                <w:bCs/>
                <w:kern w:val="2"/>
                <w:sz w:val="21"/>
                <w:szCs w:val="21"/>
                <w:highlight w:val="none"/>
                <w:lang w:val="en-US" w:eastAsia="zh-CN" w:bidi="ar-SA"/>
              </w:rPr>
              <w:t>业绩比较基准上限</w:t>
            </w:r>
            <w:r>
              <w:rPr>
                <w:rFonts w:hint="eastAsia" w:ascii="宋体" w:hAnsi="宋体" w:eastAsia="宋体" w:cs="宋体"/>
                <w:b w:val="0"/>
                <w:bCs/>
                <w:color w:val="000000"/>
                <w:kern w:val="2"/>
                <w:sz w:val="21"/>
                <w:szCs w:val="21"/>
                <w:highlight w:val="none"/>
                <w:lang w:val="en-US" w:eastAsia="zh-CN" w:bidi="ar-SA"/>
              </w:rPr>
              <w:t>〗的部分,</w:t>
            </w:r>
            <w:r>
              <w:rPr>
                <w:rFonts w:hint="eastAsia" w:ascii="宋体" w:hAnsi="宋体" w:eastAsia="宋体" w:cs="宋体"/>
                <w:b/>
                <w:bCs w:val="0"/>
                <w:color w:val="000000"/>
                <w:kern w:val="2"/>
                <w:sz w:val="21"/>
                <w:szCs w:val="21"/>
                <w:highlight w:val="none"/>
                <w:lang w:val="en-US" w:eastAsia="zh-CN" w:bidi="ar-SA"/>
              </w:rPr>
              <w:t>管理人提取</w:t>
            </w:r>
            <w:r>
              <w:rPr>
                <w:rFonts w:hint="eastAsia" w:ascii="宋体" w:hAnsi="宋体" w:eastAsia="宋体" w:cs="宋体"/>
                <w:b/>
                <w:bCs w:val="0"/>
                <w:kern w:val="2"/>
                <w:sz w:val="21"/>
                <w:szCs w:val="21"/>
                <w:highlight w:val="none"/>
                <w:lang w:val="en-US" w:eastAsia="zh-CN" w:bidi="ar-SA"/>
              </w:rPr>
              <w:t>〖80%〗</w:t>
            </w:r>
            <w:r>
              <w:rPr>
                <w:rFonts w:hint="eastAsia" w:ascii="宋体" w:hAnsi="宋体" w:eastAsia="宋体" w:cs="宋体"/>
                <w:b/>
                <w:bCs w:val="0"/>
                <w:color w:val="000000"/>
                <w:kern w:val="2"/>
                <w:sz w:val="21"/>
                <w:szCs w:val="21"/>
                <w:highlight w:val="none"/>
                <w:lang w:val="en-US" w:eastAsia="zh-CN" w:bidi="ar-SA"/>
              </w:rPr>
              <w:t>作为浮动管理费</w:t>
            </w:r>
            <w:r>
              <w:rPr>
                <w:rFonts w:hint="eastAsia" w:ascii="宋体" w:hAnsi="宋体" w:eastAsia="宋体" w:cs="宋体"/>
                <w:b w:val="0"/>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0"/>
        </w:numPr>
        <w:spacing w:line="360" w:lineRule="auto"/>
        <w:ind w:firstLine="480" w:firstLineChars="200"/>
        <w:jc w:val="left"/>
        <w:outlineLvl w:val="9"/>
        <w:rPr>
          <w:rFonts w:hint="eastAsia" w:ascii="宋体" w:hAnsi="宋体" w:cs="宋体"/>
          <w:b w:val="0"/>
          <w:bCs/>
          <w:color w:val="auto"/>
          <w:sz w:val="24"/>
          <w:highlight w:val="none"/>
        </w:rPr>
      </w:pPr>
      <w:r>
        <w:rPr>
          <w:rFonts w:hint="eastAsia" w:ascii="宋体" w:hAnsi="宋体" w:cs="宋体"/>
          <w:bCs/>
          <w:color w:val="auto"/>
          <w:kern w:val="2"/>
          <w:sz w:val="24"/>
          <w:highlight w:val="none"/>
        </w:rPr>
        <w:t>本理财计划自成立日起</w:t>
      </w:r>
      <w:r>
        <w:rPr>
          <w:rFonts w:hint="eastAsia" w:ascii="宋体" w:hAnsi="宋体" w:cs="宋体"/>
          <w:bCs/>
          <w:sz w:val="24"/>
          <w:highlight w:val="none"/>
        </w:rPr>
        <w:t>〖</w:t>
      </w:r>
      <w:r>
        <w:rPr>
          <w:rFonts w:hint="eastAsia" w:ascii="宋体" w:hAnsi="宋体" w:cs="宋体"/>
          <w:bCs/>
          <w:color w:val="auto"/>
          <w:kern w:val="2"/>
          <w:sz w:val="24"/>
          <w:highlight w:val="none"/>
          <w:lang w:val="en-US" w:eastAsia="zh-CN"/>
        </w:rPr>
        <w:t>1个月</w:t>
      </w:r>
      <w:r>
        <w:rPr>
          <w:rFonts w:hint="eastAsia" w:ascii="宋体" w:hAnsi="宋体" w:cs="宋体"/>
          <w:bCs/>
          <w:sz w:val="24"/>
          <w:highlight w:val="none"/>
        </w:rPr>
        <w:t>〗</w:t>
      </w:r>
      <w:r>
        <w:rPr>
          <w:rFonts w:hint="eastAsia" w:ascii="宋体" w:hAnsi="宋体" w:cs="宋体"/>
          <w:bCs/>
          <w:color w:val="auto"/>
          <w:kern w:val="2"/>
          <w:sz w:val="24"/>
          <w:highlight w:val="none"/>
        </w:rPr>
        <w:t>为建仓期，管理人应当在建仓期结束前使各项投资比例符合约定。</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w:t>
      </w:r>
      <w:r>
        <w:rPr>
          <w:rFonts w:hint="eastAsia" w:ascii="宋体" w:hAnsi="宋体" w:cs="宋体"/>
          <w:bCs/>
          <w:color w:val="auto"/>
          <w:kern w:val="2"/>
          <w:sz w:val="24"/>
          <w:highlight w:val="none"/>
          <w:lang w:val="en-US" w:eastAsia="zh-CN"/>
        </w:rPr>
        <w:t>仅限境内发行优先股和永续债。</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本理财计划特殊资产类型为基于大类资产类型项下的进一步细化分类，其配置比例不得超过大类资产配置比例。</w:t>
      </w:r>
    </w:p>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在理财计划存续期间如遇市场变化导致各类投资品投资比例暂时超出以上范围，为保护投资者利益，管理人将在流动性受限资产可出售、可转让或者恢复交易的15个交易日内调整至上述比例范围。</w:t>
      </w:r>
    </w:p>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当出现金融市场发生重大变化、理财计划出现大比例规模变化等情况，为保护投资者利益，管理人有权根据市场情况超出约定比例范围投资较低风险资产。</w:t>
      </w:r>
    </w:p>
    <w:p>
      <w:pPr>
        <w:pStyle w:val="14"/>
        <w:numPr>
          <w:ilvl w:val="0"/>
          <w:numId w:val="22"/>
        </w:numPr>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本理财计划存在投资退出期，投资退出期至理财计划到期终止期间，为保障投资管理平稳运作，投资组合比例可能超出约定投资范围比例。</w:t>
      </w:r>
    </w:p>
    <w:p>
      <w:pPr>
        <w:pStyle w:val="14"/>
        <w:numPr>
          <w:ilvl w:val="0"/>
          <w:numId w:val="22"/>
        </w:numPr>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3"/>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0"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5"/>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30"/>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105"/>
        <w:gridCol w:w="5041"/>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杭州银行股份有限公司</w:t>
            </w:r>
          </w:p>
        </w:tc>
        <w:tc>
          <w:tcPr>
            <w:tcW w:w="11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single" w:color="auto" w:sz="4" w:space="0"/>
              <w:left w:val="nil"/>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苏州银行股份有限公司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厦门银行股份有限公司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中信银行股份有限公司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齐鲁银行股份有限公司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杭银理财有限责任公司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绍兴银行股份有限公司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浙江萧山农村商业银行股份有限公司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秦皇岛银行股份有限公司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温州银行股份有限公司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中邮邮惠万家银行有限责任公司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大连农村商业银行股份有限公司</w:t>
            </w: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10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96689</w:t>
            </w:r>
          </w:p>
        </w:tc>
      </w:tr>
      <w:tr>
        <w:tblPrEx>
          <w:tblLayout w:type="fixed"/>
          <w:tblCellMar>
            <w:top w:w="0" w:type="dxa"/>
            <w:left w:w="108" w:type="dxa"/>
            <w:bottom w:w="0" w:type="dxa"/>
            <w:right w:w="108" w:type="dxa"/>
          </w:tblCellMar>
        </w:tblPrEx>
        <w:trPr>
          <w:trHeight w:val="29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吉林银行股份有限公司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400-88-96666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福建海峡银行股份有限公司</w:t>
            </w: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福建省福州市台江区江滨中大道358号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400-893-9999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兰州银行股份有限公司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甘肃省兰州市酒泉路211号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400-88-96799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厦门农村商业银行股份有限公司</w:t>
            </w: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中国(福建)自由贸易试验区厦门片区东港北路31号(1层、17层、19层、27-28层、30-31层)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1105"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5041"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40083-96336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后续如新增</w:t>
      </w:r>
      <w:r>
        <w:rPr>
          <w:rFonts w:hint="eastAsia" w:ascii="宋体" w:hAnsi="宋体" w:cs="宋体"/>
          <w:bCs/>
          <w:color w:val="000000"/>
          <w:sz w:val="24"/>
          <w:highlight w:val="none"/>
          <w:lang w:val="en-US" w:eastAsia="zh-CN"/>
        </w:rPr>
        <w:t>/减少销售机构或销售机构信息变更，请以管理人最新公告或官方网站展示为准</w:t>
      </w:r>
      <w:r>
        <w:rPr>
          <w:rFonts w:hint="eastAsia" w:ascii="宋体" w:hAnsi="宋体" w:cs="宋体"/>
          <w:bCs/>
          <w:color w:val="000000"/>
          <w:sz w:val="24"/>
          <w:highlight w:val="none"/>
        </w:rPr>
        <w:t>。</w:t>
      </w:r>
    </w:p>
    <w:p>
      <w:pPr>
        <w:spacing w:line="360" w:lineRule="auto"/>
        <w:ind w:firstLine="480" w:firstLineChars="200"/>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3"/>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5"/>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20" w:firstLineChars="0"/>
        <w:jc w:val="left"/>
        <w:rPr>
          <w:rFonts w:hint="eastAsia" w:ascii="宋体" w:hAnsi="宋体" w:cs="宋体"/>
          <w:bCs/>
          <w:color w:val="000000"/>
          <w:sz w:val="24"/>
          <w:highlight w:val="none"/>
        </w:rPr>
      </w:pPr>
      <w:r>
        <w:rPr>
          <w:rFonts w:hint="eastAsia" w:ascii="宋体" w:hAnsi="宋体" w:cs="宋体"/>
          <w:bCs/>
          <w:color w:val="000000"/>
          <w:sz w:val="24"/>
          <w:highlight w:val="none"/>
          <w:lang w:val="en-US" w:eastAsia="zh-CN"/>
        </w:rPr>
        <w:t>理财计划财产分为每日计提销售服务费的〖A份额〗、〖B份额〗、〖C份额〗、〖D份额〗、〖E份额〗、〖F份额〗、〖G份额〗、〖H份额〗、〖I份额〗、〖J份额〗、〖K份额〗、〖L份额〗、〖P份额〗、〖V份额〗、〖X份额〗和销售服务费于产品成立日一次性收取的〖N份额〗、〖Q份额〗、〖R份额〗、〖S份额〗、〖U份额〗、〖W份额〗、〖Y份额〗、〖Z份额〗。A份额的年化销售服务费率为〖0.30%〗, B份额的年化销售服务费率为〖0.20%〗, C份额的年化销售服务费率为〖0.10%〗, D份额的年化销售服务费率为〖0.15%〗, E份额的年化销售服务费率为〖0.40%〗, F份额的年化销售服务费率为〖0.15%〗, G份额的年化销售服务费率为〖0.05%〗, H份额的年化销售服务费率为〖0.20%〗, I份额的年化销售服务费率为〖0.30%〗, J份额的年化销售服务费率为〖0.05%〗, K份额的年化销售服务费率为〖0.30%〗, L份额的年化销售服务费率为〖0.10%〗, N份额的年化销售服务费率为〖0.20%〗, P份额的年化销售服务费率为〖0.15%〗, Q份额的年化销售服务费率为〖0.10%〗, R份额的年化销售服务费率为〖0.15%〗, S份额的年化销售服务费率为〖0.15%〗, U份额的年化销售服务费率为〖0.20%〗, V份额的年化销售服务费率为〖0.10%〗, W份额的年化销售服务费率为〖0.30%〗, X份额的年化销售服务费率为〖0.05%〗, Y份额的年化销售服务费率为〖0.20%〗, Z份额的年化销售服务费率为〖0.10%〗。两种计算方法如下：</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（1）销售费按日计提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H1＝E1×〖0.30%〗÷365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H1为〖A份额〗每日应计提的销售服务费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E1为〖A份额〗前一日资产净值</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销售服务费原则上按日计提。</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（2）销售费一次性收取</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H2＝E2×〖0.20%〗×P÷365</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H2为〖N份额〗应计提的销售服务费</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E2为〖N份额〗成立日产品份额</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P为产品投资期限天数</w:t>
      </w:r>
      <w:r>
        <w:rPr>
          <w:rFonts w:hint="eastAsia" w:ascii="宋体" w:hAnsi="宋体" w:cs="宋体"/>
          <w:bCs/>
          <w:color w:val="000000"/>
          <w:sz w:val="24"/>
          <w:highlight w:val="none"/>
          <w:lang w:val="en-US" w:eastAsia="zh-CN"/>
        </w:rPr>
        <w:br w:type="textWrapping"/>
      </w:r>
      <w:r>
        <w:rPr>
          <w:rFonts w:hint="eastAsia" w:ascii="宋体" w:hAnsi="宋体" w:cs="宋体"/>
          <w:bCs/>
          <w:color w:val="000000"/>
          <w:sz w:val="24"/>
          <w:highlight w:val="none"/>
          <w:lang w:val="en-US" w:eastAsia="zh-CN"/>
        </w:rPr>
        <w:t xml:space="preserve">    销售服务费于产品成立日一次性收取，每日摊销。</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bCs/>
          <w:color w:val="000000"/>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理财计划财产A份额的年化固定管理费率为〖0.05%〗, B份额的年化固定管理费率为〖0.05%〗, C份额的年化固定管理费率为〖0.05%〗, D份额的年化固定管理费率为〖0.05%〗, E份额的年化固定管理费率为〖0.10%〗, F份额的年化固定管理费率为〖0.05%〗, G份额的年化固定管理费率为〖0.05%〗, H份额的年化固定管理费率为〖0.05%〗, I份额的年化固定管理费率为〖0.05%〗, J份额的年化固定管理费率为〖0.05%〗, K份额的年化固定管理费率为〖0.05%〗, L份额的年化固定管理费率为〖0.05%〗, N份额的年化固定管理费率为〖0.05%〗, P份额的年化固定管理费率为〖0.05%〗, Q份额的年化固定管理费率为〖0.05%〗, R份额的年化固定管理费率为〖0.05%〗, S份额的年化固定管理费率为〖0.04%〗, U份额的年化固定管理费率为〖0.05%〗, V份额的年化固定管理费率为〖0.05%〗, W份额的年化固定管理费率为〖0.05%〗, X份额的年化固定管理费率为〖0.05%〗, Y份额的年化固定管理费率为〖0.05%〗, Z份额的年化固定管理费率为〖0.05%〗,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lang w:val="en-US" w:eastAsia="zh-CN"/>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%〗作为浮动管理费，超过〖业绩比较基准上限〗的部分管理人收取〖</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eastAsia="宋体" w:cs="宋体"/>
          <w:b w:val="0"/>
          <w:bCs/>
          <w:color w:val="000000"/>
          <w:kern w:val="2"/>
          <w:sz w:val="24"/>
          <w:szCs w:val="24"/>
          <w:highlight w:val="none"/>
          <w:lang w:val="en-US" w:eastAsia="zh-CN" w:bidi="ar-SA"/>
        </w:rPr>
        <w:t>80</w:t>
      </w:r>
      <w:r>
        <w:rPr>
          <w:rFonts w:hint="eastAsia" w:ascii="宋体" w:hAnsi="宋体" w:cs="宋体"/>
          <w:bCs/>
          <w:color w:val="000000"/>
          <w:sz w:val="24"/>
          <w:highlight w:val="none"/>
        </w:rPr>
        <w:t>%〗+(R-S)×〖</w:t>
      </w:r>
      <w:r>
        <w:rPr>
          <w:rFonts w:hint="eastAsia" w:ascii="宋体" w:hAnsi="宋体" w:eastAsia="宋体" w:cs="宋体"/>
          <w:b w:val="0"/>
          <w:bCs/>
          <w:color w:val="000000"/>
          <w:kern w:val="2"/>
          <w:sz w:val="24"/>
          <w:szCs w:val="24"/>
          <w:highlight w:val="none"/>
          <w:lang w:val="en-US" w:eastAsia="zh-CN" w:bidi="ar-SA"/>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H为理财计划到期（提前终止）时应收取浮动管理费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E为投资者持有份额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K为收取浮动管理费前投资者持有份额对应持有区间折合年化收益率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NAV0为理财计划成立日之初的单位净值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NAV1为理财计划到期日未扣除浮动管理费前的单位净值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T为理财计划运作期间每单位份额的实际分红金额合计（如有）</w:t>
      </w:r>
    </w:p>
    <w:p>
      <w:pPr>
        <w:numPr>
          <w:ilvl w:val="0"/>
          <w:numId w:val="36"/>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7"/>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9"/>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9"/>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9"/>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left="420" w:firstLine="0"/>
        <w:jc w:val="left"/>
        <w:outlineLvl w:val="2"/>
        <w:rPr>
          <w:rFonts w:hint="eastAsia" w:ascii="宋体" w:hAnsi="宋体" w:cs="宋体"/>
          <w:b/>
          <w:sz w:val="24"/>
          <w:highlight w:val="none"/>
        </w:rPr>
      </w:pPr>
      <w:r>
        <w:rPr>
          <w:rFonts w:hint="eastAsia" w:ascii="宋体" w:hAnsi="宋体" w:cs="宋体"/>
          <w:bCs/>
          <w:color w:val="000000"/>
          <w:sz w:val="24"/>
          <w:highlight w:val="none"/>
        </w:rPr>
        <w:t>以下示例均为假设情况，不构成业绩预测，不代表本理财计划实际投资业绩。</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到期时扣除托管费、固定管理费、销售服务费（如有）后，如理财计划未扣除浮动管理费前的净值为1.0615，此时，(1.0615÷1.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00-1)×365÷362=6.20%&gt;5.00%，即</w:t>
      </w:r>
      <w:r>
        <w:rPr>
          <w:rFonts w:hint="eastAsia" w:ascii="宋体" w:hAnsi="宋体" w:cs="宋体"/>
          <w:bCs/>
          <w:color w:val="000000"/>
          <w:sz w:val="24"/>
          <w:highlight w:val="none"/>
          <w:lang w:val="en-US" w:eastAsia="zh-CN"/>
        </w:rPr>
        <w:t>在</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4.00%-5.00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投资收益</w:t>
      </w:r>
      <w:r>
        <w:rPr>
          <w:rFonts w:hint="eastAsia" w:ascii="宋体" w:hAnsi="宋体" w:cs="宋体"/>
          <w:bCs/>
          <w:color w:val="000000"/>
          <w:sz w:val="24"/>
          <w:highlight w:val="none"/>
          <w:lang w:val="en-US" w:eastAsia="zh-CN"/>
        </w:rPr>
        <w:t>管理人收取80%作为浮动管理费，</w:t>
      </w:r>
      <w:r>
        <w:rPr>
          <w:rFonts w:hint="eastAsia" w:ascii="宋体" w:hAnsi="宋体" w:cs="宋体"/>
          <w:bCs/>
          <w:color w:val="000000"/>
          <w:sz w:val="24"/>
          <w:highlight w:val="none"/>
        </w:rPr>
        <w:t>超过〖5.00%〗</w:t>
      </w:r>
      <w:r>
        <w:rPr>
          <w:rFonts w:hint="eastAsia" w:ascii="宋体" w:hAnsi="宋体" w:cs="宋体"/>
          <w:bCs/>
          <w:color w:val="000000"/>
          <w:sz w:val="24"/>
          <w:highlight w:val="none"/>
          <w:lang w:val="en-US" w:eastAsia="zh-CN"/>
        </w:rPr>
        <w:t>部分的</w:t>
      </w:r>
      <w:r>
        <w:rPr>
          <w:rFonts w:hint="eastAsia" w:ascii="宋体" w:hAnsi="宋体" w:cs="宋体"/>
          <w:bCs/>
          <w:color w:val="000000"/>
          <w:sz w:val="24"/>
          <w:highlight w:val="none"/>
        </w:rPr>
        <w:t>投资</w:t>
      </w:r>
      <w:r>
        <w:rPr>
          <w:rFonts w:hint="eastAsia" w:ascii="宋体" w:hAnsi="宋体" w:cs="宋体"/>
          <w:bCs/>
          <w:color w:val="000000"/>
          <w:sz w:val="24"/>
          <w:highlight w:val="none"/>
          <w:lang w:val="en-US" w:eastAsia="zh-CN"/>
        </w:rPr>
        <w:t>收益管理人收取100%作为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1.0615÷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100</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%-4</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%)×80%</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×362÷365=</w:t>
      </w:r>
      <w:r>
        <w:rPr>
          <w:rFonts w:hint="eastAsia" w:ascii="宋体" w:hAnsi="宋体" w:cs="宋体"/>
          <w:bCs/>
          <w:color w:val="000000"/>
          <w:sz w:val="24"/>
          <w:highlight w:val="none"/>
          <w:lang w:val="en-US" w:eastAsia="zh-CN"/>
        </w:rPr>
        <w:t>1,984.52</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0,000.00×（1.0615-1.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00）-1,984.52= 4,165.48（元）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但未达到业绩比较基准上限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eastAsia="宋体" w:cs="宋体"/>
          <w:bCs/>
          <w:color w:val="000000"/>
          <w:sz w:val="24"/>
          <w:highlight w:val="none"/>
          <w:lang w:val="en-US" w:eastAsia="zh-CN"/>
        </w:rPr>
      </w:pPr>
      <w:r>
        <w:rPr>
          <w:rFonts w:hint="eastAsia" w:ascii="宋体" w:hAnsi="宋体" w:cs="宋体"/>
          <w:bCs/>
          <w:color w:val="000000"/>
          <w:sz w:val="24"/>
          <w:highlight w:val="none"/>
        </w:rPr>
        <w:t>以某投资者投资10万元为例，假设购买时理财计划净值为1.0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理财计划未扣除浮动管理费前的净值为1.0415，此时，(1.0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00-1)×365÷362=4.18%，即投资收益超过〖4.00%〗</w:t>
      </w:r>
      <w:r>
        <w:rPr>
          <w:rFonts w:hint="eastAsia" w:ascii="宋体" w:hAnsi="宋体" w:cs="宋体"/>
          <w:bCs/>
          <w:color w:val="000000"/>
          <w:sz w:val="24"/>
          <w:highlight w:val="none"/>
          <w:lang w:val="en-US" w:eastAsia="zh-CN"/>
        </w:rPr>
        <w:t>但未达到</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.00%〗，则超过〖4.00%〗部分</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投资收益管理人收取</w:t>
      </w:r>
      <w:r>
        <w:rPr>
          <w:rFonts w:hint="eastAsia" w:ascii="宋体" w:hAnsi="宋体" w:cs="宋体"/>
          <w:bCs/>
          <w:color w:val="000000"/>
          <w:sz w:val="24"/>
          <w:highlight w:val="none"/>
          <w:lang w:val="en-US" w:eastAsia="zh-CN"/>
        </w:rPr>
        <w:t>80%作为</w:t>
      </w:r>
      <w:r>
        <w:rPr>
          <w:rFonts w:hint="eastAsia" w:ascii="宋体" w:hAnsi="宋体" w:cs="宋体"/>
          <w:bCs/>
          <w:color w:val="000000"/>
          <w:sz w:val="24"/>
          <w:highlight w:val="none"/>
        </w:rPr>
        <w:t>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1.0415÷</w:t>
      </w:r>
      <w:r>
        <w:rPr>
          <w:rFonts w:hint="eastAsia" w:ascii="宋体" w:hAnsi="宋体" w:cs="宋体"/>
          <w:bCs/>
          <w:color w:val="000000"/>
          <w:sz w:val="24"/>
          <w:highlight w:val="none"/>
          <w:lang w:val="en-US" w:eastAsia="zh-CN"/>
        </w:rPr>
        <w:t>1.0000-1)</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362-4.00%]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80%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w:t>
      </w:r>
      <w:r>
        <w:rPr>
          <w:rFonts w:hint="eastAsia" w:ascii="宋体" w:hAnsi="宋体" w:cs="宋体"/>
          <w:bCs/>
          <w:color w:val="000000"/>
          <w:sz w:val="24"/>
          <w:highlight w:val="none"/>
        </w:rPr>
        <w:t>÷365=146.30（元）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w:t>
      </w:r>
      <w:r>
        <w:rPr>
          <w:rFonts w:hint="eastAsia" w:ascii="宋体" w:hAnsi="宋体" w:cs="宋体"/>
          <w:b/>
          <w:color w:val="000000"/>
          <w:sz w:val="24"/>
          <w:highlight w:val="none"/>
          <w:lang w:val="en-US" w:eastAsia="zh-CN"/>
        </w:rPr>
        <w:t>业绩比较基准下限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到期时扣除托管费、固定管理费、销售服务费（如有）后，如理财计划未扣除浮动管理费前的净值为1.0362，此时，(1.0362÷1.00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-1)×365÷362=3.65%&lt;</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.00%，即投资收益未达到〖4.00%〗，则投资管理人不收取浮动管理费，投资者最终收益为：100,000.00×(1.0365-1.00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）=3,650.00（元）</w:t>
      </w:r>
    </w:p>
    <w:p>
      <w:pPr>
        <w:numPr>
          <w:ilvl w:val="0"/>
          <w:numId w:val="41"/>
        </w:numPr>
        <w:spacing w:line="360" w:lineRule="auto"/>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w:t>
      </w:r>
      <w:r>
        <w:rPr>
          <w:rFonts w:hint="eastAsia" w:ascii="宋体" w:hAnsi="宋体" w:cs="宋体"/>
          <w:bCs/>
          <w:color w:val="000000"/>
          <w:sz w:val="24"/>
          <w:highlight w:val="none"/>
          <w:lang w:val="en-US" w:eastAsia="zh-CN"/>
        </w:rPr>
        <w:t>业绩比较基准为4.00%-5.00%</w:t>
      </w:r>
      <w:r>
        <w:rPr>
          <w:rFonts w:hint="eastAsia" w:ascii="宋体" w:hAnsi="宋体" w:cs="宋体"/>
          <w:bCs/>
          <w:color w:val="000000"/>
          <w:sz w:val="24"/>
          <w:highlight w:val="none"/>
        </w:rPr>
        <w:t>。假设</w:t>
      </w:r>
      <w:r>
        <w:rPr>
          <w:rFonts w:hint="eastAsia" w:ascii="宋体" w:hAnsi="宋体" w:cs="宋体"/>
          <w:bCs/>
          <w:color w:val="000000"/>
          <w:sz w:val="24"/>
          <w:highlight w:val="none"/>
          <w:lang w:val="en-US" w:eastAsia="zh-CN"/>
        </w:rPr>
        <w:t>理财产品</w:t>
      </w:r>
      <w:r>
        <w:rPr>
          <w:rFonts w:hint="eastAsia" w:ascii="宋体" w:hAnsi="宋体" w:cs="宋体"/>
          <w:bCs/>
          <w:color w:val="000000"/>
          <w:sz w:val="24"/>
          <w:highlight w:val="none"/>
        </w:rPr>
        <w:t>到期时扣除托管费、固定管理费、销售服务费（如有）后，如理财计划未扣除浮动管理费前的净值为0.9975，则投资管理人不收取浮动管理费，投资者最终收益为：100,000.00×（0.9975-1.00</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）=-250.00（元）。</w:t>
      </w:r>
    </w:p>
    <w:p>
      <w:pPr>
        <w:numPr>
          <w:ilvl w:val="0"/>
          <w:numId w:val="4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4"/>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4"/>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8"/>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2"/>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2"/>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3"/>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w:t>
      </w:r>
      <w:r>
        <w:rPr>
          <w:rFonts w:hint="eastAsia" w:ascii="宋体" w:hAnsi="宋体" w:cs="宋体"/>
          <w:kern w:val="0"/>
          <w:sz w:val="24"/>
          <w:highlight w:val="none"/>
          <w:lang w:val="en-US" w:eastAsia="zh-CN"/>
        </w:rPr>
        <w:t>代理销售</w:t>
      </w:r>
      <w:r>
        <w:rPr>
          <w:rFonts w:hint="eastAsia" w:ascii="宋体" w:hAnsi="宋体" w:cs="宋体"/>
          <w:kern w:val="0"/>
          <w:sz w:val="24"/>
          <w:highlight w:val="none"/>
          <w:lang w:eastAsia="zh-CN"/>
        </w:rPr>
        <w:t>）销售协议书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r>
        <w:rPr>
          <w:rFonts w:hint="eastAsia" w:ascii="宋体" w:hAnsi="宋体" w:cs="宋体"/>
          <w:kern w:val="0"/>
          <w:sz w:val="24"/>
          <w:highlight w:val="none"/>
          <w:lang w:val="en-US" w:eastAsia="zh-CN"/>
        </w:rPr>
        <w:t>在没有销售人员推介的情况下，投资者通过自助终端等电子设备进行自主购买的情况除外。</w:t>
      </w:r>
    </w:p>
    <w:p>
      <w:pPr>
        <w:numPr>
          <w:ilvl w:val="0"/>
          <w:numId w:val="54"/>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6"/>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7"/>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8"/>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60"/>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1"/>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202502</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4"/>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7"/>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8"/>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202502</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（202502</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9"/>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9"/>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1" w:name="OLE_LINK3"/>
      <w:r>
        <w:rPr>
          <w:rFonts w:hint="eastAsia" w:ascii="宋体" w:hAnsi="宋体" w:eastAsia="宋体" w:cs="黑体"/>
          <w:sz w:val="24"/>
          <w:highlight w:val="none"/>
          <w:lang w:val="en-US" w:eastAsia="zh-CN"/>
        </w:rPr>
        <w:t>、监管机构</w:t>
      </w:r>
      <w:bookmarkEnd w:id="1"/>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4"/>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5"/>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bookmarkStart w:id="2" w:name="_GoBack"/>
      <w:bookmarkEnd w:id="2"/>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w:t>
    </w:r>
    <w:r>
      <w:rPr>
        <w:rFonts w:hint="eastAsia"/>
        <w:b/>
        <w:bCs/>
        <w:lang w:val="en-US" w:eastAsia="zh-CN"/>
      </w:rPr>
      <w:t>须</w:t>
    </w:r>
    <w:r>
      <w:rPr>
        <w:rFonts w:hint="eastAsia"/>
        <w:b/>
        <w:bCs/>
      </w:rPr>
      <w:t>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8F6C37C"/>
    <w:multiLevelType w:val="singleLevel"/>
    <w:tmpl w:val="68F6C37C"/>
    <w:lvl w:ilvl="0" w:tentative="0">
      <w:start w:val="1"/>
      <w:numFmt w:val="decimal"/>
      <w:lvlText w:val="%1."/>
      <w:lvlJc w:val="left"/>
      <w:pPr>
        <w:tabs>
          <w:tab w:val="left" w:pos="312"/>
        </w:tabs>
      </w:pPr>
      <w:rPr>
        <w:rFonts w:hint="default"/>
        <w:highlight w:val="none"/>
      </w:rPr>
    </w:lvl>
  </w:abstractNum>
  <w:abstractNum w:abstractNumId="7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3"/>
  </w:num>
  <w:num w:numId="7">
    <w:abstractNumId w:val="32"/>
  </w:num>
  <w:num w:numId="8">
    <w:abstractNumId w:val="74"/>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71"/>
  </w:num>
  <w:num w:numId="23">
    <w:abstractNumId w:val="5"/>
  </w:num>
  <w:num w:numId="24">
    <w:abstractNumId w:val="1"/>
  </w:num>
  <w:num w:numId="25">
    <w:abstractNumId w:val="44"/>
  </w:num>
  <w:num w:numId="26">
    <w:abstractNumId w:val="29"/>
  </w:num>
  <w:num w:numId="27">
    <w:abstractNumId w:val="20"/>
  </w:num>
  <w:num w:numId="28">
    <w:abstractNumId w:val="39"/>
  </w:num>
  <w:num w:numId="29">
    <w:abstractNumId w:val="23"/>
  </w:num>
  <w:num w:numId="30">
    <w:abstractNumId w:val="6"/>
  </w:num>
  <w:num w:numId="31">
    <w:abstractNumId w:val="47"/>
  </w:num>
  <w:num w:numId="32">
    <w:abstractNumId w:val="4"/>
  </w:num>
  <w:num w:numId="33">
    <w:abstractNumId w:val="70"/>
  </w:num>
  <w:num w:numId="34">
    <w:abstractNumId w:val="37"/>
  </w:num>
  <w:num w:numId="35">
    <w:abstractNumId w:val="72"/>
  </w:num>
  <w:num w:numId="36">
    <w:abstractNumId w:val="31"/>
  </w:num>
  <w:num w:numId="37">
    <w:abstractNumId w:val="25"/>
  </w:num>
  <w:num w:numId="38">
    <w:abstractNumId w:val="42"/>
  </w:num>
  <w:num w:numId="39">
    <w:abstractNumId w:val="2"/>
  </w:num>
  <w:num w:numId="40">
    <w:abstractNumId w:val="26"/>
  </w:num>
  <w:num w:numId="41">
    <w:abstractNumId w:val="17"/>
  </w:num>
  <w:num w:numId="42">
    <w:abstractNumId w:val="46"/>
  </w:num>
  <w:num w:numId="43">
    <w:abstractNumId w:val="35"/>
  </w:num>
  <w:num w:numId="44">
    <w:abstractNumId w:val="19"/>
  </w:num>
  <w:num w:numId="45">
    <w:abstractNumId w:val="49"/>
  </w:num>
  <w:num w:numId="46">
    <w:abstractNumId w:val="12"/>
  </w:num>
  <w:num w:numId="47">
    <w:abstractNumId w:val="10"/>
  </w:num>
  <w:num w:numId="48">
    <w:abstractNumId w:val="13"/>
  </w:num>
  <w:num w:numId="49">
    <w:abstractNumId w:val="36"/>
  </w:num>
  <w:num w:numId="50">
    <w:abstractNumId w:val="24"/>
  </w:num>
  <w:num w:numId="51">
    <w:abstractNumId w:val="3"/>
  </w:num>
  <w:num w:numId="52">
    <w:abstractNumId w:val="41"/>
  </w:num>
  <w:num w:numId="53">
    <w:abstractNumId w:val="57"/>
  </w:num>
  <w:num w:numId="54">
    <w:abstractNumId w:val="56"/>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40"/>
  </w:num>
  <w:num w:numId="62">
    <w:abstractNumId w:val="16"/>
  </w:num>
  <w:num w:numId="63">
    <w:abstractNumId w:val="50"/>
  </w:num>
  <w:num w:numId="64">
    <w:abstractNumId w:val="51"/>
  </w:num>
  <w:num w:numId="65">
    <w:abstractNumId w:val="52"/>
  </w:num>
  <w:num w:numId="66">
    <w:abstractNumId w:val="53"/>
  </w:num>
  <w:num w:numId="67">
    <w:abstractNumId w:val="54"/>
  </w:num>
  <w:num w:numId="68">
    <w:abstractNumId w:val="55"/>
  </w:num>
  <w:num w:numId="69">
    <w:abstractNumId w:val="64"/>
  </w:num>
  <w:num w:numId="70">
    <w:abstractNumId w:val="65"/>
  </w:num>
  <w:num w:numId="71">
    <w:abstractNumId w:val="15"/>
  </w:num>
  <w:num w:numId="72">
    <w:abstractNumId w:val="66"/>
  </w:num>
  <w:num w:numId="73">
    <w:abstractNumId w:val="67"/>
  </w:num>
  <w:num w:numId="74">
    <w:abstractNumId w:val="68"/>
  </w:num>
  <w:num w:numId="75">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141BE"/>
    <w:rsid w:val="00232E3B"/>
    <w:rsid w:val="0023532C"/>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82FCB"/>
    <w:rsid w:val="008C74C9"/>
    <w:rsid w:val="008D78BD"/>
    <w:rsid w:val="008E13C5"/>
    <w:rsid w:val="00901BED"/>
    <w:rsid w:val="00902D93"/>
    <w:rsid w:val="00914DAB"/>
    <w:rsid w:val="00993044"/>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96F"/>
    <w:rsid w:val="00EB473B"/>
    <w:rsid w:val="00EE319D"/>
    <w:rsid w:val="00F0077E"/>
    <w:rsid w:val="00F50192"/>
    <w:rsid w:val="00F5498F"/>
    <w:rsid w:val="00F5749D"/>
    <w:rsid w:val="00F8181B"/>
    <w:rsid w:val="00FA0296"/>
    <w:rsid w:val="00FA6CE7"/>
    <w:rsid w:val="00FE2923"/>
    <w:rsid w:val="02562BF7"/>
    <w:rsid w:val="02FF6A3A"/>
    <w:rsid w:val="03BA3F56"/>
    <w:rsid w:val="0460442C"/>
    <w:rsid w:val="04CC55AF"/>
    <w:rsid w:val="0500018B"/>
    <w:rsid w:val="05B13762"/>
    <w:rsid w:val="07376664"/>
    <w:rsid w:val="09130B13"/>
    <w:rsid w:val="0B1A5A6E"/>
    <w:rsid w:val="0B2B3AA7"/>
    <w:rsid w:val="0B2D0BA7"/>
    <w:rsid w:val="0B9F06D4"/>
    <w:rsid w:val="0BFD0501"/>
    <w:rsid w:val="0C583EF5"/>
    <w:rsid w:val="0D6706EF"/>
    <w:rsid w:val="0DBE77E4"/>
    <w:rsid w:val="0E2830EC"/>
    <w:rsid w:val="101F6BD5"/>
    <w:rsid w:val="10504FB0"/>
    <w:rsid w:val="10AD0B5D"/>
    <w:rsid w:val="110C5156"/>
    <w:rsid w:val="110E3B80"/>
    <w:rsid w:val="117A174C"/>
    <w:rsid w:val="118D4B5D"/>
    <w:rsid w:val="11BF48B2"/>
    <w:rsid w:val="120050A9"/>
    <w:rsid w:val="133A19E0"/>
    <w:rsid w:val="13FC36E3"/>
    <w:rsid w:val="1442705A"/>
    <w:rsid w:val="14AD62A1"/>
    <w:rsid w:val="155F3FC2"/>
    <w:rsid w:val="15841F16"/>
    <w:rsid w:val="15C972B9"/>
    <w:rsid w:val="15FFB4E2"/>
    <w:rsid w:val="162A128A"/>
    <w:rsid w:val="16563388"/>
    <w:rsid w:val="17432384"/>
    <w:rsid w:val="17611875"/>
    <w:rsid w:val="1783542D"/>
    <w:rsid w:val="179972B0"/>
    <w:rsid w:val="17C82AD1"/>
    <w:rsid w:val="18FC27C6"/>
    <w:rsid w:val="1A835642"/>
    <w:rsid w:val="1B4B1291"/>
    <w:rsid w:val="1B757EAF"/>
    <w:rsid w:val="1CAD01AC"/>
    <w:rsid w:val="1D4F0AE0"/>
    <w:rsid w:val="1D866C77"/>
    <w:rsid w:val="1D9446FE"/>
    <w:rsid w:val="1DFF113E"/>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AF3215"/>
    <w:rsid w:val="307B1E47"/>
    <w:rsid w:val="32FF4CC1"/>
    <w:rsid w:val="33C67AA9"/>
    <w:rsid w:val="348C31DF"/>
    <w:rsid w:val="348E01C6"/>
    <w:rsid w:val="354C4323"/>
    <w:rsid w:val="35CD15B7"/>
    <w:rsid w:val="35D86BDE"/>
    <w:rsid w:val="35FD5667"/>
    <w:rsid w:val="36310E4A"/>
    <w:rsid w:val="36591675"/>
    <w:rsid w:val="372216A6"/>
    <w:rsid w:val="38663D34"/>
    <w:rsid w:val="39310E98"/>
    <w:rsid w:val="39977E11"/>
    <w:rsid w:val="3AA66AF1"/>
    <w:rsid w:val="3B885E8A"/>
    <w:rsid w:val="3BF91FE0"/>
    <w:rsid w:val="3D3D1991"/>
    <w:rsid w:val="3DF2217F"/>
    <w:rsid w:val="3E6E2E42"/>
    <w:rsid w:val="3EA23778"/>
    <w:rsid w:val="3EAC1C1C"/>
    <w:rsid w:val="3EE67142"/>
    <w:rsid w:val="3EFE04EE"/>
    <w:rsid w:val="3FCF347B"/>
    <w:rsid w:val="3FE830E5"/>
    <w:rsid w:val="3FF3288E"/>
    <w:rsid w:val="3FFF2FDA"/>
    <w:rsid w:val="40221B6B"/>
    <w:rsid w:val="40570634"/>
    <w:rsid w:val="41487A0A"/>
    <w:rsid w:val="42342BAA"/>
    <w:rsid w:val="425B6A60"/>
    <w:rsid w:val="426E7500"/>
    <w:rsid w:val="43685ADB"/>
    <w:rsid w:val="44045C03"/>
    <w:rsid w:val="446A4F91"/>
    <w:rsid w:val="46DB254E"/>
    <w:rsid w:val="478A2A1D"/>
    <w:rsid w:val="47C36E36"/>
    <w:rsid w:val="47FFEEA7"/>
    <w:rsid w:val="48A3615E"/>
    <w:rsid w:val="48B73C2B"/>
    <w:rsid w:val="48E00B0C"/>
    <w:rsid w:val="49CB5098"/>
    <w:rsid w:val="4B7B050C"/>
    <w:rsid w:val="4B954EA0"/>
    <w:rsid w:val="4CC84C98"/>
    <w:rsid w:val="4D4708A6"/>
    <w:rsid w:val="4E754A4E"/>
    <w:rsid w:val="4E9967DA"/>
    <w:rsid w:val="4ECF30D7"/>
    <w:rsid w:val="4EDFE998"/>
    <w:rsid w:val="4F1025D9"/>
    <w:rsid w:val="4FC27339"/>
    <w:rsid w:val="502B3CEE"/>
    <w:rsid w:val="509F5AAF"/>
    <w:rsid w:val="50EE58D7"/>
    <w:rsid w:val="519E097B"/>
    <w:rsid w:val="51EB2798"/>
    <w:rsid w:val="53176B7B"/>
    <w:rsid w:val="53A84543"/>
    <w:rsid w:val="56A66316"/>
    <w:rsid w:val="57C8521F"/>
    <w:rsid w:val="5851778C"/>
    <w:rsid w:val="58A020D2"/>
    <w:rsid w:val="5A5F3178"/>
    <w:rsid w:val="5A6368AB"/>
    <w:rsid w:val="5A7E2982"/>
    <w:rsid w:val="5B24597E"/>
    <w:rsid w:val="5B7358EA"/>
    <w:rsid w:val="5BEF430C"/>
    <w:rsid w:val="5C531CB6"/>
    <w:rsid w:val="5CF01D88"/>
    <w:rsid w:val="5D5C0387"/>
    <w:rsid w:val="5FDF50F0"/>
    <w:rsid w:val="608F3A1C"/>
    <w:rsid w:val="6336483C"/>
    <w:rsid w:val="636F22E5"/>
    <w:rsid w:val="646D7D7D"/>
    <w:rsid w:val="64A47711"/>
    <w:rsid w:val="64BB6AA4"/>
    <w:rsid w:val="64EB1FB1"/>
    <w:rsid w:val="65085FDD"/>
    <w:rsid w:val="66A625FE"/>
    <w:rsid w:val="66BC7D07"/>
    <w:rsid w:val="672D0717"/>
    <w:rsid w:val="68782DAE"/>
    <w:rsid w:val="68A1454F"/>
    <w:rsid w:val="69644745"/>
    <w:rsid w:val="69BC658F"/>
    <w:rsid w:val="6A042D14"/>
    <w:rsid w:val="6ABE1B22"/>
    <w:rsid w:val="6AF26EB9"/>
    <w:rsid w:val="6B29233B"/>
    <w:rsid w:val="6B8C2015"/>
    <w:rsid w:val="6C1B5E3A"/>
    <w:rsid w:val="6C3E06A6"/>
    <w:rsid w:val="6D966DB7"/>
    <w:rsid w:val="6DFFC3DA"/>
    <w:rsid w:val="6E9FBD1B"/>
    <w:rsid w:val="6EE209DA"/>
    <w:rsid w:val="6FDF216C"/>
    <w:rsid w:val="70597F18"/>
    <w:rsid w:val="7082330A"/>
    <w:rsid w:val="70B07D50"/>
    <w:rsid w:val="71876AC5"/>
    <w:rsid w:val="725917A9"/>
    <w:rsid w:val="73631A55"/>
    <w:rsid w:val="77B75243"/>
    <w:rsid w:val="77C21A5F"/>
    <w:rsid w:val="77D23D86"/>
    <w:rsid w:val="78DE14DC"/>
    <w:rsid w:val="792D1E0D"/>
    <w:rsid w:val="79321117"/>
    <w:rsid w:val="79EF62DB"/>
    <w:rsid w:val="7A3A7C0C"/>
    <w:rsid w:val="7A835F66"/>
    <w:rsid w:val="7A8955BC"/>
    <w:rsid w:val="7A9D6576"/>
    <w:rsid w:val="7AAF2916"/>
    <w:rsid w:val="7BBBE85A"/>
    <w:rsid w:val="7BF7B220"/>
    <w:rsid w:val="7C6B4330"/>
    <w:rsid w:val="7DAE1C60"/>
    <w:rsid w:val="7DF68476"/>
    <w:rsid w:val="7EB27B45"/>
    <w:rsid w:val="7F535A03"/>
    <w:rsid w:val="7F7F7558"/>
    <w:rsid w:val="7FFBBF1D"/>
    <w:rsid w:val="9BDF7602"/>
    <w:rsid w:val="A359F53F"/>
    <w:rsid w:val="AF7F22A7"/>
    <w:rsid w:val="B77F6C8E"/>
    <w:rsid w:val="BBDD94B8"/>
    <w:rsid w:val="DDD7D223"/>
    <w:rsid w:val="DFBFAD6C"/>
    <w:rsid w:val="E235E6E6"/>
    <w:rsid w:val="E7FF9D5A"/>
    <w:rsid w:val="EEDB2018"/>
    <w:rsid w:val="EFDD886D"/>
    <w:rsid w:val="EFE74234"/>
    <w:rsid w:val="F6EBF8EA"/>
    <w:rsid w:val="FBF53B4B"/>
    <w:rsid w:val="FC7BB570"/>
    <w:rsid w:val="FEFF4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7"/>
    <w:uiPriority w:val="0"/>
    <w:pPr>
      <w:jc w:val="left"/>
    </w:pPr>
    <w:rPr>
      <w:rFonts w:cs="Times New Roman"/>
    </w:rPr>
  </w:style>
  <w:style w:type="paragraph" w:styleId="3">
    <w:name w:val="Balloon Text"/>
    <w:basedOn w:val="1"/>
    <w:link w:val="15"/>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6"/>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框文本 Char"/>
    <w:link w:val="3"/>
    <w:uiPriority w:val="0"/>
    <w:rPr>
      <w:rFonts w:ascii="Calibri" w:hAnsi="Calibri" w:cs="黑体"/>
      <w:kern w:val="2"/>
      <w:sz w:val="18"/>
      <w:szCs w:val="18"/>
    </w:rPr>
  </w:style>
  <w:style w:type="character" w:customStyle="1" w:styleId="16">
    <w:name w:val="批注主题 Char"/>
    <w:link w:val="7"/>
    <w:uiPriority w:val="0"/>
    <w:rPr>
      <w:rFonts w:ascii="Calibri" w:hAnsi="Calibri" w:cs="黑体"/>
      <w:b/>
      <w:bCs/>
      <w:kern w:val="2"/>
      <w:sz w:val="21"/>
      <w:szCs w:val="24"/>
    </w:rPr>
  </w:style>
  <w:style w:type="character" w:customStyle="1" w:styleId="17">
    <w:name w:val="批注文字 Char"/>
    <w:link w:val="2"/>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38297</Words>
  <Characters>41219</Characters>
  <Lines>272</Lines>
  <Paragraphs>76</Paragraphs>
  <TotalTime>3</TotalTime>
  <ScaleCrop>false</ScaleCrop>
  <LinksUpToDate>false</LinksUpToDate>
  <CharactersWithSpaces>41717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2022-11-01T19:18:00Z</dcterms:created>
  <dc:creator>Administrator</dc:creator>
  <cp:lastModifiedBy>hccb</cp:lastModifiedBy>
  <dcterms:modified xsi:type="dcterms:W3CDTF">2025-08-13T07:19:32Z</dcterms:modified>
  <dc:title>杭银理财幸福99XXXX理财计划合同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