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0005" w14:textId="77777777" w:rsidR="002677D3" w:rsidRDefault="007A4095">
      <w:pPr>
        <w:jc w:val="center"/>
        <w:rPr>
          <w:rFonts w:asciiTheme="minorEastAsia" w:hAnsiTheme="minorEastAsia"/>
          <w:b/>
          <w:sz w:val="28"/>
          <w:szCs w:val="24"/>
        </w:rPr>
      </w:pPr>
      <w:r>
        <w:rPr>
          <w:rFonts w:asciiTheme="minorEastAsia" w:hAnsiTheme="minorEastAsia" w:hint="eastAsia"/>
          <w:b/>
          <w:sz w:val="28"/>
          <w:szCs w:val="24"/>
        </w:rPr>
        <w:t>青银理财理财产品客户权益须知</w:t>
      </w:r>
    </w:p>
    <w:p w14:paraId="5D376AF9" w14:textId="77777777" w:rsidR="002677D3" w:rsidRDefault="007A4095">
      <w:pPr>
        <w:spacing w:line="360" w:lineRule="auto"/>
        <w:rPr>
          <w:rFonts w:asciiTheme="minorEastAsia" w:hAnsiTheme="minorEastAsia"/>
          <w:sz w:val="24"/>
          <w:szCs w:val="24"/>
        </w:rPr>
      </w:pPr>
      <w:r>
        <w:rPr>
          <w:rFonts w:asciiTheme="minorEastAsia" w:hAnsiTheme="minorEastAsia" w:hint="eastAsia"/>
          <w:sz w:val="24"/>
          <w:szCs w:val="24"/>
        </w:rPr>
        <w:t>尊敬的客户:</w:t>
      </w:r>
    </w:p>
    <w:p w14:paraId="320FC446" w14:textId="77777777" w:rsidR="002677D3" w:rsidRDefault="007A4095">
      <w:pPr>
        <w:spacing w:line="360" w:lineRule="auto"/>
        <w:rPr>
          <w:rFonts w:asciiTheme="minorEastAsia" w:hAnsiTheme="minorEastAsia"/>
          <w:b/>
          <w:bCs/>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b/>
          <w:bCs/>
          <w:sz w:val="24"/>
          <w:szCs w:val="24"/>
        </w:rPr>
        <w:t>理财非存款，产品有风险，投资须谨慎。</w:t>
      </w:r>
    </w:p>
    <w:p w14:paraId="21E987E6"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为了保护您/贵公司的合法权益，请在购买理财产品前认真阅读以下内容:    </w:t>
      </w:r>
    </w:p>
    <w:p w14:paraId="170F4D90" w14:textId="77777777" w:rsidR="002677D3" w:rsidRDefault="007A4095">
      <w:pPr>
        <w:spacing w:line="360" w:lineRule="auto"/>
        <w:ind w:firstLineChars="200" w:firstLine="489"/>
        <w:rPr>
          <w:rFonts w:asciiTheme="minorEastAsia" w:hAnsiTheme="minorEastAsia"/>
          <w:b/>
          <w:sz w:val="24"/>
          <w:szCs w:val="24"/>
        </w:rPr>
      </w:pPr>
      <w:r>
        <w:rPr>
          <w:rFonts w:asciiTheme="minorEastAsia" w:hAnsiTheme="minorEastAsia" w:hint="eastAsia"/>
          <w:b/>
          <w:sz w:val="24"/>
          <w:szCs w:val="24"/>
        </w:rPr>
        <w:t>一、客户购买理财办理流程</w:t>
      </w:r>
    </w:p>
    <w:p w14:paraId="411F39F8"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持本人/公司有效身份证件开立理财账户。</w:t>
      </w:r>
    </w:p>
    <w:p w14:paraId="65FFC2D2"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个人客户独立完成并接受本公司/销售机构对您的风险承受能力评估， 根据评估结果选择适合的理财产品。</w:t>
      </w:r>
    </w:p>
    <w:p w14:paraId="1FE1E96D"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公司客户根据自身财务状况、投资经验、投资目的、收益预期、风险偏好、流动性要求、风险认识以及风险损失承受程度等方面，评估贵公司自身的投资需求和风险承受能力，选择适合贵公司投资需求和风险承受能力的理财产品。</w:t>
      </w:r>
    </w:p>
    <w:p w14:paraId="38C4CD18"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 </w:t>
      </w:r>
      <w:r>
        <w:rPr>
          <w:rFonts w:asciiTheme="minorEastAsia" w:hAnsiTheme="minorEastAsia" w:hint="eastAsia"/>
          <w:sz w:val="24"/>
          <w:szCs w:val="24"/>
        </w:rPr>
        <w:t>理财产品销售机构通过营业网点向非机构投资者销售理财产品的，应当按照国家金融监督管理总局的相关规定实施理财产品销售专区管理，面向投资者严格有效区分理财产品与其他金融产品。理财产品销售机构应当在销售专区内对每只理财产品销售过程进行录音录像，销售专区应当具有明显标识。除非与非机构投资者当面书面约定，评级为四级以上理财产品销售，应当在营业网点进行。</w:t>
      </w:r>
    </w:p>
    <w:p w14:paraId="70FCEB08"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 仔细阅读本权益须知、投资协议书、理财产品说明书、 风险揭示书、销售协议书，确定已理解和同意相关内容、充分了解产品风险后，办理购买手续并签署《理财产品销售协议书》《理财产品风险揭示书》《理财产品投资协议书》等销售材料。</w:t>
      </w:r>
    </w:p>
    <w:p w14:paraId="31D17F87" w14:textId="77777777" w:rsidR="002677D3" w:rsidRDefault="007A4095">
      <w:pPr>
        <w:spacing w:line="360" w:lineRule="auto"/>
        <w:ind w:firstLineChars="200" w:firstLine="489"/>
        <w:rPr>
          <w:rFonts w:asciiTheme="minorEastAsia" w:hAnsiTheme="minorEastAsia"/>
          <w:b/>
          <w:sz w:val="24"/>
          <w:szCs w:val="24"/>
        </w:rPr>
      </w:pPr>
      <w:r>
        <w:rPr>
          <w:rFonts w:asciiTheme="minorEastAsia" w:hAnsiTheme="minorEastAsia" w:hint="eastAsia"/>
          <w:b/>
          <w:sz w:val="24"/>
          <w:szCs w:val="24"/>
        </w:rPr>
        <w:t>二、个人客户风险承受能力评估及产品评级</w:t>
      </w:r>
    </w:p>
    <w:p w14:paraId="4D162DFE"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Pr>
          <w:rFonts w:asciiTheme="minorEastAsia" w:hAnsiTheme="minorEastAsia" w:hint="eastAsia"/>
          <w:sz w:val="24"/>
          <w:szCs w:val="24"/>
        </w:rPr>
        <w:t>评估场所:首次在相应合规渠道购买理财产品时，您需接受风险承受能力评估。此后您可通过相应合规渠道定期或不定期地完成风险承受能力评估。</w:t>
      </w:r>
    </w:p>
    <w:p w14:paraId="66EF3BD8"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评估流程:填写风险承受能力评估报告获知评估结果，您和理财经理（如有）均应对评估结果签字确认。</w:t>
      </w:r>
    </w:p>
    <w:p w14:paraId="02D7ADC1"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 客户风险承受能力评级:本公司/销售机构根据客户的年龄、财务状况、投资经验，投资目的、收益预期、风险偏好、流动性要求、风险认识及风险损失承受程度等因素自行设计评估问卷并确定评估标准，本公司将客户风险承受能力分为五级，按照风险承受能力从低到高的顺序依次为:谨慎型、稳健型、平衡型、</w:t>
      </w:r>
      <w:r>
        <w:rPr>
          <w:rFonts w:asciiTheme="minorEastAsia" w:hAnsiTheme="minorEastAsia" w:hint="eastAsia"/>
          <w:sz w:val="24"/>
          <w:szCs w:val="24"/>
        </w:rPr>
        <w:lastRenderedPageBreak/>
        <w:t>进取型、激进型。</w:t>
      </w:r>
    </w:p>
    <w:p w14:paraId="27318840"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理财产品风险等级:本公司根据理财产品投资范围、风险收益特点、流动性等不同因素将理财产品分为五级，按照产品风险从低到高的顺序依次为:谨慎型产品(★)、稳健型产品(★★)、平衡型产品(★★★),进取型产品(★★★★).激进型产品(★★★★★)。</w:t>
      </w:r>
    </w:p>
    <w:p w14:paraId="3244CF80"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5.个人客户风险承受能力与适合购买的理财产品的对应关系</w:t>
      </w:r>
    </w:p>
    <w:p w14:paraId="14D94096" w14:textId="77777777" w:rsidR="002677D3" w:rsidRDefault="002677D3">
      <w:pPr>
        <w:spacing w:line="360" w:lineRule="auto"/>
        <w:rPr>
          <w:rFonts w:asciiTheme="minorEastAsia" w:hAnsiTheme="minorEastAsia"/>
          <w:sz w:val="24"/>
          <w:szCs w:val="24"/>
        </w:rPr>
      </w:pPr>
    </w:p>
    <w:tbl>
      <w:tblPr>
        <w:tblStyle w:val="ad"/>
        <w:tblW w:w="0" w:type="auto"/>
        <w:jc w:val="center"/>
        <w:tblLook w:val="04A0" w:firstRow="1" w:lastRow="0" w:firstColumn="1" w:lastColumn="0" w:noHBand="0" w:noVBand="1"/>
      </w:tblPr>
      <w:tblGrid>
        <w:gridCol w:w="3287"/>
        <w:gridCol w:w="5009"/>
      </w:tblGrid>
      <w:tr w:rsidR="002677D3" w14:paraId="585A4A91" w14:textId="77777777">
        <w:trPr>
          <w:jc w:val="center"/>
        </w:trPr>
        <w:tc>
          <w:tcPr>
            <w:tcW w:w="3369" w:type="dxa"/>
          </w:tcPr>
          <w:p w14:paraId="6D8F8139" w14:textId="77777777" w:rsidR="002677D3" w:rsidRDefault="007A4095">
            <w:pPr>
              <w:spacing w:line="360" w:lineRule="auto"/>
              <w:jc w:val="center"/>
              <w:rPr>
                <w:rFonts w:asciiTheme="minorEastAsia" w:hAnsiTheme="minorEastAsia"/>
                <w:b/>
                <w:sz w:val="24"/>
                <w:szCs w:val="24"/>
              </w:rPr>
            </w:pPr>
            <w:r>
              <w:rPr>
                <w:rFonts w:asciiTheme="minorEastAsia" w:hAnsiTheme="minorEastAsia" w:hint="eastAsia"/>
                <w:b/>
                <w:sz w:val="24"/>
                <w:szCs w:val="24"/>
              </w:rPr>
              <w:t>理财产品类型</w:t>
            </w:r>
          </w:p>
        </w:tc>
        <w:tc>
          <w:tcPr>
            <w:tcW w:w="5153" w:type="dxa"/>
          </w:tcPr>
          <w:p w14:paraId="355D5388" w14:textId="77777777" w:rsidR="002677D3" w:rsidRDefault="007A4095">
            <w:pPr>
              <w:spacing w:line="360" w:lineRule="auto"/>
              <w:jc w:val="center"/>
              <w:rPr>
                <w:rFonts w:asciiTheme="minorEastAsia" w:hAnsiTheme="minorEastAsia"/>
                <w:b/>
                <w:sz w:val="24"/>
                <w:szCs w:val="24"/>
              </w:rPr>
            </w:pPr>
            <w:r>
              <w:rPr>
                <w:rFonts w:asciiTheme="minorEastAsia" w:hAnsiTheme="minorEastAsia" w:hint="eastAsia"/>
                <w:b/>
                <w:sz w:val="24"/>
                <w:szCs w:val="24"/>
              </w:rPr>
              <w:t>适合购买的客户</w:t>
            </w:r>
          </w:p>
        </w:tc>
      </w:tr>
      <w:tr w:rsidR="002677D3" w14:paraId="086C5EC3" w14:textId="77777777">
        <w:trPr>
          <w:jc w:val="center"/>
        </w:trPr>
        <w:tc>
          <w:tcPr>
            <w:tcW w:w="3369" w:type="dxa"/>
          </w:tcPr>
          <w:p w14:paraId="1AEB856E"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谨慎型产品(★)</w:t>
            </w:r>
          </w:p>
        </w:tc>
        <w:tc>
          <w:tcPr>
            <w:tcW w:w="5153" w:type="dxa"/>
          </w:tcPr>
          <w:p w14:paraId="586A7DE3"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风险承受能力评级为谨慎型及以上的客户</w:t>
            </w:r>
          </w:p>
        </w:tc>
      </w:tr>
      <w:tr w:rsidR="002677D3" w14:paraId="0D979F98" w14:textId="77777777">
        <w:trPr>
          <w:jc w:val="center"/>
        </w:trPr>
        <w:tc>
          <w:tcPr>
            <w:tcW w:w="3369" w:type="dxa"/>
          </w:tcPr>
          <w:p w14:paraId="407C0487"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稳健型产品(★★)</w:t>
            </w:r>
          </w:p>
        </w:tc>
        <w:tc>
          <w:tcPr>
            <w:tcW w:w="5153" w:type="dxa"/>
          </w:tcPr>
          <w:p w14:paraId="70C696E4"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风险承受能力评级为稳健型及以上的客户</w:t>
            </w:r>
          </w:p>
        </w:tc>
      </w:tr>
      <w:tr w:rsidR="002677D3" w14:paraId="1680B91A" w14:textId="77777777">
        <w:trPr>
          <w:jc w:val="center"/>
        </w:trPr>
        <w:tc>
          <w:tcPr>
            <w:tcW w:w="3369" w:type="dxa"/>
          </w:tcPr>
          <w:p w14:paraId="0CD239F4"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平衡型产品(★★★)</w:t>
            </w:r>
          </w:p>
        </w:tc>
        <w:tc>
          <w:tcPr>
            <w:tcW w:w="5153" w:type="dxa"/>
          </w:tcPr>
          <w:p w14:paraId="7805EDCD"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风险承受能力评级为平衡型及以上的客户</w:t>
            </w:r>
          </w:p>
        </w:tc>
      </w:tr>
      <w:tr w:rsidR="002677D3" w14:paraId="0C97235E" w14:textId="77777777">
        <w:trPr>
          <w:jc w:val="center"/>
        </w:trPr>
        <w:tc>
          <w:tcPr>
            <w:tcW w:w="3369" w:type="dxa"/>
          </w:tcPr>
          <w:p w14:paraId="6349D603"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进取型产品(★★★★)</w:t>
            </w:r>
          </w:p>
        </w:tc>
        <w:tc>
          <w:tcPr>
            <w:tcW w:w="5153" w:type="dxa"/>
          </w:tcPr>
          <w:p w14:paraId="22A41A71"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风险承受能力评级为进取型及以上的客户</w:t>
            </w:r>
          </w:p>
        </w:tc>
      </w:tr>
      <w:tr w:rsidR="002677D3" w14:paraId="69752262" w14:textId="77777777">
        <w:trPr>
          <w:jc w:val="center"/>
        </w:trPr>
        <w:tc>
          <w:tcPr>
            <w:tcW w:w="3369" w:type="dxa"/>
          </w:tcPr>
          <w:p w14:paraId="1D34771C"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激进型产品(★★★★★)</w:t>
            </w:r>
          </w:p>
        </w:tc>
        <w:tc>
          <w:tcPr>
            <w:tcW w:w="5153" w:type="dxa"/>
          </w:tcPr>
          <w:p w14:paraId="00CA3C3A" w14:textId="77777777" w:rsidR="002677D3" w:rsidRDefault="007A4095">
            <w:pPr>
              <w:spacing w:line="360" w:lineRule="auto"/>
              <w:jc w:val="center"/>
              <w:rPr>
                <w:rFonts w:asciiTheme="minorEastAsia" w:hAnsiTheme="minorEastAsia"/>
                <w:sz w:val="24"/>
                <w:szCs w:val="24"/>
              </w:rPr>
            </w:pPr>
            <w:r>
              <w:rPr>
                <w:rFonts w:asciiTheme="minorEastAsia" w:hAnsiTheme="minorEastAsia" w:hint="eastAsia"/>
                <w:sz w:val="24"/>
                <w:szCs w:val="24"/>
              </w:rPr>
              <w:t>风险承受能力评级为激进型的客户</w:t>
            </w:r>
          </w:p>
        </w:tc>
      </w:tr>
    </w:tbl>
    <w:p w14:paraId="4DB4F4F9"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 我司客户风险承受能力评测结果有效期为一年。如果您超过一年未在本公司进行风险承受能力评估，或者发生影响您自身风险承受能力的情况，请在购买理财产品前主动要求并接受本公司对您的再次评估。</w:t>
      </w:r>
    </w:p>
    <w:p w14:paraId="3226E4ED" w14:textId="77777777" w:rsidR="002677D3" w:rsidRDefault="007A4095">
      <w:pPr>
        <w:spacing w:line="360" w:lineRule="auto"/>
        <w:ind w:firstLineChars="200" w:firstLine="489"/>
        <w:rPr>
          <w:rFonts w:asciiTheme="minorEastAsia" w:hAnsiTheme="minorEastAsia"/>
          <w:b/>
          <w:sz w:val="24"/>
          <w:szCs w:val="24"/>
        </w:rPr>
      </w:pPr>
      <w:r>
        <w:rPr>
          <w:rFonts w:asciiTheme="minorEastAsia" w:hAnsiTheme="minorEastAsia" w:hint="eastAsia"/>
          <w:b/>
          <w:sz w:val="24"/>
          <w:szCs w:val="24"/>
        </w:rPr>
        <w:t>三、注意事项</w:t>
      </w:r>
    </w:p>
    <w:p w14:paraId="1929243A"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 理财发行期内，青银理财对客户购买申请提交成功后对应理财购买资金实时扣款。客户可在理财发行期内取消认购，发行期过后，本公司不接受取消认购的申请。青银理财在理财起息日自动确认起息，并进入产品存续期。产品到期后本公司将理财本金和收益一次性兑付客户，产品到期日至理财资金到账日期间本公司不计付利息。</w:t>
      </w:r>
    </w:p>
    <w:p w14:paraId="5A5F8D86"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因客户购买资金扣款失败导致本理财计划认购失败的，青银理财不承担责任。</w:t>
      </w:r>
    </w:p>
    <w:p w14:paraId="1EC54053"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 因账户冻结、挂失、换卡、销户、长期不动户等原因造成客户理财账户变更或异常的，客户应及时办理变更手续，如因客户未及时办理变更手续而导致理财认购失败或者理财到期资金入账失败的，青银理财不承担责任。</w:t>
      </w:r>
    </w:p>
    <w:p w14:paraId="1041602F"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 因有权机关采取强制措施对客户相关账户予以冻结或对客户的资金予以冻结、扣划、处置而导致理财认购失败或者理财到期资金入账失败的，青银理财</w:t>
      </w:r>
      <w:r>
        <w:rPr>
          <w:rFonts w:asciiTheme="minorEastAsia" w:hAnsiTheme="minorEastAsia" w:hint="eastAsia"/>
          <w:sz w:val="24"/>
          <w:szCs w:val="24"/>
        </w:rPr>
        <w:lastRenderedPageBreak/>
        <w:t>不承担责任。</w:t>
      </w:r>
    </w:p>
    <w:p w14:paraId="3713AF1C"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 客户如对理财收益存有异议，应在其知晓或应当知晓其收益后的5个工作日内向青银理财提出，否则视为对该收益的认可。本协议中涉及的所有日期如遇国家法定假日，则顺延至下一个工作日，由此导致的风险，青银理财不承担责任。</w:t>
      </w:r>
    </w:p>
    <w:p w14:paraId="09319C51"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 有关本理财产品是否可以提前终止等相关事宜已在对应期次的《产品说明书》和《风险提示书》中载明。本理财计划的相关税款由客户自行缴纳。</w:t>
      </w:r>
    </w:p>
    <w:p w14:paraId="4F468C6B"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 因自然灾害、火灾、战争、罢工或者国家有关法律、法规、政策及市场环境的突然改变等不可抗力或非青银理财原因导致理财产品无法募集成立或理财运作，兑付被延误、终止等任何风险及损失，青银理财不承担责任，但青银理财将在条件允许的情况下及时通知客户，并采取一切必要的补救措施以减小不可抗力造成的损失。</w:t>
      </w:r>
    </w:p>
    <w:p w14:paraId="6085B92A"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 理财产品对应期次的《理财产品销售协议书》《理财产品说明书》《理财产品投资协议书》《理财产品风险揭示书》《理财产品客户权益须知》等共同构成青银理财与客户就购买本理财产品相关事宜的全部协议。如客户与青银理财之间存在多份理财产品协议，则各份协议之间相互独立，每一份协议的效力及履行情况均独立于其他协议合同。</w:t>
      </w:r>
    </w:p>
    <w:p w14:paraId="051D675D"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 本理财销售协议适用中华人民共和国的法律。本协议项下的及与之有关的一切争议，双方应首先友好协商解决，协商不成的，任何一方应提交青岛仲裁委员会按照其仲裁规则进行仲裁，仲裁地点在青岛。</w:t>
      </w:r>
    </w:p>
    <w:p w14:paraId="54130BDD" w14:textId="77777777" w:rsidR="002677D3" w:rsidRDefault="007A4095">
      <w:pPr>
        <w:spacing w:line="360" w:lineRule="auto"/>
        <w:ind w:firstLineChars="200" w:firstLine="489"/>
        <w:rPr>
          <w:rFonts w:asciiTheme="minorEastAsia" w:hAnsiTheme="minorEastAsia"/>
          <w:b/>
          <w:sz w:val="24"/>
          <w:szCs w:val="24"/>
        </w:rPr>
      </w:pPr>
      <w:r>
        <w:rPr>
          <w:rFonts w:asciiTheme="minorEastAsia" w:hAnsiTheme="minorEastAsia" w:hint="eastAsia"/>
          <w:b/>
          <w:sz w:val="24"/>
          <w:szCs w:val="24"/>
        </w:rPr>
        <w:t>四、信息披露的方式、渠道和频率</w:t>
      </w:r>
    </w:p>
    <w:p w14:paraId="79BAF626"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有关产品相关信息的披露方式、渠道和频率，客户可根据《产品说明书》中所载明的信息公告约定进行查询。</w:t>
      </w:r>
    </w:p>
    <w:p w14:paraId="1481F9FB" w14:textId="77777777" w:rsidR="002677D3" w:rsidRDefault="007A4095">
      <w:pPr>
        <w:spacing w:line="360" w:lineRule="auto"/>
        <w:ind w:firstLineChars="200" w:firstLine="489"/>
        <w:rPr>
          <w:rFonts w:asciiTheme="minorEastAsia" w:hAnsiTheme="minorEastAsia"/>
          <w:b/>
          <w:sz w:val="24"/>
          <w:szCs w:val="24"/>
        </w:rPr>
      </w:pPr>
      <w:r>
        <w:rPr>
          <w:rFonts w:asciiTheme="minorEastAsia" w:hAnsiTheme="minorEastAsia" w:hint="eastAsia"/>
          <w:b/>
          <w:sz w:val="24"/>
          <w:szCs w:val="24"/>
        </w:rPr>
        <w:t>五、客户投诉的方式和程序</w:t>
      </w:r>
    </w:p>
    <w:p w14:paraId="595FD47E"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如您/贵公司对所购买的理财计划有任何意见或建议，请联系青银理财销售人员，我司将及时受理并给予答复。</w:t>
      </w:r>
    </w:p>
    <w:p w14:paraId="4C67DC76" w14:textId="77777777" w:rsidR="002677D3" w:rsidRDefault="007A4095">
      <w:pPr>
        <w:spacing w:line="360" w:lineRule="auto"/>
        <w:ind w:firstLineChars="200" w:firstLine="489"/>
        <w:rPr>
          <w:rFonts w:asciiTheme="minorEastAsia" w:hAnsiTheme="minorEastAsia"/>
          <w:b/>
          <w:bCs/>
          <w:sz w:val="24"/>
          <w:szCs w:val="24"/>
        </w:rPr>
      </w:pPr>
      <w:r>
        <w:rPr>
          <w:rFonts w:asciiTheme="minorEastAsia" w:hAnsiTheme="minorEastAsia" w:hint="eastAsia"/>
          <w:b/>
          <w:bCs/>
          <w:sz w:val="24"/>
          <w:szCs w:val="24"/>
        </w:rPr>
        <w:t>六、联络方式</w:t>
      </w:r>
    </w:p>
    <w:p w14:paraId="478169EB" w14:textId="0E146FBD"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 销售机构： 浙江</w:t>
      </w:r>
      <w:r w:rsidR="0046326E">
        <w:rPr>
          <w:rFonts w:asciiTheme="minorEastAsia" w:hAnsiTheme="minorEastAsia" w:hint="eastAsia"/>
          <w:sz w:val="24"/>
          <w:szCs w:val="24"/>
        </w:rPr>
        <w:t>新昌</w:t>
      </w:r>
      <w:r>
        <w:rPr>
          <w:rFonts w:asciiTheme="minorEastAsia" w:hAnsiTheme="minorEastAsia" w:hint="eastAsia"/>
          <w:sz w:val="24"/>
          <w:szCs w:val="24"/>
        </w:rPr>
        <w:t>农村商业银行股份有限公司；客服热线：0573-85110948。</w:t>
      </w:r>
    </w:p>
    <w:p w14:paraId="4AC9280C" w14:textId="77777777" w:rsidR="002677D3" w:rsidRDefault="007A40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（二） 青银理财网站：</w:t>
      </w:r>
      <w:hyperlink r:id="rId4" w:history="1">
        <w:r>
          <w:rPr>
            <w:rStyle w:val="ae"/>
            <w:rFonts w:asciiTheme="minorEastAsia" w:hAnsiTheme="minorEastAsia" w:hint="eastAsia"/>
            <w:sz w:val="24"/>
            <w:szCs w:val="24"/>
          </w:rPr>
          <w:t>www.bqd-wm.com</w:t>
        </w:r>
      </w:hyperlink>
      <w:r>
        <w:rPr>
          <w:rFonts w:asciiTheme="minorEastAsia" w:hAnsiTheme="minorEastAsia" w:hint="eastAsia"/>
          <w:sz w:val="24"/>
          <w:szCs w:val="24"/>
        </w:rPr>
        <w:t>；客服热线：</w:t>
      </w:r>
      <w:r>
        <w:rPr>
          <w:rFonts w:asciiTheme="minorEastAsia" w:hAnsiTheme="minorEastAsia"/>
          <w:sz w:val="24"/>
          <w:szCs w:val="24"/>
        </w:rPr>
        <w:t>4000879666</w:t>
      </w:r>
      <w:r>
        <w:rPr>
          <w:rFonts w:asciiTheme="minorEastAsia" w:hAnsiTheme="minorEastAsia" w:hint="eastAsia"/>
          <w:sz w:val="24"/>
          <w:szCs w:val="24"/>
        </w:rPr>
        <w:t>。</w:t>
      </w:r>
    </w:p>
    <w:sectPr w:rsidR="0026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EA"/>
    <w:rsid w:val="00063058"/>
    <w:rsid w:val="000944B0"/>
    <w:rsid w:val="000D039C"/>
    <w:rsid w:val="000E5F3C"/>
    <w:rsid w:val="00100590"/>
    <w:rsid w:val="00136DB3"/>
    <w:rsid w:val="001512CC"/>
    <w:rsid w:val="00151EF6"/>
    <w:rsid w:val="001A3E23"/>
    <w:rsid w:val="001B6C59"/>
    <w:rsid w:val="001F6C05"/>
    <w:rsid w:val="002026DE"/>
    <w:rsid w:val="00231B5E"/>
    <w:rsid w:val="002677D3"/>
    <w:rsid w:val="002B1435"/>
    <w:rsid w:val="002C1670"/>
    <w:rsid w:val="002E0120"/>
    <w:rsid w:val="00304FB1"/>
    <w:rsid w:val="00350A29"/>
    <w:rsid w:val="00354D8C"/>
    <w:rsid w:val="00357ACD"/>
    <w:rsid w:val="0037148F"/>
    <w:rsid w:val="00394A84"/>
    <w:rsid w:val="003F51A3"/>
    <w:rsid w:val="00406DED"/>
    <w:rsid w:val="0046326E"/>
    <w:rsid w:val="0047246C"/>
    <w:rsid w:val="0048036E"/>
    <w:rsid w:val="0049218F"/>
    <w:rsid w:val="00493B0D"/>
    <w:rsid w:val="004A26B0"/>
    <w:rsid w:val="004A6B83"/>
    <w:rsid w:val="004D78EA"/>
    <w:rsid w:val="004D7FD4"/>
    <w:rsid w:val="005232BC"/>
    <w:rsid w:val="00550829"/>
    <w:rsid w:val="005808EA"/>
    <w:rsid w:val="00583892"/>
    <w:rsid w:val="00587011"/>
    <w:rsid w:val="005A4D1A"/>
    <w:rsid w:val="00631BFA"/>
    <w:rsid w:val="0064726C"/>
    <w:rsid w:val="00647F7C"/>
    <w:rsid w:val="00655E7A"/>
    <w:rsid w:val="006864FE"/>
    <w:rsid w:val="006A5ADC"/>
    <w:rsid w:val="00713142"/>
    <w:rsid w:val="00746C84"/>
    <w:rsid w:val="007A4095"/>
    <w:rsid w:val="007E1409"/>
    <w:rsid w:val="007F3B7F"/>
    <w:rsid w:val="008274FB"/>
    <w:rsid w:val="008340A4"/>
    <w:rsid w:val="00855376"/>
    <w:rsid w:val="008745FF"/>
    <w:rsid w:val="008F5E6E"/>
    <w:rsid w:val="00931C0C"/>
    <w:rsid w:val="0093248A"/>
    <w:rsid w:val="00940842"/>
    <w:rsid w:val="009D2E6D"/>
    <w:rsid w:val="009E2D26"/>
    <w:rsid w:val="00A3426C"/>
    <w:rsid w:val="00A349CB"/>
    <w:rsid w:val="00A457A7"/>
    <w:rsid w:val="00A80940"/>
    <w:rsid w:val="00A91916"/>
    <w:rsid w:val="00AE6AB0"/>
    <w:rsid w:val="00AF4D9A"/>
    <w:rsid w:val="00B23D0A"/>
    <w:rsid w:val="00C03E4E"/>
    <w:rsid w:val="00C100F4"/>
    <w:rsid w:val="00C137F3"/>
    <w:rsid w:val="00C16107"/>
    <w:rsid w:val="00C301A6"/>
    <w:rsid w:val="00C9574F"/>
    <w:rsid w:val="00CC110C"/>
    <w:rsid w:val="00CC2A0F"/>
    <w:rsid w:val="00D00729"/>
    <w:rsid w:val="00D1299B"/>
    <w:rsid w:val="00D231E1"/>
    <w:rsid w:val="00D26C35"/>
    <w:rsid w:val="00D54421"/>
    <w:rsid w:val="00D7198E"/>
    <w:rsid w:val="00DA2DAF"/>
    <w:rsid w:val="00DD1162"/>
    <w:rsid w:val="00DE3FC4"/>
    <w:rsid w:val="00DF1F76"/>
    <w:rsid w:val="00E07437"/>
    <w:rsid w:val="00E43CEA"/>
    <w:rsid w:val="00EA2D50"/>
    <w:rsid w:val="00EA4073"/>
    <w:rsid w:val="00ED4418"/>
    <w:rsid w:val="00ED7592"/>
    <w:rsid w:val="00EF31A3"/>
    <w:rsid w:val="00F10509"/>
    <w:rsid w:val="00F12B15"/>
    <w:rsid w:val="00F20FDB"/>
    <w:rsid w:val="00F64330"/>
    <w:rsid w:val="00F71D0A"/>
    <w:rsid w:val="00F82113"/>
    <w:rsid w:val="00F85083"/>
    <w:rsid w:val="00F944F4"/>
    <w:rsid w:val="00FA5DFD"/>
    <w:rsid w:val="00FD63C6"/>
    <w:rsid w:val="00FF139E"/>
    <w:rsid w:val="4103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4A0B"/>
  <w15:docId w15:val="{18838E5D-F5F3-4B1A-9143-B7D36459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qd-w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Boyu Liu</cp:lastModifiedBy>
  <cp:revision>14</cp:revision>
  <cp:lastPrinted>2023-02-14T09:00:00Z</cp:lastPrinted>
  <dcterms:created xsi:type="dcterms:W3CDTF">2024-07-10T08:29:00Z</dcterms:created>
  <dcterms:modified xsi:type="dcterms:W3CDTF">2025-08-19T03:33:00Z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8B6CEE574CC34F82BBFDA8D5C1D6A38B</vt:lpwstr>
  </property>
</Properties>
</file>