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b/>
          <w:color w:val="auto"/>
          <w:sz w:val="28"/>
          <w:szCs w:val="28"/>
          <w:lang w:eastAsia="zh-CN"/>
        </w:rPr>
      </w:pPr>
      <w:r>
        <w:rPr>
          <w:rFonts w:hint="eastAsia" w:ascii="楷体" w:hAnsi="楷体" w:eastAsia="楷体"/>
          <w:b/>
          <w:color w:val="auto"/>
          <w:sz w:val="28"/>
          <w:szCs w:val="28"/>
        </w:rPr>
        <w:t>“</w:t>
      </w:r>
      <w:r>
        <w:rPr>
          <w:rFonts w:hint="eastAsia" w:ascii="楷体" w:hAnsi="楷体" w:eastAsia="楷体"/>
          <w:b/>
          <w:color w:val="auto"/>
          <w:sz w:val="28"/>
          <w:szCs w:val="28"/>
          <w:lang w:eastAsia="zh-CN"/>
        </w:rPr>
        <w:t>苏银理财恒源封闭债权222期优选2年</w:t>
      </w:r>
      <w:r>
        <w:rPr>
          <w:rFonts w:hint="eastAsia" w:ascii="楷体" w:hAnsi="楷体" w:eastAsia="楷体"/>
          <w:b/>
          <w:color w:val="auto"/>
          <w:sz w:val="28"/>
          <w:szCs w:val="28"/>
        </w:rPr>
        <w:t>”理财产品</w:t>
      </w:r>
      <w:r>
        <w:rPr>
          <w:rFonts w:hint="eastAsia" w:ascii="楷体" w:hAnsi="楷体" w:eastAsia="楷体"/>
          <w:b/>
          <w:color w:val="auto"/>
          <w:sz w:val="28"/>
          <w:szCs w:val="28"/>
          <w:lang w:val="en-US" w:eastAsia="zh-CN"/>
        </w:rPr>
        <w:t>说明书</w:t>
      </w:r>
    </w:p>
    <w:p>
      <w:pPr>
        <w:jc w:val="center"/>
        <w:rPr>
          <w:rFonts w:hint="eastAsia" w:ascii="楷体" w:hAnsi="楷体" w:eastAsia="楷体"/>
          <w:b/>
          <w:color w:val="auto"/>
          <w:sz w:val="24"/>
          <w:szCs w:val="24"/>
        </w:rPr>
      </w:pPr>
      <w:r>
        <w:rPr>
          <w:rFonts w:hint="eastAsia" w:ascii="楷体" w:hAnsi="楷体" w:eastAsia="楷体" w:cs="宋体"/>
          <w:b/>
          <w:color w:val="auto"/>
          <w:kern w:val="0"/>
          <w:sz w:val="24"/>
          <w:szCs w:val="24"/>
        </w:rPr>
        <w:t>理财非存款、产品有风险、投资须谨慎</w:t>
      </w:r>
    </w:p>
    <w:p>
      <w:pPr>
        <w:rPr>
          <w:rFonts w:hint="eastAsia" w:ascii="楷体" w:hAnsi="楷体" w:eastAsia="楷体"/>
          <w:b/>
          <w:color w:val="auto"/>
          <w:sz w:val="21"/>
          <w:szCs w:val="21"/>
        </w:rPr>
      </w:pPr>
      <w:r>
        <w:rPr>
          <w:rFonts w:hint="eastAsia" w:ascii="楷体" w:hAnsi="楷体" w:eastAsia="楷体"/>
          <w:b/>
          <w:color w:val="auto"/>
          <w:sz w:val="21"/>
          <w:szCs w:val="21"/>
        </w:rPr>
        <w:t>重要须知</w:t>
      </w:r>
    </w:p>
    <w:p>
      <w:pPr>
        <w:numPr>
          <w:ilvl w:val="0"/>
          <w:numId w:val="1"/>
        </w:numPr>
        <w:ind w:left="420" w:leftChars="0" w:hanging="420" w:firstLineChars="0"/>
        <w:rPr>
          <w:rFonts w:ascii="楷体" w:hAnsi="楷体" w:eastAsia="楷体"/>
          <w:sz w:val="21"/>
          <w:szCs w:val="21"/>
        </w:rPr>
      </w:pPr>
      <w:r>
        <w:rPr>
          <w:rFonts w:hint="eastAsia" w:ascii="楷体" w:hAnsi="楷体" w:eastAsia="楷体"/>
          <w:sz w:val="21"/>
          <w:szCs w:val="21"/>
        </w:rPr>
        <w:t>在购买本理财产品前，投资者应确保自己完全理解该项投资的性质和所涉及的风险，详细了解和审慎评估该理财产品的资金</w:t>
      </w:r>
      <w:r>
        <w:rPr>
          <w:rFonts w:hint="eastAsia" w:ascii="楷体" w:hAnsi="楷体" w:eastAsia="楷体"/>
          <w:sz w:val="21"/>
          <w:szCs w:val="21"/>
          <w:lang w:val="en-US" w:eastAsia="zh-CN"/>
        </w:rPr>
        <w:t>投向</w:t>
      </w:r>
      <w:r>
        <w:rPr>
          <w:rFonts w:hint="eastAsia" w:ascii="楷体" w:hAnsi="楷体" w:eastAsia="楷体"/>
          <w:sz w:val="21"/>
          <w:szCs w:val="21"/>
        </w:rPr>
        <w:t>、风险类型等基本情况，在慎重考虑后自行决定购买与自身风险承受能力和资产管理需求匹配的理财产品。</w:t>
      </w:r>
    </w:p>
    <w:p>
      <w:pPr>
        <w:numPr>
          <w:ilvl w:val="0"/>
          <w:numId w:val="1"/>
        </w:numPr>
        <w:ind w:left="420" w:leftChars="0" w:hanging="420" w:firstLineChars="0"/>
        <w:rPr>
          <w:rFonts w:hint="eastAsia" w:ascii="楷体" w:hAnsi="楷体" w:eastAsia="楷体" w:cs="Times New Roman"/>
          <w:b/>
          <w:sz w:val="21"/>
          <w:szCs w:val="21"/>
          <w:u w:val="single"/>
        </w:rPr>
      </w:pPr>
      <w:r>
        <w:rPr>
          <w:rFonts w:hint="eastAsia" w:ascii="楷体" w:hAnsi="楷体" w:eastAsia="楷体"/>
          <w:b/>
          <w:sz w:val="21"/>
          <w:szCs w:val="21"/>
          <w:u w:val="single"/>
        </w:rPr>
        <w:t>本理</w:t>
      </w:r>
      <w:r>
        <w:rPr>
          <w:rFonts w:hint="eastAsia" w:ascii="楷体" w:hAnsi="楷体" w:eastAsia="楷体" w:cs="Times New Roman"/>
          <w:b/>
          <w:sz w:val="21"/>
          <w:szCs w:val="21"/>
          <w:u w:val="single"/>
        </w:rPr>
        <w:t>财产品不保证本金及收益，您的本金可能因市场变动</w:t>
      </w:r>
      <w:r>
        <w:rPr>
          <w:rFonts w:hint="eastAsia" w:ascii="楷体" w:hAnsi="楷体" w:eastAsia="楷体" w:cs="Times New Roman"/>
          <w:b/>
          <w:sz w:val="21"/>
          <w:szCs w:val="21"/>
          <w:u w:val="single"/>
          <w:lang w:val="en-US" w:eastAsia="zh-CN"/>
        </w:rPr>
        <w:t>或者交易违约等事项</w:t>
      </w:r>
      <w:r>
        <w:rPr>
          <w:rFonts w:hint="eastAsia" w:ascii="楷体" w:hAnsi="楷体" w:eastAsia="楷体" w:cs="Times New Roman"/>
          <w:b/>
          <w:sz w:val="21"/>
          <w:szCs w:val="21"/>
          <w:u w:val="single"/>
        </w:rPr>
        <w:t>而蒙受相应损失，投资者应充分认识投资风险，谨慎投资</w:t>
      </w:r>
      <w:r>
        <w:rPr>
          <w:rFonts w:hint="eastAsia" w:ascii="楷体" w:hAnsi="楷体" w:eastAsia="楷体" w:cs="Times New Roman"/>
          <w:b/>
          <w:sz w:val="21"/>
          <w:szCs w:val="21"/>
          <w:u w:val="single"/>
          <w:lang w:eastAsia="zh-CN"/>
        </w:rPr>
        <w:t>。</w:t>
      </w:r>
    </w:p>
    <w:p>
      <w:pPr>
        <w:numPr>
          <w:ilvl w:val="0"/>
          <w:numId w:val="1"/>
        </w:numPr>
        <w:ind w:left="420" w:leftChars="0" w:hanging="420" w:firstLineChars="0"/>
        <w:rPr>
          <w:rFonts w:hint="eastAsia" w:ascii="楷体" w:hAnsi="楷体" w:eastAsia="楷体" w:cs="Times New Roman"/>
          <w:b/>
          <w:sz w:val="21"/>
          <w:szCs w:val="21"/>
          <w:u w:val="single"/>
        </w:rPr>
      </w:pPr>
      <w:r>
        <w:rPr>
          <w:rFonts w:hint="eastAsia" w:ascii="楷体" w:hAnsi="楷体" w:eastAsia="楷体" w:cs="Times New Roman"/>
          <w:b/>
          <w:sz w:val="21"/>
          <w:szCs w:val="21"/>
          <w:u w:val="single"/>
        </w:rPr>
        <w:t>本理财产品过往业绩不代表其未来表现，不等于理财产品实际收益，投资须谨慎；理财非存款、产品有风险、投资须谨慎。</w:t>
      </w:r>
    </w:p>
    <w:p>
      <w:pPr>
        <w:numPr>
          <w:ilvl w:val="0"/>
          <w:numId w:val="1"/>
        </w:numPr>
        <w:ind w:left="420" w:leftChars="0" w:hanging="420" w:firstLineChars="0"/>
        <w:rPr>
          <w:rFonts w:hint="eastAsia" w:ascii="楷体" w:hAnsi="楷体" w:eastAsia="楷体" w:cs="Times New Roman"/>
          <w:b/>
          <w:sz w:val="21"/>
          <w:szCs w:val="21"/>
          <w:u w:val="single"/>
        </w:rPr>
      </w:pPr>
      <w:r>
        <w:rPr>
          <w:rFonts w:hint="eastAsia" w:ascii="楷体" w:hAnsi="楷体" w:eastAsia="楷体" w:cs="Times New Roman"/>
          <w:b/>
          <w:sz w:val="21"/>
          <w:szCs w:val="21"/>
          <w:u w:val="single"/>
        </w:rPr>
        <w:t>本理财产品任何业绩比较基准</w:t>
      </w:r>
      <w:r>
        <w:rPr>
          <w:rFonts w:hint="eastAsia" w:ascii="楷体" w:hAnsi="楷体" w:eastAsia="楷体" w:cs="Times New Roman"/>
          <w:b/>
          <w:sz w:val="21"/>
          <w:szCs w:val="21"/>
          <w:u w:val="single"/>
          <w:lang w:val="en-US" w:eastAsia="zh-CN"/>
        </w:rPr>
        <w:t>及</w:t>
      </w:r>
      <w:r>
        <w:rPr>
          <w:rFonts w:hint="eastAsia" w:ascii="楷体" w:hAnsi="楷体" w:eastAsia="楷体" w:cs="Times New Roman"/>
          <w:b/>
          <w:sz w:val="21"/>
          <w:szCs w:val="21"/>
          <w:u w:val="single"/>
        </w:rPr>
        <w:t>类似表述均属不具有法律约束力的用语</w:t>
      </w:r>
      <w:r>
        <w:rPr>
          <w:rFonts w:hint="eastAsia" w:ascii="楷体" w:hAnsi="楷体" w:eastAsia="楷体" w:cs="Times New Roman"/>
          <w:b/>
          <w:sz w:val="21"/>
          <w:szCs w:val="21"/>
          <w:u w:val="single"/>
          <w:lang w:eastAsia="zh-CN"/>
        </w:rPr>
        <w:t>。</w:t>
      </w:r>
      <w:r>
        <w:rPr>
          <w:rFonts w:hint="eastAsia" w:ascii="楷体" w:hAnsi="楷体" w:eastAsia="楷体" w:cs="Times New Roman"/>
          <w:b/>
          <w:sz w:val="21"/>
          <w:szCs w:val="21"/>
          <w:u w:val="single"/>
        </w:rPr>
        <w:t>业绩比较基准</w:t>
      </w:r>
      <w:r>
        <w:rPr>
          <w:rFonts w:hint="eastAsia" w:ascii="楷体" w:hAnsi="楷体" w:eastAsia="楷体" w:cs="Times New Roman"/>
          <w:b/>
          <w:sz w:val="21"/>
          <w:szCs w:val="21"/>
          <w:u w:val="single"/>
          <w:lang w:val="en-US" w:eastAsia="zh-CN"/>
        </w:rPr>
        <w:t>为</w:t>
      </w:r>
      <w:r>
        <w:rPr>
          <w:rFonts w:hint="eastAsia" w:ascii="楷体" w:hAnsi="楷体" w:eastAsia="楷体" w:cs="Times New Roman"/>
          <w:b/>
          <w:sz w:val="21"/>
          <w:szCs w:val="21"/>
          <w:u w:val="single"/>
        </w:rPr>
        <w:t>管理人基于产品性质、投资策略、过往经验等因素对产品设定的投资目标。业绩比较基准不是预期收益率，不代表产品的未来表现和实际收益，不构成对产品收益的承诺。</w:t>
      </w:r>
    </w:p>
    <w:p>
      <w:pPr>
        <w:numPr>
          <w:ilvl w:val="0"/>
          <w:numId w:val="1"/>
        </w:numPr>
        <w:ind w:left="420" w:leftChars="0" w:hanging="420" w:firstLineChars="0"/>
        <w:rPr>
          <w:rFonts w:hint="eastAsia" w:ascii="楷体" w:hAnsi="楷体" w:eastAsia="楷体"/>
          <w:sz w:val="21"/>
          <w:szCs w:val="21"/>
        </w:rPr>
      </w:pPr>
      <w:r>
        <w:rPr>
          <w:rFonts w:hint="eastAsia" w:ascii="楷体" w:hAnsi="楷体" w:eastAsia="楷体"/>
          <w:sz w:val="21"/>
          <w:szCs w:val="21"/>
        </w:rPr>
        <w:t>《风险揭示书》、《理财产品说明书》、《理财产品投资协议书》、《投资者权益须知》、《理财产品（代理）销售协议书》共同构成本理财产品完整的不可分割的理财产品合同。</w:t>
      </w:r>
    </w:p>
    <w:p>
      <w:pPr>
        <w:numPr>
          <w:ilvl w:val="0"/>
          <w:numId w:val="1"/>
        </w:numPr>
        <w:ind w:left="420" w:leftChars="0" w:hanging="420" w:firstLineChars="0"/>
        <w:rPr>
          <w:rFonts w:hint="eastAsia" w:ascii="楷体" w:hAnsi="楷体" w:eastAsia="楷体"/>
          <w:sz w:val="21"/>
          <w:szCs w:val="21"/>
          <w:highlight w:val="none"/>
        </w:rPr>
      </w:pPr>
      <w:r>
        <w:rPr>
          <w:rFonts w:hint="eastAsia" w:ascii="楷体" w:hAnsi="楷体" w:eastAsia="楷体"/>
          <w:sz w:val="21"/>
          <w:szCs w:val="21"/>
        </w:rPr>
        <w:t>本理财产品涉及的主要风险包括政策风险、信用风险、市场风险、流动性风险、管理风险、操作风险、延期兑付风险、提前终止风险、信息传递风险、代销风险</w:t>
      </w:r>
      <w:r>
        <w:rPr>
          <w:rFonts w:hint="eastAsia" w:ascii="楷体" w:hAnsi="楷体" w:eastAsia="楷体"/>
          <w:sz w:val="21"/>
          <w:szCs w:val="21"/>
          <w:lang w:eastAsia="zh-CN"/>
        </w:rPr>
        <w:t>（</w:t>
      </w:r>
      <w:r>
        <w:rPr>
          <w:rFonts w:hint="eastAsia" w:ascii="楷体" w:hAnsi="楷体" w:eastAsia="楷体"/>
          <w:sz w:val="21"/>
          <w:szCs w:val="21"/>
          <w:lang w:val="en-US" w:eastAsia="zh-CN"/>
        </w:rPr>
        <w:t>如有）</w:t>
      </w:r>
      <w:r>
        <w:rPr>
          <w:rFonts w:hint="eastAsia" w:ascii="楷体" w:hAnsi="楷体" w:eastAsia="楷体"/>
          <w:sz w:val="21"/>
          <w:szCs w:val="21"/>
        </w:rPr>
        <w:t>、不可抗力风险</w:t>
      </w:r>
      <w:r>
        <w:rPr>
          <w:rFonts w:hint="eastAsia" w:ascii="楷体" w:hAnsi="楷体" w:eastAsia="楷体"/>
          <w:sz w:val="21"/>
          <w:szCs w:val="21"/>
          <w:lang w:eastAsia="zh-CN"/>
        </w:rPr>
        <w:t>、</w:t>
      </w:r>
      <w:r>
        <w:rPr>
          <w:rFonts w:hint="eastAsia" w:ascii="楷体" w:hAnsi="楷体" w:eastAsia="楷体"/>
          <w:sz w:val="21"/>
          <w:szCs w:val="21"/>
          <w:lang w:val="en-US" w:eastAsia="zh-CN"/>
        </w:rPr>
        <w:t>关联关系及关联交易风险、</w:t>
      </w:r>
      <w:r>
        <w:rPr>
          <w:rFonts w:hint="eastAsia" w:ascii="楷体" w:hAnsi="楷体" w:eastAsia="楷体"/>
          <w:sz w:val="21"/>
          <w:szCs w:val="21"/>
          <w:lang w:eastAsia="zh-CN"/>
        </w:rPr>
        <w:t>特定投资标的风险</w:t>
      </w:r>
      <w:r>
        <w:rPr>
          <w:rFonts w:hint="eastAsia" w:ascii="楷体" w:hAnsi="楷体" w:eastAsia="楷体"/>
          <w:sz w:val="21"/>
          <w:szCs w:val="21"/>
        </w:rPr>
        <w:t>等。请仔细阅读《“苏银理财恒源</w:t>
      </w:r>
      <w:r>
        <w:rPr>
          <w:rFonts w:hint="eastAsia" w:ascii="楷体" w:hAnsi="楷体" w:eastAsia="楷体"/>
          <w:sz w:val="21"/>
          <w:szCs w:val="21"/>
          <w:lang w:eastAsia="zh-CN"/>
        </w:rPr>
        <w:t>封闭债权222期优选2年</w:t>
      </w:r>
      <w:r>
        <w:rPr>
          <w:rFonts w:hint="eastAsia" w:ascii="楷体" w:hAnsi="楷体" w:eastAsia="楷体"/>
          <w:sz w:val="21"/>
          <w:szCs w:val="21"/>
        </w:rPr>
        <w:t>”理财产</w:t>
      </w:r>
      <w:r>
        <w:rPr>
          <w:rFonts w:hint="eastAsia" w:ascii="楷体" w:hAnsi="楷体" w:eastAsia="楷体"/>
          <w:sz w:val="21"/>
          <w:szCs w:val="21"/>
          <w:highlight w:val="none"/>
        </w:rPr>
        <w:t>品风险揭示书》的“风险揭示”部分。</w:t>
      </w:r>
    </w:p>
    <w:p>
      <w:pPr>
        <w:numPr>
          <w:ilvl w:val="0"/>
          <w:numId w:val="1"/>
        </w:numPr>
        <w:ind w:left="420" w:leftChars="0" w:hanging="420" w:firstLineChars="0"/>
        <w:rPr>
          <w:rFonts w:hint="eastAsia" w:ascii="楷体" w:hAnsi="楷体" w:eastAsia="楷体"/>
          <w:b/>
          <w:bCs/>
          <w:sz w:val="21"/>
          <w:szCs w:val="21"/>
          <w:highlight w:val="none"/>
          <w:u w:val="single"/>
        </w:rPr>
      </w:pPr>
      <w:r>
        <w:rPr>
          <w:rFonts w:hint="eastAsia" w:ascii="楷体" w:hAnsi="楷体" w:eastAsia="楷体"/>
          <w:b/>
          <w:bCs/>
          <w:sz w:val="21"/>
          <w:szCs w:val="21"/>
          <w:highlight w:val="none"/>
          <w:u w:val="single"/>
          <w:lang w:val="en-US" w:eastAsia="zh-CN"/>
        </w:rPr>
        <w:t>本产品可设置多类份额，各类份额可能设置不同的销售对象、销售起点、业绩比较基准等，各类份额实际收取的销售服务费率、投资管理费率、超额业绩报酬（如有）等可能存在差异，投资者应根据实际情况自主选择购买。</w:t>
      </w:r>
    </w:p>
    <w:p>
      <w:pPr>
        <w:numPr>
          <w:ilvl w:val="0"/>
          <w:numId w:val="1"/>
        </w:numPr>
        <w:ind w:left="420" w:leftChars="0" w:hanging="420" w:firstLineChars="0"/>
        <w:rPr>
          <w:rFonts w:hint="eastAsia" w:ascii="楷体" w:hAnsi="楷体" w:eastAsia="楷体" w:cs="Times New Roman"/>
          <w:b/>
          <w:sz w:val="21"/>
          <w:szCs w:val="21"/>
          <w:highlight w:val="none"/>
          <w:u w:val="single"/>
        </w:rPr>
      </w:pPr>
      <w:r>
        <w:rPr>
          <w:rFonts w:hint="eastAsia" w:ascii="楷体" w:hAnsi="楷体" w:eastAsia="楷体" w:cs="Times New Roman"/>
          <w:b/>
          <w:sz w:val="21"/>
          <w:szCs w:val="21"/>
          <w:highlight w:val="none"/>
          <w:u w:val="single"/>
        </w:rPr>
        <w:t>投资者不得使用贷款、发行债券等筹集的非自有资金投资本理财产品。</w:t>
      </w:r>
    </w:p>
    <w:p>
      <w:pPr>
        <w:numPr>
          <w:ilvl w:val="0"/>
          <w:numId w:val="1"/>
        </w:numPr>
        <w:ind w:left="420" w:leftChars="0" w:hanging="420" w:firstLineChars="0"/>
        <w:rPr>
          <w:rFonts w:hint="eastAsia" w:ascii="楷体" w:hAnsi="楷体" w:eastAsia="楷体"/>
          <w:sz w:val="21"/>
          <w:szCs w:val="21"/>
        </w:rPr>
      </w:pPr>
      <w:r>
        <w:rPr>
          <w:rFonts w:hint="eastAsia" w:ascii="楷体" w:hAnsi="楷体" w:eastAsia="楷体"/>
          <w:sz w:val="21"/>
          <w:szCs w:val="21"/>
        </w:rPr>
        <w:t>在本产品存续期内，如因监管政策或法律法规发生变化，在不损害投资者利益的前提下，苏银理财有权单方对本产品条款进行修订，并按本理财产品说明书约定的信息披露方式予以披露。</w:t>
      </w:r>
    </w:p>
    <w:p>
      <w:pPr>
        <w:numPr>
          <w:ilvl w:val="0"/>
          <w:numId w:val="2"/>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rPr>
        <w:t>产品要素</w:t>
      </w:r>
    </w:p>
    <w:p>
      <w:pPr>
        <w:ind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为保护投资者合法权益，尊重投资者的知情权和自主选择权，现将本理财产品的基本要素说明如下：</w:t>
      </w:r>
    </w:p>
    <w:tbl>
      <w:tblPr>
        <w:tblStyle w:val="15"/>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01"/>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1"/>
              <w:ind w:left="55"/>
              <w:jc w:val="both"/>
              <w:textAlignment w:val="auto"/>
              <w:rPr>
                <w:rFonts w:ascii="楷体" w:hAnsi="楷体" w:eastAsia="楷体" w:cs="宋体"/>
                <w:b/>
                <w:color w:val="auto"/>
                <w:spacing w:val="-2"/>
                <w:sz w:val="18"/>
                <w:szCs w:val="18"/>
              </w:rPr>
            </w:pPr>
            <w:r>
              <w:rPr>
                <w:rFonts w:hint="eastAsia" w:ascii="楷体" w:hAnsi="楷体" w:eastAsia="楷体" w:cs="宋体"/>
                <w:b/>
                <w:color w:val="auto"/>
                <w:spacing w:val="-2"/>
                <w:sz w:val="18"/>
                <w:szCs w:val="18"/>
              </w:rPr>
              <w:t>产品名称</w:t>
            </w:r>
          </w:p>
        </w:tc>
        <w:tc>
          <w:tcPr>
            <w:tcW w:w="7937" w:type="dxa"/>
            <w:vAlign w:val="center"/>
          </w:tcPr>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eastAsia" w:ascii="楷体" w:hAnsi="楷体" w:eastAsia="楷体" w:cs="宋体"/>
                <w:color w:val="auto"/>
                <w:spacing w:val="-2"/>
                <w:sz w:val="18"/>
                <w:szCs w:val="18"/>
                <w:lang w:eastAsia="zh-CN"/>
              </w:rPr>
            </w:pPr>
            <w:r>
              <w:rPr>
                <w:rFonts w:hint="eastAsia" w:ascii="楷体" w:hAnsi="楷体" w:eastAsia="楷体" w:cs="宋体"/>
                <w:color w:val="auto"/>
                <w:spacing w:val="-2"/>
                <w:sz w:val="18"/>
                <w:szCs w:val="18"/>
                <w:lang w:eastAsia="zh-CN"/>
              </w:rPr>
              <w:t>苏银理财恒源封闭债权222期优选2年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ind w:left="57"/>
              <w:jc w:val="both"/>
              <w:textAlignment w:val="auto"/>
              <w:rPr>
                <w:rFonts w:ascii="楷体" w:hAnsi="楷体" w:eastAsia="楷体" w:cs="宋体"/>
                <w:b/>
                <w:color w:val="auto"/>
                <w:spacing w:val="-2"/>
                <w:sz w:val="18"/>
                <w:szCs w:val="18"/>
              </w:rPr>
            </w:pPr>
            <w:r>
              <w:rPr>
                <w:rFonts w:hint="eastAsia" w:ascii="楷体" w:hAnsi="楷体" w:eastAsia="楷体" w:cs="宋体"/>
                <w:b/>
                <w:color w:val="auto"/>
                <w:spacing w:val="-2"/>
                <w:sz w:val="18"/>
                <w:szCs w:val="18"/>
              </w:rPr>
              <w:t>理财产品登记编码</w:t>
            </w:r>
          </w:p>
        </w:tc>
        <w:tc>
          <w:tcPr>
            <w:tcW w:w="7937" w:type="dxa"/>
            <w:vAlign w:val="center"/>
          </w:tcPr>
          <w:p>
            <w:pPr>
              <w:pStyle w:val="34"/>
              <w:keepNext w:val="0"/>
              <w:keepLines w:val="0"/>
              <w:pageBreakBefore w:val="0"/>
              <w:kinsoku w:val="0"/>
              <w:wordWrap/>
              <w:overflowPunct w:val="0"/>
              <w:topLinePunct w:val="0"/>
              <w:bidi w:val="0"/>
              <w:snapToGrid w:val="0"/>
              <w:spacing w:line="240" w:lineRule="auto"/>
              <w:ind w:left="59" w:right="73" w:rightChars="35"/>
              <w:jc w:val="both"/>
              <w:textAlignment w:val="auto"/>
              <w:rPr>
                <w:rFonts w:ascii="楷体" w:hAnsi="楷体" w:eastAsia="楷体" w:cs="宋体"/>
                <w:color w:val="auto"/>
                <w:spacing w:val="-2"/>
                <w:sz w:val="18"/>
                <w:szCs w:val="18"/>
              </w:rPr>
            </w:pPr>
            <w:r>
              <w:rPr>
                <w:rFonts w:hint="eastAsia" w:ascii="楷体" w:hAnsi="楷体" w:eastAsia="楷体" w:cs="宋体"/>
                <w:color w:val="auto"/>
                <w:spacing w:val="-2"/>
                <w:sz w:val="18"/>
                <w:szCs w:val="18"/>
                <w:lang w:val="en-US" w:eastAsia="zh-CN"/>
              </w:rPr>
              <w:t>Z7003125000220，</w:t>
            </w:r>
            <w:r>
              <w:rPr>
                <w:rFonts w:hint="eastAsia" w:ascii="楷体" w:hAnsi="楷体" w:eastAsia="楷体" w:cs="宋体"/>
                <w:color w:val="auto"/>
                <w:spacing w:val="-2"/>
                <w:sz w:val="18"/>
                <w:szCs w:val="18"/>
              </w:rPr>
              <w:t>投资者可依据该编码在中国理财网</w:t>
            </w:r>
            <w:r>
              <w:rPr>
                <w:rFonts w:ascii="楷体" w:hAnsi="楷体" w:eastAsia="楷体" w:cs="宋体"/>
                <w:color w:val="auto"/>
                <w:spacing w:val="-2"/>
                <w:sz w:val="18"/>
                <w:szCs w:val="18"/>
              </w:rPr>
              <w:fldChar w:fldCharType="begin"/>
            </w:r>
            <w:r>
              <w:rPr>
                <w:rFonts w:ascii="楷体" w:hAnsi="楷体" w:eastAsia="楷体" w:cs="宋体"/>
                <w:color w:val="auto"/>
                <w:spacing w:val="-2"/>
                <w:sz w:val="18"/>
                <w:szCs w:val="18"/>
              </w:rPr>
              <w:instrText xml:space="preserve"> HYPERLINK "http://www.chinawealth.com.cn/" </w:instrText>
            </w:r>
            <w:r>
              <w:rPr>
                <w:rFonts w:ascii="楷体" w:hAnsi="楷体" w:eastAsia="楷体" w:cs="宋体"/>
                <w:color w:val="auto"/>
                <w:spacing w:val="-2"/>
                <w:sz w:val="18"/>
                <w:szCs w:val="18"/>
              </w:rPr>
              <w:fldChar w:fldCharType="separate"/>
            </w:r>
            <w:r>
              <w:rPr>
                <w:rFonts w:ascii="楷体" w:hAnsi="楷体" w:eastAsia="楷体" w:cs="宋体"/>
                <w:color w:val="auto"/>
                <w:spacing w:val="-2"/>
                <w:sz w:val="18"/>
                <w:szCs w:val="18"/>
              </w:rPr>
              <w:t>www.chinawealth.com.cn</w:t>
            </w:r>
            <w:r>
              <w:rPr>
                <w:rFonts w:ascii="楷体" w:hAnsi="楷体" w:eastAsia="楷体" w:cs="宋体"/>
                <w:color w:val="auto"/>
                <w:spacing w:val="-2"/>
                <w:sz w:val="18"/>
                <w:szCs w:val="18"/>
              </w:rPr>
              <w:fldChar w:fldCharType="end"/>
            </w:r>
            <w:r>
              <w:rPr>
                <w:rFonts w:hint="eastAsia" w:ascii="楷体" w:hAnsi="楷体" w:eastAsia="楷体" w:cs="宋体"/>
                <w:color w:val="auto"/>
                <w:spacing w:val="-2"/>
                <w:sz w:val="18"/>
                <w:szCs w:val="18"/>
              </w:rPr>
              <w:t>查询产品信息</w:t>
            </w:r>
            <w:r>
              <w:rPr>
                <w:rFonts w:hint="eastAsia" w:ascii="楷体" w:hAnsi="楷体" w:eastAsia="楷体" w:cs="宋体"/>
                <w:color w:val="auto"/>
                <w:spacing w:val="-2"/>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6"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jc w:val="both"/>
              <w:textAlignment w:val="auto"/>
              <w:rPr>
                <w:rFonts w:ascii="楷体" w:hAnsi="楷体" w:eastAsia="楷体" w:cs="宋体"/>
                <w:b/>
                <w:color w:val="auto"/>
                <w:spacing w:val="-2"/>
                <w:sz w:val="18"/>
                <w:szCs w:val="18"/>
                <w:highlight w:val="none"/>
              </w:rPr>
            </w:pPr>
            <w:r>
              <w:rPr>
                <w:rFonts w:hint="eastAsia" w:ascii="楷体" w:hAnsi="楷体" w:eastAsia="楷体" w:cs="宋体"/>
                <w:b/>
                <w:color w:val="auto"/>
                <w:spacing w:val="-2"/>
                <w:sz w:val="18"/>
                <w:szCs w:val="18"/>
                <w:highlight w:val="none"/>
              </w:rPr>
              <w:t>销售</w:t>
            </w:r>
            <w:r>
              <w:rPr>
                <w:rFonts w:hint="eastAsia" w:ascii="楷体" w:hAnsi="楷体" w:eastAsia="楷体" w:cs="宋体"/>
                <w:b/>
                <w:color w:val="auto"/>
                <w:spacing w:val="-2"/>
                <w:sz w:val="18"/>
                <w:szCs w:val="18"/>
                <w:highlight w:val="none"/>
                <w:lang w:val="en-US" w:eastAsia="zh-CN"/>
              </w:rPr>
              <w:t>名称</w:t>
            </w:r>
            <w:r>
              <w:rPr>
                <w:rFonts w:hint="eastAsia" w:ascii="楷体" w:hAnsi="楷体" w:eastAsia="楷体" w:cs="宋体"/>
                <w:b/>
                <w:color w:val="auto"/>
                <w:spacing w:val="-2"/>
                <w:sz w:val="18"/>
                <w:szCs w:val="18"/>
                <w:highlight w:val="none"/>
              </w:rPr>
              <w:t>/销售代码</w:t>
            </w:r>
          </w:p>
        </w:tc>
        <w:tc>
          <w:tcPr>
            <w:tcW w:w="7937" w:type="dxa"/>
            <w:vAlign w:val="center"/>
          </w:tcPr>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A份额：苏银理财恒源封闭债权222期优选2年A/J07146</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B份额：苏银理财恒源封闭债权222期优选2年B/J07147</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C份额：苏银理财恒源封闭债权222期优选2年C/J07148</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D份额：苏银理财恒源封闭债权222期优选2年D/J07149</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E份额：苏银理财恒源封闭债权222期优选2年E/J07150</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F份额：苏银理财恒源封闭债权222期优选2年F/J07151</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G份额：苏银理财恒源封闭债权222期优选2年G/J07152</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H份额：苏银理财恒源封闭债权222期优选2年H/J07153</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I份额：苏银理财恒源封闭债权222期优选2年I/J07154</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J份额：苏银理财恒源封闭债权222期优选2年J/J07155</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K份额：苏银理财恒源封闭债权222期优选2年K/J07156</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Z份额：苏银理财恒源封闭债权222期优选2年Z/J07157</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JS份额：苏银理财恒源封闭债权222期优选2年JS鑫福款/J07158</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芙蓉锦程 ·优选份额：苏银理财恒源封闭债权222期优选2年（芙蓉锦程 ·优选）/J07159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eastAsia" w:ascii="楷体" w:hAnsi="楷体" w:eastAsia="楷体" w:cs="宋体"/>
                <w:b/>
                <w:color w:val="auto"/>
                <w:spacing w:val="-2"/>
                <w:sz w:val="18"/>
                <w:szCs w:val="18"/>
                <w:highlight w:val="none"/>
              </w:rPr>
            </w:pPr>
            <w:r>
              <w:rPr>
                <w:rFonts w:hint="eastAsia" w:ascii="楷体" w:hAnsi="楷体" w:eastAsia="楷体" w:cs="宋体"/>
                <w:b/>
                <w:color w:val="auto"/>
                <w:spacing w:val="-2"/>
                <w:sz w:val="18"/>
                <w:szCs w:val="18"/>
              </w:rPr>
              <w:t>产品类型</w:t>
            </w:r>
          </w:p>
        </w:tc>
        <w:tc>
          <w:tcPr>
            <w:tcW w:w="7937"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b/>
                <w:color w:val="auto"/>
                <w:spacing w:val="-2"/>
                <w:sz w:val="18"/>
                <w:szCs w:val="18"/>
                <w:u w:val="single"/>
                <w:lang w:val="en-US" w:eastAsia="zh-CN"/>
              </w:rPr>
            </w:pPr>
            <w:r>
              <w:rPr>
                <w:rFonts w:hint="eastAsia" w:ascii="楷体" w:hAnsi="楷体" w:eastAsia="楷体" w:cs="宋体"/>
                <w:b/>
                <w:color w:val="auto"/>
                <w:spacing w:val="-2"/>
                <w:sz w:val="18"/>
                <w:szCs w:val="18"/>
                <w:u w:val="single"/>
              </w:rPr>
              <w:t>固定收益类、公募、封闭式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产品内部风险评级</w:t>
            </w:r>
          </w:p>
        </w:tc>
        <w:tc>
          <w:tcPr>
            <w:tcW w:w="7937" w:type="dxa"/>
            <w:vAlign w:val="center"/>
          </w:tcPr>
          <w:p>
            <w:pPr>
              <w:keepNext w:val="0"/>
              <w:keepLines w:val="0"/>
              <w:pageBreakBefore w:val="0"/>
              <w:numPr>
                <w:ilvl w:val="-1"/>
                <w:numId w:val="0"/>
              </w:numPr>
              <w:wordWrap/>
              <w:topLinePunct w:val="0"/>
              <w:bidi w:val="0"/>
              <w:snapToGrid w:val="0"/>
              <w:spacing w:line="240" w:lineRule="auto"/>
              <w:ind w:left="57" w:leftChars="0" w:right="57" w:firstLine="0" w:firstLineChars="0"/>
              <w:textAlignment w:val="auto"/>
              <w:rPr>
                <w:rFonts w:hint="eastAsia" w:ascii="楷体" w:hAnsi="楷体" w:eastAsia="楷体"/>
                <w:color w:val="auto"/>
                <w:sz w:val="18"/>
                <w:szCs w:val="18"/>
              </w:rPr>
            </w:pPr>
            <w:r>
              <w:rPr>
                <w:rFonts w:hint="eastAsia" w:ascii="楷体" w:hAnsi="楷体" w:eastAsia="楷体"/>
                <w:color w:val="auto"/>
                <w:sz w:val="18"/>
                <w:szCs w:val="18"/>
                <w:lang w:val="en-US" w:eastAsia="zh-CN"/>
              </w:rPr>
              <w:t>1.</w:t>
            </w:r>
            <w:r>
              <w:rPr>
                <w:rFonts w:hint="eastAsia" w:ascii="楷体" w:hAnsi="楷体" w:eastAsia="楷体"/>
                <w:color w:val="auto"/>
                <w:sz w:val="18"/>
                <w:szCs w:val="18"/>
              </w:rPr>
              <w:t>本理财产品经苏银理财内部风险评级为</w:t>
            </w:r>
            <w:r>
              <w:rPr>
                <w:rFonts w:hint="eastAsia" w:ascii="楷体" w:hAnsi="楷体" w:eastAsia="楷体"/>
                <w:b/>
                <w:color w:val="auto"/>
                <w:sz w:val="18"/>
                <w:szCs w:val="18"/>
                <w:u w:val="single"/>
              </w:rPr>
              <w:t>★★二级，适合中低风险型投资者，适合投资策略为稳健发展</w:t>
            </w:r>
            <w:r>
              <w:rPr>
                <w:rFonts w:hint="eastAsia" w:ascii="楷体" w:hAnsi="楷体" w:eastAsia="楷体"/>
                <w:b/>
                <w:color w:val="auto"/>
                <w:sz w:val="18"/>
                <w:szCs w:val="18"/>
                <w:u w:val="single"/>
                <w:lang w:val="en-US" w:eastAsia="zh-CN"/>
              </w:rPr>
              <w:t>的投资者</w:t>
            </w:r>
            <w:r>
              <w:rPr>
                <w:rFonts w:hint="eastAsia" w:ascii="楷体" w:hAnsi="楷体" w:eastAsia="楷体"/>
                <w:color w:val="auto"/>
                <w:sz w:val="18"/>
                <w:szCs w:val="18"/>
              </w:rPr>
              <w:t>。本评级为</w:t>
            </w:r>
            <w:r>
              <w:rPr>
                <w:rFonts w:hint="eastAsia" w:ascii="楷体" w:hAnsi="楷体" w:eastAsia="楷体"/>
                <w:color w:val="auto"/>
                <w:sz w:val="18"/>
                <w:szCs w:val="18"/>
                <w:lang w:val="en-US" w:eastAsia="zh-CN"/>
              </w:rPr>
              <w:t>管理人</w:t>
            </w:r>
            <w:r>
              <w:rPr>
                <w:rFonts w:hint="eastAsia" w:ascii="楷体" w:hAnsi="楷体" w:eastAsia="楷体"/>
                <w:color w:val="auto"/>
                <w:sz w:val="18"/>
                <w:szCs w:val="18"/>
              </w:rPr>
              <w:t>内部评级，由</w:t>
            </w:r>
            <w:r>
              <w:rPr>
                <w:rFonts w:hint="eastAsia" w:ascii="楷体" w:hAnsi="楷体" w:eastAsia="楷体"/>
                <w:color w:val="auto"/>
                <w:sz w:val="18"/>
                <w:szCs w:val="18"/>
                <w:lang w:val="en-US" w:eastAsia="zh-CN"/>
              </w:rPr>
              <w:t>管理人</w:t>
            </w:r>
            <w:r>
              <w:rPr>
                <w:rFonts w:hint="eastAsia" w:ascii="楷体" w:hAnsi="楷体" w:eastAsia="楷体"/>
                <w:color w:val="auto"/>
                <w:sz w:val="18"/>
                <w:szCs w:val="18"/>
              </w:rPr>
              <w:t>根据理财产品的投资组合、同类产品过往业绩和风险状况等因素，对理财产品进行评级，仅供</w:t>
            </w:r>
            <w:r>
              <w:rPr>
                <w:rFonts w:hint="eastAsia" w:ascii="楷体" w:hAnsi="楷体" w:eastAsia="楷体"/>
                <w:color w:val="auto"/>
                <w:sz w:val="18"/>
                <w:szCs w:val="18"/>
                <w:lang w:val="en-US" w:eastAsia="zh-CN"/>
              </w:rPr>
              <w:t>投资者</w:t>
            </w:r>
            <w:r>
              <w:rPr>
                <w:rFonts w:hint="eastAsia" w:ascii="楷体" w:hAnsi="楷体" w:eastAsia="楷体"/>
                <w:color w:val="auto"/>
                <w:sz w:val="18"/>
                <w:szCs w:val="18"/>
              </w:rPr>
              <w:t>参考。</w:t>
            </w:r>
          </w:p>
          <w:tbl>
            <w:tblPr>
              <w:tblStyle w:val="15"/>
              <w:tblW w:w="42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489"/>
              <w:gridCol w:w="2030"/>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风险星级</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风险级别</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适合的投资者类别</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适合投资策略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tcBorders>
                    <w:bottom w:val="single" w:color="auto" w:sz="4" w:space="0"/>
                  </w:tcBorders>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tcBorders>
                    <w:bottom w:val="single" w:color="auto" w:sz="4" w:space="0"/>
                  </w:tcBorders>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一级（PR1）</w:t>
                  </w:r>
                </w:p>
              </w:tc>
              <w:tc>
                <w:tcPr>
                  <w:tcW w:w="1493" w:type="pct"/>
                  <w:tcBorders>
                    <w:bottom w:val="single" w:color="auto" w:sz="4" w:space="0"/>
                  </w:tcBorders>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低风险型</w:t>
                  </w:r>
                </w:p>
              </w:tc>
              <w:tc>
                <w:tcPr>
                  <w:tcW w:w="1229" w:type="pct"/>
                  <w:tcBorders>
                    <w:bottom w:val="single" w:color="auto" w:sz="4" w:space="0"/>
                  </w:tcBorders>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二级（PR2）</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中低风险型</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稳健发展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三级（PR3）</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中风险型</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均衡发展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四级（PR4）</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中高风险型</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积极成长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五级（PR5）</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高风险型</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风险承受</w:t>
                  </w:r>
                </w:p>
              </w:tc>
            </w:tr>
          </w:tbl>
          <w:p>
            <w:pPr>
              <w:keepNext w:val="0"/>
              <w:keepLines w:val="0"/>
              <w:pageBreakBefore w:val="0"/>
              <w:numPr>
                <w:ilvl w:val="-1"/>
                <w:numId w:val="0"/>
              </w:numPr>
              <w:wordWrap/>
              <w:topLinePunct w:val="0"/>
              <w:bidi w:val="0"/>
              <w:snapToGrid w:val="0"/>
              <w:spacing w:line="240" w:lineRule="auto"/>
              <w:ind w:left="57" w:leftChars="0" w:right="57" w:firstLine="0" w:firstLineChars="0"/>
              <w:textAlignment w:val="auto"/>
              <w:rPr>
                <w:rFonts w:ascii="楷体" w:hAnsi="楷体" w:eastAsia="楷体"/>
                <w:b/>
                <w:sz w:val="18"/>
                <w:szCs w:val="18"/>
                <w:highlight w:val="none"/>
                <w:u w:val="single"/>
              </w:rPr>
            </w:pPr>
            <w:r>
              <w:rPr>
                <w:rFonts w:hint="eastAsia" w:ascii="楷体" w:hAnsi="楷体" w:eastAsia="楷体"/>
                <w:sz w:val="18"/>
                <w:szCs w:val="18"/>
                <w:highlight w:val="none"/>
                <w:lang w:val="en-US" w:eastAsia="zh-CN"/>
              </w:rPr>
              <w:t>2.</w:t>
            </w:r>
            <w:r>
              <w:rPr>
                <w:rFonts w:hint="eastAsia" w:ascii="楷体" w:hAnsi="楷体" w:eastAsia="楷体"/>
                <w:sz w:val="18"/>
                <w:szCs w:val="18"/>
                <w:highlight w:val="none"/>
              </w:rPr>
              <w:t>如本产品通过代理销售机构渠道销售，代理销售机构应当根据本机构的方式和方法，依据理财产品的投资组合、同类产品过往业绩和风险状况等因素，独立、审慎地对代理销售的理财产品进行销售评级，并向苏银理财及时、准确提供本机构销售评级结果等信息。销售评级与苏银理财产品评级结果不一致的，代理销售机构应当采用对应较高风险等级的评级结果并予以披露。</w:t>
            </w:r>
            <w:r>
              <w:rPr>
                <w:rFonts w:hint="eastAsia" w:ascii="楷体" w:hAnsi="楷体" w:eastAsia="楷体"/>
                <w:b/>
                <w:bCs/>
                <w:sz w:val="18"/>
                <w:szCs w:val="18"/>
                <w:highlight w:val="none"/>
                <w:u w:val="single"/>
              </w:rPr>
              <w:t>如本产品通过代理销售机构渠道销售，</w:t>
            </w:r>
            <w:r>
              <w:rPr>
                <w:rFonts w:hint="eastAsia" w:ascii="楷体" w:hAnsi="楷体" w:eastAsia="楷体"/>
                <w:b/>
                <w:sz w:val="18"/>
                <w:szCs w:val="18"/>
                <w:highlight w:val="none"/>
                <w:u w:val="single"/>
              </w:rPr>
              <w:t>理财产品评级以代理销售机构最终披露的评级结果为准。</w:t>
            </w:r>
          </w:p>
          <w:p>
            <w:pPr>
              <w:keepNext w:val="0"/>
              <w:keepLines w:val="0"/>
              <w:pageBreakBefore w:val="0"/>
              <w:kinsoku/>
              <w:wordWrap/>
              <w:overflowPunct/>
              <w:topLinePunct w:val="0"/>
              <w:bidi w:val="0"/>
              <w:snapToGrid w:val="0"/>
              <w:spacing w:line="240" w:lineRule="auto"/>
              <w:ind w:left="57" w:leftChars="0" w:right="57" w:rightChars="0" w:firstLine="0" w:firstLineChars="0"/>
              <w:jc w:val="both"/>
              <w:textAlignment w:val="auto"/>
              <w:rPr>
                <w:rFonts w:hint="eastAsia" w:ascii="楷体" w:hAnsi="楷体" w:eastAsia="楷体" w:cs="宋体"/>
                <w:b/>
                <w:color w:val="auto"/>
                <w:spacing w:val="-2"/>
                <w:sz w:val="18"/>
                <w:szCs w:val="18"/>
                <w:u w:val="single"/>
              </w:rPr>
            </w:pPr>
            <w:r>
              <w:rPr>
                <w:rFonts w:hint="eastAsia" w:ascii="楷体" w:hAnsi="楷体" w:eastAsia="楷体"/>
                <w:color w:val="auto"/>
                <w:sz w:val="18"/>
                <w:szCs w:val="18"/>
                <w:lang w:val="en-US" w:eastAsia="zh-CN"/>
              </w:rPr>
              <w:t>3.</w:t>
            </w:r>
            <w:r>
              <w:rPr>
                <w:rFonts w:hint="eastAsia" w:ascii="楷体" w:hAnsi="楷体" w:eastAsia="楷体"/>
                <w:color w:val="auto"/>
                <w:sz w:val="18"/>
                <w:szCs w:val="18"/>
              </w:rPr>
              <w:t>销售机构负责完成投资者风险承受能力评估，并在遵循投资者适当性原则的前提下进行本理财产品的销售活动。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销售对象</w:t>
            </w:r>
          </w:p>
        </w:tc>
        <w:tc>
          <w:tcPr>
            <w:tcW w:w="7937" w:type="dxa"/>
            <w:vAlign w:val="center"/>
          </w:tcPr>
          <w:p>
            <w:pPr>
              <w:pStyle w:val="34"/>
              <w:keepNext w:val="0"/>
              <w:keepLines w:val="0"/>
              <w:pageBreakBefore w:val="0"/>
              <w:kinsoku w:val="0"/>
              <w:wordWrap/>
              <w:overflowPunct w:val="0"/>
              <w:topLinePunct w:val="0"/>
              <w:bidi w:val="0"/>
              <w:snapToGrid w:val="0"/>
              <w:spacing w:line="240" w:lineRule="auto"/>
              <w:ind w:left="59" w:right="73" w:rightChars="35"/>
              <w:jc w:val="both"/>
              <w:textAlignment w:val="auto"/>
              <w:rPr>
                <w:rFonts w:hint="default" w:ascii="楷体" w:hAnsi="楷体" w:eastAsia="楷体" w:cs="宋体"/>
                <w:color w:val="auto"/>
                <w:spacing w:val="-2"/>
                <w:kern w:val="0"/>
                <w:sz w:val="18"/>
                <w:szCs w:val="18"/>
                <w:highlight w:val="none"/>
                <w:lang w:val="en-US" w:eastAsia="zh-CN" w:bidi="ar-SA"/>
              </w:rPr>
            </w:pPr>
            <w:r>
              <w:rPr>
                <w:rFonts w:hint="eastAsia" w:ascii="楷体" w:hAnsi="楷体" w:eastAsia="楷体" w:cs="宋体"/>
                <w:color w:val="auto"/>
                <w:spacing w:val="-2"/>
                <w:kern w:val="0"/>
                <w:sz w:val="18"/>
                <w:szCs w:val="18"/>
                <w:highlight w:val="none"/>
                <w:lang w:val="en-US" w:eastAsia="zh-CN" w:bidi="ar-SA"/>
              </w:rPr>
              <w:t>H份额面向个人销售；</w:t>
            </w:r>
          </w:p>
          <w:p>
            <w:pPr>
              <w:pStyle w:val="34"/>
              <w:keepNext w:val="0"/>
              <w:keepLines w:val="0"/>
              <w:pageBreakBefore w:val="0"/>
              <w:kinsoku w:val="0"/>
              <w:wordWrap/>
              <w:overflowPunct w:val="0"/>
              <w:topLinePunct w:val="0"/>
              <w:bidi w:val="0"/>
              <w:snapToGrid w:val="0"/>
              <w:spacing w:line="240" w:lineRule="auto"/>
              <w:ind w:left="59" w:right="73" w:rightChars="35"/>
              <w:jc w:val="both"/>
              <w:textAlignment w:val="auto"/>
              <w:rPr>
                <w:rFonts w:hint="eastAsia" w:ascii="楷体" w:hAnsi="楷体" w:eastAsia="楷体" w:cs="宋体"/>
                <w:color w:val="auto"/>
                <w:spacing w:val="-2"/>
                <w:kern w:val="0"/>
                <w:sz w:val="18"/>
                <w:szCs w:val="18"/>
                <w:highlight w:val="none"/>
                <w:lang w:val="en-US" w:eastAsia="zh-CN" w:bidi="ar-SA"/>
              </w:rPr>
            </w:pPr>
            <w:r>
              <w:rPr>
                <w:rFonts w:hint="eastAsia" w:ascii="楷体" w:hAnsi="楷体" w:eastAsia="楷体" w:cs="宋体"/>
                <w:color w:val="auto"/>
                <w:spacing w:val="-2"/>
                <w:kern w:val="0"/>
                <w:sz w:val="18"/>
                <w:szCs w:val="18"/>
                <w:highlight w:val="none"/>
                <w:lang w:val="en-US" w:eastAsia="zh-CN" w:bidi="ar-SA"/>
              </w:rPr>
              <w:t>其他份额面向个人和机构投资者销售。</w:t>
            </w:r>
          </w:p>
          <w:p>
            <w:pPr>
              <w:pStyle w:val="34"/>
              <w:keepNext w:val="0"/>
              <w:keepLines w:val="0"/>
              <w:pageBreakBefore w:val="0"/>
              <w:kinsoku w:val="0"/>
              <w:wordWrap/>
              <w:overflowPunct w:val="0"/>
              <w:topLinePunct w:val="0"/>
              <w:bidi w:val="0"/>
              <w:snapToGrid w:val="0"/>
              <w:spacing w:line="240" w:lineRule="auto"/>
              <w:ind w:left="59" w:right="73" w:rightChars="35"/>
              <w:jc w:val="both"/>
              <w:textAlignment w:val="auto"/>
              <w:rPr>
                <w:rFonts w:hint="eastAsia" w:ascii="楷体" w:hAnsi="楷体" w:eastAsia="楷体" w:cs="宋体"/>
                <w:color w:val="auto"/>
                <w:spacing w:val="-2"/>
                <w:kern w:val="0"/>
                <w:sz w:val="18"/>
                <w:szCs w:val="18"/>
                <w:highlight w:val="none"/>
                <w:lang w:val="en-US" w:eastAsia="zh-CN" w:bidi="ar-SA"/>
              </w:rPr>
            </w:pPr>
            <w:r>
              <w:rPr>
                <w:rFonts w:hint="eastAsia" w:ascii="楷体" w:hAnsi="楷体" w:eastAsia="楷体" w:cs="宋体"/>
                <w:color w:val="auto"/>
                <w:spacing w:val="-2"/>
                <w:kern w:val="0"/>
                <w:sz w:val="18"/>
                <w:szCs w:val="18"/>
                <w:highlight w:val="none"/>
                <w:lang w:val="en-US" w:eastAsia="zh-CN" w:bidi="ar-SA"/>
              </w:rPr>
              <w:t>其中C份额销售机构江苏银行仅限新资金客户、新客户及代发工资客户，具体以销售机构系统设置为准。新资金的达标条件为“客户前一日资产时点余额”较“前一月末资产月日均余额”的新增额大于5万元；新客户是指首次购买苏银理财理财产品的客户；</w:t>
            </w:r>
          </w:p>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b/>
                <w:color w:val="auto"/>
                <w:spacing w:val="-2"/>
                <w:sz w:val="18"/>
                <w:szCs w:val="18"/>
                <w:u w:val="single"/>
              </w:rPr>
            </w:pPr>
            <w:r>
              <w:rPr>
                <w:rFonts w:hint="eastAsia" w:ascii="楷体" w:hAnsi="楷体" w:eastAsia="楷体" w:cs="宋体"/>
                <w:color w:val="auto"/>
                <w:spacing w:val="-2"/>
                <w:kern w:val="0"/>
                <w:sz w:val="18"/>
                <w:szCs w:val="18"/>
                <w:highlight w:val="none"/>
                <w:lang w:val="en-US" w:eastAsia="zh-CN" w:bidi="ar-SA"/>
              </w:rPr>
              <w:t>E份额销售机构江苏银行仅限财富客户、私行客户、企业高管客户，江苏银行财富客户指在江苏银行日均资产大于等于200万元的个人客户，江苏银行私行客户指在江苏银行日均资产大于等于600万元的个人客户，企业高管客户是指与江苏银行有业务来往的企业的高管客户；机构投资者具体以销售机构设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4"/>
              <w:ind w:left="55" w:leftChars="0"/>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币种</w:t>
            </w:r>
          </w:p>
        </w:tc>
        <w:tc>
          <w:tcPr>
            <w:tcW w:w="7937"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b/>
                <w:color w:val="auto"/>
                <w:spacing w:val="-2"/>
                <w:sz w:val="18"/>
                <w:szCs w:val="18"/>
                <w:u w:val="single"/>
              </w:rPr>
            </w:pPr>
            <w:r>
              <w:rPr>
                <w:rFonts w:hint="eastAsia" w:ascii="楷体" w:hAnsi="楷体" w:eastAsia="楷体" w:cs="宋体"/>
                <w:color w:val="auto"/>
                <w:spacing w:val="-2"/>
                <w:sz w:val="18"/>
                <w:szCs w:val="1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份额面值</w:t>
            </w:r>
          </w:p>
        </w:tc>
        <w:tc>
          <w:tcPr>
            <w:tcW w:w="7937"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1元/份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highlight w:val="none"/>
              </w:rPr>
              <w:t>计划发行规模</w:t>
            </w:r>
          </w:p>
        </w:tc>
        <w:tc>
          <w:tcPr>
            <w:tcW w:w="7937" w:type="dxa"/>
            <w:vAlign w:val="center"/>
          </w:tcPr>
          <w:p>
            <w:pPr>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b w:val="0"/>
                <w:color w:val="auto"/>
                <w:spacing w:val="-2"/>
                <w:kern w:val="0"/>
                <w:sz w:val="18"/>
                <w:szCs w:val="18"/>
                <w:u w:val="none"/>
              </w:rPr>
            </w:pPr>
            <w:r>
              <w:rPr>
                <w:rFonts w:hint="eastAsia" w:ascii="楷体" w:hAnsi="楷体" w:eastAsia="楷体" w:cs="宋体"/>
                <w:color w:val="auto"/>
                <w:spacing w:val="-2"/>
                <w:kern w:val="0"/>
                <w:sz w:val="18"/>
                <w:szCs w:val="18"/>
                <w:highlight w:val="none"/>
                <w:lang w:val="en-US" w:eastAsia="zh-CN"/>
              </w:rPr>
              <w:t>本产品计划发行规模为20</w:t>
            </w:r>
            <w:r>
              <w:rPr>
                <w:rFonts w:hint="eastAsia" w:ascii="楷体" w:hAnsi="楷体" w:eastAsia="楷体" w:cs="宋体"/>
                <w:color w:val="auto"/>
                <w:spacing w:val="-2"/>
                <w:kern w:val="0"/>
                <w:sz w:val="18"/>
                <w:szCs w:val="18"/>
                <w:highlight w:val="none"/>
              </w:rPr>
              <w:t>亿</w:t>
            </w:r>
            <w:r>
              <w:rPr>
                <w:rFonts w:hint="eastAsia" w:ascii="楷体" w:hAnsi="楷体" w:eastAsia="楷体" w:cs="宋体"/>
                <w:color w:val="auto"/>
                <w:spacing w:val="-2"/>
                <w:kern w:val="0"/>
                <w:sz w:val="18"/>
                <w:szCs w:val="18"/>
                <w:highlight w:val="none"/>
                <w:lang w:val="en-US" w:eastAsia="zh-CN"/>
              </w:rPr>
              <w:t>元，</w:t>
            </w:r>
            <w:r>
              <w:rPr>
                <w:rFonts w:hint="eastAsia" w:ascii="楷体" w:hAnsi="楷体" w:eastAsia="楷体" w:cs="宋体"/>
                <w:color w:val="auto"/>
                <w:spacing w:val="-2"/>
                <w:kern w:val="0"/>
                <w:sz w:val="18"/>
                <w:szCs w:val="18"/>
                <w:highlight w:val="none"/>
              </w:rPr>
              <w:t>管理人有权</w:t>
            </w:r>
            <w:r>
              <w:rPr>
                <w:rFonts w:hint="eastAsia" w:ascii="楷体" w:hAnsi="楷体" w:eastAsia="楷体" w:cs="宋体"/>
                <w:color w:val="auto"/>
                <w:spacing w:val="-2"/>
                <w:kern w:val="0"/>
                <w:sz w:val="18"/>
                <w:szCs w:val="18"/>
                <w:highlight w:val="none"/>
                <w:lang w:val="en-US" w:eastAsia="zh-CN"/>
              </w:rPr>
              <w:t>根据实际需要</w:t>
            </w:r>
            <w:r>
              <w:rPr>
                <w:rFonts w:hint="eastAsia" w:ascii="楷体" w:hAnsi="楷体" w:eastAsia="楷体" w:cs="宋体"/>
                <w:color w:val="auto"/>
                <w:spacing w:val="-2"/>
                <w:kern w:val="0"/>
                <w:sz w:val="18"/>
                <w:szCs w:val="18"/>
                <w:highlight w:val="none"/>
              </w:rPr>
              <w:t>调整计划发行规模。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default" w:ascii="楷体" w:hAnsi="楷体" w:eastAsia="楷体" w:cs="宋体"/>
                <w:b/>
                <w:color w:val="auto"/>
                <w:spacing w:val="-2"/>
                <w:sz w:val="18"/>
                <w:szCs w:val="18"/>
                <w:highlight w:val="none"/>
                <w:lang w:val="en-US" w:eastAsia="zh-CN"/>
              </w:rPr>
            </w:pPr>
            <w:r>
              <w:rPr>
                <w:rFonts w:hint="eastAsia" w:ascii="楷体" w:hAnsi="楷体" w:eastAsia="楷体" w:cs="宋体"/>
                <w:b/>
                <w:color w:val="auto"/>
                <w:spacing w:val="-2"/>
                <w:sz w:val="18"/>
                <w:szCs w:val="18"/>
                <w:highlight w:val="none"/>
                <w:lang w:val="en-US" w:eastAsia="zh-CN"/>
              </w:rPr>
              <w:t>最低发行规模</w:t>
            </w:r>
          </w:p>
        </w:tc>
        <w:tc>
          <w:tcPr>
            <w:tcW w:w="7937"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highlight w:val="none"/>
              </w:rPr>
            </w:pPr>
            <w:r>
              <w:rPr>
                <w:rFonts w:hint="eastAsia" w:ascii="楷体" w:hAnsi="楷体" w:eastAsia="楷体" w:cs="宋体"/>
                <w:spacing w:val="-2"/>
                <w:sz w:val="18"/>
                <w:szCs w:val="18"/>
                <w:highlight w:val="none"/>
              </w:rPr>
              <w:t>本产品最低发行规模为</w:t>
            </w:r>
            <w:r>
              <w:rPr>
                <w:rFonts w:hint="eastAsia" w:ascii="楷体" w:hAnsi="楷体" w:eastAsia="楷体" w:cs="宋体"/>
                <w:spacing w:val="-2"/>
                <w:sz w:val="18"/>
                <w:szCs w:val="18"/>
                <w:highlight w:val="none"/>
                <w:lang w:val="en-US" w:eastAsia="zh-CN"/>
              </w:rPr>
              <w:t>3000万</w:t>
            </w:r>
            <w:r>
              <w:rPr>
                <w:rFonts w:hint="eastAsia" w:ascii="楷体" w:hAnsi="楷体" w:eastAsia="楷体" w:cs="宋体"/>
                <w:spacing w:val="-2"/>
                <w:sz w:val="18"/>
                <w:szCs w:val="18"/>
                <w:highlight w:val="none"/>
              </w:rPr>
              <w:t>元，管理人有权根据实际需要调整最低发行规模。若产品认购规模未达到最低发行规模，或新的法律、法规或监管政策导致本产品无法合法合规运行，或出现其他导致影响产品成立不可抗力因素，产品管理人有权利但无义务宣布产品不成立，并于产品募集期结束后5个工作日内将投资者认购资金返还至投资者资金账户，募集期及资金在途期间投资者投资本金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9"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jc w:val="both"/>
              <w:textAlignment w:val="auto"/>
              <w:rPr>
                <w:rFonts w:hint="eastAsia" w:ascii="楷体" w:hAnsi="楷体" w:eastAsia="楷体" w:cs="宋体"/>
                <w:b/>
                <w:color w:val="auto"/>
                <w:spacing w:val="-2"/>
                <w:sz w:val="18"/>
                <w:szCs w:val="18"/>
                <w:highlight w:val="none"/>
              </w:rPr>
            </w:pPr>
            <w:r>
              <w:rPr>
                <w:rFonts w:hint="eastAsia" w:ascii="楷体" w:hAnsi="楷体" w:eastAsia="楷体" w:cs="宋体"/>
                <w:b/>
                <w:color w:val="auto"/>
                <w:spacing w:val="-2"/>
                <w:sz w:val="18"/>
                <w:szCs w:val="18"/>
                <w:lang w:val="en-US" w:eastAsia="zh-CN"/>
              </w:rPr>
              <w:t>购买</w:t>
            </w:r>
            <w:r>
              <w:rPr>
                <w:rFonts w:hint="eastAsia" w:ascii="楷体" w:hAnsi="楷体" w:eastAsia="楷体" w:cs="宋体"/>
                <w:b/>
                <w:color w:val="auto"/>
                <w:spacing w:val="-2"/>
                <w:sz w:val="18"/>
                <w:szCs w:val="18"/>
              </w:rPr>
              <w:t>起点</w:t>
            </w:r>
            <w:r>
              <w:rPr>
                <w:rFonts w:ascii="楷体" w:hAnsi="楷体" w:eastAsia="楷体" w:cs="宋体"/>
                <w:b/>
                <w:color w:val="auto"/>
                <w:spacing w:val="-2"/>
                <w:sz w:val="18"/>
                <w:szCs w:val="18"/>
              </w:rPr>
              <w:t>/</w:t>
            </w:r>
            <w:r>
              <w:rPr>
                <w:rFonts w:hint="eastAsia" w:ascii="楷体" w:hAnsi="楷体" w:eastAsia="楷体" w:cs="宋体"/>
                <w:b/>
                <w:color w:val="auto"/>
                <w:spacing w:val="-2"/>
                <w:sz w:val="18"/>
                <w:szCs w:val="18"/>
              </w:rPr>
              <w:t>追加金额</w:t>
            </w:r>
          </w:p>
        </w:tc>
        <w:tc>
          <w:tcPr>
            <w:tcW w:w="7937" w:type="dxa"/>
            <w:vAlign w:val="center"/>
          </w:tcPr>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olor w:val="auto"/>
                <w:sz w:val="18"/>
                <w:szCs w:val="18"/>
                <w:lang w:val="en-US" w:eastAsia="zh-CN"/>
              </w:rPr>
            </w:pPr>
            <w:r>
              <w:rPr>
                <w:rFonts w:hint="eastAsia" w:ascii="楷体" w:hAnsi="楷体" w:eastAsia="楷体"/>
                <w:color w:val="auto"/>
                <w:sz w:val="18"/>
                <w:szCs w:val="18"/>
                <w:lang w:val="en-US" w:eastAsia="zh-CN"/>
              </w:rPr>
              <w:t>A/B/D/F/G/J/K/Z/JS/芙蓉锦程 ·优选份额：1元/1元的整数倍；</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olor w:val="auto"/>
                <w:sz w:val="18"/>
                <w:szCs w:val="18"/>
                <w:lang w:val="en-US" w:eastAsia="zh-CN"/>
              </w:rPr>
            </w:pPr>
            <w:r>
              <w:rPr>
                <w:rFonts w:hint="eastAsia" w:ascii="楷体" w:hAnsi="楷体" w:eastAsia="楷体"/>
                <w:color w:val="auto"/>
                <w:sz w:val="18"/>
                <w:szCs w:val="18"/>
                <w:lang w:val="en-US" w:eastAsia="zh-CN"/>
              </w:rPr>
              <w:t>C/H/I份额：10,000元/10,000元的整数倍；</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olor w:val="auto"/>
                <w:sz w:val="18"/>
                <w:szCs w:val="18"/>
                <w:lang w:val="en-US" w:eastAsia="zh-CN"/>
              </w:rPr>
            </w:pPr>
            <w:r>
              <w:rPr>
                <w:rFonts w:hint="eastAsia" w:ascii="楷体" w:hAnsi="楷体" w:eastAsia="楷体"/>
                <w:color w:val="auto"/>
                <w:sz w:val="18"/>
                <w:szCs w:val="18"/>
                <w:lang w:val="en-US" w:eastAsia="zh-CN"/>
              </w:rPr>
              <w:t>E份额：300,000元/10,000元的整数倍；</w:t>
            </w:r>
          </w:p>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highlight w:val="none"/>
              </w:rPr>
            </w:pPr>
            <w:r>
              <w:rPr>
                <w:rFonts w:hint="eastAsia" w:ascii="楷体" w:hAnsi="楷体" w:eastAsia="楷体"/>
                <w:sz w:val="18"/>
                <w:szCs w:val="18"/>
              </w:rPr>
              <w:t>苏银理财有权对上述起点金额</w:t>
            </w:r>
            <w:r>
              <w:rPr>
                <w:rFonts w:hint="eastAsia" w:ascii="楷体" w:hAnsi="楷体" w:eastAsia="楷体"/>
                <w:sz w:val="18"/>
                <w:szCs w:val="18"/>
                <w:highlight w:val="none"/>
              </w:rPr>
              <w:t>和</w:t>
            </w:r>
            <w:r>
              <w:rPr>
                <w:rFonts w:hint="eastAsia" w:ascii="楷体" w:hAnsi="楷体" w:eastAsia="楷体"/>
                <w:sz w:val="18"/>
                <w:szCs w:val="18"/>
                <w:highlight w:val="none"/>
                <w:lang w:val="en-US" w:eastAsia="zh-CN"/>
              </w:rPr>
              <w:t>追加</w:t>
            </w:r>
            <w:r>
              <w:rPr>
                <w:rFonts w:hint="eastAsia" w:ascii="楷体" w:hAnsi="楷体" w:eastAsia="楷体"/>
                <w:sz w:val="18"/>
                <w:szCs w:val="18"/>
                <w:highlight w:val="none"/>
              </w:rPr>
              <w:t>金额进行</w:t>
            </w:r>
            <w:r>
              <w:rPr>
                <w:rFonts w:hint="eastAsia" w:ascii="楷体" w:hAnsi="楷体" w:eastAsia="楷体"/>
                <w:sz w:val="18"/>
                <w:szCs w:val="18"/>
              </w:rPr>
              <w:t>调整，并在调整前进行公告。</w:t>
            </w:r>
            <w:r>
              <w:rPr>
                <w:rFonts w:hint="eastAsia" w:ascii="楷体" w:hAnsi="楷体" w:eastAsia="楷体"/>
                <w:sz w:val="18"/>
                <w:szCs w:val="18"/>
                <w:lang w:eastAsia="zh-CN"/>
              </w:rPr>
              <w:t>（</w:t>
            </w:r>
            <w:r>
              <w:rPr>
                <w:rFonts w:hint="eastAsia" w:ascii="楷体" w:hAnsi="楷体" w:eastAsia="楷体"/>
                <w:sz w:val="18"/>
                <w:szCs w:val="18"/>
              </w:rPr>
              <w:t>具体以销售机构设置为准</w:t>
            </w:r>
            <w:r>
              <w:rPr>
                <w:rFonts w:hint="eastAsia" w:ascii="楷体" w:hAnsi="楷体" w:eastAsia="楷体"/>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default" w:ascii="楷体" w:hAnsi="楷体" w:eastAsia="楷体" w:cs="宋体"/>
                <w:b/>
                <w:color w:val="auto"/>
                <w:spacing w:val="-2"/>
                <w:sz w:val="18"/>
                <w:szCs w:val="18"/>
                <w:highlight w:val="none"/>
              </w:rPr>
            </w:pPr>
            <w:r>
              <w:rPr>
                <w:rFonts w:hint="eastAsia" w:ascii="楷体" w:hAnsi="楷体" w:eastAsia="楷体" w:cs="宋体"/>
                <w:b/>
                <w:color w:val="auto"/>
                <w:spacing w:val="-2"/>
                <w:sz w:val="18"/>
                <w:szCs w:val="18"/>
                <w:lang w:val="en-US" w:eastAsia="zh-CN"/>
              </w:rPr>
              <w:t>募集期</w:t>
            </w:r>
          </w:p>
        </w:tc>
        <w:tc>
          <w:tcPr>
            <w:tcW w:w="7937"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lang w:eastAsia="zh-CN"/>
              </w:rPr>
            </w:pPr>
            <w:r>
              <w:rPr>
                <w:rFonts w:hint="eastAsia" w:ascii="楷体" w:hAnsi="楷体" w:eastAsia="楷体" w:cs="宋体"/>
                <w:color w:val="auto"/>
                <w:spacing w:val="-2"/>
                <w:sz w:val="18"/>
                <w:szCs w:val="18"/>
              </w:rPr>
              <w:t>202</w:t>
            </w:r>
            <w:r>
              <w:rPr>
                <w:rFonts w:hint="eastAsia" w:ascii="楷体" w:hAnsi="楷体" w:eastAsia="楷体" w:cs="宋体"/>
                <w:color w:val="auto"/>
                <w:spacing w:val="-2"/>
                <w:sz w:val="18"/>
                <w:szCs w:val="18"/>
                <w:lang w:val="en-US" w:eastAsia="zh-CN"/>
              </w:rPr>
              <w:t>5</w:t>
            </w:r>
            <w:r>
              <w:rPr>
                <w:rFonts w:hint="eastAsia" w:ascii="楷体" w:hAnsi="楷体" w:eastAsia="楷体" w:cs="宋体"/>
                <w:color w:val="auto"/>
                <w:spacing w:val="-2"/>
                <w:sz w:val="18"/>
                <w:szCs w:val="18"/>
              </w:rPr>
              <w:t>年</w:t>
            </w:r>
            <w:r>
              <w:rPr>
                <w:rFonts w:hint="eastAsia" w:ascii="楷体" w:hAnsi="楷体" w:eastAsia="楷体" w:cs="宋体"/>
                <w:color w:val="auto"/>
                <w:spacing w:val="-2"/>
                <w:sz w:val="18"/>
                <w:szCs w:val="18"/>
                <w:lang w:val="en-US" w:eastAsia="zh-CN"/>
              </w:rPr>
              <w:t>8</w:t>
            </w:r>
            <w:r>
              <w:rPr>
                <w:rFonts w:hint="eastAsia" w:ascii="楷体" w:hAnsi="楷体" w:eastAsia="楷体" w:cs="宋体"/>
                <w:color w:val="auto"/>
                <w:spacing w:val="-2"/>
                <w:sz w:val="18"/>
                <w:szCs w:val="18"/>
              </w:rPr>
              <w:t>月</w:t>
            </w:r>
            <w:r>
              <w:rPr>
                <w:rFonts w:hint="eastAsia" w:ascii="楷体" w:hAnsi="楷体" w:eastAsia="楷体" w:cs="宋体"/>
                <w:color w:val="auto"/>
                <w:spacing w:val="-2"/>
                <w:sz w:val="18"/>
                <w:szCs w:val="18"/>
                <w:lang w:val="en-US" w:eastAsia="zh-CN"/>
              </w:rPr>
              <w:t>28</w:t>
            </w:r>
            <w:r>
              <w:rPr>
                <w:rFonts w:hint="eastAsia" w:ascii="楷体" w:hAnsi="楷体" w:eastAsia="楷体" w:cs="宋体"/>
                <w:color w:val="auto"/>
                <w:spacing w:val="-2"/>
                <w:sz w:val="18"/>
                <w:szCs w:val="18"/>
              </w:rPr>
              <w:t>日至202</w:t>
            </w:r>
            <w:r>
              <w:rPr>
                <w:rFonts w:hint="eastAsia" w:ascii="楷体" w:hAnsi="楷体" w:eastAsia="楷体" w:cs="宋体"/>
                <w:color w:val="auto"/>
                <w:spacing w:val="-2"/>
                <w:sz w:val="18"/>
                <w:szCs w:val="18"/>
                <w:lang w:val="en-US" w:eastAsia="zh-CN"/>
              </w:rPr>
              <w:t>5</w:t>
            </w:r>
            <w:r>
              <w:rPr>
                <w:rFonts w:hint="eastAsia" w:ascii="楷体" w:hAnsi="楷体" w:eastAsia="楷体" w:cs="宋体"/>
                <w:color w:val="auto"/>
                <w:spacing w:val="-2"/>
                <w:sz w:val="18"/>
                <w:szCs w:val="18"/>
              </w:rPr>
              <w:t>年</w:t>
            </w:r>
            <w:r>
              <w:rPr>
                <w:rFonts w:hint="eastAsia" w:ascii="楷体" w:hAnsi="楷体" w:eastAsia="楷体" w:cs="宋体"/>
                <w:color w:val="auto"/>
                <w:spacing w:val="-2"/>
                <w:sz w:val="18"/>
                <w:szCs w:val="18"/>
                <w:lang w:val="en-US" w:eastAsia="zh-CN"/>
              </w:rPr>
              <w:t>9</w:t>
            </w:r>
            <w:r>
              <w:rPr>
                <w:rFonts w:hint="eastAsia" w:ascii="楷体" w:hAnsi="楷体" w:eastAsia="楷体" w:cs="宋体"/>
                <w:color w:val="auto"/>
                <w:spacing w:val="-2"/>
                <w:sz w:val="18"/>
                <w:szCs w:val="18"/>
              </w:rPr>
              <w:t>月</w:t>
            </w:r>
            <w:r>
              <w:rPr>
                <w:rFonts w:hint="eastAsia" w:ascii="楷体" w:hAnsi="楷体" w:eastAsia="楷体" w:cs="宋体"/>
                <w:color w:val="auto"/>
                <w:spacing w:val="-2"/>
                <w:sz w:val="18"/>
                <w:szCs w:val="18"/>
                <w:lang w:val="en-US" w:eastAsia="zh-CN"/>
              </w:rPr>
              <w:t>3</w:t>
            </w:r>
            <w:r>
              <w:rPr>
                <w:rFonts w:hint="eastAsia" w:ascii="楷体" w:hAnsi="楷体" w:eastAsia="楷体" w:cs="宋体"/>
                <w:color w:val="auto"/>
                <w:spacing w:val="-2"/>
                <w:sz w:val="18"/>
                <w:szCs w:val="18"/>
              </w:rPr>
              <w:t>日</w:t>
            </w:r>
            <w:r>
              <w:rPr>
                <w:rFonts w:hint="eastAsia" w:ascii="楷体" w:hAnsi="楷体" w:eastAsia="楷体" w:cs="宋体"/>
                <w:color w:val="auto"/>
                <w:spacing w:val="-2"/>
                <w:sz w:val="18"/>
                <w:szCs w:val="18"/>
                <w:lang w:eastAsia="zh-CN"/>
              </w:rPr>
              <w:t>。</w:t>
            </w:r>
          </w:p>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highlight w:val="none"/>
              </w:rPr>
            </w:pPr>
            <w:r>
              <w:rPr>
                <w:rFonts w:hint="eastAsia" w:ascii="楷体" w:hAnsi="楷体" w:eastAsia="楷体" w:cs="宋体"/>
                <w:spacing w:val="-2"/>
                <w:sz w:val="18"/>
                <w:szCs w:val="18"/>
              </w:rPr>
              <w:t>投资者可于募集期结束日交易闭市前撤销认购申请，该时点后不得撤销，募集期结束日交易闭市时间具体以销售机构设置为准。管理人在法律允许的范围内保留延长募集期或缩短募集期的权利。如有变动，实际产品募集期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产品成立日/</w:t>
            </w:r>
          </w:p>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份额登记日</w:t>
            </w:r>
          </w:p>
        </w:tc>
        <w:tc>
          <w:tcPr>
            <w:tcW w:w="7937"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lang w:val="en-US" w:eastAsia="zh-CN"/>
              </w:rPr>
              <w:t>2025年9月4日，如管理人调整募集期，则产品成立日/份额登记日将相应调整，以管理人公告为准。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产品</w:t>
            </w:r>
            <w:r>
              <w:rPr>
                <w:rFonts w:hint="eastAsia" w:ascii="楷体" w:hAnsi="楷体" w:eastAsia="楷体" w:cs="宋体"/>
                <w:b/>
                <w:color w:val="auto"/>
                <w:spacing w:val="-2"/>
                <w:sz w:val="18"/>
                <w:szCs w:val="18"/>
                <w:lang w:val="en-US" w:eastAsia="zh-CN"/>
              </w:rPr>
              <w:t>终止日/</w:t>
            </w:r>
          </w:p>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到期日</w:t>
            </w:r>
          </w:p>
        </w:tc>
        <w:tc>
          <w:tcPr>
            <w:tcW w:w="7937"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202</w:t>
            </w:r>
            <w:r>
              <w:rPr>
                <w:rFonts w:hint="eastAsia" w:ascii="楷体" w:hAnsi="楷体" w:eastAsia="楷体" w:cs="宋体"/>
                <w:color w:val="auto"/>
                <w:spacing w:val="-2"/>
                <w:sz w:val="18"/>
                <w:szCs w:val="18"/>
                <w:lang w:val="en-US" w:eastAsia="zh-CN"/>
              </w:rPr>
              <w:t>7</w:t>
            </w:r>
            <w:r>
              <w:rPr>
                <w:rFonts w:hint="eastAsia" w:ascii="楷体" w:hAnsi="楷体" w:eastAsia="楷体" w:cs="宋体"/>
                <w:color w:val="auto"/>
                <w:spacing w:val="-2"/>
                <w:sz w:val="18"/>
                <w:szCs w:val="18"/>
              </w:rPr>
              <w:t>年</w:t>
            </w:r>
            <w:r>
              <w:rPr>
                <w:rFonts w:hint="eastAsia" w:ascii="楷体" w:hAnsi="楷体" w:eastAsia="楷体" w:cs="宋体"/>
                <w:color w:val="auto"/>
                <w:spacing w:val="-2"/>
                <w:sz w:val="18"/>
                <w:szCs w:val="18"/>
                <w:lang w:val="en-US" w:eastAsia="zh-CN"/>
              </w:rPr>
              <w:t>9</w:t>
            </w:r>
            <w:r>
              <w:rPr>
                <w:rFonts w:hint="eastAsia" w:ascii="楷体" w:hAnsi="楷体" w:eastAsia="楷体" w:cs="宋体"/>
                <w:color w:val="auto"/>
                <w:spacing w:val="-2"/>
                <w:sz w:val="18"/>
                <w:szCs w:val="18"/>
              </w:rPr>
              <w:t>月</w:t>
            </w:r>
            <w:r>
              <w:rPr>
                <w:rFonts w:hint="eastAsia" w:ascii="楷体" w:hAnsi="楷体" w:eastAsia="楷体" w:cs="宋体"/>
                <w:color w:val="auto"/>
                <w:spacing w:val="-2"/>
                <w:sz w:val="18"/>
                <w:szCs w:val="18"/>
                <w:lang w:val="en-US" w:eastAsia="zh-CN"/>
              </w:rPr>
              <w:t>22</w:t>
            </w:r>
            <w:r>
              <w:rPr>
                <w:rFonts w:hint="eastAsia" w:ascii="楷体" w:hAnsi="楷体" w:eastAsia="楷体" w:cs="宋体"/>
                <w:color w:val="auto"/>
                <w:spacing w:val="-2"/>
                <w:sz w:val="18"/>
                <w:szCs w:val="18"/>
              </w:rPr>
              <w:t>日</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如遇节假日，顺延至下一工作日</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在符合产品说明书约定的条件下，管理人有权</w:t>
            </w:r>
            <w:r>
              <w:rPr>
                <w:rFonts w:hint="eastAsia" w:ascii="楷体" w:hAnsi="楷体" w:eastAsia="楷体" w:cs="宋体"/>
                <w:color w:val="auto"/>
                <w:spacing w:val="-2"/>
                <w:sz w:val="18"/>
                <w:szCs w:val="18"/>
                <w:lang w:val="en-US" w:eastAsia="zh-CN"/>
              </w:rPr>
              <w:t>调整产品到期日</w:t>
            </w:r>
            <w:r>
              <w:rPr>
                <w:rFonts w:hint="eastAsia" w:ascii="楷体" w:hAnsi="楷体" w:eastAsia="楷体" w:cs="宋体"/>
                <w:color w:val="auto"/>
                <w:spacing w:val="-2"/>
                <w:sz w:val="18"/>
                <w:szCs w:val="18"/>
              </w:rPr>
              <w:t>，产品到期日受制于提前终止</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lang w:val="en-US" w:eastAsia="zh-CN"/>
              </w:rPr>
              <w:t>延期终止</w:t>
            </w:r>
            <w:r>
              <w:rPr>
                <w:rFonts w:hint="eastAsia" w:ascii="楷体" w:hAnsi="楷体" w:eastAsia="楷体" w:cs="宋体"/>
                <w:color w:val="auto"/>
                <w:spacing w:val="-2"/>
                <w:sz w:val="18"/>
                <w:szCs w:val="18"/>
              </w:rPr>
              <w:t>条款。详见下文“</w:t>
            </w:r>
            <w:r>
              <w:rPr>
                <w:rFonts w:hint="eastAsia" w:ascii="楷体" w:hAnsi="楷体" w:eastAsia="楷体" w:cs="宋体"/>
                <w:color w:val="auto"/>
                <w:spacing w:val="-2"/>
                <w:sz w:val="18"/>
                <w:szCs w:val="18"/>
                <w:lang w:val="en-US" w:eastAsia="zh-CN"/>
              </w:rPr>
              <w:t>八</w:t>
            </w:r>
            <w:r>
              <w:rPr>
                <w:rFonts w:hint="eastAsia" w:ascii="楷体" w:hAnsi="楷体" w:eastAsia="楷体" w:cs="宋体"/>
                <w:color w:val="auto"/>
                <w:spacing w:val="-2"/>
                <w:sz w:val="18"/>
                <w:szCs w:val="18"/>
              </w:rPr>
              <w:t>、产品终止”。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9" w:leftChars="0" w:right="73" w:rightChars="35"/>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产品存续期限</w:t>
            </w:r>
          </w:p>
        </w:tc>
        <w:tc>
          <w:tcPr>
            <w:tcW w:w="7937" w:type="dxa"/>
            <w:vAlign w:val="center"/>
          </w:tcPr>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lang w:val="en-US" w:eastAsia="zh-CN"/>
              </w:rPr>
              <w:t>748</w:t>
            </w:r>
            <w:r>
              <w:rPr>
                <w:rFonts w:hint="eastAsia" w:ascii="楷体" w:hAnsi="楷体" w:eastAsia="楷体" w:cs="宋体"/>
                <w:color w:val="auto"/>
                <w:spacing w:val="-2"/>
                <w:sz w:val="18"/>
                <w:szCs w:val="18"/>
              </w:rPr>
              <w:t>天（以理财产品实际存续天数为准）</w:t>
            </w:r>
            <w:r>
              <w:rPr>
                <w:rFonts w:hint="eastAsia" w:ascii="楷体" w:hAnsi="楷体" w:eastAsia="楷体" w:cs="宋体"/>
                <w:color w:val="auto"/>
                <w:spacing w:val="-2"/>
                <w:sz w:val="18"/>
                <w:szCs w:val="18"/>
                <w:lang w:eastAsia="zh-CN"/>
              </w:rPr>
              <w:t>。</w:t>
            </w:r>
            <w:r>
              <w:rPr>
                <w:rFonts w:hint="eastAsia" w:ascii="楷体" w:hAnsi="楷体" w:eastAsia="楷体" w:cs="宋体"/>
                <w:b/>
                <w:bCs/>
                <w:color w:val="auto"/>
                <w:spacing w:val="-2"/>
                <w:sz w:val="18"/>
                <w:szCs w:val="18"/>
                <w:u w:val="single"/>
                <w:lang w:eastAsia="zh-CN"/>
              </w:rPr>
              <w:t>本产品运行期间，不开放申购、赎回。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spacing w:val="-2"/>
                <w:sz w:val="18"/>
                <w:szCs w:val="18"/>
                <w:highlight w:val="none"/>
              </w:rPr>
              <w:t>单个</w:t>
            </w:r>
            <w:r>
              <w:rPr>
                <w:rFonts w:hint="eastAsia" w:ascii="楷体" w:hAnsi="楷体" w:eastAsia="楷体" w:cs="宋体"/>
                <w:b/>
                <w:spacing w:val="-2"/>
                <w:sz w:val="18"/>
                <w:szCs w:val="18"/>
                <w:highlight w:val="none"/>
                <w:lang w:val="en-US" w:eastAsia="zh-CN"/>
              </w:rPr>
              <w:t>投资者</w:t>
            </w:r>
            <w:r>
              <w:rPr>
                <w:rFonts w:hint="eastAsia" w:ascii="楷体" w:hAnsi="楷体" w:eastAsia="楷体" w:cs="宋体"/>
                <w:b/>
                <w:spacing w:val="-2"/>
                <w:sz w:val="18"/>
                <w:szCs w:val="18"/>
                <w:highlight w:val="none"/>
              </w:rPr>
              <w:t>持有份额上限</w:t>
            </w:r>
          </w:p>
        </w:tc>
        <w:tc>
          <w:tcPr>
            <w:tcW w:w="7937" w:type="dxa"/>
            <w:vAlign w:val="center"/>
          </w:tcPr>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rPr>
            </w:pPr>
            <w:r>
              <w:rPr>
                <w:rFonts w:hint="eastAsia" w:ascii="楷体" w:hAnsi="楷体" w:eastAsia="楷体" w:cs="宋体"/>
                <w:spacing w:val="-2"/>
                <w:kern w:val="0"/>
                <w:sz w:val="18"/>
                <w:szCs w:val="18"/>
                <w:highlight w:val="none"/>
                <w:lang w:val="en-US" w:eastAsia="zh-CN" w:bidi="ar-SA"/>
              </w:rPr>
              <w:t>单一投资者持有份额不得超过总份额50%。非因主观因素导致突破前款规定比例限制的，在单一投资者持有份额占理财产品总份额比例降至50%以下之前，不再接受该单一投资者对理财产品的认购申请。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9" w:leftChars="0" w:right="73" w:rightChars="35"/>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业绩比较基准（年化）</w:t>
            </w:r>
          </w:p>
        </w:tc>
        <w:tc>
          <w:tcPr>
            <w:tcW w:w="79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57" w:leftChars="0" w:right="57" w:rightChars="0"/>
              <w:jc w:val="left"/>
              <w:textAlignment w:val="auto"/>
              <w:rPr>
                <w:rFonts w:hint="eastAsia" w:ascii="楷体" w:hAnsi="楷体" w:eastAsia="楷体" w:cs="宋体"/>
                <w:b/>
                <w:bCs/>
                <w:spacing w:val="-2"/>
                <w:sz w:val="18"/>
                <w:szCs w:val="18"/>
                <w:u w:val="single"/>
              </w:rPr>
            </w:pPr>
            <w:r>
              <w:rPr>
                <w:rFonts w:hint="eastAsia" w:ascii="楷体" w:hAnsi="楷体" w:eastAsia="楷体" w:cs="宋体"/>
                <w:b/>
                <w:bCs/>
                <w:spacing w:val="-2"/>
                <w:sz w:val="18"/>
                <w:szCs w:val="18"/>
                <w:u w:val="single"/>
                <w:lang w:val="en-US" w:eastAsia="zh-CN"/>
              </w:rPr>
              <w:t>1.</w:t>
            </w:r>
            <w:r>
              <w:rPr>
                <w:rFonts w:hint="eastAsia" w:ascii="楷体" w:hAnsi="楷体" w:eastAsia="楷体" w:cs="宋体"/>
                <w:b/>
                <w:bCs/>
                <w:spacing w:val="-2"/>
                <w:sz w:val="18"/>
                <w:szCs w:val="18"/>
                <w:u w:val="single"/>
              </w:rPr>
              <w:t>苏银理财</w:t>
            </w:r>
            <w:r>
              <w:rPr>
                <w:rFonts w:ascii="楷体" w:hAnsi="楷体" w:eastAsia="楷体" w:cs="宋体"/>
                <w:b/>
                <w:bCs/>
                <w:spacing w:val="-2"/>
                <w:sz w:val="18"/>
                <w:szCs w:val="18"/>
                <w:u w:val="single"/>
              </w:rPr>
              <w:t>参考过往投资经验，依据近期货币市场工具、债券</w:t>
            </w:r>
            <w:r>
              <w:rPr>
                <w:rFonts w:hint="eastAsia" w:ascii="楷体" w:hAnsi="楷体" w:eastAsia="楷体" w:cs="宋体"/>
                <w:b/>
                <w:bCs/>
                <w:spacing w:val="-2"/>
                <w:sz w:val="18"/>
                <w:szCs w:val="18"/>
                <w:u w:val="single"/>
              </w:rPr>
              <w:t>、非标准化债权</w:t>
            </w:r>
            <w:r>
              <w:rPr>
                <w:rFonts w:ascii="楷体" w:hAnsi="楷体" w:eastAsia="楷体" w:cs="宋体"/>
                <w:b/>
                <w:bCs/>
                <w:spacing w:val="-2"/>
                <w:sz w:val="18"/>
                <w:szCs w:val="18"/>
                <w:u w:val="single"/>
              </w:rPr>
              <w:t>等资产</w:t>
            </w:r>
            <w:r>
              <w:rPr>
                <w:rFonts w:hint="eastAsia" w:ascii="楷体" w:hAnsi="楷体" w:eastAsia="楷体" w:cs="宋体"/>
                <w:b/>
                <w:bCs/>
                <w:spacing w:val="-2"/>
                <w:sz w:val="18"/>
                <w:szCs w:val="18"/>
                <w:u w:val="single"/>
              </w:rPr>
              <w:t>投资</w:t>
            </w:r>
            <w:r>
              <w:rPr>
                <w:rFonts w:ascii="楷体" w:hAnsi="楷体" w:eastAsia="楷体" w:cs="宋体"/>
                <w:b/>
                <w:bCs/>
                <w:spacing w:val="-2"/>
                <w:sz w:val="18"/>
                <w:szCs w:val="18"/>
                <w:u w:val="single"/>
              </w:rPr>
              <w:t>收益水平，</w:t>
            </w:r>
            <w:r>
              <w:rPr>
                <w:rFonts w:hint="eastAsia" w:ascii="楷体" w:hAnsi="楷体" w:eastAsia="楷体" w:cs="宋体"/>
                <w:b/>
                <w:spacing w:val="-2"/>
                <w:sz w:val="18"/>
                <w:szCs w:val="18"/>
                <w:u w:val="single"/>
              </w:rPr>
              <w:t>在产品说明书约定的投资范围和投资比例内，</w:t>
            </w:r>
            <w:r>
              <w:rPr>
                <w:rFonts w:hint="eastAsia" w:ascii="楷体" w:hAnsi="楷体" w:eastAsia="楷体" w:cs="宋体"/>
                <w:b/>
                <w:spacing w:val="-2"/>
                <w:sz w:val="18"/>
                <w:szCs w:val="18"/>
                <w:highlight w:val="none"/>
                <w:u w:val="single"/>
              </w:rPr>
              <w:t>综合考虑各</w:t>
            </w:r>
            <w:r>
              <w:rPr>
                <w:rFonts w:hint="eastAsia" w:ascii="楷体" w:hAnsi="楷体" w:eastAsia="楷体" w:cs="宋体"/>
                <w:b/>
                <w:spacing w:val="-2"/>
                <w:sz w:val="18"/>
                <w:szCs w:val="18"/>
                <w:highlight w:val="none"/>
                <w:u w:val="single"/>
                <w:lang w:val="en-US" w:eastAsia="zh-CN"/>
              </w:rPr>
              <w:t>类</w:t>
            </w:r>
            <w:r>
              <w:rPr>
                <w:rFonts w:hint="eastAsia" w:ascii="楷体" w:hAnsi="楷体" w:eastAsia="楷体" w:cs="宋体"/>
                <w:b/>
                <w:spacing w:val="-2"/>
                <w:sz w:val="18"/>
                <w:szCs w:val="18"/>
                <w:highlight w:val="none"/>
                <w:u w:val="single"/>
              </w:rPr>
              <w:t>份额收取的</w:t>
            </w:r>
            <w:r>
              <w:rPr>
                <w:rFonts w:hint="eastAsia" w:ascii="楷体" w:hAnsi="楷体" w:eastAsia="楷体" w:cs="宋体"/>
                <w:b/>
                <w:spacing w:val="-2"/>
                <w:sz w:val="18"/>
                <w:szCs w:val="18"/>
                <w:highlight w:val="none"/>
                <w:u w:val="single"/>
                <w:lang w:val="en-US" w:eastAsia="zh-CN"/>
              </w:rPr>
              <w:t>销售服务费和投资管理费等费用情况，模拟测算得出业绩比较基准。</w:t>
            </w:r>
          </w:p>
          <w:p>
            <w:pPr>
              <w:keepNext w:val="0"/>
              <w:keepLines w:val="0"/>
              <w:pageBreakBefore w:val="0"/>
              <w:widowControl/>
              <w:kinsoku/>
              <w:wordWrap/>
              <w:overflowPunct/>
              <w:topLinePunct w:val="0"/>
              <w:autoSpaceDE/>
              <w:autoSpaceDN/>
              <w:bidi w:val="0"/>
              <w:adjustRightInd/>
              <w:snapToGrid w:val="0"/>
              <w:spacing w:line="240" w:lineRule="auto"/>
              <w:ind w:left="57" w:leftChars="0" w:right="57" w:rightChars="0"/>
              <w:jc w:val="left"/>
              <w:textAlignment w:val="auto"/>
              <w:rPr>
                <w:rFonts w:hint="eastAsia" w:ascii="楷体" w:hAnsi="楷体" w:eastAsia="楷体" w:cs="宋体"/>
                <w:spacing w:val="-2"/>
                <w:sz w:val="18"/>
                <w:szCs w:val="18"/>
              </w:rPr>
            </w:pPr>
            <w:r>
              <w:rPr>
                <w:rFonts w:hint="eastAsia" w:ascii="楷体" w:hAnsi="楷体" w:eastAsia="楷体" w:cs="宋体"/>
                <w:b/>
                <w:bCs/>
                <w:spacing w:val="-2"/>
                <w:sz w:val="18"/>
                <w:szCs w:val="18"/>
                <w:u w:val="single"/>
                <w:lang w:val="en-US" w:eastAsia="zh-CN"/>
              </w:rPr>
              <w:t>2.</w:t>
            </w:r>
            <w:r>
              <w:rPr>
                <w:rFonts w:hint="eastAsia" w:ascii="楷体" w:hAnsi="楷体" w:eastAsia="楷体" w:cs="宋体"/>
                <w:b/>
                <w:spacing w:val="-2"/>
                <w:sz w:val="18"/>
                <w:szCs w:val="18"/>
                <w:highlight w:val="none"/>
                <w:u w:val="single"/>
                <w:lang w:val="en-US" w:eastAsia="zh-CN"/>
              </w:rPr>
              <w:t>本产品各类份额可能因收取的销售服务费和投资管理费存在差异，业绩比较基准设置有所不同。</w:t>
            </w:r>
            <w:r>
              <w:rPr>
                <w:rFonts w:hint="eastAsia" w:ascii="楷体" w:hAnsi="楷体" w:eastAsia="楷体" w:cs="宋体"/>
                <w:b w:val="0"/>
                <w:bCs/>
                <w:spacing w:val="-2"/>
                <w:sz w:val="18"/>
                <w:szCs w:val="18"/>
                <w:highlight w:val="none"/>
                <w:u w:val="none"/>
              </w:rPr>
              <w:t>各</w:t>
            </w:r>
            <w:r>
              <w:rPr>
                <w:rFonts w:hint="eastAsia" w:ascii="楷体" w:hAnsi="楷体" w:eastAsia="楷体" w:cs="宋体"/>
                <w:b w:val="0"/>
                <w:bCs/>
                <w:spacing w:val="-2"/>
                <w:sz w:val="18"/>
                <w:szCs w:val="18"/>
                <w:highlight w:val="none"/>
                <w:u w:val="none"/>
                <w:lang w:val="en-US" w:eastAsia="zh-CN"/>
              </w:rPr>
              <w:t>类</w:t>
            </w:r>
            <w:r>
              <w:rPr>
                <w:rFonts w:hint="eastAsia" w:ascii="楷体" w:hAnsi="楷体" w:eastAsia="楷体" w:cs="宋体"/>
                <w:b w:val="0"/>
                <w:bCs/>
                <w:spacing w:val="-2"/>
                <w:sz w:val="18"/>
                <w:szCs w:val="18"/>
                <w:highlight w:val="none"/>
                <w:u w:val="none"/>
              </w:rPr>
              <w:t>份额业绩比较基准如下：</w:t>
            </w:r>
          </w:p>
          <w:p>
            <w:pPr>
              <w:pStyle w:val="34"/>
              <w:keepNext w:val="0"/>
              <w:keepLines w:val="0"/>
              <w:pageBreakBefore w:val="0"/>
              <w:kinsoku w:val="0"/>
              <w:wordWrap/>
              <w:overflowPunct w:val="0"/>
              <w:topLinePunct w:val="0"/>
              <w:bidi w:val="0"/>
              <w:snapToGrid w:val="0"/>
              <w:spacing w:line="240" w:lineRule="auto"/>
              <w:ind w:left="59" w:right="73" w:rightChars="35"/>
              <w:jc w:val="both"/>
              <w:textAlignment w:val="auto"/>
              <w:rPr>
                <w:rFonts w:hint="eastAsia" w:ascii="楷体" w:hAnsi="楷体" w:eastAsia="楷体" w:cs="宋体"/>
                <w:color w:val="auto"/>
                <w:spacing w:val="-2"/>
                <w:kern w:val="2"/>
                <w:sz w:val="18"/>
                <w:szCs w:val="18"/>
                <w:lang w:val="en-US" w:eastAsia="zh-CN" w:bidi="ar-SA"/>
              </w:rPr>
            </w:pPr>
            <w:r>
              <w:rPr>
                <w:rFonts w:hint="eastAsia" w:ascii="楷体" w:hAnsi="楷体" w:eastAsia="楷体" w:cs="宋体"/>
                <w:color w:val="auto"/>
                <w:spacing w:val="-2"/>
                <w:kern w:val="2"/>
                <w:sz w:val="18"/>
                <w:szCs w:val="18"/>
                <w:lang w:val="en-US" w:eastAsia="zh-CN" w:bidi="ar-SA"/>
              </w:rPr>
              <w:t>A份额：2.70%-3.10%/B份额：2.70%-3.10%/C份额：2.75%-3.15%/D份额：2.70%-3.10%/E份额：2.80%-3.20%/F份额：2.75%-3.15%/G份额：2.60%-3.00%/H份额：2.65%-3.05%/I份额：2.90%-3.30%/J份额：2.70%-3.10%/K份额：2.65%-3.05%/Z份额：2.85%-3.25%/JS份额：2.70%-3.10%/芙蓉锦程 ·优选份额：2.80%-3.20%。</w:t>
            </w:r>
          </w:p>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rPr>
            </w:pPr>
            <w:r>
              <w:rPr>
                <w:rFonts w:hint="eastAsia" w:ascii="楷体" w:hAnsi="楷体" w:eastAsia="楷体" w:cs="宋体"/>
                <w:b/>
                <w:spacing w:val="-2"/>
                <w:sz w:val="18"/>
                <w:szCs w:val="18"/>
                <w:u w:val="single"/>
                <w:lang w:val="en-US" w:eastAsia="zh-CN"/>
              </w:rPr>
              <w:t>3.本产品为净值型产品，业绩表现将随市场波动，具有不确定性。业绩比较基准是管理人基于产品性质、投资策略、过往经验等因素对产品设定的投资目标。业绩比较基准不是预期收益率，不代表产品的未来表现和实际收益，不构成对产品收益的承诺。投资者的实际收益由产品净值表现决定。产品存续期内管理人有权根据市场情况调整业绩比较基准，如有调整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4"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8"/>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产品费用</w:t>
            </w:r>
          </w:p>
        </w:tc>
        <w:tc>
          <w:tcPr>
            <w:tcW w:w="7937" w:type="dxa"/>
            <w:vAlign w:val="center"/>
          </w:tcPr>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s="宋体"/>
                <w:color w:val="auto"/>
                <w:spacing w:val="-2"/>
                <w:sz w:val="18"/>
                <w:szCs w:val="18"/>
                <w:lang w:val="en-US" w:eastAsia="zh-CN"/>
              </w:rPr>
            </w:pPr>
            <w:r>
              <w:rPr>
                <w:rFonts w:hint="eastAsia" w:ascii="楷体" w:hAnsi="楷体" w:eastAsia="楷体" w:cs="宋体"/>
                <w:color w:val="auto"/>
                <w:spacing w:val="-2"/>
                <w:sz w:val="18"/>
                <w:szCs w:val="18"/>
                <w:lang w:val="en-US" w:eastAsia="zh-CN"/>
              </w:rPr>
              <w:t>本产品费用包括托管费、销售服务费、投资管理费、超额业绩报酬（如有）以及产品运作和清算中产生的其他费用等。</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s="宋体"/>
                <w:color w:val="auto"/>
                <w:spacing w:val="-2"/>
                <w:sz w:val="18"/>
                <w:szCs w:val="18"/>
                <w:lang w:eastAsia="zh-CN"/>
              </w:rPr>
            </w:pPr>
            <w:r>
              <w:rPr>
                <w:rFonts w:hint="eastAsia" w:ascii="楷体" w:hAnsi="楷体" w:eastAsia="楷体" w:cs="宋体"/>
                <w:color w:val="auto"/>
                <w:spacing w:val="-2"/>
                <w:sz w:val="18"/>
                <w:szCs w:val="18"/>
              </w:rPr>
              <w:t>1.托管费率</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lang w:val="en-US" w:eastAsia="zh-CN"/>
              </w:rPr>
              <w:t>年化）</w:t>
            </w:r>
            <w:r>
              <w:rPr>
                <w:rFonts w:hint="eastAsia" w:ascii="楷体" w:hAnsi="楷体" w:eastAsia="楷体" w:cs="宋体"/>
                <w:color w:val="auto"/>
                <w:spacing w:val="-2"/>
                <w:sz w:val="18"/>
                <w:szCs w:val="18"/>
              </w:rPr>
              <w:t>：0.02%/年</w:t>
            </w:r>
            <w:r>
              <w:rPr>
                <w:rFonts w:hint="eastAsia" w:ascii="楷体" w:hAnsi="楷体" w:eastAsia="楷体" w:cs="宋体"/>
                <w:color w:val="auto"/>
                <w:spacing w:val="-2"/>
                <w:sz w:val="18"/>
                <w:szCs w:val="18"/>
                <w:lang w:eastAsia="zh-CN"/>
              </w:rPr>
              <w:t>。</w:t>
            </w:r>
          </w:p>
          <w:p>
            <w:pPr>
              <w:keepNext w:val="0"/>
              <w:keepLines w:val="0"/>
              <w:pageBreakBefore w:val="0"/>
              <w:wordWrap/>
              <w:topLinePunct w:val="0"/>
              <w:bidi w:val="0"/>
              <w:snapToGrid w:val="0"/>
              <w:spacing w:line="240" w:lineRule="auto"/>
              <w:ind w:left="57" w:right="57" w:rightChars="0"/>
              <w:textAlignment w:val="auto"/>
              <w:rPr>
                <w:rFonts w:hint="default" w:ascii="楷体" w:hAnsi="楷体" w:eastAsia="楷体" w:cs="宋体"/>
                <w:color w:val="auto"/>
                <w:spacing w:val="-2"/>
                <w:sz w:val="18"/>
                <w:szCs w:val="18"/>
                <w:lang w:val="en-US"/>
              </w:rPr>
            </w:pPr>
            <w:r>
              <w:rPr>
                <w:rFonts w:hint="eastAsia" w:ascii="楷体" w:hAnsi="楷体" w:eastAsia="楷体" w:cs="宋体"/>
                <w:color w:val="auto"/>
                <w:spacing w:val="-2"/>
                <w:sz w:val="18"/>
                <w:szCs w:val="18"/>
              </w:rPr>
              <w:t>2.销售服务费率</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lang w:val="en-US" w:eastAsia="zh-CN"/>
              </w:rPr>
              <w:t>年化）</w:t>
            </w:r>
            <w:r>
              <w:rPr>
                <w:rFonts w:hint="eastAsia" w:ascii="楷体" w:hAnsi="楷体" w:eastAsia="楷体" w:cs="宋体"/>
                <w:color w:val="auto"/>
                <w:spacing w:val="-2"/>
                <w:sz w:val="18"/>
                <w:szCs w:val="18"/>
              </w:rPr>
              <w:t>：A份额：0.10%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B份额：0.20%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C份额：0.10%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D份额：0.25%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E份额：0.10%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F份额：0.20%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G份额：0.30%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H份额：0.30%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I份额：0.14%</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J份额：0.15%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K份额：0.20%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Z份额：0.10%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JS份额：0.20%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芙蓉锦程 ·优选份额：0.15%</w:t>
            </w:r>
            <w:r>
              <w:rPr>
                <w:rFonts w:hint="eastAsia" w:ascii="楷体" w:hAnsi="楷体" w:eastAsia="楷体" w:cs="宋体"/>
                <w:color w:val="auto"/>
                <w:spacing w:val="-2"/>
                <w:sz w:val="18"/>
                <w:szCs w:val="18"/>
                <w:lang w:val="en-US" w:eastAsia="zh-CN"/>
              </w:rPr>
              <w:t>。其中D份额采用一次性提取模式，其他份额采用每日计提模式。</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3.投资管理费率</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lang w:val="en-US" w:eastAsia="zh-CN"/>
              </w:rPr>
              <w:t>年化）</w:t>
            </w:r>
            <w:r>
              <w:rPr>
                <w:rFonts w:hint="eastAsia" w:ascii="楷体" w:hAnsi="楷体" w:eastAsia="楷体" w:cs="宋体"/>
                <w:color w:val="auto"/>
                <w:spacing w:val="-2"/>
                <w:sz w:val="18"/>
                <w:szCs w:val="18"/>
              </w:rPr>
              <w:t>：A份额：0.25%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B份额：0.15%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C份额：0.20%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D份额：0.10%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E份额：0.15%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F份额：0.10%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G份额：0.15%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H份额：0.10%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I份额：0.01%</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J份额：0.20%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K份额：0.20%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Z份额：0.10%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JS份额：0.15%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芙蓉锦程 ·优选份额：0.10%</w:t>
            </w:r>
            <w:r>
              <w:rPr>
                <w:rFonts w:hint="eastAsia" w:ascii="楷体" w:hAnsi="楷体" w:eastAsia="楷体" w:cs="宋体"/>
                <w:color w:val="auto"/>
                <w:spacing w:val="-2"/>
                <w:sz w:val="18"/>
                <w:szCs w:val="18"/>
                <w:lang w:val="en-US" w:eastAsia="zh-CN"/>
              </w:rPr>
              <w:t>。</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4.超额业绩报酬</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lang w:val="en-US" w:eastAsia="zh-CN"/>
              </w:rPr>
              <w:t>如有）</w:t>
            </w:r>
            <w:r>
              <w:rPr>
                <w:rFonts w:hint="eastAsia" w:ascii="楷体" w:hAnsi="楷体" w:eastAsia="楷体" w:cs="宋体"/>
                <w:color w:val="auto"/>
                <w:spacing w:val="-2"/>
                <w:sz w:val="18"/>
                <w:szCs w:val="18"/>
              </w:rPr>
              <w:t>：若产品各份额实际投资收益在扣除托管费、销售服务费、投资管理费等费用后超过各份额业绩比较基准</w:t>
            </w:r>
            <w:r>
              <w:rPr>
                <w:rFonts w:hint="eastAsia" w:ascii="楷体" w:hAnsi="楷体" w:eastAsia="楷体" w:cs="宋体"/>
                <w:color w:val="auto"/>
                <w:spacing w:val="-2"/>
                <w:sz w:val="18"/>
                <w:szCs w:val="18"/>
                <w:lang w:val="en-US" w:eastAsia="zh-CN"/>
              </w:rPr>
              <w:t>下限</w:t>
            </w:r>
            <w:r>
              <w:rPr>
                <w:rFonts w:hint="eastAsia" w:ascii="楷体" w:hAnsi="楷体" w:eastAsia="楷体" w:cs="宋体"/>
                <w:color w:val="auto"/>
                <w:spacing w:val="-2"/>
                <w:sz w:val="18"/>
                <w:szCs w:val="18"/>
              </w:rPr>
              <w:t>，产品管理人将按照超出部分的50%收取超额业绩报酬。产品存续期内理财产品将每日暂估超额业绩报酬，仅用于理财产品会计核算，并将扣除“暂估超额业绩报酬”后的理财产品份额净值按照说明书约定向投资者进行披露。理财产品实际收取的超额业绩报酬以到期日计提核算的数值为准。计算超额业绩报酬时，1年按365日计算。</w:t>
            </w:r>
          </w:p>
          <w:p>
            <w:pPr>
              <w:pStyle w:val="34"/>
              <w:keepNext w:val="0"/>
              <w:keepLines w:val="0"/>
              <w:pageBreakBefore w:val="0"/>
              <w:widowControl w:val="0"/>
              <w:kinsoku w:val="0"/>
              <w:wordWrap/>
              <w:overflowPunct w:val="0"/>
              <w:topLinePunct w:val="0"/>
              <w:bidi w:val="0"/>
              <w:snapToGrid w:val="0"/>
              <w:spacing w:line="240" w:lineRule="auto"/>
              <w:ind w:left="21" w:leftChars="10" w:right="21" w:rightChars="10"/>
              <w:jc w:val="both"/>
              <w:textAlignment w:val="auto"/>
              <w:rPr>
                <w:rFonts w:hint="eastAsia" w:ascii="楷体" w:hAnsi="楷体" w:eastAsia="楷体" w:cs="宋体"/>
                <w:b/>
                <w:bCs/>
                <w:spacing w:val="-2"/>
                <w:sz w:val="18"/>
                <w:szCs w:val="18"/>
                <w:highlight w:val="none"/>
                <w:u w:val="single"/>
              </w:rPr>
            </w:pPr>
            <w:r>
              <w:rPr>
                <w:rFonts w:hint="eastAsia" w:ascii="楷体" w:hAnsi="楷体" w:eastAsia="楷体" w:cs="宋体"/>
                <w:b/>
                <w:bCs/>
                <w:spacing w:val="-2"/>
                <w:sz w:val="18"/>
                <w:szCs w:val="18"/>
                <w:highlight w:val="none"/>
                <w:u w:val="single"/>
              </w:rPr>
              <w:t>本产品设置有多</w:t>
            </w:r>
            <w:r>
              <w:rPr>
                <w:rFonts w:hint="eastAsia" w:ascii="楷体" w:hAnsi="楷体" w:eastAsia="楷体" w:cs="宋体"/>
                <w:b/>
                <w:bCs/>
                <w:spacing w:val="-2"/>
                <w:sz w:val="18"/>
                <w:szCs w:val="18"/>
                <w:highlight w:val="none"/>
                <w:u w:val="single"/>
                <w:lang w:val="en-US" w:eastAsia="zh-CN"/>
              </w:rPr>
              <w:t>类</w:t>
            </w:r>
            <w:r>
              <w:rPr>
                <w:rFonts w:hint="eastAsia" w:ascii="楷体" w:hAnsi="楷体" w:eastAsia="楷体" w:cs="宋体"/>
                <w:b/>
                <w:bCs/>
                <w:spacing w:val="-2"/>
                <w:sz w:val="18"/>
                <w:szCs w:val="18"/>
                <w:highlight w:val="none"/>
                <w:u w:val="single"/>
              </w:rPr>
              <w:t>份额，各</w:t>
            </w:r>
            <w:r>
              <w:rPr>
                <w:rFonts w:hint="eastAsia" w:ascii="楷体" w:hAnsi="楷体" w:eastAsia="楷体" w:cs="宋体"/>
                <w:b/>
                <w:bCs/>
                <w:spacing w:val="-2"/>
                <w:sz w:val="18"/>
                <w:szCs w:val="18"/>
                <w:highlight w:val="none"/>
                <w:u w:val="single"/>
                <w:lang w:val="en-US" w:eastAsia="zh-CN"/>
              </w:rPr>
              <w:t>类</w:t>
            </w:r>
            <w:r>
              <w:rPr>
                <w:rFonts w:hint="eastAsia" w:ascii="楷体" w:hAnsi="楷体" w:eastAsia="楷体" w:cs="宋体"/>
                <w:b/>
                <w:bCs/>
                <w:spacing w:val="-2"/>
                <w:sz w:val="18"/>
                <w:szCs w:val="18"/>
                <w:highlight w:val="none"/>
                <w:u w:val="single"/>
              </w:rPr>
              <w:t>份额按照设置的销售对象和销售起点在不同的销售机构销售，各</w:t>
            </w:r>
            <w:r>
              <w:rPr>
                <w:rFonts w:hint="eastAsia" w:ascii="楷体" w:hAnsi="楷体" w:eastAsia="楷体" w:cs="宋体"/>
                <w:b/>
                <w:bCs/>
                <w:spacing w:val="-2"/>
                <w:sz w:val="18"/>
                <w:szCs w:val="18"/>
                <w:highlight w:val="none"/>
                <w:u w:val="single"/>
                <w:lang w:val="en-US" w:eastAsia="zh-CN"/>
              </w:rPr>
              <w:t>类</w:t>
            </w:r>
            <w:r>
              <w:rPr>
                <w:rFonts w:hint="eastAsia" w:ascii="楷体" w:hAnsi="楷体" w:eastAsia="楷体" w:cs="宋体"/>
                <w:b/>
                <w:bCs/>
                <w:spacing w:val="-2"/>
                <w:sz w:val="18"/>
                <w:szCs w:val="18"/>
                <w:highlight w:val="none"/>
                <w:u w:val="single"/>
              </w:rPr>
              <w:t>份额实际收取的销售服务费</w:t>
            </w:r>
            <w:r>
              <w:rPr>
                <w:rFonts w:hint="eastAsia" w:ascii="楷体" w:hAnsi="楷体" w:eastAsia="楷体" w:cs="宋体"/>
                <w:b/>
                <w:bCs/>
                <w:spacing w:val="-2"/>
                <w:sz w:val="18"/>
                <w:szCs w:val="18"/>
                <w:highlight w:val="none"/>
                <w:u w:val="single"/>
                <w:lang w:val="en-US" w:eastAsia="zh-CN"/>
              </w:rPr>
              <w:t>率</w:t>
            </w:r>
            <w:r>
              <w:rPr>
                <w:rFonts w:hint="eastAsia" w:ascii="楷体" w:hAnsi="楷体" w:eastAsia="楷体" w:cs="宋体"/>
                <w:b/>
                <w:bCs/>
                <w:spacing w:val="-2"/>
                <w:sz w:val="18"/>
                <w:szCs w:val="18"/>
                <w:highlight w:val="none"/>
                <w:u w:val="single"/>
              </w:rPr>
              <w:t>、投资管理费</w:t>
            </w:r>
            <w:r>
              <w:rPr>
                <w:rFonts w:hint="eastAsia" w:ascii="楷体" w:hAnsi="楷体" w:eastAsia="楷体" w:cs="宋体"/>
                <w:b/>
                <w:bCs/>
                <w:spacing w:val="-2"/>
                <w:sz w:val="18"/>
                <w:szCs w:val="18"/>
                <w:highlight w:val="none"/>
                <w:u w:val="single"/>
                <w:lang w:val="en-US" w:eastAsia="zh-CN"/>
              </w:rPr>
              <w:t>率</w:t>
            </w:r>
            <w:r>
              <w:rPr>
                <w:rFonts w:hint="eastAsia" w:ascii="楷体" w:hAnsi="楷体" w:eastAsia="楷体" w:cs="宋体"/>
                <w:b/>
                <w:bCs/>
                <w:spacing w:val="-2"/>
                <w:sz w:val="18"/>
                <w:szCs w:val="18"/>
                <w:highlight w:val="none"/>
                <w:u w:val="single"/>
              </w:rPr>
              <w:t>和超额业绩报酬（如有）可能存在差异，投资者应根据各</w:t>
            </w:r>
            <w:r>
              <w:rPr>
                <w:rFonts w:hint="eastAsia" w:ascii="楷体" w:hAnsi="楷体" w:eastAsia="楷体" w:cs="宋体"/>
                <w:b/>
                <w:bCs/>
                <w:spacing w:val="-2"/>
                <w:sz w:val="18"/>
                <w:szCs w:val="18"/>
                <w:highlight w:val="none"/>
                <w:u w:val="single"/>
                <w:lang w:val="en-US" w:eastAsia="zh-CN"/>
              </w:rPr>
              <w:t>类</w:t>
            </w:r>
            <w:r>
              <w:rPr>
                <w:rFonts w:hint="eastAsia" w:ascii="楷体" w:hAnsi="楷体" w:eastAsia="楷体" w:cs="宋体"/>
                <w:b/>
                <w:bCs/>
                <w:spacing w:val="-2"/>
                <w:sz w:val="18"/>
                <w:szCs w:val="18"/>
                <w:highlight w:val="none"/>
                <w:u w:val="single"/>
              </w:rPr>
              <w:t>份额收费情况自主选择购买。</w:t>
            </w:r>
          </w:p>
          <w:p>
            <w:pPr>
              <w:keepNext w:val="0"/>
              <w:keepLines w:val="0"/>
              <w:pageBreakBefore w:val="0"/>
              <w:widowControl w:val="0"/>
              <w:numPr>
                <w:ilvl w:val="0"/>
                <w:numId w:val="0"/>
              </w:numPr>
              <w:wordWrap/>
              <w:topLinePunct w:val="0"/>
              <w:bidi w:val="0"/>
              <w:snapToGrid w:val="0"/>
              <w:spacing w:line="240" w:lineRule="auto"/>
              <w:ind w:right="57" w:rightChars="0"/>
              <w:jc w:val="both"/>
              <w:textAlignment w:val="auto"/>
              <w:rPr>
                <w:rFonts w:hint="eastAsia" w:ascii="楷体" w:hAnsi="楷体" w:eastAsia="楷体" w:cs="宋体"/>
                <w:b/>
                <w:spacing w:val="-2"/>
                <w:sz w:val="18"/>
                <w:szCs w:val="18"/>
                <w:u w:val="single"/>
              </w:rPr>
            </w:pPr>
            <w:r>
              <w:rPr>
                <w:rFonts w:hint="eastAsia" w:ascii="楷体" w:hAnsi="楷体" w:eastAsia="楷体" w:cs="宋体"/>
                <w:b/>
                <w:bCs/>
                <w:spacing w:val="-2"/>
                <w:sz w:val="18"/>
                <w:szCs w:val="18"/>
                <w:highlight w:val="none"/>
                <w:u w:val="single"/>
              </w:rPr>
              <w:t>产品存续期内管理人有权根据产品运行情况制定费率优惠措施，优惠后实际执行的费率以管理人公告为准。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8"/>
              <w:ind w:left="55" w:leftChars="0"/>
              <w:jc w:val="both"/>
              <w:textAlignment w:val="auto"/>
              <w:rPr>
                <w:rFonts w:hint="eastAsia" w:ascii="楷体" w:hAnsi="楷体" w:eastAsia="楷体" w:cs="宋体"/>
                <w:b/>
                <w:bCs w:val="0"/>
                <w:spacing w:val="-2"/>
                <w:kern w:val="2"/>
                <w:sz w:val="18"/>
                <w:szCs w:val="18"/>
                <w:u w:val="single"/>
                <w:lang w:val="en-US" w:eastAsia="zh-CN" w:bidi="ar-SA"/>
              </w:rPr>
            </w:pPr>
            <w:r>
              <w:rPr>
                <w:rFonts w:hint="eastAsia" w:ascii="楷体" w:hAnsi="楷体" w:eastAsia="楷体" w:cs="宋体"/>
                <w:b/>
                <w:color w:val="auto"/>
                <w:spacing w:val="-2"/>
                <w:sz w:val="18"/>
                <w:szCs w:val="18"/>
                <w:lang w:val="en-US" w:eastAsia="zh-CN"/>
              </w:rPr>
              <w:t>收益分配</w:t>
            </w:r>
          </w:p>
        </w:tc>
        <w:tc>
          <w:tcPr>
            <w:tcW w:w="7937" w:type="dxa"/>
            <w:vAlign w:val="center"/>
          </w:tcPr>
          <w:p>
            <w:pPr>
              <w:keepNext w:val="0"/>
              <w:keepLines w:val="0"/>
              <w:pageBreakBefore w:val="0"/>
              <w:wordWrap/>
              <w:topLinePunct w:val="0"/>
              <w:bidi w:val="0"/>
              <w:snapToGrid w:val="0"/>
              <w:spacing w:line="240" w:lineRule="auto"/>
              <w:ind w:left="59" w:leftChars="0" w:right="73" w:rightChars="35"/>
              <w:textAlignment w:val="auto"/>
              <w:rPr>
                <w:rFonts w:hint="eastAsia" w:ascii="楷体" w:hAnsi="楷体" w:eastAsia="楷体" w:cs="宋体"/>
                <w:b/>
                <w:bCs w:val="0"/>
                <w:spacing w:val="-2"/>
                <w:kern w:val="2"/>
                <w:sz w:val="18"/>
                <w:szCs w:val="18"/>
                <w:u w:val="single"/>
                <w:lang w:val="en-US" w:eastAsia="zh-CN" w:bidi="ar-SA"/>
              </w:rPr>
            </w:pPr>
            <w:r>
              <w:rPr>
                <w:rFonts w:hint="eastAsia" w:ascii="楷体" w:hAnsi="楷体" w:eastAsia="楷体" w:cs="宋体"/>
                <w:color w:val="auto"/>
                <w:spacing w:val="-2"/>
                <w:sz w:val="18"/>
                <w:szCs w:val="18"/>
                <w:lang w:val="en-US" w:eastAsia="zh-CN"/>
              </w:rPr>
              <w:t>本产品无分红机制，投资运作情况体现为产品净值变化。产品投资运作到期，投资收益扣除相关费用后，全部分配给投资者。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8"/>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lang w:val="en-US" w:eastAsia="zh-CN"/>
              </w:rPr>
              <w:t>税款</w:t>
            </w:r>
          </w:p>
        </w:tc>
        <w:tc>
          <w:tcPr>
            <w:tcW w:w="7937" w:type="dxa"/>
            <w:vAlign w:val="center"/>
          </w:tcPr>
          <w:p>
            <w:pPr>
              <w:keepNext w:val="0"/>
              <w:keepLines w:val="0"/>
              <w:pageBreakBefore w:val="0"/>
              <w:widowControl w:val="0"/>
              <w:wordWrap/>
              <w:topLinePunct w:val="0"/>
              <w:bidi w:val="0"/>
              <w:snapToGrid w:val="0"/>
              <w:spacing w:line="240" w:lineRule="auto"/>
              <w:ind w:left="42" w:leftChars="20" w:right="42" w:rightChars="20"/>
              <w:textAlignment w:val="auto"/>
              <w:rPr>
                <w:rFonts w:hint="eastAsia" w:ascii="楷体" w:hAnsi="楷体" w:eastAsia="楷体" w:cs="宋体"/>
                <w:spacing w:val="-2"/>
                <w:kern w:val="2"/>
                <w:sz w:val="18"/>
                <w:szCs w:val="18"/>
                <w:highlight w:val="none"/>
                <w:lang w:val="en-US" w:eastAsia="zh-CN" w:bidi="ar-SA"/>
              </w:rPr>
            </w:pPr>
            <w:r>
              <w:rPr>
                <w:rFonts w:hint="eastAsia" w:ascii="楷体" w:hAnsi="楷体" w:eastAsia="楷体" w:cs="宋体"/>
                <w:color w:val="auto"/>
                <w:spacing w:val="-2"/>
                <w:sz w:val="18"/>
                <w:szCs w:val="18"/>
              </w:rPr>
              <w:t>根据中国增值税等税收相关法律法规、税收政策等要求，产品应缴纳的增值税及附加税费（包括但不限于城市维护建设税、教育费附加及地方教育附加等）由管理人从理财产品财产中支付，由此可能会使理财产品净值或实际收益降低。</w:t>
            </w:r>
            <w:r>
              <w:rPr>
                <w:rFonts w:hint="eastAsia" w:ascii="楷体" w:hAnsi="楷体" w:eastAsia="楷体" w:cs="宋体"/>
                <w:b/>
                <w:bCs/>
                <w:color w:val="auto"/>
                <w:spacing w:val="-2"/>
                <w:sz w:val="18"/>
                <w:szCs w:val="18"/>
                <w:u w:val="single"/>
              </w:rPr>
              <w:t>投资者从理财产品取得的收益应缴纳的税款，由投资者自行申报及缴纳。</w:t>
            </w:r>
          </w:p>
        </w:tc>
      </w:tr>
    </w:tbl>
    <w:p>
      <w:pPr>
        <w:numPr>
          <w:ilvl w:val="0"/>
          <w:numId w:val="2"/>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rPr>
        <w:t>产品管理人</w:t>
      </w:r>
    </w:p>
    <w:p>
      <w:pPr>
        <w:numPr>
          <w:ilvl w:val="-1"/>
          <w:numId w:val="0"/>
        </w:numPr>
        <w:ind w:left="0"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highlight w:val="none"/>
        </w:rPr>
        <w:t>本产品管理人为</w:t>
      </w:r>
      <w:r>
        <w:rPr>
          <w:rFonts w:hint="eastAsia" w:ascii="楷体" w:hAnsi="楷体" w:eastAsia="楷体" w:cs="楷体"/>
          <w:b/>
          <w:bCs/>
          <w:color w:val="auto"/>
          <w:sz w:val="21"/>
          <w:szCs w:val="21"/>
          <w:highlight w:val="none"/>
          <w:u w:val="single"/>
        </w:rPr>
        <w:t>苏银理财有限责任公司</w:t>
      </w:r>
      <w:r>
        <w:rPr>
          <w:rFonts w:hint="eastAsia" w:ascii="楷体" w:hAnsi="楷体" w:eastAsia="楷体" w:cs="楷体"/>
          <w:b w:val="0"/>
          <w:bCs w:val="0"/>
          <w:color w:val="auto"/>
          <w:sz w:val="21"/>
          <w:szCs w:val="21"/>
          <w:highlight w:val="none"/>
          <w:u w:val="none"/>
        </w:rPr>
        <w:t>（以下简称“苏银理财”）</w:t>
      </w:r>
      <w:r>
        <w:rPr>
          <w:rFonts w:hint="eastAsia" w:ascii="楷体" w:hAnsi="楷体" w:eastAsia="楷体"/>
          <w:color w:val="auto"/>
          <w:sz w:val="21"/>
          <w:szCs w:val="21"/>
          <w:highlight w:val="none"/>
        </w:rPr>
        <w:t>，苏银理财系江苏银行股份有限公司全资控股的银行理财子公司。公司主要业务范围：面向不特定社会公众公开发行理财产品，对受托的投资和财产进行投资和管理；面向合格投资者非公开发行理财产品，对受托的投资和财产进行投资和管理；理财顾问和咨询服务；经</w:t>
      </w:r>
      <w:r>
        <w:rPr>
          <w:rFonts w:hint="eastAsia" w:ascii="楷体" w:hAnsi="楷体" w:eastAsia="楷体"/>
          <w:color w:val="auto"/>
          <w:sz w:val="21"/>
          <w:szCs w:val="21"/>
          <w:highlight w:val="none"/>
          <w:lang w:val="en-US" w:eastAsia="zh-CN"/>
        </w:rPr>
        <w:t>监管机构</w:t>
      </w:r>
      <w:r>
        <w:rPr>
          <w:rFonts w:hint="eastAsia" w:ascii="楷体" w:hAnsi="楷体" w:eastAsia="楷体"/>
          <w:color w:val="auto"/>
          <w:sz w:val="21"/>
          <w:szCs w:val="21"/>
          <w:highlight w:val="none"/>
        </w:rPr>
        <w:t>批准的其他业务等。</w:t>
      </w:r>
    </w:p>
    <w:p>
      <w:pPr>
        <w:numPr>
          <w:ilvl w:val="-1"/>
          <w:numId w:val="0"/>
        </w:numPr>
        <w:ind w:left="0" w:firstLine="420" w:firstLineChars="200"/>
        <w:rPr>
          <w:rFonts w:hint="eastAsia" w:ascii="楷体" w:hAnsi="楷体" w:eastAsia="楷体" w:cs="Times New Roman"/>
          <w:color w:val="auto"/>
          <w:sz w:val="21"/>
          <w:szCs w:val="21"/>
          <w:highlight w:val="none"/>
        </w:rPr>
      </w:pPr>
      <w:r>
        <w:rPr>
          <w:rFonts w:hint="eastAsia" w:ascii="楷体" w:hAnsi="楷体" w:eastAsia="楷体"/>
          <w:color w:val="auto"/>
          <w:sz w:val="21"/>
          <w:szCs w:val="21"/>
          <w:highlight w:val="none"/>
        </w:rPr>
        <w:t>投资者在此授权并同意苏银理财享有以下权利：</w:t>
      </w:r>
      <w:r>
        <w:rPr>
          <w:rFonts w:hint="eastAsia" w:ascii="楷体" w:hAnsi="楷体" w:eastAsia="楷体" w:cs="Times New Roman"/>
          <w:color w:val="auto"/>
          <w:sz w:val="21"/>
          <w:szCs w:val="21"/>
          <w:highlight w:val="none"/>
        </w:rPr>
        <w:t>按照本理财产品合同的约定，管理、运用和处分理财计划资金</w:t>
      </w:r>
      <w:r>
        <w:rPr>
          <w:rFonts w:hint="eastAsia" w:ascii="楷体" w:hAnsi="楷体" w:eastAsia="楷体" w:cs="Times New Roman"/>
          <w:color w:val="auto"/>
          <w:sz w:val="21"/>
          <w:szCs w:val="21"/>
          <w:highlight w:val="none"/>
          <w:lang w:val="en-US" w:eastAsia="zh-CN"/>
        </w:rPr>
        <w:t>；</w:t>
      </w:r>
      <w:r>
        <w:rPr>
          <w:rFonts w:hint="eastAsia" w:ascii="楷体" w:hAnsi="楷体" w:eastAsia="楷体" w:cs="Times New Roman"/>
          <w:color w:val="auto"/>
          <w:sz w:val="21"/>
          <w:szCs w:val="21"/>
          <w:highlight w:val="none"/>
        </w:rPr>
        <w:t>按照本理财产品合同的约定，及时、足额获得投资管理费</w:t>
      </w:r>
      <w:r>
        <w:rPr>
          <w:rFonts w:hint="eastAsia" w:ascii="楷体" w:hAnsi="楷体" w:eastAsia="楷体" w:cs="Times New Roman"/>
          <w:color w:val="auto"/>
          <w:sz w:val="21"/>
          <w:szCs w:val="21"/>
          <w:highlight w:val="none"/>
          <w:lang w:val="en-US" w:eastAsia="zh-CN"/>
        </w:rPr>
        <w:t>；</w:t>
      </w:r>
      <w:r>
        <w:rPr>
          <w:rFonts w:hint="eastAsia" w:ascii="楷体" w:hAnsi="楷体" w:eastAsia="楷体" w:cs="Times New Roman"/>
          <w:color w:val="auto"/>
          <w:sz w:val="21"/>
          <w:szCs w:val="21"/>
          <w:highlight w:val="none"/>
        </w:rPr>
        <w:t>管理人有权根据本理财产品合同的约定提前终止或延长本理财产品的期限</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管理人有权调整本理财产品的认购规模上限、认购起点、认购金额上限、认购资金的最</w:t>
      </w:r>
      <w:r>
        <w:rPr>
          <w:rFonts w:hint="eastAsia" w:ascii="楷体" w:hAnsi="楷体" w:eastAsia="楷体" w:cs="Times New Roman"/>
          <w:color w:val="auto"/>
          <w:sz w:val="21"/>
          <w:szCs w:val="21"/>
          <w:highlight w:val="none"/>
          <w:lang w:val="en-US" w:eastAsia="zh-CN"/>
        </w:rPr>
        <w:t>低</w:t>
      </w:r>
      <w:r>
        <w:rPr>
          <w:rFonts w:hint="eastAsia" w:ascii="楷体" w:hAnsi="楷体" w:eastAsia="楷体" w:cs="Times New Roman"/>
          <w:color w:val="auto"/>
          <w:sz w:val="21"/>
          <w:szCs w:val="21"/>
          <w:highlight w:val="none"/>
        </w:rPr>
        <w:t>金额等要素</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管理人有权依照法律规定和监管机构的要求将投资者的信息向有权部门或相关机构披露</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以理财产品投资管理人的名义，依照法律法规相关规定以及为理财产品的利益，对被投资的各类基金、公司/企业等行使出资人/投资者权利（包括但不限于表决投票的权利）以及行使因理财产品投资于证券类基础资产（含债券）或其他基础资产（包括但不限于债权类资产）所产生的相关权利</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以理财产品投资管理人的名义，依照法律法规相关规定以及代表理财产品份额持有人的利益行使代为追索的权利（包括但不限于提起诉讼/仲裁、申请保全/执行的权利）或者实施其他法律行为</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法律法规、监管政策和本理财计划文件约定的其他权利。</w:t>
      </w:r>
    </w:p>
    <w:p>
      <w:pPr>
        <w:numPr>
          <w:ilvl w:val="0"/>
          <w:numId w:val="2"/>
        </w:numPr>
        <w:tabs>
          <w:tab w:val="left" w:pos="1134"/>
        </w:tabs>
        <w:ind w:left="420" w:leftChars="0" w:firstLine="0" w:firstLineChars="0"/>
        <w:rPr>
          <w:rFonts w:hint="eastAsia" w:ascii="楷体" w:hAnsi="楷体" w:eastAsia="楷体" w:cs="Times New Roman"/>
          <w:b/>
          <w:color w:val="auto"/>
          <w:sz w:val="21"/>
          <w:szCs w:val="21"/>
          <w:highlight w:val="none"/>
        </w:rPr>
      </w:pPr>
      <w:r>
        <w:rPr>
          <w:rFonts w:hint="eastAsia" w:ascii="楷体" w:hAnsi="楷体" w:eastAsia="楷体"/>
          <w:b/>
          <w:color w:val="auto"/>
          <w:szCs w:val="21"/>
          <w:highlight w:val="none"/>
        </w:rPr>
        <w:t>产品托管人</w:t>
      </w:r>
    </w:p>
    <w:p>
      <w:pPr>
        <w:numPr>
          <w:ilvl w:val="0"/>
          <w:numId w:val="0"/>
        </w:numPr>
        <w:ind w:firstLine="420" w:firstLineChars="200"/>
        <w:rPr>
          <w:rFonts w:hint="default" w:ascii="楷体" w:hAnsi="楷体" w:eastAsia="楷体"/>
          <w:color w:val="auto"/>
          <w:sz w:val="21"/>
          <w:szCs w:val="21"/>
          <w:lang w:val="en-US" w:eastAsia="zh-CN"/>
        </w:rPr>
      </w:pPr>
      <w:r>
        <w:rPr>
          <w:rFonts w:hint="eastAsia" w:ascii="楷体" w:hAnsi="楷体" w:eastAsia="楷体"/>
          <w:color w:val="auto"/>
          <w:sz w:val="21"/>
          <w:szCs w:val="21"/>
          <w:highlight w:val="none"/>
        </w:rPr>
        <w:t>本产品托管人为</w:t>
      </w:r>
      <w:r>
        <w:rPr>
          <w:rFonts w:hint="eastAsia" w:ascii="楷体" w:hAnsi="楷体" w:eastAsia="楷体" w:cs="楷体"/>
          <w:b/>
          <w:bCs/>
          <w:color w:val="auto"/>
          <w:sz w:val="21"/>
          <w:szCs w:val="21"/>
          <w:u w:val="single"/>
        </w:rPr>
        <w:t>江苏银行股份有限公司</w:t>
      </w:r>
      <w:r>
        <w:rPr>
          <w:rFonts w:hint="eastAsia" w:ascii="楷体" w:hAnsi="楷体" w:eastAsia="楷体"/>
          <w:color w:val="auto"/>
          <w:sz w:val="21"/>
          <w:szCs w:val="21"/>
          <w:highlight w:val="none"/>
        </w:rPr>
        <w:t>。</w:t>
      </w:r>
      <w:r>
        <w:rPr>
          <w:rFonts w:hint="eastAsia" w:ascii="楷体" w:hAnsi="楷体" w:eastAsia="楷体" w:cs="Times New Roman"/>
          <w:color w:val="auto"/>
          <w:sz w:val="21"/>
          <w:szCs w:val="21"/>
          <w:highlight w:val="none"/>
        </w:rPr>
        <w:t>托管人职责</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安全保管理财产品财产；为理财产品开立银行托管账户、证券账户等；确认与执行理财产品资金划拨指令，办理理财产品资金的收付，核对理财产品资金划拨记录；建立与理财产品管理人的对账机制，复核理财产品资产净值、理财产品份额申购、赎回价格，及时核查投资资金的支付和到账情况；监督理财产品投资运作；办理与理财产品托管业务活动相关的信息披露事项；保存理财产品托管业务活动的记录、账册、报表和其他相关材料；对理财产品投资信息和相关资料承担保密责任；国务院银行业监督管理机构规定的其他职责。</w:t>
      </w:r>
      <w:r>
        <w:rPr>
          <w:rFonts w:hint="eastAsia" w:ascii="楷体" w:hAnsi="楷体" w:eastAsia="楷体" w:cs="楷体"/>
          <w:b/>
          <w:bCs/>
          <w:sz w:val="21"/>
          <w:szCs w:val="21"/>
          <w:u w:val="single"/>
        </w:rPr>
        <w:t>产品管理人在此特别披露：托管人为产品管理人的关联方，产品管理人聘请其担任托管人已履行现行法律法规和监管规定所规定必须履行的程序，产品管理人、投资者同意并接受理财产品由托管人托管。</w:t>
      </w:r>
    </w:p>
    <w:p>
      <w:pPr>
        <w:numPr>
          <w:ilvl w:val="0"/>
          <w:numId w:val="2"/>
        </w:numPr>
        <w:tabs>
          <w:tab w:val="left" w:pos="1134"/>
        </w:tabs>
        <w:ind w:left="420" w:leftChars="0" w:firstLine="0" w:firstLineChars="0"/>
        <w:rPr>
          <w:rFonts w:hint="eastAsia" w:ascii="楷体" w:hAnsi="楷体" w:eastAsia="楷体" w:cs="Times New Roman"/>
          <w:b/>
          <w:color w:val="auto"/>
          <w:sz w:val="21"/>
          <w:szCs w:val="21"/>
          <w:highlight w:val="none"/>
        </w:rPr>
      </w:pPr>
      <w:r>
        <w:rPr>
          <w:rFonts w:hint="eastAsia" w:ascii="楷体" w:hAnsi="楷体" w:eastAsia="楷体" w:cs="Times New Roman"/>
          <w:b/>
          <w:color w:val="auto"/>
          <w:sz w:val="21"/>
          <w:szCs w:val="21"/>
          <w:highlight w:val="none"/>
        </w:rPr>
        <w:t>销售机构</w:t>
      </w:r>
    </w:p>
    <w:p>
      <w:pPr>
        <w:numPr>
          <w:ilvl w:val="-1"/>
          <w:numId w:val="0"/>
        </w:numPr>
        <w:tabs>
          <w:tab w:val="left" w:pos="1134"/>
        </w:tabs>
        <w:ind w:left="0" w:leftChars="0" w:firstLine="420" w:firstLineChars="200"/>
        <w:rPr>
          <w:rFonts w:hint="eastAsia" w:ascii="楷体" w:hAnsi="楷体" w:eastAsia="楷体"/>
          <w:sz w:val="21"/>
          <w:szCs w:val="21"/>
          <w:highlight w:val="none"/>
        </w:rPr>
      </w:pPr>
      <w:r>
        <w:rPr>
          <w:rFonts w:hint="eastAsia" w:ascii="楷体" w:hAnsi="楷体" w:eastAsia="楷体"/>
          <w:sz w:val="21"/>
          <w:szCs w:val="21"/>
          <w:highlight w:val="none"/>
        </w:rPr>
        <w:t>本产品可以通过商业银行、农村合作银行、村镇银行、农村信用合作社等吸收公众存款的银行业金融机构，或者国务院银行业监督管理机构认可的其他机构进行销售。</w:t>
      </w:r>
      <w:r>
        <w:rPr>
          <w:rFonts w:hint="eastAsia" w:ascii="楷体" w:hAnsi="楷体" w:eastAsia="楷体"/>
          <w:b w:val="0"/>
          <w:bCs w:val="0"/>
          <w:sz w:val="21"/>
          <w:szCs w:val="21"/>
          <w:highlight w:val="none"/>
          <w:u w:val="none"/>
        </w:rPr>
        <w:t>销售机构负责理财产品宣传推广、投资者风险承受能力评估和投资者适当性管理、理财产品</w:t>
      </w:r>
      <w:r>
        <w:rPr>
          <w:rFonts w:hint="eastAsia" w:ascii="楷体" w:hAnsi="楷体" w:eastAsia="楷体"/>
          <w:b w:val="0"/>
          <w:bCs w:val="0"/>
          <w:sz w:val="21"/>
          <w:szCs w:val="21"/>
          <w:highlight w:val="none"/>
          <w:u w:val="none"/>
          <w:lang w:val="en-US" w:eastAsia="zh-CN"/>
        </w:rPr>
        <w:t>投资者</w:t>
      </w:r>
      <w:r>
        <w:rPr>
          <w:rFonts w:hint="eastAsia" w:ascii="楷体" w:hAnsi="楷体" w:eastAsia="楷体"/>
          <w:b w:val="0"/>
          <w:bCs w:val="0"/>
          <w:sz w:val="21"/>
          <w:szCs w:val="21"/>
          <w:highlight w:val="none"/>
          <w:u w:val="none"/>
        </w:rPr>
        <w:t>身份识别及反洗钱、反恐怖融资及非居民金融账户涉税信息调查、理财产品份额认购/申购/赎回、协助管理人与投资者订立理财产品</w:t>
      </w:r>
      <w:r>
        <w:rPr>
          <w:rFonts w:hint="eastAsia" w:ascii="楷体" w:hAnsi="楷体" w:eastAsia="楷体"/>
          <w:color w:val="auto"/>
          <w:sz w:val="21"/>
          <w:szCs w:val="21"/>
          <w:lang w:val="en-US" w:eastAsia="zh-CN"/>
        </w:rPr>
        <w:t>销售文件</w:t>
      </w:r>
      <w:r>
        <w:rPr>
          <w:rFonts w:hint="eastAsia" w:ascii="楷体" w:hAnsi="楷体" w:eastAsia="楷体"/>
          <w:b w:val="0"/>
          <w:bCs w:val="0"/>
          <w:sz w:val="21"/>
          <w:szCs w:val="21"/>
          <w:highlight w:val="none"/>
          <w:u w:val="none"/>
        </w:rPr>
        <w:t>、协助投资者与管理人沟通、接受投资者咨询和</w:t>
      </w:r>
      <w:r>
        <w:rPr>
          <w:rFonts w:hint="eastAsia" w:ascii="楷体" w:hAnsi="楷体" w:eastAsia="楷体"/>
          <w:b w:val="0"/>
          <w:bCs w:val="0"/>
          <w:sz w:val="21"/>
          <w:szCs w:val="21"/>
          <w:highlight w:val="none"/>
          <w:u w:val="none"/>
          <w:lang w:val="en-US" w:eastAsia="zh-CN"/>
        </w:rPr>
        <w:t>投资者</w:t>
      </w:r>
      <w:r>
        <w:rPr>
          <w:rFonts w:hint="eastAsia" w:ascii="楷体" w:hAnsi="楷体" w:eastAsia="楷体"/>
          <w:b w:val="0"/>
          <w:bCs w:val="0"/>
          <w:sz w:val="21"/>
          <w:szCs w:val="21"/>
          <w:highlight w:val="none"/>
          <w:u w:val="none"/>
        </w:rPr>
        <w:t>维护等销售服务工作。销售机构不承担产品投资、兑付和风险管理责任，产品的投资、兑付和风险管理责任由管理人承担。</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本产品各类份额销售机构如下：</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A份额：江苏姜堰农村商业银行股份有限公司/江苏高淳农村商业银行股份有限公司/江苏常熟农村商业银行股份有限公司/江苏海安农村商业银行股份有限公司/苏银理财有限责任公司/江苏银行股份有限公司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B份额：上海银行股份有限公司/徽商银行股份有限公司/重庆三峡银行股份有限公司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C份额：江苏银行股份有限公司/苏银理财有限责任公司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D份额：宁波通商银行股份有限公司/广州农村商业银行股份有限公司/宁波东海银行股份有限公司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E份额：江苏银行股份有限公司/苏银理财有限责任公司/宁波通商银行股份有限公司/江苏常熟农村商业银行股份有限公司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F份额：莱商银行股份有限公司/威海银行股份有限公司/潍坊银行股份有限公司/齐鲁银行股份有限公司/嘉兴银行股份有限公司/甘肃银行股份有限公司/青岛银行股份有限公司/北京农村商业银行股份有限公司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G份额：江苏苏州农村商业银行股份有限公司/江苏沛县农村商业银行股份有限公司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H份额：重庆农村商业银行股份有限公司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I份额：重庆农村商业银行股份有限公司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J份额：浙江岱山农村商业银行股份有限公司/杭州联合农村商业银行股份有限公司/浙江萧山农村商业银行股份有限公司/湖州吴兴农村商业银行股份有限公司/浙江淳安农村商业银行股份有限公司/浙江舟山定海海洋农村商业银行股份有限公司/浙江杭州余杭农村商业银行股份有限公司/浙江文成农村商业银行股份有限公司/浙江青田农村商业银行股份有限公司/浙江兰溪农村商业银行股份有限公司/浙江温州瓯海农村商业银行股份有限公司/浙江嘉善农村商业银行股份有限公司/浙江永嘉农村商业银行股份有限公司/浙江绍兴瑞丰农村商业银行股份有限公司/浙江温州龙湾农村商业银行股份有限公司/浙江乐清农村商业银行股份有限公司/浙江德清农村商业银行股份有限公司/浙江桐乡农村商业银行股份有限公司/浙江上虞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K份额：浙江平湖农村商业银行股份有限公司/浙江武义农村商业银行股份有限公司/浙江新昌农村商业银行股份有限公司/浙江衢州柯城农村商业银行股份有限公司/浙江海盐农村商业银行股份有限公司/山西银行股份有限公司/浙江海宁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Z份额：郑州银行股份有限公司/莱商银行股份有限公司/青岛银行股份有限公司/齐鲁银行股份有限公司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JS份额：江苏江都农村商业银行股份有限公司/江苏常熟农村商业银行股份有限公司/江苏新沂农村商业银行股份有限公司/江苏如皋农村商业银行股份有限公司/江苏启东农村商业银行股份有限公司/徐州农村商业银行股份有限公司/江苏高邮农村商业银行股份有限公司/江苏沭阳农村商业银行股份有限公司/江苏民丰农村商业银行股份有限公司/江苏镇江农村商业银行股份有限公司/江苏紫金农村商业银行股份有限公司/江苏建湖农村商业银行股份有限公司/江苏姜堰农村商业银行股份有限公司/江苏句容农村商业银行股份有限公司/江苏睢宁农村商业银行股份有限公司/江苏扬中农村商业银行股份有限公司/江苏丰县农村商业银行股份有限公司/江苏邳州农村商业银行股份有限公司/江苏宝应农村商业银行股份有限公司/江苏东海农村商业银行股份有限公司/江苏赣榆农村商业银行股份有限公司/江苏射阳农村商业银行股份有限公司/江苏阜宁农村商业银行股份有限公司/江苏东台农村商业银行股份有限公司/江苏盐城农村商业银行股份有限公司/江苏高淳农村商业银行股份有限公司/江苏溧水农村商业银行股份有限公司/江苏张家港农村商业银行股份有限公司/江苏扬州农村商业银行股份有限公司/江苏大丰农村商业银行股份有限公司/江苏泗阳农村商业银行股份有限公司/江苏沛县农村商业银行股份有限公司/江苏灌云农村商业银行股份有限公司/江苏灌南农村商业银行股份有限公司/江苏泰兴农村商业银行股份有限公司/江苏仪征农村商业银行股份有限公司/江苏靖江农村商业银行股份有限公司/江苏海门农村商业银行股份有限公司/连云港东方农村商业银行股份有限公司/江苏海安农村商业银行股份有限公司/江苏如东农村商业银行股份有限公司/江苏江南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芙蓉锦程 ·优选份额：成都银行股份有限公司</w:t>
      </w:r>
    </w:p>
    <w:p>
      <w:pPr>
        <w:numPr>
          <w:ilvl w:val="0"/>
          <w:numId w:val="2"/>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lang w:val="en-US" w:eastAsia="zh-CN"/>
        </w:rPr>
        <w:t>名词释义</w:t>
      </w:r>
    </w:p>
    <w:p>
      <w:pPr>
        <w:ind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highlight w:val="none"/>
        </w:rPr>
        <w:t>在本</w:t>
      </w:r>
      <w:r>
        <w:rPr>
          <w:rFonts w:hint="eastAsia" w:ascii="楷体" w:hAnsi="楷体" w:eastAsia="楷体"/>
          <w:color w:val="auto"/>
          <w:sz w:val="21"/>
          <w:szCs w:val="21"/>
          <w:highlight w:val="none"/>
          <w:lang w:val="en-US" w:eastAsia="zh-CN"/>
        </w:rPr>
        <w:t>理财</w:t>
      </w:r>
      <w:r>
        <w:rPr>
          <w:rFonts w:hint="eastAsia" w:ascii="楷体" w:hAnsi="楷体" w:eastAsia="楷体"/>
          <w:color w:val="auto"/>
          <w:sz w:val="21"/>
          <w:szCs w:val="21"/>
          <w:highlight w:val="none"/>
        </w:rPr>
        <w:t>产品说明书中，除非上下文另有明确约定，下列用词将具有如下含义：</w:t>
      </w:r>
    </w:p>
    <w:p>
      <w:pPr>
        <w:keepNext w:val="0"/>
        <w:keepLines w:val="0"/>
        <w:pageBreakBefore w:val="0"/>
        <w:widowControl w:val="0"/>
        <w:numPr>
          <w:ilvl w:val="0"/>
          <w:numId w:val="3"/>
        </w:numPr>
        <w:tabs>
          <w:tab w:val="left" w:pos="993"/>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color w:val="auto"/>
          <w:sz w:val="21"/>
          <w:szCs w:val="21"/>
        </w:rPr>
      </w:pPr>
      <w:r>
        <w:rPr>
          <w:rFonts w:hint="eastAsia" w:ascii="楷体" w:hAnsi="楷体" w:eastAsia="楷体" w:cs="Calibri"/>
          <w:color w:val="auto"/>
          <w:sz w:val="21"/>
          <w:szCs w:val="21"/>
        </w:rPr>
        <w:t>理财产品用语</w:t>
      </w:r>
    </w:p>
    <w:p>
      <w:pPr>
        <w:keepNext w:val="0"/>
        <w:keepLines w:val="0"/>
        <w:pageBreakBefore w:val="0"/>
        <w:widowControl w:val="0"/>
        <w:numPr>
          <w:ilvl w:val="0"/>
          <w:numId w:val="4"/>
        </w:numPr>
        <w:tabs>
          <w:tab w:val="left" w:pos="728"/>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color w:val="auto"/>
          <w:sz w:val="21"/>
          <w:szCs w:val="21"/>
          <w:highlight w:val="none"/>
        </w:rPr>
      </w:pPr>
      <w:r>
        <w:rPr>
          <w:rFonts w:hint="eastAsia" w:ascii="楷体" w:hAnsi="楷体" w:eastAsia="楷体" w:cs="Calibri"/>
          <w:color w:val="auto"/>
          <w:sz w:val="21"/>
          <w:szCs w:val="21"/>
          <w:highlight w:val="none"/>
        </w:rPr>
        <w:t>销售代码：指本理财产品可能</w:t>
      </w:r>
      <w:r>
        <w:rPr>
          <w:rFonts w:hint="eastAsia" w:ascii="楷体" w:hAnsi="楷体" w:eastAsia="楷体" w:cs="Calibri"/>
          <w:color w:val="auto"/>
          <w:sz w:val="21"/>
          <w:szCs w:val="21"/>
          <w:highlight w:val="none"/>
          <w:lang w:val="en-US" w:eastAsia="zh-CN"/>
        </w:rPr>
        <w:t>设置一类或多类</w:t>
      </w:r>
      <w:r>
        <w:rPr>
          <w:rFonts w:hint="eastAsia" w:ascii="楷体" w:hAnsi="楷体" w:eastAsia="楷体" w:cs="Calibri"/>
          <w:color w:val="auto"/>
          <w:sz w:val="21"/>
          <w:szCs w:val="21"/>
          <w:highlight w:val="none"/>
        </w:rPr>
        <w:t>产品份额，管理人在理财产品销售管理过程中</w:t>
      </w:r>
      <w:r>
        <w:rPr>
          <w:rFonts w:hint="eastAsia" w:ascii="楷体" w:hAnsi="楷体" w:eastAsia="楷体" w:cs="Calibri"/>
          <w:color w:val="auto"/>
          <w:sz w:val="21"/>
          <w:szCs w:val="21"/>
          <w:highlight w:val="none"/>
          <w:lang w:val="en-US" w:eastAsia="zh-CN"/>
        </w:rPr>
        <w:t>对各类份额</w:t>
      </w:r>
      <w:r>
        <w:rPr>
          <w:rFonts w:hint="eastAsia" w:ascii="楷体" w:hAnsi="楷体" w:eastAsia="楷体" w:cs="Calibri"/>
          <w:color w:val="auto"/>
          <w:sz w:val="21"/>
          <w:szCs w:val="21"/>
          <w:highlight w:val="none"/>
        </w:rPr>
        <w:t>设置的内部</w:t>
      </w:r>
      <w:r>
        <w:rPr>
          <w:rFonts w:hint="eastAsia" w:ascii="楷体" w:hAnsi="楷体" w:eastAsia="楷体" w:cs="Calibri"/>
          <w:color w:val="auto"/>
          <w:sz w:val="21"/>
          <w:szCs w:val="21"/>
          <w:highlight w:val="none"/>
          <w:lang w:val="en-US" w:eastAsia="zh-CN"/>
        </w:rPr>
        <w:t>代码</w:t>
      </w:r>
      <w:r>
        <w:rPr>
          <w:rFonts w:hint="eastAsia" w:ascii="楷体" w:hAnsi="楷体" w:eastAsia="楷体" w:cs="Calibri"/>
          <w:color w:val="auto"/>
          <w:sz w:val="21"/>
          <w:szCs w:val="21"/>
          <w:highlight w:val="none"/>
        </w:rPr>
        <w:t>。</w:t>
      </w:r>
    </w:p>
    <w:p>
      <w:pPr>
        <w:keepNext w:val="0"/>
        <w:keepLines w:val="0"/>
        <w:pageBreakBefore w:val="0"/>
        <w:widowControl w:val="0"/>
        <w:numPr>
          <w:ilvl w:val="0"/>
          <w:numId w:val="4"/>
        </w:numPr>
        <w:tabs>
          <w:tab w:val="left" w:pos="728"/>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color w:val="auto"/>
          <w:sz w:val="21"/>
          <w:szCs w:val="21"/>
          <w:highlight w:val="none"/>
        </w:rPr>
      </w:pPr>
      <w:r>
        <w:rPr>
          <w:rFonts w:hint="eastAsia" w:ascii="楷体" w:hAnsi="楷体" w:eastAsia="楷体" w:cs="Calibri"/>
          <w:color w:val="auto"/>
          <w:sz w:val="21"/>
          <w:szCs w:val="21"/>
          <w:highlight w:val="none"/>
        </w:rPr>
        <w:t>理财产品份额：指投资者持有本理财产品的单位数额。</w:t>
      </w:r>
    </w:p>
    <w:p>
      <w:pPr>
        <w:keepNext w:val="0"/>
        <w:keepLines w:val="0"/>
        <w:pageBreakBefore w:val="0"/>
        <w:widowControl w:val="0"/>
        <w:numPr>
          <w:ilvl w:val="0"/>
          <w:numId w:val="4"/>
        </w:numPr>
        <w:tabs>
          <w:tab w:val="left" w:pos="728"/>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color w:val="auto"/>
          <w:sz w:val="21"/>
          <w:szCs w:val="21"/>
          <w:highlight w:val="none"/>
        </w:rPr>
      </w:pPr>
      <w:r>
        <w:rPr>
          <w:rFonts w:hint="eastAsia" w:ascii="楷体" w:hAnsi="楷体" w:eastAsia="楷体" w:cs="Calibri"/>
          <w:color w:val="auto"/>
          <w:sz w:val="21"/>
          <w:szCs w:val="21"/>
          <w:highlight w:val="none"/>
          <w:lang w:val="en-US" w:eastAsia="zh-CN"/>
        </w:rPr>
        <w:t>理财</w:t>
      </w:r>
      <w:r>
        <w:rPr>
          <w:rFonts w:hint="eastAsia" w:ascii="楷体" w:hAnsi="楷体" w:eastAsia="楷体" w:cs="Calibri"/>
          <w:color w:val="auto"/>
          <w:sz w:val="21"/>
          <w:szCs w:val="21"/>
          <w:highlight w:val="none"/>
        </w:rPr>
        <w:t>产品资产总值</w:t>
      </w:r>
      <w:r>
        <w:rPr>
          <w:rFonts w:hint="eastAsia" w:ascii="楷体" w:hAnsi="楷体" w:eastAsia="楷体" w:cs="Calibri"/>
          <w:color w:val="auto"/>
          <w:sz w:val="21"/>
          <w:szCs w:val="21"/>
          <w:highlight w:val="none"/>
          <w:lang w:eastAsia="zh-CN"/>
        </w:rPr>
        <w:t>：</w:t>
      </w:r>
      <w:r>
        <w:rPr>
          <w:rFonts w:hint="eastAsia" w:ascii="楷体" w:hAnsi="楷体" w:eastAsia="楷体" w:cs="Calibri"/>
          <w:color w:val="auto"/>
          <w:sz w:val="21"/>
          <w:szCs w:val="21"/>
          <w:highlight w:val="none"/>
        </w:rPr>
        <w:t>指产品拥有的各类有价证券、银行存款、应收款项及其他资产的价值总和。</w:t>
      </w:r>
    </w:p>
    <w:p>
      <w:pPr>
        <w:keepNext w:val="0"/>
        <w:keepLines w:val="0"/>
        <w:pageBreakBefore w:val="0"/>
        <w:widowControl w:val="0"/>
        <w:numPr>
          <w:ilvl w:val="0"/>
          <w:numId w:val="4"/>
        </w:numPr>
        <w:tabs>
          <w:tab w:val="left" w:pos="728"/>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color w:val="auto"/>
          <w:sz w:val="21"/>
          <w:szCs w:val="21"/>
          <w:highlight w:val="none"/>
        </w:rPr>
      </w:pPr>
      <w:r>
        <w:rPr>
          <w:rFonts w:hint="eastAsia" w:ascii="楷体" w:hAnsi="楷体" w:eastAsia="楷体" w:cs="Calibri"/>
          <w:color w:val="auto"/>
          <w:sz w:val="21"/>
          <w:szCs w:val="21"/>
          <w:highlight w:val="none"/>
          <w:lang w:val="en-US" w:eastAsia="zh-CN"/>
        </w:rPr>
        <w:t>理财</w:t>
      </w:r>
      <w:r>
        <w:rPr>
          <w:rFonts w:hint="eastAsia" w:ascii="楷体" w:hAnsi="楷体" w:eastAsia="楷体" w:cs="Calibri"/>
          <w:color w:val="auto"/>
          <w:sz w:val="21"/>
          <w:szCs w:val="21"/>
          <w:highlight w:val="none"/>
        </w:rPr>
        <w:t>产品负债总值</w:t>
      </w:r>
      <w:r>
        <w:rPr>
          <w:rFonts w:hint="eastAsia" w:ascii="楷体" w:hAnsi="楷体" w:eastAsia="楷体" w:cs="Calibri"/>
          <w:color w:val="auto"/>
          <w:sz w:val="21"/>
          <w:szCs w:val="21"/>
          <w:highlight w:val="none"/>
          <w:lang w:eastAsia="zh-CN"/>
        </w:rPr>
        <w:t>：</w:t>
      </w:r>
      <w:r>
        <w:rPr>
          <w:rFonts w:hint="eastAsia" w:ascii="楷体" w:hAnsi="楷体" w:eastAsia="楷体" w:cs="Calibri"/>
          <w:color w:val="auto"/>
          <w:sz w:val="21"/>
          <w:szCs w:val="21"/>
          <w:highlight w:val="none"/>
        </w:rPr>
        <w:t>指产品运作及融资时形成的负债价值总和，包括融资资金本息、应付各项费用（包括托管费、销售</w:t>
      </w:r>
      <w:r>
        <w:rPr>
          <w:rFonts w:ascii="楷体" w:hAnsi="楷体" w:eastAsia="楷体" w:cs="Calibri"/>
          <w:color w:val="auto"/>
          <w:sz w:val="21"/>
          <w:szCs w:val="21"/>
          <w:highlight w:val="none"/>
        </w:rPr>
        <w:t>服务费、</w:t>
      </w:r>
      <w:r>
        <w:rPr>
          <w:rFonts w:hint="eastAsia" w:ascii="楷体" w:hAnsi="楷体" w:eastAsia="楷体" w:cs="Calibri"/>
          <w:color w:val="auto"/>
          <w:sz w:val="21"/>
          <w:szCs w:val="21"/>
          <w:highlight w:val="none"/>
        </w:rPr>
        <w:t>投资管理费、超额业绩报酬、其他费用等）、应付税金及其他应付款项等。</w:t>
      </w:r>
    </w:p>
    <w:p>
      <w:pPr>
        <w:keepNext w:val="0"/>
        <w:keepLines w:val="0"/>
        <w:pageBreakBefore w:val="0"/>
        <w:widowControl w:val="0"/>
        <w:numPr>
          <w:ilvl w:val="0"/>
          <w:numId w:val="4"/>
        </w:numPr>
        <w:tabs>
          <w:tab w:val="left" w:pos="728"/>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楷体"/>
          <w:highlight w:val="none"/>
        </w:rPr>
      </w:pPr>
      <w:r>
        <w:rPr>
          <w:rFonts w:hint="eastAsia" w:ascii="楷体" w:hAnsi="楷体" w:eastAsia="楷体" w:cs="楷体"/>
          <w:color w:val="auto"/>
          <w:sz w:val="21"/>
          <w:szCs w:val="21"/>
          <w:highlight w:val="none"/>
        </w:rPr>
        <w:t>理财产品资产净值/</w:t>
      </w:r>
      <w:r>
        <w:rPr>
          <w:rFonts w:hint="eastAsia" w:ascii="楷体" w:hAnsi="楷体" w:eastAsia="楷体" w:cs="楷体"/>
          <w:color w:val="auto"/>
          <w:sz w:val="21"/>
          <w:szCs w:val="21"/>
          <w:highlight w:val="none"/>
          <w:lang w:val="en-US" w:eastAsia="zh-CN"/>
        </w:rPr>
        <w:t>净资产</w:t>
      </w:r>
      <w:r>
        <w:rPr>
          <w:rFonts w:hint="eastAsia" w:ascii="楷体" w:hAnsi="楷体" w:eastAsia="楷体" w:cs="楷体"/>
          <w:color w:val="auto"/>
          <w:sz w:val="21"/>
          <w:szCs w:val="21"/>
          <w:highlight w:val="none"/>
        </w:rPr>
        <w:t>：</w:t>
      </w:r>
      <w:r>
        <w:rPr>
          <w:rFonts w:hint="eastAsia" w:ascii="楷体" w:hAnsi="楷体" w:eastAsia="楷体" w:cs="楷体"/>
          <w:color w:val="auto"/>
          <w:sz w:val="21"/>
          <w:szCs w:val="21"/>
          <w:highlight w:val="none"/>
          <w:lang w:val="en-US" w:eastAsia="zh-CN"/>
        </w:rPr>
        <w:t>指产品</w:t>
      </w:r>
      <w:r>
        <w:rPr>
          <w:rFonts w:hint="eastAsia" w:ascii="楷体" w:hAnsi="楷体" w:eastAsia="楷体" w:cs="楷体"/>
          <w:color w:val="auto"/>
          <w:sz w:val="21"/>
          <w:szCs w:val="21"/>
          <w:highlight w:val="none"/>
        </w:rPr>
        <w:t>资产总值</w:t>
      </w:r>
      <w:r>
        <w:rPr>
          <w:rFonts w:hint="eastAsia" w:ascii="楷体" w:hAnsi="楷体" w:eastAsia="楷体" w:cs="楷体"/>
          <w:color w:val="auto"/>
          <w:sz w:val="21"/>
          <w:szCs w:val="21"/>
          <w:highlight w:val="none"/>
          <w:lang w:val="en-US" w:eastAsia="zh-CN"/>
        </w:rPr>
        <w:t>减去</w:t>
      </w:r>
      <w:r>
        <w:rPr>
          <w:rFonts w:hint="eastAsia" w:ascii="楷体" w:hAnsi="楷体" w:eastAsia="楷体" w:cs="楷体"/>
          <w:color w:val="auto"/>
          <w:sz w:val="21"/>
          <w:szCs w:val="21"/>
          <w:highlight w:val="none"/>
        </w:rPr>
        <w:t>产品负债总值</w:t>
      </w:r>
      <w:r>
        <w:rPr>
          <w:rFonts w:hint="eastAsia" w:ascii="楷体" w:hAnsi="楷体" w:eastAsia="楷体" w:cs="楷体"/>
          <w:color w:val="auto"/>
          <w:sz w:val="21"/>
          <w:szCs w:val="21"/>
          <w:highlight w:val="none"/>
          <w:lang w:val="en-US" w:eastAsia="zh-CN"/>
        </w:rPr>
        <w:t>后的价值</w:t>
      </w:r>
      <w:r>
        <w:rPr>
          <w:rFonts w:hint="eastAsia" w:ascii="楷体" w:hAnsi="楷体" w:eastAsia="楷体" w:cs="楷体"/>
          <w:color w:val="auto"/>
          <w:sz w:val="21"/>
          <w:szCs w:val="21"/>
          <w:highlight w:val="none"/>
        </w:rPr>
        <w:t>。</w:t>
      </w:r>
    </w:p>
    <w:p>
      <w:pPr>
        <w:keepNext w:val="0"/>
        <w:keepLines w:val="0"/>
        <w:pageBreakBefore w:val="0"/>
        <w:widowControl w:val="0"/>
        <w:numPr>
          <w:ilvl w:val="0"/>
          <w:numId w:val="4"/>
        </w:numPr>
        <w:tabs>
          <w:tab w:val="left" w:pos="851"/>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color w:val="auto"/>
          <w:sz w:val="21"/>
          <w:szCs w:val="21"/>
          <w:highlight w:val="none"/>
        </w:rPr>
      </w:pPr>
      <w:r>
        <w:rPr>
          <w:rFonts w:hint="eastAsia" w:ascii="楷体" w:hAnsi="楷体" w:eastAsia="楷体" w:cs="Calibri"/>
          <w:color w:val="auto"/>
          <w:sz w:val="21"/>
          <w:szCs w:val="21"/>
          <w:highlight w:val="none"/>
        </w:rPr>
        <w:t>理财产品份额单位净值/理财产品单位净值/单位净值：指每1份理财产品份额以人民币计价的价格。理财产品单位净值=资产净值/产品总份额。</w:t>
      </w:r>
    </w:p>
    <w:p>
      <w:pPr>
        <w:keepNext w:val="0"/>
        <w:keepLines w:val="0"/>
        <w:pageBreakBefore w:val="0"/>
        <w:widowControl w:val="0"/>
        <w:numPr>
          <w:ilvl w:val="0"/>
          <w:numId w:val="4"/>
        </w:numPr>
        <w:tabs>
          <w:tab w:val="left" w:pos="851"/>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sz w:val="21"/>
          <w:szCs w:val="21"/>
          <w:highlight w:val="none"/>
        </w:rPr>
      </w:pPr>
      <w:r>
        <w:rPr>
          <w:rFonts w:hint="eastAsia" w:ascii="楷体" w:hAnsi="楷体" w:eastAsia="楷体" w:cs="Calibri"/>
          <w:sz w:val="21"/>
          <w:szCs w:val="21"/>
          <w:highlight w:val="none"/>
          <w:lang w:val="en-US" w:eastAsia="zh-CN"/>
        </w:rPr>
        <w:t>流动性受限资产：</w:t>
      </w:r>
      <w:r>
        <w:rPr>
          <w:rFonts w:hint="eastAsia" w:ascii="楷体" w:hAnsi="楷体" w:eastAsia="楷体" w:cs="Calibri"/>
          <w:kern w:val="2"/>
          <w:sz w:val="21"/>
          <w:szCs w:val="21"/>
          <w:highlight w:val="none"/>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keepNext w:val="0"/>
        <w:keepLines w:val="0"/>
        <w:pageBreakBefore w:val="0"/>
        <w:widowControl w:val="0"/>
        <w:numPr>
          <w:ilvl w:val="0"/>
          <w:numId w:val="4"/>
        </w:numPr>
        <w:tabs>
          <w:tab w:val="left" w:pos="851"/>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color w:val="auto"/>
          <w:sz w:val="21"/>
          <w:szCs w:val="21"/>
        </w:rPr>
      </w:pPr>
      <w:r>
        <w:rPr>
          <w:rFonts w:hint="eastAsia" w:ascii="楷体" w:hAnsi="楷体" w:eastAsia="楷体" w:cs="Calibri"/>
          <w:kern w:val="2"/>
          <w:sz w:val="21"/>
          <w:szCs w:val="21"/>
          <w:highlight w:val="none"/>
        </w:rPr>
        <w:t>7个工作日可变现资产</w:t>
      </w:r>
      <w:r>
        <w:rPr>
          <w:rFonts w:hint="eastAsia" w:ascii="楷体" w:hAnsi="楷体" w:eastAsia="楷体" w:cs="Calibri"/>
          <w:kern w:val="2"/>
          <w:sz w:val="21"/>
          <w:szCs w:val="21"/>
          <w:highlight w:val="none"/>
          <w:lang w:eastAsia="zh-CN"/>
        </w:rPr>
        <w:t>：</w:t>
      </w:r>
      <w:r>
        <w:rPr>
          <w:rFonts w:hint="eastAsia" w:ascii="楷体" w:hAnsi="楷体" w:eastAsia="楷体" w:cs="Calibri"/>
          <w:kern w:val="2"/>
          <w:sz w:val="21"/>
          <w:szCs w:val="21"/>
          <w:highlight w:val="none"/>
        </w:rPr>
        <w:t>包括可在交易所、银行间市场正常交易的股票、债券、非金融企业债务融资工具、期货及期权合约以及同业存单，7个工作日内到期或可支取的买入返售、银行存款，7个工作日内能够确认收到的各类应收款项等。</w:t>
      </w:r>
    </w:p>
    <w:p>
      <w:pPr>
        <w:keepNext w:val="0"/>
        <w:keepLines w:val="0"/>
        <w:pageBreakBefore w:val="0"/>
        <w:widowControl w:val="0"/>
        <w:numPr>
          <w:ilvl w:val="0"/>
          <w:numId w:val="3"/>
        </w:numPr>
        <w:tabs>
          <w:tab w:val="left" w:pos="993"/>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color w:val="auto"/>
          <w:sz w:val="21"/>
          <w:szCs w:val="21"/>
        </w:rPr>
      </w:pPr>
      <w:r>
        <w:rPr>
          <w:rFonts w:hint="eastAsia" w:ascii="楷体" w:hAnsi="楷体" w:eastAsia="楷体" w:cs="Calibri"/>
          <w:color w:val="auto"/>
          <w:sz w:val="21"/>
          <w:szCs w:val="21"/>
        </w:rPr>
        <w:t>期间与日期</w:t>
      </w:r>
    </w:p>
    <w:p>
      <w:pPr>
        <w:keepNext w:val="0"/>
        <w:keepLines w:val="0"/>
        <w:pageBreakBefore w:val="0"/>
        <w:widowControl w:val="0"/>
        <w:numPr>
          <w:ilvl w:val="0"/>
          <w:numId w:val="5"/>
        </w:numPr>
        <w:tabs>
          <w:tab w:val="left" w:pos="728"/>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color w:val="auto"/>
          <w:sz w:val="21"/>
          <w:szCs w:val="21"/>
        </w:rPr>
      </w:pPr>
      <w:r>
        <w:rPr>
          <w:rFonts w:hint="eastAsia" w:ascii="楷体" w:hAnsi="楷体" w:eastAsia="楷体" w:cs="Calibri"/>
          <w:color w:val="auto"/>
          <w:sz w:val="21"/>
          <w:szCs w:val="21"/>
        </w:rPr>
        <w:t>工作日：</w:t>
      </w:r>
      <w:r>
        <w:rPr>
          <w:rFonts w:hint="eastAsia" w:ascii="楷体" w:hAnsi="楷体" w:eastAsia="楷体" w:cs="Calibri"/>
          <w:color w:val="auto"/>
          <w:sz w:val="21"/>
          <w:szCs w:val="21"/>
          <w:highlight w:val="none"/>
        </w:rPr>
        <w:t>指国家法定工作日。</w:t>
      </w:r>
    </w:p>
    <w:p>
      <w:pPr>
        <w:keepNext w:val="0"/>
        <w:keepLines w:val="0"/>
        <w:pageBreakBefore w:val="0"/>
        <w:widowControl w:val="0"/>
        <w:numPr>
          <w:ilvl w:val="0"/>
          <w:numId w:val="5"/>
        </w:numPr>
        <w:tabs>
          <w:tab w:val="left" w:pos="728"/>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color w:val="auto"/>
          <w:sz w:val="21"/>
          <w:szCs w:val="21"/>
        </w:rPr>
      </w:pPr>
      <w:r>
        <w:rPr>
          <w:rFonts w:hint="eastAsia" w:ascii="楷体" w:hAnsi="楷体" w:eastAsia="楷体" w:cs="Calibri"/>
          <w:color w:val="auto"/>
          <w:sz w:val="21"/>
          <w:szCs w:val="21"/>
        </w:rPr>
        <w:t>交易日：</w:t>
      </w:r>
      <w:r>
        <w:rPr>
          <w:rFonts w:ascii="楷体" w:hAnsi="楷体" w:eastAsia="楷体" w:cs="Calibri"/>
          <w:color w:val="auto"/>
          <w:sz w:val="21"/>
          <w:szCs w:val="21"/>
        </w:rPr>
        <w:t>指上海证券交易所和深圳证券交易所的正常开盘交易日</w:t>
      </w:r>
      <w:r>
        <w:rPr>
          <w:rFonts w:hint="eastAsia" w:ascii="楷体" w:hAnsi="楷体" w:eastAsia="楷体" w:cs="Calibri"/>
          <w:color w:val="auto"/>
          <w:sz w:val="21"/>
          <w:szCs w:val="21"/>
        </w:rPr>
        <w:t>。</w:t>
      </w:r>
    </w:p>
    <w:p>
      <w:pPr>
        <w:keepNext w:val="0"/>
        <w:keepLines w:val="0"/>
        <w:pageBreakBefore w:val="0"/>
        <w:widowControl w:val="0"/>
        <w:numPr>
          <w:ilvl w:val="0"/>
          <w:numId w:val="5"/>
        </w:numPr>
        <w:tabs>
          <w:tab w:val="left" w:pos="728"/>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color w:val="auto"/>
          <w:sz w:val="21"/>
          <w:szCs w:val="21"/>
        </w:rPr>
      </w:pPr>
      <w:r>
        <w:rPr>
          <w:rFonts w:hint="eastAsia" w:ascii="楷体" w:hAnsi="楷体" w:eastAsia="楷体" w:cs="Calibri"/>
          <w:color w:val="auto"/>
          <w:sz w:val="21"/>
          <w:szCs w:val="21"/>
        </w:rPr>
        <w:t>份额登记日/份额确认日：指管理人对投资者提交的</w:t>
      </w:r>
      <w:r>
        <w:rPr>
          <w:rFonts w:hint="eastAsia" w:ascii="楷体" w:hAnsi="楷体" w:eastAsia="楷体" w:cs="Calibri"/>
          <w:color w:val="auto"/>
          <w:sz w:val="21"/>
          <w:szCs w:val="21"/>
          <w:lang w:val="en-US" w:eastAsia="zh-CN"/>
        </w:rPr>
        <w:t>购买</w:t>
      </w:r>
      <w:r>
        <w:rPr>
          <w:rFonts w:hint="eastAsia" w:ascii="楷体" w:hAnsi="楷体" w:eastAsia="楷体" w:cs="Calibri"/>
          <w:color w:val="auto"/>
          <w:sz w:val="21"/>
          <w:szCs w:val="21"/>
        </w:rPr>
        <w:t>申请进行份额登记的日期。</w:t>
      </w:r>
    </w:p>
    <w:p>
      <w:pPr>
        <w:keepNext w:val="0"/>
        <w:keepLines w:val="0"/>
        <w:pageBreakBefore w:val="0"/>
        <w:widowControl w:val="0"/>
        <w:numPr>
          <w:ilvl w:val="0"/>
          <w:numId w:val="5"/>
        </w:numPr>
        <w:tabs>
          <w:tab w:val="left" w:pos="728"/>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color w:val="auto"/>
          <w:sz w:val="21"/>
          <w:szCs w:val="21"/>
        </w:rPr>
      </w:pPr>
      <w:r>
        <w:rPr>
          <w:rFonts w:hint="eastAsia" w:ascii="楷体" w:hAnsi="楷体" w:eastAsia="楷体" w:cs="Calibri"/>
          <w:color w:val="auto"/>
          <w:sz w:val="21"/>
          <w:szCs w:val="21"/>
        </w:rPr>
        <w:t>产品存续期：指自理财产品成立日起，至理财产品终止日的期间。</w:t>
      </w:r>
    </w:p>
    <w:p>
      <w:pPr>
        <w:numPr>
          <w:ilvl w:val="0"/>
          <w:numId w:val="2"/>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lang w:val="en-US" w:eastAsia="zh-CN"/>
        </w:rPr>
        <w:t>投资管理</w:t>
      </w:r>
    </w:p>
    <w:p>
      <w:pPr>
        <w:numPr>
          <w:ilvl w:val="0"/>
          <w:numId w:val="6"/>
        </w:numPr>
        <w:tabs>
          <w:tab w:val="left" w:pos="993"/>
        </w:tabs>
        <w:ind w:left="0" w:firstLine="420" w:firstLineChars="200"/>
        <w:rPr>
          <w:rFonts w:ascii="楷体" w:hAnsi="楷体" w:eastAsia="楷体" w:cs="Calibri"/>
          <w:color w:val="auto"/>
          <w:sz w:val="21"/>
          <w:szCs w:val="21"/>
          <w:highlight w:val="none"/>
        </w:rPr>
      </w:pPr>
      <w:r>
        <w:rPr>
          <w:rFonts w:hint="eastAsia" w:ascii="楷体" w:hAnsi="楷体" w:eastAsia="楷体" w:cs="Calibri"/>
          <w:color w:val="auto"/>
          <w:sz w:val="21"/>
          <w:szCs w:val="21"/>
          <w:highlight w:val="none"/>
        </w:rPr>
        <w:t>投资范围和比例</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本理财产品直接或间接投资于货币市场工具、债券、非标准化债权类资产和监管机构允许投资的其他资产（如纳入权益类资产核算的永续债等，不含金融衍生品）。具体资产投资比例为：货币市场工具、债券、非标准化债权类资产等固定收益类资产占产品资产总值比例80%-100%，其中非标准化债权类资产合计投资比例不高于产品净资产50%，非标准化债权类资产底层资产仅为消费类贷款债权资产；符合监管要求的其他资产占产品资产总值比例0%-20%。</w:t>
      </w:r>
    </w:p>
    <w:p>
      <w:pPr>
        <w:ind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highlight w:val="none"/>
        </w:rPr>
        <w:t>相关法律法规和监管部门对以上投资范围和配置比例有另行规定的，按照监管最新规定执行。非因管理人主观因素导致突破前述比例限制的，管理人将在流动性受限资产可出售、可转让或者恢复交易的15个交易日内调整至符合相关要求。</w:t>
      </w:r>
    </w:p>
    <w:p>
      <w:pPr>
        <w:numPr>
          <w:ilvl w:val="0"/>
          <w:numId w:val="6"/>
        </w:numPr>
        <w:tabs>
          <w:tab w:val="left" w:pos="993"/>
        </w:tabs>
        <w:ind w:left="0" w:firstLine="420" w:firstLineChars="200"/>
        <w:rPr>
          <w:rFonts w:hint="eastAsia" w:ascii="楷体" w:hAnsi="楷体" w:eastAsia="楷体" w:cs="Calibri"/>
          <w:color w:val="auto"/>
          <w:sz w:val="21"/>
          <w:szCs w:val="21"/>
          <w:highlight w:val="none"/>
          <w:lang w:val="en-US" w:eastAsia="zh-CN"/>
        </w:rPr>
      </w:pPr>
      <w:r>
        <w:rPr>
          <w:rFonts w:hint="eastAsia" w:ascii="楷体" w:hAnsi="楷体" w:eastAsia="楷体" w:cs="Calibri"/>
          <w:color w:val="auto"/>
          <w:sz w:val="21"/>
          <w:szCs w:val="21"/>
          <w:highlight w:val="none"/>
          <w:lang w:val="en-US" w:eastAsia="zh-CN"/>
        </w:rPr>
        <w:t>拟投资</w:t>
      </w:r>
      <w:r>
        <w:rPr>
          <w:rFonts w:hint="eastAsia" w:ascii="楷体" w:hAnsi="楷体" w:eastAsia="楷体" w:cs="Calibri"/>
          <w:b w:val="0"/>
          <w:bCs w:val="0"/>
          <w:color w:val="auto"/>
          <w:sz w:val="21"/>
          <w:szCs w:val="21"/>
          <w:highlight w:val="none"/>
          <w:u w:val="none"/>
        </w:rPr>
        <w:t>非标准化债权类资产</w:t>
      </w:r>
    </w:p>
    <w:p>
      <w:pPr>
        <w:ind w:firstLine="420" w:firstLineChars="200"/>
        <w:rPr>
          <w:rFonts w:hint="eastAsia" w:ascii="楷体" w:hAnsi="楷体" w:eastAsia="楷体"/>
          <w:b w:val="0"/>
          <w:bCs/>
          <w:color w:val="auto"/>
          <w:sz w:val="21"/>
          <w:szCs w:val="21"/>
          <w:highlight w:val="none"/>
          <w:u w:val="none"/>
        </w:rPr>
      </w:pPr>
      <w:r>
        <w:rPr>
          <w:rFonts w:hint="eastAsia" w:ascii="楷体" w:hAnsi="楷体" w:eastAsia="楷体"/>
          <w:b w:val="0"/>
          <w:bCs/>
          <w:color w:val="auto"/>
          <w:sz w:val="21"/>
          <w:szCs w:val="21"/>
          <w:highlight w:val="none"/>
          <w:u w:val="none"/>
        </w:rPr>
        <w:t>本产品计划配置以下</w:t>
      </w:r>
      <w:r>
        <w:rPr>
          <w:rFonts w:ascii="楷体" w:hAnsi="楷体" w:eastAsia="楷体"/>
          <w:b w:val="0"/>
          <w:bCs/>
          <w:color w:val="auto"/>
          <w:sz w:val="21"/>
          <w:szCs w:val="21"/>
          <w:highlight w:val="none"/>
          <w:u w:val="none"/>
        </w:rPr>
        <w:t>备选</w:t>
      </w:r>
      <w:r>
        <w:rPr>
          <w:rFonts w:hint="eastAsia" w:ascii="楷体" w:hAnsi="楷体" w:eastAsia="楷体"/>
          <w:b w:val="0"/>
          <w:bCs/>
          <w:color w:val="auto"/>
          <w:sz w:val="21"/>
          <w:szCs w:val="21"/>
          <w:highlight w:val="none"/>
          <w:u w:val="none"/>
        </w:rPr>
        <w:t>非标准化债权类资产：</w:t>
      </w:r>
    </w:p>
    <w:p>
      <w:pPr>
        <w:numPr>
          <w:ilvl w:val="0"/>
          <w:numId w:val="0"/>
        </w:numPr>
        <w:ind w:left="0" w:leftChars="0" w:firstLine="420" w:firstLineChars="200"/>
        <w:rPr>
          <w:rFonts w:hint="default" w:ascii="楷体" w:hAnsi="楷体" w:eastAsia="楷体" w:cs="Times New Roman"/>
          <w:bCs/>
          <w:color w:val="auto"/>
          <w:sz w:val="21"/>
          <w:szCs w:val="21"/>
          <w:highlight w:val="none"/>
          <w:u w:val="none"/>
          <w:lang w:val="en-US" w:eastAsia="zh-CN"/>
        </w:rPr>
      </w:pPr>
      <w:r>
        <w:rPr>
          <w:rFonts w:hint="default" w:ascii="楷体" w:hAnsi="楷体" w:eastAsia="楷体" w:cs="Times New Roman"/>
          <w:bCs/>
          <w:color w:val="auto"/>
          <w:sz w:val="21"/>
          <w:szCs w:val="21"/>
          <w:highlight w:val="none"/>
          <w:u w:val="none"/>
          <w:lang w:val="en-US" w:eastAsia="zh-CN"/>
        </w:rPr>
        <w:t>（1）信托贷款：资产类型为信托公司设立的信托计划，底层资产为个人贷款债权，该类资产由蚂蚁、微信、抖音、京东、度小满、网商银行等公司与信托公司双重审核、信托公司自主风控后发放，资产运行正常。（2）资产支持计划：资产类型为保险资产管理公司设立的资产支持计划，底层资产为个人贷款债权，该类资产由蚂蚁、微信、抖音、京东、度小满等公司与信托公司双重审核、信托公司自主风控后发放，资产运行正常。</w:t>
      </w:r>
    </w:p>
    <w:p>
      <w:pPr>
        <w:numPr>
          <w:ilvl w:val="0"/>
          <w:numId w:val="0"/>
        </w:numPr>
        <w:ind w:left="0" w:leftChars="0" w:firstLine="420" w:firstLineChars="200"/>
        <w:rPr>
          <w:rFonts w:hint="default" w:ascii="楷体" w:hAnsi="楷体" w:eastAsia="楷体" w:cs="楷体"/>
          <w:b/>
          <w:bCs/>
          <w:kern w:val="2"/>
          <w:sz w:val="21"/>
          <w:szCs w:val="21"/>
          <w:u w:val="single"/>
          <w:lang w:val="en-US" w:eastAsia="zh-CN" w:bidi="ar-SA"/>
        </w:rPr>
      </w:pPr>
      <w:r>
        <w:rPr>
          <w:rFonts w:hint="eastAsia" w:ascii="楷体" w:hAnsi="楷体" w:eastAsia="楷体" w:cs="Times New Roman"/>
          <w:bCs/>
          <w:color w:val="auto"/>
          <w:sz w:val="21"/>
          <w:szCs w:val="21"/>
          <w:highlight w:val="none"/>
          <w:u w:val="none"/>
          <w:lang w:eastAsia="zh-CN"/>
        </w:rPr>
        <w:t>（1）-（2）各资产到期日不超过理财产品</w:t>
      </w:r>
      <w:r>
        <w:rPr>
          <w:rFonts w:hint="eastAsia" w:ascii="楷体" w:hAnsi="楷体" w:eastAsia="楷体" w:cs="Times New Roman"/>
          <w:bCs/>
          <w:color w:val="auto"/>
          <w:sz w:val="21"/>
          <w:szCs w:val="21"/>
          <w:highlight w:val="none"/>
          <w:u w:val="none"/>
          <w:lang w:val="en-US" w:eastAsia="zh-CN"/>
        </w:rPr>
        <w:t>到期日</w:t>
      </w:r>
      <w:r>
        <w:rPr>
          <w:rFonts w:hint="eastAsia" w:ascii="楷体" w:hAnsi="楷体" w:eastAsia="楷体" w:cs="Times New Roman"/>
          <w:bCs/>
          <w:color w:val="auto"/>
          <w:sz w:val="21"/>
          <w:szCs w:val="21"/>
          <w:highlight w:val="none"/>
          <w:u w:val="none"/>
          <w:lang w:eastAsia="zh-CN"/>
        </w:rPr>
        <w:t>，循环期不还本、摊还期过手摊还本息</w:t>
      </w:r>
      <w:r>
        <w:rPr>
          <w:rFonts w:hint="eastAsia" w:ascii="楷体" w:hAnsi="楷体" w:eastAsia="楷体" w:cs="Times New Roman"/>
          <w:bCs/>
          <w:color w:val="auto"/>
          <w:sz w:val="21"/>
          <w:szCs w:val="21"/>
          <w:highlight w:val="none"/>
          <w:u w:val="none"/>
          <w:lang w:val="en-US" w:eastAsia="zh-CN"/>
        </w:rPr>
        <w:t xml:space="preserve">。  </w:t>
      </w:r>
      <w:r>
        <w:rPr>
          <w:rFonts w:hint="eastAsia" w:ascii="楷体" w:hAnsi="楷体" w:eastAsia="楷体" w:cs="楷体"/>
          <w:b w:val="0"/>
          <w:bCs w:val="0"/>
          <w:kern w:val="2"/>
          <w:sz w:val="21"/>
          <w:szCs w:val="21"/>
          <w:u w:val="none"/>
          <w:lang w:val="en-US" w:eastAsia="zh-CN" w:bidi="ar-SA"/>
        </w:rPr>
        <w:t xml:space="preserve"> </w:t>
      </w:r>
    </w:p>
    <w:p>
      <w:pPr>
        <w:ind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highlight w:val="none"/>
        </w:rPr>
        <w:t>产品存续期内若本理财产品投资的个人贷款债权资产有所调整，管理人将选择优质企业作为融资人，且融资项目已履行管理人内部审批流程，融资人业务经营正常，融资项目还款来源明确，并在本理财产品的定期报告中披露。</w:t>
      </w:r>
    </w:p>
    <w:p>
      <w:pPr>
        <w:numPr>
          <w:ilvl w:val="0"/>
          <w:numId w:val="6"/>
        </w:numPr>
        <w:tabs>
          <w:tab w:val="left" w:pos="993"/>
        </w:tabs>
        <w:ind w:firstLine="0" w:firstLineChars="0"/>
        <w:rPr>
          <w:rFonts w:hint="eastAsia" w:ascii="楷体" w:hAnsi="楷体" w:eastAsia="楷体" w:cs="Calibri"/>
          <w:color w:val="auto"/>
          <w:sz w:val="21"/>
          <w:szCs w:val="21"/>
          <w:lang w:val="en-US" w:eastAsia="zh-CN"/>
        </w:rPr>
      </w:pPr>
      <w:r>
        <w:rPr>
          <w:rFonts w:hint="eastAsia" w:ascii="楷体" w:hAnsi="楷体" w:eastAsia="楷体" w:cs="Calibri"/>
          <w:color w:val="auto"/>
          <w:sz w:val="21"/>
          <w:szCs w:val="21"/>
          <w:highlight w:val="none"/>
          <w:lang w:val="en-US" w:eastAsia="zh-CN"/>
        </w:rPr>
        <w:t>投资合作机构</w:t>
      </w:r>
    </w:p>
    <w:p>
      <w:pPr>
        <w:numPr>
          <w:ilvl w:val="-1"/>
          <w:numId w:val="0"/>
        </w:num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投资合作机构主要职责是对理财产品受托资金进行投资管理，</w:t>
      </w:r>
      <w:r>
        <w:rPr>
          <w:rFonts w:hint="eastAsia" w:ascii="楷体" w:hAnsi="楷体" w:eastAsia="楷体"/>
          <w:color w:val="auto"/>
          <w:sz w:val="21"/>
          <w:szCs w:val="21"/>
          <w:lang w:val="en-US" w:eastAsia="zh-CN"/>
        </w:rPr>
        <w:t>管理人</w:t>
      </w:r>
      <w:r>
        <w:rPr>
          <w:rFonts w:hint="eastAsia" w:ascii="楷体" w:hAnsi="楷体" w:eastAsia="楷体"/>
          <w:color w:val="auto"/>
          <w:sz w:val="21"/>
          <w:szCs w:val="21"/>
        </w:rPr>
        <w:t>已按投资决策流程对投资合作机构进行了准入，并持续开展投资合作机构的存续期管理。本产品投资合作机构包括：</w:t>
      </w:r>
    </w:p>
    <w:p>
      <w:pPr>
        <w:ind w:firstLine="420" w:firstLineChars="200"/>
        <w:rPr>
          <w:rFonts w:hint="eastAsia" w:ascii="楷体" w:hAnsi="楷体" w:eastAsia="楷体"/>
          <w:sz w:val="21"/>
          <w:szCs w:val="21"/>
        </w:rPr>
      </w:pPr>
      <w:r>
        <w:rPr>
          <w:rFonts w:hint="default" w:ascii="Calibri" w:hAnsi="Calibri" w:eastAsia="楷体" w:cs="Calibri"/>
          <w:sz w:val="21"/>
          <w:szCs w:val="21"/>
        </w:rPr>
        <w:t>①</w:t>
      </w:r>
      <w:r>
        <w:rPr>
          <w:rFonts w:hint="eastAsia" w:ascii="Calibri" w:hAnsi="Calibri" w:eastAsia="楷体" w:cs="Calibri"/>
          <w:sz w:val="21"/>
          <w:szCs w:val="21"/>
          <w:lang w:val="en-US" w:eastAsia="zh-CN"/>
        </w:rPr>
        <w:t>苏豪</w:t>
      </w:r>
      <w:r>
        <w:rPr>
          <w:rFonts w:hint="eastAsia" w:ascii="楷体" w:hAnsi="楷体" w:eastAsia="楷体"/>
          <w:sz w:val="21"/>
          <w:szCs w:val="21"/>
        </w:rPr>
        <w:t>弘业期货股份有限公司</w:t>
      </w:r>
      <w:r>
        <w:rPr>
          <w:rFonts w:hint="eastAsia" w:ascii="楷体" w:hAnsi="楷体" w:eastAsia="楷体"/>
          <w:sz w:val="21"/>
          <w:szCs w:val="21"/>
          <w:lang w:eastAsia="zh-CN"/>
        </w:rPr>
        <w:t>：</w:t>
      </w:r>
      <w:r>
        <w:rPr>
          <w:rFonts w:hint="eastAsia" w:ascii="楷体" w:hAnsi="楷体" w:eastAsia="楷体"/>
          <w:sz w:val="21"/>
          <w:szCs w:val="21"/>
        </w:rPr>
        <w:t>苏豪弘业期货股份有限公司成立于1995年，注册资本1,007,777,778元人民币，隶属于江苏省国资委全资拥有的国有企业江苏省苏豪控股集团有限公司。公司经营范围涵盖商品期货经纪、金融期货经纪、期货投资咨询、资产管理、基金销售业务。</w:t>
      </w:r>
      <w:r>
        <w:rPr>
          <w:rFonts w:hint="default" w:ascii="Calibri" w:hAnsi="Calibri" w:eastAsia="楷体" w:cs="Calibri"/>
          <w:sz w:val="21"/>
          <w:szCs w:val="21"/>
          <w:lang w:eastAsia="zh-CN"/>
        </w:rPr>
        <w:t>②</w:t>
      </w:r>
      <w:r>
        <w:rPr>
          <w:rFonts w:hint="eastAsia" w:ascii="楷体" w:hAnsi="楷体" w:eastAsia="楷体"/>
          <w:sz w:val="21"/>
          <w:szCs w:val="21"/>
        </w:rPr>
        <w:t>江苏省国际信托有限责任公司</w:t>
      </w:r>
      <w:r>
        <w:rPr>
          <w:rFonts w:hint="eastAsia" w:ascii="楷体" w:hAnsi="楷体" w:eastAsia="楷体"/>
          <w:sz w:val="21"/>
          <w:szCs w:val="21"/>
          <w:lang w:eastAsia="zh-CN"/>
        </w:rPr>
        <w:t>：</w:t>
      </w:r>
      <w:r>
        <w:rPr>
          <w:rFonts w:hint="eastAsia" w:ascii="楷体" w:hAnsi="楷体" w:eastAsia="楷体"/>
          <w:sz w:val="21"/>
          <w:szCs w:val="21"/>
        </w:rPr>
        <w:t>江苏省国际信托有限责任公司是经江苏省人民政府和中国银行业监督管理委员会批准设立的非银行金融机构，是江苏省国信集团的主要成员企业之一，专业从事金融信托业务。</w:t>
      </w:r>
      <w:r>
        <w:rPr>
          <w:rFonts w:hint="default" w:ascii="Calibri" w:hAnsi="Calibri" w:eastAsia="楷体" w:cs="Calibri"/>
          <w:sz w:val="21"/>
          <w:szCs w:val="21"/>
        </w:rPr>
        <w:t>③</w:t>
      </w:r>
      <w:r>
        <w:rPr>
          <w:rFonts w:hint="eastAsia" w:ascii="楷体" w:hAnsi="楷体" w:eastAsia="楷体"/>
          <w:sz w:val="21"/>
          <w:szCs w:val="21"/>
        </w:rPr>
        <w:t>创金合信基金管理有限公司</w:t>
      </w:r>
      <w:r>
        <w:rPr>
          <w:rFonts w:hint="eastAsia" w:ascii="楷体" w:hAnsi="楷体" w:eastAsia="楷体"/>
          <w:sz w:val="21"/>
          <w:szCs w:val="21"/>
          <w:lang w:eastAsia="zh-CN"/>
        </w:rPr>
        <w:t>：</w:t>
      </w:r>
      <w:r>
        <w:rPr>
          <w:rFonts w:hint="eastAsia" w:ascii="楷体" w:hAnsi="楷体" w:eastAsia="楷体"/>
          <w:sz w:val="21"/>
          <w:szCs w:val="21"/>
        </w:rPr>
        <w:t>创金合信基金管理有限公司成立于2014年7月9日，由第一创业证券股份有限公司、深圳市金合信投资合伙企业（有限合伙）共同发起设立，注册地为深圳。</w:t>
      </w:r>
      <w:r>
        <w:rPr>
          <w:rFonts w:hint="eastAsia" w:ascii="楷体" w:hAnsi="楷体" w:eastAsia="楷体" w:cs="楷体"/>
          <w:sz w:val="21"/>
          <w:szCs w:val="21"/>
        </w:rPr>
        <w:t>④</w:t>
      </w:r>
      <w:r>
        <w:rPr>
          <w:rFonts w:hint="eastAsia" w:ascii="楷体" w:hAnsi="楷体" w:eastAsia="楷体"/>
          <w:sz w:val="21"/>
          <w:szCs w:val="21"/>
        </w:rPr>
        <w:t>华鑫国际信托有限公司</w:t>
      </w:r>
      <w:r>
        <w:rPr>
          <w:rFonts w:hint="eastAsia" w:ascii="楷体" w:hAnsi="楷体" w:eastAsia="楷体"/>
          <w:sz w:val="21"/>
          <w:szCs w:val="21"/>
          <w:lang w:eastAsia="zh-CN"/>
        </w:rPr>
        <w:t>：</w:t>
      </w:r>
      <w:r>
        <w:rPr>
          <w:rFonts w:hint="eastAsia" w:ascii="楷体" w:hAnsi="楷体" w:eastAsia="楷体"/>
          <w:sz w:val="21"/>
          <w:szCs w:val="21"/>
        </w:rPr>
        <w:t>华鑫国际信托有限公司于2010年2月获得中国银行业监督管理委员会批准重新登记，并于同年3月正式挂牌开业，实际控制人为中国华电集团有限公司，注册资本73.95亿元。</w:t>
      </w:r>
      <w:r>
        <w:rPr>
          <w:rFonts w:hint="eastAsia" w:ascii="楷体" w:hAnsi="楷体" w:eastAsia="楷体" w:cs="楷体"/>
          <w:sz w:val="21"/>
          <w:szCs w:val="21"/>
        </w:rPr>
        <w:t>⑤</w:t>
      </w:r>
      <w:r>
        <w:rPr>
          <w:rFonts w:hint="eastAsia" w:ascii="楷体" w:hAnsi="楷体" w:eastAsia="楷体"/>
          <w:sz w:val="21"/>
          <w:szCs w:val="21"/>
        </w:rPr>
        <w:t>中国国际金融股份有限公司</w:t>
      </w:r>
      <w:r>
        <w:rPr>
          <w:rFonts w:hint="eastAsia" w:ascii="楷体" w:hAnsi="楷体" w:eastAsia="楷体"/>
          <w:sz w:val="21"/>
          <w:szCs w:val="21"/>
          <w:lang w:eastAsia="zh-CN"/>
        </w:rPr>
        <w:t>：</w:t>
      </w:r>
      <w:r>
        <w:rPr>
          <w:rFonts w:hint="eastAsia" w:ascii="楷体" w:hAnsi="楷体" w:eastAsia="楷体"/>
          <w:sz w:val="21"/>
          <w:szCs w:val="21"/>
        </w:rPr>
        <w:t>中国国际金融股份有限公司于1995年7月31日成立，实际控制人为中央汇金投资有限责任公司，注册资本4,827,256,868元。</w:t>
      </w:r>
    </w:p>
    <w:p>
      <w:pPr>
        <w:ind w:firstLine="420" w:firstLineChars="200"/>
        <w:rPr>
          <w:rFonts w:hint="eastAsia" w:ascii="楷体" w:hAnsi="楷体" w:eastAsia="楷体"/>
          <w:sz w:val="21"/>
          <w:szCs w:val="21"/>
          <w:highlight w:val="none"/>
        </w:rPr>
      </w:pPr>
      <w:r>
        <w:rPr>
          <w:rFonts w:hint="eastAsia" w:ascii="楷体" w:hAnsi="楷体" w:eastAsia="楷体"/>
          <w:sz w:val="21"/>
          <w:szCs w:val="21"/>
        </w:rPr>
        <w:t>产品存续期内合作机构如有</w:t>
      </w:r>
      <w:r>
        <w:rPr>
          <w:rFonts w:hint="eastAsia" w:ascii="楷体" w:hAnsi="楷体" w:eastAsia="楷体"/>
          <w:sz w:val="21"/>
          <w:szCs w:val="21"/>
          <w:highlight w:val="none"/>
        </w:rPr>
        <w:t>变化，管理人将按照监管规定和内部管理制度要求对合作机构进行准入，签署相关协议后，</w:t>
      </w:r>
      <w:r>
        <w:rPr>
          <w:rFonts w:hint="eastAsia" w:ascii="楷体" w:hAnsi="楷体" w:eastAsia="楷体"/>
          <w:sz w:val="21"/>
          <w:szCs w:val="21"/>
          <w:highlight w:val="none"/>
          <w:lang w:val="en-US" w:eastAsia="zh-CN"/>
        </w:rPr>
        <w:t>披露</w:t>
      </w:r>
      <w:r>
        <w:rPr>
          <w:rFonts w:hint="eastAsia" w:ascii="楷体" w:hAnsi="楷体" w:eastAsia="楷体"/>
          <w:sz w:val="21"/>
          <w:szCs w:val="21"/>
          <w:highlight w:val="none"/>
        </w:rPr>
        <w:t>新增</w:t>
      </w:r>
      <w:r>
        <w:rPr>
          <w:rFonts w:hint="eastAsia" w:ascii="楷体" w:hAnsi="楷体" w:eastAsia="楷体"/>
          <w:sz w:val="21"/>
          <w:szCs w:val="21"/>
          <w:highlight w:val="none"/>
          <w:lang w:val="en-US" w:eastAsia="zh-CN"/>
        </w:rPr>
        <w:t>的</w:t>
      </w:r>
      <w:r>
        <w:rPr>
          <w:rFonts w:hint="eastAsia" w:ascii="楷体" w:hAnsi="楷体" w:eastAsia="楷体"/>
          <w:sz w:val="21"/>
          <w:szCs w:val="21"/>
          <w:highlight w:val="none"/>
        </w:rPr>
        <w:t>投资合作机构。</w:t>
      </w:r>
    </w:p>
    <w:p>
      <w:pPr>
        <w:numPr>
          <w:ilvl w:val="0"/>
          <w:numId w:val="6"/>
        </w:numPr>
        <w:tabs>
          <w:tab w:val="left" w:pos="993"/>
        </w:tabs>
        <w:ind w:firstLine="0" w:firstLineChars="0"/>
        <w:rPr>
          <w:rFonts w:hint="eastAsia" w:ascii="楷体" w:hAnsi="楷体" w:eastAsia="楷体" w:cs="Calibri"/>
          <w:color w:val="auto"/>
          <w:sz w:val="21"/>
          <w:szCs w:val="21"/>
          <w:highlight w:val="none"/>
          <w:lang w:val="en-US" w:eastAsia="zh-CN"/>
        </w:rPr>
      </w:pPr>
      <w:r>
        <w:rPr>
          <w:rFonts w:hint="eastAsia" w:ascii="楷体" w:hAnsi="楷体" w:eastAsia="楷体" w:cs="Calibri"/>
          <w:color w:val="auto"/>
          <w:sz w:val="21"/>
          <w:szCs w:val="21"/>
          <w:highlight w:val="none"/>
          <w:lang w:val="en-US" w:eastAsia="zh-CN"/>
        </w:rPr>
        <w:t>投资限制</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420" w:firstLineChars="200"/>
        <w:textAlignment w:val="auto"/>
        <w:rPr>
          <w:rFonts w:hint="eastAsia" w:ascii="楷体" w:hAnsi="楷体" w:eastAsia="楷体"/>
          <w:color w:val="auto"/>
          <w:sz w:val="21"/>
          <w:szCs w:val="21"/>
        </w:rPr>
      </w:pPr>
      <w:r>
        <w:rPr>
          <w:rFonts w:hint="eastAsia" w:ascii="楷体" w:hAnsi="楷体" w:eastAsia="楷体"/>
          <w:color w:val="auto"/>
          <w:sz w:val="21"/>
          <w:szCs w:val="21"/>
        </w:rPr>
        <w:t>本理财产品投资于单只证券或单只公募证券投资基金的市值不超过本产品净资产的10%。</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420" w:firstLineChars="200"/>
        <w:textAlignment w:val="auto"/>
        <w:rPr>
          <w:rFonts w:hint="eastAsia" w:ascii="楷体" w:hAnsi="楷体" w:eastAsia="楷体"/>
          <w:color w:val="auto"/>
          <w:sz w:val="21"/>
          <w:szCs w:val="21"/>
          <w:highlight w:val="none"/>
        </w:rPr>
      </w:pPr>
      <w:r>
        <w:rPr>
          <w:rFonts w:hint="eastAsia" w:ascii="楷体" w:hAnsi="楷体" w:eastAsia="楷体"/>
          <w:color w:val="auto"/>
          <w:sz w:val="21"/>
          <w:szCs w:val="21"/>
        </w:rPr>
        <w:t>管理人发行的全部公募理财产品投资单只证券或者单只公募证券投资基金的市值不得超过该证券市值或者公募证券投资基金市值</w:t>
      </w:r>
      <w:r>
        <w:rPr>
          <w:rFonts w:hint="eastAsia" w:ascii="楷体" w:hAnsi="楷体" w:eastAsia="楷体"/>
          <w:color w:val="auto"/>
          <w:sz w:val="21"/>
          <w:szCs w:val="21"/>
          <w:highlight w:val="none"/>
        </w:rPr>
        <w:t>的30%。其中，管理人全部开放式公募理财产品投资单一上市公司发行的股票不得超过该上市公司可流通股票的15%。</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420" w:firstLineChars="200"/>
        <w:textAlignment w:val="auto"/>
        <w:rPr>
          <w:rFonts w:hint="eastAsia" w:ascii="楷体" w:hAnsi="楷体" w:eastAsia="楷体"/>
          <w:color w:val="auto"/>
          <w:sz w:val="21"/>
          <w:szCs w:val="21"/>
        </w:rPr>
      </w:pPr>
      <w:r>
        <w:rPr>
          <w:rFonts w:hint="eastAsia" w:ascii="楷体" w:hAnsi="楷体" w:eastAsia="楷体"/>
          <w:color w:val="auto"/>
          <w:sz w:val="21"/>
          <w:szCs w:val="21"/>
        </w:rPr>
        <w:t>管理人全部产品持有单一上市公司发行的股票，不得超过该上市公司可流通股票的30%。</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ascii="楷体" w:hAnsi="楷体" w:eastAsia="楷体"/>
          <w:color w:val="auto"/>
          <w:sz w:val="21"/>
          <w:szCs w:val="21"/>
        </w:rPr>
        <w:t>针对上述1、2</w:t>
      </w:r>
      <w:r>
        <w:rPr>
          <w:rFonts w:hint="eastAsia" w:ascii="楷体" w:hAnsi="楷体" w:eastAsia="楷体"/>
          <w:color w:val="auto"/>
          <w:sz w:val="21"/>
          <w:szCs w:val="21"/>
          <w:lang w:eastAsia="zh-CN"/>
        </w:rPr>
        <w:t>、</w:t>
      </w:r>
      <w:r>
        <w:rPr>
          <w:rFonts w:hint="eastAsia" w:ascii="楷体" w:hAnsi="楷体" w:eastAsia="楷体"/>
          <w:color w:val="auto"/>
          <w:sz w:val="21"/>
          <w:szCs w:val="21"/>
        </w:rPr>
        <w:t>3项，非因管理人主观因素致使不符合前述比例限制的，管理人将在流动性受限资产可出售、可转让或者恢复交易的10个交易日内调整至符合相关要求。</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420" w:firstLineChars="200"/>
        <w:textAlignment w:val="auto"/>
        <w:rPr>
          <w:rFonts w:hint="eastAsia" w:ascii="楷体" w:hAnsi="楷体" w:eastAsia="楷体" w:cs="楷体"/>
        </w:rPr>
      </w:pPr>
      <w:r>
        <w:rPr>
          <w:rFonts w:hint="eastAsia" w:ascii="楷体" w:hAnsi="楷体" w:eastAsia="楷体"/>
          <w:color w:val="auto"/>
          <w:sz w:val="21"/>
          <w:szCs w:val="21"/>
        </w:rPr>
        <w:t>本理财产品</w:t>
      </w:r>
      <w:r>
        <w:rPr>
          <w:rFonts w:hint="eastAsia" w:ascii="楷体" w:hAnsi="楷体" w:eastAsia="楷体"/>
          <w:color w:val="auto"/>
          <w:sz w:val="21"/>
          <w:szCs w:val="21"/>
          <w:lang w:val="en-US" w:eastAsia="zh-CN"/>
        </w:rPr>
        <w:t>杠杆率</w:t>
      </w:r>
      <w:r>
        <w:rPr>
          <w:rFonts w:hint="eastAsia" w:ascii="楷体" w:hAnsi="楷体" w:eastAsia="楷体"/>
          <w:color w:val="auto"/>
          <w:sz w:val="21"/>
          <w:szCs w:val="21"/>
        </w:rPr>
        <w:t>不</w:t>
      </w:r>
      <w:r>
        <w:rPr>
          <w:rFonts w:hint="eastAsia" w:ascii="楷体" w:hAnsi="楷体" w:eastAsia="楷体"/>
          <w:color w:val="auto"/>
          <w:sz w:val="21"/>
          <w:szCs w:val="21"/>
          <w:highlight w:val="none"/>
        </w:rPr>
        <w:t>超过1</w:t>
      </w:r>
      <w:r>
        <w:rPr>
          <w:rFonts w:hint="eastAsia" w:ascii="楷体" w:hAnsi="楷体" w:eastAsia="楷体"/>
          <w:color w:val="auto"/>
          <w:sz w:val="21"/>
          <w:szCs w:val="21"/>
          <w:highlight w:val="none"/>
          <w:lang w:val="en-US" w:eastAsia="zh-CN"/>
        </w:rPr>
        <w:t>5</w:t>
      </w:r>
      <w:r>
        <w:rPr>
          <w:rFonts w:hint="eastAsia" w:ascii="楷体" w:hAnsi="楷体" w:eastAsia="楷体"/>
          <w:color w:val="auto"/>
          <w:sz w:val="21"/>
          <w:szCs w:val="21"/>
          <w:highlight w:val="none"/>
        </w:rPr>
        <w:t>0%。</w:t>
      </w:r>
    </w:p>
    <w:p>
      <w:pPr>
        <w:numPr>
          <w:ilvl w:val="0"/>
          <w:numId w:val="6"/>
        </w:numPr>
        <w:tabs>
          <w:tab w:val="left" w:pos="993"/>
        </w:tabs>
        <w:ind w:firstLine="0" w:firstLineChars="0"/>
        <w:rPr>
          <w:rFonts w:hint="eastAsia" w:ascii="楷体" w:hAnsi="楷体" w:eastAsia="楷体" w:cs="Calibri"/>
          <w:color w:val="auto"/>
          <w:sz w:val="21"/>
          <w:szCs w:val="21"/>
          <w:highlight w:val="none"/>
          <w:lang w:val="en-US" w:eastAsia="zh-CN"/>
        </w:rPr>
      </w:pPr>
      <w:r>
        <w:rPr>
          <w:rFonts w:hint="eastAsia" w:ascii="楷体" w:hAnsi="楷体" w:eastAsia="楷体" w:cs="Calibri"/>
          <w:color w:val="auto"/>
          <w:sz w:val="21"/>
          <w:szCs w:val="21"/>
          <w:highlight w:val="none"/>
          <w:lang w:val="en-US" w:eastAsia="zh-CN"/>
        </w:rPr>
        <w:t>投资管理调整</w:t>
      </w:r>
    </w:p>
    <w:p>
      <w:pPr>
        <w:pStyle w:val="2"/>
        <w:keepNext w:val="0"/>
        <w:keepLines w:val="0"/>
        <w:pageBreakBefore w:val="0"/>
        <w:widowControl w:val="0"/>
        <w:kinsoku/>
        <w:wordWrap/>
        <w:overflowPunct/>
        <w:topLinePunct w:val="0"/>
        <w:autoSpaceDE w:val="0"/>
        <w:autoSpaceDN w:val="0"/>
        <w:bidi w:val="0"/>
        <w:adjustRightInd w:val="0"/>
        <w:snapToGrid/>
        <w:spacing w:before="0"/>
        <w:ind w:left="0" w:firstLine="420" w:firstLineChars="200"/>
        <w:jc w:val="both"/>
        <w:textAlignment w:val="auto"/>
        <w:rPr>
          <w:rFonts w:hint="eastAsia" w:ascii="楷体" w:hAnsi="楷体" w:eastAsia="楷体" w:cs="Times New Roman"/>
          <w:color w:val="auto"/>
          <w:kern w:val="2"/>
          <w:sz w:val="21"/>
          <w:szCs w:val="21"/>
          <w:lang w:val="en-US" w:eastAsia="zh-CN" w:bidi="ar-SA"/>
        </w:rPr>
      </w:pPr>
      <w:r>
        <w:rPr>
          <w:rFonts w:hint="eastAsia" w:ascii="楷体" w:hAnsi="楷体" w:eastAsia="楷体" w:cs="Times New Roman"/>
          <w:color w:val="auto"/>
          <w:kern w:val="2"/>
          <w:sz w:val="21"/>
          <w:szCs w:val="21"/>
          <w:lang w:val="en-US" w:eastAsia="zh-CN" w:bidi="ar-SA"/>
        </w:rPr>
        <w:t>若法律法规、国家监管政策或市场情况发生变化，管理人在不改变产品类型的情况下，可对本说明书中已约定的投资范围、投资品种、投资比例等事项进行调整，产品管理人将于调整事项生效前2个工作日通过短信、苏银理财有限责任公司官方网站（www.suyinwealth.com）、销售机构电子渠道和营业网点等方式进行信息披露。此种情况下产品管理人可能开放赎回，具体以届时产品管理人公告为准。若本理财产品的投资者不接受上述调整，可及时通过销售机构赎回本产品（高风险类型的理财产品超出比例范围投资较低风险资产的情况除外）；若本理财产品投资者未在约定的时间内赎回本产品，则视为本理财产品投资者接受相关调整且同意继续持有本理财产品。</w:t>
      </w:r>
    </w:p>
    <w:p>
      <w:pPr>
        <w:pStyle w:val="2"/>
        <w:keepNext w:val="0"/>
        <w:keepLines w:val="0"/>
        <w:pageBreakBefore w:val="0"/>
        <w:widowControl w:val="0"/>
        <w:kinsoku/>
        <w:wordWrap/>
        <w:overflowPunct/>
        <w:topLinePunct w:val="0"/>
        <w:autoSpaceDE w:val="0"/>
        <w:autoSpaceDN w:val="0"/>
        <w:bidi w:val="0"/>
        <w:adjustRightInd w:val="0"/>
        <w:snapToGrid/>
        <w:spacing w:before="0"/>
        <w:ind w:left="0" w:firstLine="420" w:firstLineChars="200"/>
        <w:jc w:val="both"/>
        <w:textAlignment w:val="auto"/>
        <w:rPr>
          <w:rFonts w:hint="eastAsia"/>
          <w:lang w:val="en-US" w:eastAsia="zh-CN"/>
        </w:rPr>
      </w:pPr>
      <w:r>
        <w:rPr>
          <w:rFonts w:hint="eastAsia" w:ascii="楷体" w:hAnsi="楷体" w:eastAsia="楷体" w:cs="楷体"/>
          <w:color w:val="auto"/>
          <w:sz w:val="21"/>
          <w:szCs w:val="21"/>
        </w:rPr>
        <w:t>如监管有最新规定的，可参照监管规定</w:t>
      </w:r>
      <w:r>
        <w:rPr>
          <w:rFonts w:hint="eastAsia" w:ascii="楷体" w:hAnsi="楷体" w:eastAsia="楷体" w:cs="楷体"/>
          <w:color w:val="auto"/>
          <w:sz w:val="21"/>
          <w:szCs w:val="21"/>
          <w:lang w:val="en-US" w:eastAsia="zh-CN"/>
        </w:rPr>
        <w:t>执行</w:t>
      </w:r>
      <w:r>
        <w:rPr>
          <w:rFonts w:hint="eastAsia" w:ascii="楷体" w:hAnsi="楷体" w:eastAsia="楷体" w:cs="楷体"/>
          <w:color w:val="auto"/>
          <w:sz w:val="21"/>
          <w:szCs w:val="21"/>
        </w:rPr>
        <w:t>。</w:t>
      </w:r>
    </w:p>
    <w:p>
      <w:pPr>
        <w:numPr>
          <w:ilvl w:val="0"/>
          <w:numId w:val="2"/>
        </w:numPr>
        <w:tabs>
          <w:tab w:val="left" w:pos="1134"/>
        </w:tabs>
        <w:ind w:left="420" w:leftChars="0" w:firstLine="0" w:firstLineChars="0"/>
        <w:rPr>
          <w:rFonts w:ascii="楷体" w:hAnsi="楷体" w:eastAsia="楷体"/>
          <w:b/>
          <w:color w:val="auto"/>
          <w:sz w:val="21"/>
          <w:szCs w:val="21"/>
        </w:rPr>
      </w:pPr>
      <w:r>
        <w:rPr>
          <w:rFonts w:hint="eastAsia" w:ascii="楷体" w:hAnsi="楷体" w:eastAsia="楷体"/>
          <w:b/>
          <w:color w:val="auto"/>
          <w:sz w:val="21"/>
          <w:szCs w:val="21"/>
        </w:rPr>
        <w:t>产品认购</w:t>
      </w:r>
    </w:p>
    <w:p>
      <w:pPr>
        <w:numPr>
          <w:ilvl w:val="0"/>
          <w:numId w:val="8"/>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认购方式</w:t>
      </w:r>
      <w:r>
        <w:rPr>
          <w:rFonts w:hint="eastAsia" w:ascii="楷体" w:hAnsi="楷体" w:eastAsia="楷体" w:cs="Calibri"/>
          <w:color w:val="auto"/>
          <w:sz w:val="21"/>
          <w:szCs w:val="21"/>
          <w:lang w:val="en-US" w:eastAsia="zh-CN"/>
        </w:rPr>
        <w:t>及确认</w:t>
      </w:r>
    </w:p>
    <w:p>
      <w:pPr>
        <w:numPr>
          <w:ilvl w:val="0"/>
          <w:numId w:val="0"/>
        </w:numPr>
        <w:ind w:left="0" w:firstLine="420" w:firstLineChars="200"/>
        <w:rPr>
          <w:rFonts w:hint="eastAsia" w:ascii="楷体" w:hAnsi="楷体" w:eastAsia="楷体" w:cs="Calibri"/>
          <w:color w:val="auto"/>
          <w:sz w:val="21"/>
          <w:szCs w:val="21"/>
          <w:highlight w:val="none"/>
        </w:rPr>
      </w:pPr>
      <w:r>
        <w:rPr>
          <w:rFonts w:hint="eastAsia" w:ascii="楷体" w:hAnsi="楷体" w:eastAsia="楷体" w:cs="Calibri"/>
          <w:color w:val="auto"/>
          <w:sz w:val="21"/>
          <w:szCs w:val="21"/>
        </w:rPr>
        <w:t>本理财产品可在各销售机构指定渠道进行认购</w:t>
      </w:r>
      <w:r>
        <w:rPr>
          <w:rFonts w:hint="eastAsia" w:ascii="楷体" w:hAnsi="楷体" w:eastAsia="楷体" w:cs="Calibri"/>
          <w:sz w:val="21"/>
          <w:szCs w:val="21"/>
          <w:highlight w:val="none"/>
          <w:lang w:val="en-US" w:eastAsia="zh-CN"/>
        </w:rPr>
        <w:t>，投资者按规定提交认购申请，管理人在份额登记日对投资者的认购申请成功登记后并收到投资者全额交付的款项，视为投资者的认购申请生效。投资者应在理财产品成立后及时查询最终的成交情况。</w:t>
      </w:r>
      <w:r>
        <w:rPr>
          <w:rFonts w:hint="eastAsia" w:ascii="楷体" w:hAnsi="楷体" w:eastAsia="楷体"/>
          <w:sz w:val="21"/>
          <w:szCs w:val="21"/>
          <w:highlight w:val="none"/>
        </w:rPr>
        <w:t>因投资者资金账户余额不足、司法冻结、不可抗力因素或其他不可归责于</w:t>
      </w:r>
      <w:r>
        <w:rPr>
          <w:rFonts w:hint="eastAsia" w:ascii="楷体" w:hAnsi="楷体" w:eastAsia="楷体"/>
          <w:sz w:val="21"/>
          <w:szCs w:val="21"/>
          <w:highlight w:val="none"/>
          <w:lang w:val="en-US" w:eastAsia="zh-CN"/>
        </w:rPr>
        <w:t>管理人</w:t>
      </w:r>
      <w:r>
        <w:rPr>
          <w:rFonts w:hint="eastAsia" w:ascii="楷体" w:hAnsi="楷体" w:eastAsia="楷体"/>
          <w:sz w:val="21"/>
          <w:szCs w:val="21"/>
          <w:highlight w:val="none"/>
        </w:rPr>
        <w:t>和销售机构的事由出现，造成认购申请未被确认的，</w:t>
      </w:r>
      <w:r>
        <w:rPr>
          <w:rFonts w:hint="eastAsia" w:ascii="楷体" w:hAnsi="楷体" w:eastAsia="楷体"/>
          <w:sz w:val="21"/>
          <w:szCs w:val="21"/>
          <w:highlight w:val="none"/>
          <w:lang w:val="en-US" w:eastAsia="zh-CN"/>
        </w:rPr>
        <w:t>管理人</w:t>
      </w:r>
      <w:r>
        <w:rPr>
          <w:rFonts w:hint="eastAsia" w:ascii="楷体" w:hAnsi="楷体" w:eastAsia="楷体"/>
          <w:sz w:val="21"/>
          <w:szCs w:val="21"/>
          <w:highlight w:val="none"/>
        </w:rPr>
        <w:t>和销售机构不承担任何责任。</w:t>
      </w:r>
    </w:p>
    <w:p>
      <w:pPr>
        <w:numPr>
          <w:ilvl w:val="0"/>
          <w:numId w:val="8"/>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认购份额的计算</w:t>
      </w:r>
    </w:p>
    <w:p>
      <w:pPr>
        <w:ind w:firstLine="420" w:firstLineChars="200"/>
        <w:rPr>
          <w:rFonts w:hint="eastAsia" w:ascii="楷体" w:hAnsi="楷体" w:eastAsia="楷体"/>
          <w:color w:val="auto"/>
          <w:sz w:val="21"/>
          <w:szCs w:val="21"/>
        </w:rPr>
      </w:pPr>
      <w:r>
        <w:rPr>
          <w:rFonts w:ascii="楷体" w:hAnsi="楷体" w:eastAsia="楷体"/>
          <w:color w:val="auto"/>
          <w:sz w:val="21"/>
          <w:szCs w:val="21"/>
        </w:rPr>
        <w:t>认购份额=</w:t>
      </w:r>
      <w:r>
        <w:rPr>
          <w:rFonts w:hint="eastAsia" w:ascii="楷体" w:hAnsi="楷体" w:eastAsia="楷体"/>
          <w:color w:val="auto"/>
          <w:sz w:val="21"/>
          <w:szCs w:val="21"/>
        </w:rPr>
        <w:t>认购金额</w:t>
      </w:r>
      <w:r>
        <w:rPr>
          <w:rFonts w:ascii="楷体" w:hAnsi="楷体" w:eastAsia="楷体"/>
          <w:color w:val="auto"/>
          <w:sz w:val="21"/>
          <w:szCs w:val="21"/>
        </w:rPr>
        <w:t>/</w:t>
      </w:r>
      <w:r>
        <w:rPr>
          <w:rFonts w:hint="eastAsia" w:ascii="楷体" w:hAnsi="楷体" w:eastAsia="楷体"/>
          <w:color w:val="auto"/>
          <w:sz w:val="21"/>
          <w:szCs w:val="21"/>
        </w:rPr>
        <w:t>产品</w:t>
      </w:r>
      <w:r>
        <w:rPr>
          <w:rFonts w:hint="eastAsia" w:ascii="楷体" w:hAnsi="楷体" w:eastAsia="楷体"/>
          <w:color w:val="auto"/>
          <w:sz w:val="21"/>
          <w:szCs w:val="21"/>
          <w:lang w:val="en-US" w:eastAsia="zh-CN"/>
        </w:rPr>
        <w:t>份额面值，</w:t>
      </w:r>
      <w:r>
        <w:rPr>
          <w:rFonts w:ascii="楷体" w:hAnsi="楷体" w:eastAsia="楷体"/>
          <w:color w:val="auto"/>
          <w:sz w:val="21"/>
          <w:szCs w:val="21"/>
        </w:rPr>
        <w:t>认购份额</w:t>
      </w:r>
      <w:r>
        <w:rPr>
          <w:rFonts w:hint="eastAsia" w:ascii="楷体" w:hAnsi="楷体" w:eastAsia="楷体"/>
          <w:color w:val="auto"/>
          <w:sz w:val="21"/>
          <w:szCs w:val="21"/>
        </w:rPr>
        <w:t>以四舍五入的方法保留到小数点后两位。</w:t>
      </w:r>
    </w:p>
    <w:p>
      <w:pPr>
        <w:numPr>
          <w:ilvl w:val="0"/>
          <w:numId w:val="2"/>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rPr>
        <w:t>产品终止</w:t>
      </w:r>
    </w:p>
    <w:p>
      <w:pPr>
        <w:numPr>
          <w:ilvl w:val="0"/>
          <w:numId w:val="9"/>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提前终止</w:t>
      </w:r>
    </w:p>
    <w:p>
      <w:pPr>
        <w:numPr>
          <w:ilvl w:val="0"/>
          <w:numId w:val="0"/>
        </w:numPr>
        <w:ind w:left="0" w:firstLine="420" w:firstLineChars="200"/>
        <w:rPr>
          <w:rFonts w:hint="eastAsia" w:ascii="楷体" w:hAnsi="楷体" w:eastAsia="楷体"/>
          <w:b w:val="0"/>
          <w:bCs w:val="0"/>
          <w:color w:val="auto"/>
          <w:sz w:val="21"/>
          <w:szCs w:val="21"/>
        </w:rPr>
      </w:pPr>
      <w:r>
        <w:rPr>
          <w:rFonts w:hint="eastAsia" w:ascii="楷体" w:hAnsi="楷体" w:eastAsia="楷体" w:cs="Calibri"/>
          <w:b w:val="0"/>
          <w:bCs w:val="0"/>
          <w:color w:val="auto"/>
          <w:sz w:val="21"/>
          <w:szCs w:val="21"/>
        </w:rPr>
        <w:t>在理财产品投资运作期间内，投资者无权要求提前终止该理财产品。在理财产品投资运作期间内，</w:t>
      </w:r>
      <w:r>
        <w:rPr>
          <w:rFonts w:hint="eastAsia" w:ascii="楷体" w:hAnsi="楷体" w:eastAsia="楷体" w:cs="Calibri"/>
          <w:b w:val="0"/>
          <w:bCs w:val="0"/>
          <w:color w:val="auto"/>
          <w:sz w:val="21"/>
          <w:szCs w:val="21"/>
          <w:lang w:val="en-US" w:eastAsia="zh-CN"/>
        </w:rPr>
        <w:t>包括但不限于</w:t>
      </w:r>
      <w:r>
        <w:rPr>
          <w:rFonts w:hint="eastAsia" w:ascii="楷体" w:hAnsi="楷体" w:eastAsia="楷体" w:cs="Calibri"/>
          <w:b w:val="0"/>
          <w:bCs w:val="0"/>
          <w:color w:val="auto"/>
          <w:sz w:val="21"/>
          <w:szCs w:val="21"/>
        </w:rPr>
        <w:t>出现下列情形时，产品管理人有权提前终止本产品：因不可抗力原因导致理财产品无法继续运作；因法律法规变化或国家金融政策调整、紧急措施出台影响产品继续正常运作；法律法规规定或监管部门认定的其他情形。</w:t>
      </w:r>
      <w:r>
        <w:rPr>
          <w:rFonts w:hint="eastAsia" w:ascii="楷体" w:hAnsi="楷体" w:eastAsia="楷体"/>
          <w:b w:val="0"/>
          <w:bCs w:val="0"/>
          <w:color w:val="auto"/>
          <w:sz w:val="21"/>
          <w:szCs w:val="21"/>
        </w:rPr>
        <w:t>如理财产品管理人提前终止本理财产品，将至少提前2个工作日（含）按说明书约定的信息披露方式予以披露</w:t>
      </w:r>
      <w:r>
        <w:rPr>
          <w:rFonts w:hint="eastAsia" w:ascii="楷体" w:hAnsi="楷体" w:eastAsia="楷体"/>
          <w:b w:val="0"/>
          <w:bCs w:val="0"/>
          <w:color w:val="auto"/>
          <w:sz w:val="21"/>
          <w:szCs w:val="21"/>
          <w:lang w:eastAsia="zh-CN"/>
        </w:rPr>
        <w:t>，</w:t>
      </w:r>
      <w:r>
        <w:rPr>
          <w:rFonts w:hint="eastAsia" w:ascii="楷体" w:hAnsi="楷体" w:eastAsia="楷体"/>
          <w:b w:val="0"/>
          <w:bCs w:val="0"/>
          <w:color w:val="auto"/>
          <w:sz w:val="21"/>
          <w:szCs w:val="21"/>
          <w:lang w:val="en-US" w:eastAsia="zh-CN"/>
        </w:rPr>
        <w:t>明确产品终止日</w:t>
      </w:r>
      <w:r>
        <w:rPr>
          <w:rFonts w:hint="eastAsia" w:ascii="楷体" w:hAnsi="楷体" w:eastAsia="楷体"/>
          <w:b w:val="0"/>
          <w:bCs w:val="0"/>
          <w:color w:val="auto"/>
          <w:sz w:val="21"/>
          <w:szCs w:val="21"/>
        </w:rPr>
        <w:t>。</w:t>
      </w:r>
    </w:p>
    <w:p>
      <w:pPr>
        <w:numPr>
          <w:ilvl w:val="0"/>
          <w:numId w:val="9"/>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lang w:val="en-US" w:eastAsia="zh-CN"/>
        </w:rPr>
        <w:t>正常终止</w:t>
      </w:r>
    </w:p>
    <w:p>
      <w:pPr>
        <w:ind w:firstLine="420" w:firstLineChars="200"/>
        <w:rPr>
          <w:rFonts w:hint="eastAsia" w:ascii="楷体" w:hAnsi="楷体" w:eastAsia="楷体" w:cs="Calibri"/>
          <w:b w:val="0"/>
          <w:bCs w:val="0"/>
          <w:color w:val="auto"/>
          <w:sz w:val="21"/>
          <w:szCs w:val="21"/>
        </w:rPr>
      </w:pPr>
      <w:r>
        <w:rPr>
          <w:rFonts w:hint="eastAsia" w:ascii="楷体" w:hAnsi="楷体" w:eastAsia="楷体" w:cs="Calibri"/>
          <w:b w:val="0"/>
          <w:bCs w:val="0"/>
          <w:color w:val="auto"/>
          <w:sz w:val="21"/>
          <w:szCs w:val="21"/>
        </w:rPr>
        <w:t>投资者持有本理财产品至产品到期日，投资者的投资本金和收益（如有）将在产品到期后一次性支付。</w:t>
      </w:r>
    </w:p>
    <w:p>
      <w:pPr>
        <w:numPr>
          <w:ilvl w:val="0"/>
          <w:numId w:val="9"/>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延期</w:t>
      </w:r>
      <w:r>
        <w:rPr>
          <w:rFonts w:hint="eastAsia" w:ascii="楷体" w:hAnsi="楷体" w:eastAsia="楷体" w:cs="Calibri"/>
          <w:color w:val="auto"/>
          <w:sz w:val="21"/>
          <w:szCs w:val="21"/>
          <w:lang w:val="en-US" w:eastAsia="zh-CN"/>
        </w:rPr>
        <w:t>终止</w:t>
      </w:r>
    </w:p>
    <w:p>
      <w:pPr>
        <w:ind w:firstLine="420" w:firstLineChars="200"/>
        <w:rPr>
          <w:rFonts w:hint="eastAsia" w:ascii="楷体" w:hAnsi="楷体" w:eastAsia="楷体" w:cs="Calibri"/>
          <w:b w:val="0"/>
          <w:bCs w:val="0"/>
          <w:color w:val="auto"/>
          <w:sz w:val="21"/>
          <w:szCs w:val="21"/>
        </w:rPr>
      </w:pPr>
      <w:r>
        <w:rPr>
          <w:rFonts w:hint="eastAsia" w:ascii="楷体" w:hAnsi="楷体" w:eastAsia="楷体" w:cs="Calibri"/>
          <w:b w:val="0"/>
          <w:bCs w:val="0"/>
          <w:color w:val="auto"/>
          <w:sz w:val="21"/>
          <w:szCs w:val="21"/>
        </w:rPr>
        <w:t>出现以下情况，产品管理人有权延长本理财产品的终止日：产品终止日遇非工作日则顺延至下一工作日，投资者清算资金到账日将相应调整；因不可抗力、市场发生重大变化等原因导致产品项下对应的投资标的无法及时变现、无法及时收回资金；法律法规规定或监管部门认定的其他情形。产品管理人决定延期兑付的，将至少提前2个工作日（含）按说明书约定的信息披露方式予以披露。</w:t>
      </w:r>
    </w:p>
    <w:p>
      <w:pPr>
        <w:numPr>
          <w:ilvl w:val="0"/>
          <w:numId w:val="9"/>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投资者可得资金计算</w:t>
      </w:r>
    </w:p>
    <w:p>
      <w:pPr>
        <w:ind w:firstLine="420" w:firstLineChars="200"/>
        <w:rPr>
          <w:rFonts w:hint="eastAsia" w:ascii="楷体" w:hAnsi="楷体" w:eastAsia="楷体"/>
          <w:b w:val="0"/>
          <w:bCs w:val="0"/>
          <w:color w:val="auto"/>
          <w:sz w:val="21"/>
          <w:szCs w:val="21"/>
        </w:rPr>
      </w:pPr>
      <w:r>
        <w:rPr>
          <w:rFonts w:hint="eastAsia" w:ascii="楷体" w:hAnsi="楷体" w:eastAsia="楷体"/>
          <w:b w:val="0"/>
          <w:bCs w:val="0"/>
          <w:color w:val="auto"/>
          <w:sz w:val="21"/>
          <w:szCs w:val="21"/>
        </w:rPr>
        <w:t>投资者可得资金=投资者持有份额×产品到期</w:t>
      </w:r>
      <w:r>
        <w:rPr>
          <w:rFonts w:hint="eastAsia" w:ascii="楷体" w:hAnsi="楷体" w:eastAsia="楷体"/>
          <w:b w:val="0"/>
          <w:bCs w:val="0"/>
          <w:color w:val="auto"/>
          <w:sz w:val="21"/>
          <w:szCs w:val="21"/>
          <w:lang w:eastAsia="zh-CN"/>
        </w:rPr>
        <w:t>（</w:t>
      </w:r>
      <w:r>
        <w:rPr>
          <w:rFonts w:hint="eastAsia" w:ascii="楷体" w:hAnsi="楷体" w:eastAsia="楷体"/>
          <w:b w:val="0"/>
          <w:bCs w:val="0"/>
          <w:color w:val="auto"/>
          <w:sz w:val="21"/>
          <w:szCs w:val="21"/>
          <w:lang w:val="en-US" w:eastAsia="zh-CN"/>
        </w:rPr>
        <w:t>终止）</w:t>
      </w:r>
      <w:r>
        <w:rPr>
          <w:rFonts w:hint="eastAsia" w:ascii="楷体" w:hAnsi="楷体" w:eastAsia="楷体"/>
          <w:b w:val="0"/>
          <w:bCs w:val="0"/>
          <w:color w:val="auto"/>
          <w:sz w:val="21"/>
          <w:szCs w:val="21"/>
        </w:rPr>
        <w:t>时单位净值</w:t>
      </w:r>
      <w:r>
        <w:rPr>
          <w:rFonts w:hint="eastAsia" w:ascii="楷体" w:hAnsi="楷体" w:eastAsia="楷体"/>
          <w:b w:val="0"/>
          <w:bCs w:val="0"/>
          <w:color w:val="auto"/>
          <w:sz w:val="21"/>
          <w:szCs w:val="21"/>
          <w:lang w:val="en-US" w:eastAsia="zh-CN"/>
        </w:rPr>
        <w:t>-超额业绩报酬（如有）</w:t>
      </w:r>
      <w:r>
        <w:rPr>
          <w:rFonts w:hint="eastAsia" w:ascii="楷体" w:hAnsi="楷体" w:eastAsia="楷体"/>
          <w:b w:val="0"/>
          <w:bCs w:val="0"/>
          <w:color w:val="auto"/>
          <w:sz w:val="21"/>
          <w:szCs w:val="21"/>
          <w:lang w:eastAsia="zh-CN"/>
        </w:rPr>
        <w:t>，</w:t>
      </w:r>
      <w:r>
        <w:rPr>
          <w:rFonts w:hint="eastAsia" w:ascii="楷体" w:hAnsi="楷体" w:eastAsia="楷体"/>
          <w:b w:val="0"/>
          <w:bCs w:val="0"/>
          <w:color w:val="auto"/>
          <w:sz w:val="21"/>
          <w:szCs w:val="21"/>
        </w:rPr>
        <w:t>投资者可得资金以四舍五入的方法保留到小数点后两位。</w:t>
      </w:r>
    </w:p>
    <w:p>
      <w:pPr>
        <w:numPr>
          <w:ilvl w:val="0"/>
          <w:numId w:val="9"/>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lang w:val="en-US" w:eastAsia="zh-CN"/>
        </w:rPr>
        <w:t>终止</w:t>
      </w:r>
      <w:r>
        <w:rPr>
          <w:rFonts w:hint="eastAsia" w:ascii="楷体" w:hAnsi="楷体" w:eastAsia="楷体" w:cs="Calibri"/>
          <w:color w:val="auto"/>
          <w:sz w:val="21"/>
          <w:szCs w:val="21"/>
        </w:rPr>
        <w:t>清算</w:t>
      </w:r>
    </w:p>
    <w:p>
      <w:pPr>
        <w:ind w:firstLine="420" w:firstLineChars="200"/>
        <w:rPr>
          <w:rFonts w:hint="eastAsia"/>
        </w:rPr>
      </w:pPr>
      <w:r>
        <w:rPr>
          <w:rFonts w:hint="eastAsia" w:ascii="楷体" w:hAnsi="楷体" w:eastAsia="楷体" w:cs="Calibri"/>
          <w:color w:val="auto"/>
          <w:sz w:val="21"/>
          <w:szCs w:val="21"/>
        </w:rPr>
        <w:t>投资者的投资本金和收益（如有）将于产品到期日</w:t>
      </w:r>
      <w:r>
        <w:rPr>
          <w:rFonts w:hint="eastAsia" w:ascii="楷体" w:hAnsi="楷体" w:eastAsia="楷体" w:cs="Calibri"/>
          <w:color w:val="auto"/>
          <w:sz w:val="21"/>
          <w:szCs w:val="21"/>
          <w:lang w:eastAsia="zh-CN"/>
        </w:rPr>
        <w:t>（</w:t>
      </w:r>
      <w:r>
        <w:rPr>
          <w:rFonts w:hint="eastAsia" w:ascii="楷体" w:hAnsi="楷体" w:eastAsia="楷体" w:cs="Calibri"/>
          <w:color w:val="auto"/>
          <w:sz w:val="21"/>
          <w:szCs w:val="21"/>
          <w:lang w:val="en-US" w:eastAsia="zh-CN"/>
        </w:rPr>
        <w:t>产品终止日）</w:t>
      </w:r>
      <w:r>
        <w:rPr>
          <w:rFonts w:hint="eastAsia" w:ascii="楷体" w:hAnsi="楷体" w:eastAsia="楷体" w:cs="Calibri"/>
          <w:color w:val="auto"/>
          <w:sz w:val="21"/>
          <w:szCs w:val="21"/>
        </w:rPr>
        <w:t>后5个工作日以内划至投资者指定账户，如遇</w:t>
      </w:r>
      <w:r>
        <w:rPr>
          <w:rFonts w:hint="eastAsia" w:ascii="楷体" w:hAnsi="楷体" w:eastAsia="楷体" w:cs="Calibri"/>
          <w:color w:val="auto"/>
          <w:sz w:val="21"/>
          <w:szCs w:val="21"/>
          <w:lang w:val="en-US" w:eastAsia="zh-CN"/>
        </w:rPr>
        <w:t>非工作日</w:t>
      </w:r>
      <w:r>
        <w:rPr>
          <w:rFonts w:hint="eastAsia" w:ascii="楷体" w:hAnsi="楷体" w:eastAsia="楷体" w:cs="Calibri"/>
          <w:color w:val="auto"/>
          <w:sz w:val="21"/>
          <w:szCs w:val="21"/>
        </w:rPr>
        <w:t>则相应顺延。产品到期日</w:t>
      </w:r>
      <w:r>
        <w:rPr>
          <w:rFonts w:hint="eastAsia" w:ascii="楷体" w:hAnsi="楷体" w:eastAsia="楷体" w:cs="Calibri"/>
          <w:color w:val="auto"/>
          <w:sz w:val="21"/>
          <w:szCs w:val="21"/>
          <w:lang w:eastAsia="zh-CN"/>
        </w:rPr>
        <w:t>（</w:t>
      </w:r>
      <w:r>
        <w:rPr>
          <w:rFonts w:hint="eastAsia" w:ascii="楷体" w:hAnsi="楷体" w:eastAsia="楷体" w:cs="Calibri"/>
          <w:color w:val="auto"/>
          <w:sz w:val="21"/>
          <w:szCs w:val="21"/>
          <w:lang w:val="en-US" w:eastAsia="zh-CN"/>
        </w:rPr>
        <w:t>产品终止日）</w:t>
      </w:r>
      <w:r>
        <w:rPr>
          <w:rFonts w:hint="eastAsia" w:ascii="楷体" w:hAnsi="楷体" w:eastAsia="楷体" w:cs="Calibri"/>
          <w:color w:val="auto"/>
          <w:sz w:val="21"/>
          <w:szCs w:val="21"/>
        </w:rPr>
        <w:t>至资金实际到账日之间，投资者资金不计息。</w:t>
      </w:r>
    </w:p>
    <w:p>
      <w:pPr>
        <w:numPr>
          <w:ilvl w:val="0"/>
          <w:numId w:val="2"/>
        </w:numPr>
        <w:tabs>
          <w:tab w:val="left" w:pos="1134"/>
        </w:tabs>
        <w:ind w:left="420" w:leftChars="0" w:firstLine="0" w:firstLineChars="0"/>
        <w:rPr>
          <w:rFonts w:hint="eastAsia" w:ascii="楷体" w:hAnsi="楷体" w:eastAsia="楷体"/>
          <w:b/>
          <w:color w:val="auto"/>
          <w:sz w:val="21"/>
          <w:szCs w:val="21"/>
          <w:lang w:val="en-US" w:eastAsia="zh-CN"/>
        </w:rPr>
      </w:pPr>
      <w:r>
        <w:rPr>
          <w:rFonts w:hint="eastAsia" w:ascii="楷体" w:hAnsi="楷体" w:eastAsia="楷体"/>
          <w:b/>
          <w:color w:val="auto"/>
          <w:sz w:val="21"/>
          <w:szCs w:val="21"/>
          <w:lang w:val="en-US" w:eastAsia="zh-CN"/>
        </w:rPr>
        <w:t>情景示例</w:t>
      </w:r>
    </w:p>
    <w:p>
      <w:pPr>
        <w:ind w:firstLine="422" w:firstLineChars="200"/>
        <w:rPr>
          <w:rFonts w:hint="eastAsia" w:ascii="楷体" w:hAnsi="楷体" w:eastAsia="楷体"/>
          <w:b/>
          <w:color w:val="auto"/>
          <w:sz w:val="21"/>
          <w:szCs w:val="21"/>
          <w:u w:val="single"/>
        </w:rPr>
      </w:pPr>
      <w:r>
        <w:rPr>
          <w:rFonts w:hint="eastAsia" w:ascii="楷体" w:hAnsi="楷体" w:eastAsia="楷体"/>
          <w:b/>
          <w:color w:val="auto"/>
          <w:sz w:val="21"/>
          <w:szCs w:val="21"/>
          <w:u w:val="single"/>
        </w:rPr>
        <w:t>以下示例均为假设情况，不代表本产品实际投资业绩。</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1.情景一</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假定投资者</w:t>
      </w:r>
      <w:r>
        <w:rPr>
          <w:rFonts w:hint="eastAsia" w:ascii="楷体" w:hAnsi="楷体" w:eastAsia="楷体"/>
          <w:color w:val="auto"/>
          <w:sz w:val="21"/>
          <w:szCs w:val="21"/>
          <w:lang w:val="en-US" w:eastAsia="zh-CN"/>
        </w:rPr>
        <w:t>于募集期</w:t>
      </w:r>
      <w:r>
        <w:rPr>
          <w:rFonts w:hint="eastAsia" w:ascii="楷体" w:hAnsi="楷体" w:eastAsia="楷体"/>
          <w:color w:val="auto"/>
          <w:sz w:val="21"/>
          <w:szCs w:val="21"/>
        </w:rPr>
        <w:t>认购本产品，投资金额为10,000.00元，</w:t>
      </w:r>
      <w:r>
        <w:rPr>
          <w:rFonts w:hint="eastAsia" w:ascii="楷体" w:hAnsi="楷体" w:eastAsia="楷体"/>
          <w:color w:val="auto"/>
          <w:sz w:val="21"/>
          <w:szCs w:val="21"/>
          <w:lang w:val="en-US" w:eastAsia="zh-CN"/>
        </w:rPr>
        <w:t>产品份额面值</w:t>
      </w:r>
      <w:r>
        <w:rPr>
          <w:rFonts w:hint="eastAsia" w:ascii="楷体" w:hAnsi="楷体" w:eastAsia="楷体"/>
          <w:color w:val="auto"/>
          <w:sz w:val="21"/>
          <w:szCs w:val="21"/>
        </w:rPr>
        <w:t>为1元</w:t>
      </w:r>
      <w:r>
        <w:rPr>
          <w:rFonts w:hint="eastAsia" w:ascii="楷体" w:hAnsi="楷体" w:eastAsia="楷体"/>
          <w:color w:val="auto"/>
          <w:sz w:val="21"/>
          <w:szCs w:val="21"/>
          <w:lang w:val="en-US" w:eastAsia="zh-CN"/>
        </w:rPr>
        <w:t>/份</w:t>
      </w:r>
      <w:r>
        <w:rPr>
          <w:rFonts w:hint="eastAsia" w:ascii="楷体" w:hAnsi="楷体" w:eastAsia="楷体"/>
          <w:color w:val="auto"/>
          <w:sz w:val="21"/>
          <w:szCs w:val="21"/>
        </w:rPr>
        <w:t>，折算份额为10,000.00份。产品到期时，产品单位净值为</w:t>
      </w:r>
      <w:r>
        <w:rPr>
          <w:rFonts w:ascii="楷体" w:hAnsi="楷体" w:eastAsia="楷体"/>
          <w:color w:val="auto"/>
          <w:sz w:val="21"/>
          <w:szCs w:val="21"/>
        </w:rPr>
        <w:t>1.0</w:t>
      </w:r>
      <w:r>
        <w:rPr>
          <w:rFonts w:hint="eastAsia" w:ascii="楷体" w:hAnsi="楷体" w:eastAsia="楷体"/>
          <w:color w:val="auto"/>
          <w:sz w:val="21"/>
          <w:szCs w:val="21"/>
          <w:lang w:val="en-US" w:eastAsia="zh-CN"/>
        </w:rPr>
        <w:t>20503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投资者可得资金=10,000.00×</w:t>
      </w:r>
      <w:r>
        <w:rPr>
          <w:rFonts w:ascii="楷体" w:hAnsi="楷体" w:eastAsia="楷体"/>
          <w:color w:val="auto"/>
          <w:sz w:val="21"/>
          <w:szCs w:val="21"/>
        </w:rPr>
        <w:t>1.0</w:t>
      </w:r>
      <w:r>
        <w:rPr>
          <w:rFonts w:hint="eastAsia" w:ascii="楷体" w:hAnsi="楷体" w:eastAsia="楷体"/>
          <w:color w:val="auto"/>
          <w:sz w:val="21"/>
          <w:szCs w:val="21"/>
          <w:lang w:val="en-US" w:eastAsia="zh-CN"/>
        </w:rPr>
        <w:t>20503</w:t>
      </w:r>
      <w:r>
        <w:rPr>
          <w:rFonts w:hint="eastAsia" w:ascii="楷体" w:hAnsi="楷体" w:eastAsia="楷体"/>
          <w:color w:val="auto"/>
          <w:sz w:val="21"/>
          <w:szCs w:val="21"/>
        </w:rPr>
        <w:t>=</w:t>
      </w:r>
      <w:r>
        <w:rPr>
          <w:rFonts w:ascii="楷体" w:hAnsi="楷体" w:eastAsia="楷体"/>
          <w:color w:val="auto"/>
          <w:sz w:val="21"/>
          <w:szCs w:val="21"/>
        </w:rPr>
        <w:t>10</w:t>
      </w:r>
      <w:r>
        <w:rPr>
          <w:rFonts w:hint="eastAsia" w:ascii="楷体" w:hAnsi="楷体" w:eastAsia="楷体"/>
          <w:color w:val="auto"/>
          <w:sz w:val="21"/>
          <w:szCs w:val="21"/>
        </w:rPr>
        <w:t>,</w:t>
      </w:r>
      <w:r>
        <w:rPr>
          <w:rFonts w:hint="eastAsia" w:ascii="楷体" w:hAnsi="楷体" w:eastAsia="楷体"/>
          <w:color w:val="auto"/>
          <w:sz w:val="21"/>
          <w:szCs w:val="21"/>
          <w:lang w:val="en-US" w:eastAsia="zh-CN"/>
        </w:rPr>
        <w:t>205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投资者投资收益=</w:t>
      </w:r>
      <w:r>
        <w:rPr>
          <w:rFonts w:ascii="楷体" w:hAnsi="楷体" w:eastAsia="楷体"/>
          <w:color w:val="auto"/>
          <w:sz w:val="21"/>
          <w:szCs w:val="21"/>
        </w:rPr>
        <w:t>10</w:t>
      </w:r>
      <w:r>
        <w:rPr>
          <w:rFonts w:hint="eastAsia" w:ascii="楷体" w:hAnsi="楷体" w:eastAsia="楷体"/>
          <w:color w:val="auto"/>
          <w:sz w:val="21"/>
          <w:szCs w:val="21"/>
        </w:rPr>
        <w:t>,</w:t>
      </w:r>
      <w:r>
        <w:rPr>
          <w:rFonts w:hint="eastAsia" w:ascii="楷体" w:hAnsi="楷体" w:eastAsia="楷体"/>
          <w:color w:val="auto"/>
          <w:sz w:val="21"/>
          <w:szCs w:val="21"/>
          <w:lang w:val="en-US" w:eastAsia="zh-CN"/>
        </w:rPr>
        <w:t>205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-10,000.00=</w:t>
      </w:r>
      <w:r>
        <w:rPr>
          <w:rFonts w:hint="eastAsia" w:ascii="楷体" w:hAnsi="楷体" w:eastAsia="楷体"/>
          <w:color w:val="auto"/>
          <w:sz w:val="21"/>
          <w:szCs w:val="21"/>
          <w:lang w:val="en-US" w:eastAsia="zh-CN"/>
        </w:rPr>
        <w:t>205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2.情景二</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假定投资者</w:t>
      </w:r>
      <w:r>
        <w:rPr>
          <w:rFonts w:hint="eastAsia" w:ascii="楷体" w:hAnsi="楷体" w:eastAsia="楷体"/>
          <w:color w:val="auto"/>
          <w:sz w:val="21"/>
          <w:szCs w:val="21"/>
          <w:lang w:val="en-US" w:eastAsia="zh-CN"/>
        </w:rPr>
        <w:t>于募集期</w:t>
      </w:r>
      <w:r>
        <w:rPr>
          <w:rFonts w:hint="eastAsia" w:ascii="楷体" w:hAnsi="楷体" w:eastAsia="楷体"/>
          <w:color w:val="auto"/>
          <w:sz w:val="21"/>
          <w:szCs w:val="21"/>
        </w:rPr>
        <w:t>认购本产品，投资金额为10,000.00元，</w:t>
      </w:r>
      <w:r>
        <w:rPr>
          <w:rFonts w:hint="eastAsia" w:ascii="楷体" w:hAnsi="楷体" w:eastAsia="楷体"/>
          <w:color w:val="auto"/>
          <w:sz w:val="21"/>
          <w:szCs w:val="21"/>
          <w:lang w:val="en-US" w:eastAsia="zh-CN"/>
        </w:rPr>
        <w:t>产品份额面值</w:t>
      </w:r>
      <w:r>
        <w:rPr>
          <w:rFonts w:hint="eastAsia" w:ascii="楷体" w:hAnsi="楷体" w:eastAsia="楷体"/>
          <w:color w:val="auto"/>
          <w:sz w:val="21"/>
          <w:szCs w:val="21"/>
        </w:rPr>
        <w:t>为1元</w:t>
      </w:r>
      <w:r>
        <w:rPr>
          <w:rFonts w:hint="eastAsia" w:ascii="楷体" w:hAnsi="楷体" w:eastAsia="楷体"/>
          <w:color w:val="auto"/>
          <w:sz w:val="21"/>
          <w:szCs w:val="21"/>
          <w:lang w:val="en-US" w:eastAsia="zh-CN"/>
        </w:rPr>
        <w:t>/份</w:t>
      </w:r>
      <w:r>
        <w:rPr>
          <w:rFonts w:hint="eastAsia" w:ascii="楷体" w:hAnsi="楷体" w:eastAsia="楷体"/>
          <w:color w:val="auto"/>
          <w:sz w:val="21"/>
          <w:szCs w:val="21"/>
        </w:rPr>
        <w:t>，折算份额为10,000.00份。产品到期时，产品单位净值为</w:t>
      </w:r>
      <w:r>
        <w:rPr>
          <w:rFonts w:ascii="楷体" w:hAnsi="楷体" w:eastAsia="楷体"/>
          <w:color w:val="auto"/>
          <w:sz w:val="21"/>
          <w:szCs w:val="21"/>
        </w:rPr>
        <w:t>0.9975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投资者可得资金=10,000.00×0.9975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投资者投资收益=9,975.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-10,000.00=-</w:t>
      </w:r>
      <w:r>
        <w:rPr>
          <w:rFonts w:ascii="楷体" w:hAnsi="楷体" w:eastAsia="楷体"/>
          <w:color w:val="auto"/>
          <w:sz w:val="21"/>
          <w:szCs w:val="21"/>
        </w:rPr>
        <w:t>2</w:t>
      </w:r>
      <w:r>
        <w:rPr>
          <w:rFonts w:hint="eastAsia" w:ascii="楷体" w:hAnsi="楷体" w:eastAsia="楷体"/>
          <w:color w:val="auto"/>
          <w:sz w:val="21"/>
          <w:szCs w:val="21"/>
          <w:lang w:val="en-US" w:eastAsia="zh-CN"/>
        </w:rPr>
        <w:t>4</w:t>
      </w:r>
      <w:r>
        <w:rPr>
          <w:rFonts w:hint="eastAsia" w:ascii="楷体" w:hAnsi="楷体" w:eastAsia="楷体"/>
          <w:color w:val="auto"/>
          <w:sz w:val="21"/>
          <w:szCs w:val="21"/>
        </w:rPr>
        <w:t>.</w:t>
      </w:r>
      <w:r>
        <w:rPr>
          <w:rFonts w:ascii="楷体" w:hAnsi="楷体" w:eastAsia="楷体"/>
          <w:color w:val="auto"/>
          <w:sz w:val="21"/>
          <w:szCs w:val="21"/>
        </w:rPr>
        <w:t>0</w:t>
      </w:r>
      <w:r>
        <w:rPr>
          <w:rFonts w:hint="eastAsia" w:ascii="楷体" w:hAnsi="楷体" w:eastAsia="楷体"/>
          <w:color w:val="auto"/>
          <w:sz w:val="21"/>
          <w:szCs w:val="21"/>
          <w:lang w:val="en-US" w:eastAsia="zh-CN"/>
        </w:rPr>
        <w:t>6</w:t>
      </w:r>
      <w:r>
        <w:rPr>
          <w:rFonts w:hint="eastAsia" w:ascii="楷体" w:hAnsi="楷体" w:eastAsia="楷体"/>
          <w:color w:val="auto"/>
          <w:sz w:val="21"/>
          <w:szCs w:val="21"/>
        </w:rPr>
        <w:t>（元）</w:t>
      </w:r>
    </w:p>
    <w:p>
      <w:pPr>
        <w:ind w:firstLine="422" w:firstLineChars="200"/>
        <w:rPr>
          <w:rFonts w:hint="eastAsia" w:ascii="楷体" w:hAnsi="楷体" w:eastAsia="楷体"/>
          <w:b/>
          <w:color w:val="auto"/>
          <w:sz w:val="21"/>
          <w:szCs w:val="21"/>
          <w:u w:val="single"/>
        </w:rPr>
      </w:pPr>
      <w:r>
        <w:rPr>
          <w:rFonts w:hint="eastAsia" w:ascii="楷体" w:hAnsi="楷体" w:eastAsia="楷体"/>
          <w:b/>
          <w:color w:val="auto"/>
          <w:sz w:val="21"/>
          <w:szCs w:val="21"/>
          <w:u w:val="single"/>
        </w:rPr>
        <w:t>最不利的情形下，投资者可能损失100%本金。</w:t>
      </w:r>
    </w:p>
    <w:p>
      <w:pPr>
        <w:numPr>
          <w:ilvl w:val="-1"/>
          <w:numId w:val="0"/>
        </w:numPr>
        <w:ind w:firstLine="422" w:firstLineChars="200"/>
        <w:rPr>
          <w:rFonts w:hint="eastAsia" w:ascii="楷体" w:hAnsi="楷体" w:eastAsia="楷体"/>
          <w:b/>
          <w:color w:val="auto"/>
          <w:sz w:val="21"/>
          <w:szCs w:val="21"/>
        </w:rPr>
      </w:pPr>
      <w:r>
        <w:rPr>
          <w:rFonts w:hint="eastAsia" w:ascii="楷体" w:hAnsi="楷体" w:eastAsia="楷体"/>
          <w:b/>
          <w:color w:val="auto"/>
          <w:sz w:val="21"/>
          <w:szCs w:val="21"/>
          <w:u w:val="single"/>
        </w:rPr>
        <w:t>上述情况假设仅用于向投资者示例收益计算方法之用，并不代表管理人对实际投资情况的预期判断，也不代表以上所有情形或某一情形一定会发生，或管理人认为发生的可能性很大。投资者获得的最终收益以产品实际运作表现及管理人实际支付为准。</w:t>
      </w:r>
    </w:p>
    <w:p>
      <w:pPr>
        <w:numPr>
          <w:ilvl w:val="0"/>
          <w:numId w:val="2"/>
        </w:numPr>
        <w:tabs>
          <w:tab w:val="left" w:pos="1428"/>
        </w:tabs>
        <w:ind w:left="420" w:leftChars="0" w:firstLine="0" w:firstLineChars="0"/>
        <w:rPr>
          <w:rFonts w:hint="eastAsia" w:ascii="楷体" w:hAnsi="楷体" w:eastAsia="楷体"/>
          <w:b/>
          <w:bCs w:val="0"/>
          <w:sz w:val="21"/>
          <w:szCs w:val="21"/>
          <w:highlight w:val="none"/>
        </w:rPr>
      </w:pPr>
      <w:r>
        <w:rPr>
          <w:rFonts w:hint="eastAsia" w:ascii="楷体" w:hAnsi="楷体" w:eastAsia="楷体"/>
          <w:b/>
          <w:bCs w:val="0"/>
          <w:color w:val="auto"/>
          <w:sz w:val="21"/>
          <w:szCs w:val="21"/>
          <w:lang w:val="en-US" w:eastAsia="zh-CN"/>
        </w:rPr>
        <w:t>产品费用</w:t>
      </w:r>
    </w:p>
    <w:p>
      <w:pPr>
        <w:numPr>
          <w:ilvl w:val="-1"/>
          <w:numId w:val="0"/>
        </w:numPr>
        <w:ind w:left="0" w:firstLine="420" w:firstLineChars="200"/>
        <w:rPr>
          <w:rFonts w:hint="default" w:ascii="楷体" w:hAnsi="楷体" w:eastAsia="楷体" w:cs="Calibri"/>
          <w:color w:val="auto"/>
          <w:sz w:val="21"/>
          <w:szCs w:val="21"/>
        </w:rPr>
      </w:pPr>
      <w:r>
        <w:rPr>
          <w:rFonts w:hint="eastAsia" w:ascii="楷体" w:hAnsi="楷体" w:eastAsia="楷体"/>
          <w:color w:val="auto"/>
          <w:sz w:val="21"/>
          <w:szCs w:val="21"/>
        </w:rPr>
        <w:t>本产品费用包括托管费、销售服务费、投资管理费、超额业绩报酬（如有）以及产品运作和清算中产生的其他费用等。</w:t>
      </w:r>
      <w:r>
        <w:rPr>
          <w:rFonts w:hint="eastAsia" w:ascii="楷体" w:hAnsi="楷体" w:eastAsia="楷体" w:cs="Calibri"/>
          <w:color w:val="auto"/>
          <w:sz w:val="21"/>
          <w:szCs w:val="21"/>
        </w:rPr>
        <w:t>计提方法</w:t>
      </w:r>
      <w:r>
        <w:rPr>
          <w:rFonts w:hint="eastAsia" w:ascii="楷体" w:hAnsi="楷体" w:eastAsia="楷体" w:cs="Calibri"/>
          <w:color w:val="auto"/>
          <w:sz w:val="21"/>
          <w:szCs w:val="21"/>
          <w:lang w:val="en-US" w:eastAsia="zh-CN"/>
        </w:rPr>
        <w:t>如下:</w:t>
      </w:r>
    </w:p>
    <w:p>
      <w:pPr>
        <w:numPr>
          <w:ilvl w:val="0"/>
          <w:numId w:val="10"/>
        </w:numPr>
        <w:tabs>
          <w:tab w:val="left" w:pos="728"/>
        </w:tabs>
        <w:ind w:left="0" w:firstLine="420" w:firstLineChars="200"/>
        <w:rPr>
          <w:rFonts w:hint="eastAsia" w:ascii="楷体" w:hAnsi="楷体" w:eastAsia="楷体"/>
          <w:sz w:val="21"/>
          <w:szCs w:val="21"/>
        </w:rPr>
      </w:pPr>
      <w:r>
        <w:rPr>
          <w:rFonts w:hint="eastAsia" w:ascii="楷体" w:hAnsi="楷体" w:eastAsia="楷体" w:cs="Calibri"/>
          <w:color w:val="auto"/>
          <w:sz w:val="21"/>
          <w:szCs w:val="21"/>
        </w:rPr>
        <w:t>托管费：每日计提，</w:t>
      </w:r>
      <w:r>
        <w:rPr>
          <w:rFonts w:hint="eastAsia" w:ascii="楷体" w:hAnsi="楷体" w:eastAsia="楷体"/>
          <w:sz w:val="21"/>
          <w:szCs w:val="21"/>
        </w:rPr>
        <w:t>每日应计提的托管费＝前一日的产品资产净值×托管费率÷</w:t>
      </w:r>
      <w:r>
        <w:rPr>
          <w:rFonts w:ascii="楷体" w:hAnsi="楷体" w:eastAsia="楷体"/>
          <w:sz w:val="21"/>
          <w:szCs w:val="21"/>
        </w:rPr>
        <w:t>365</w:t>
      </w:r>
    </w:p>
    <w:p>
      <w:pPr>
        <w:numPr>
          <w:ilvl w:val="0"/>
          <w:numId w:val="10"/>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销售服务费：</w:t>
      </w:r>
    </w:p>
    <w:p>
      <w:pPr>
        <w:numPr>
          <w:ilvl w:val="-1"/>
          <w:numId w:val="0"/>
        </w:numPr>
        <w:tabs>
          <w:tab w:val="left" w:pos="728"/>
        </w:tabs>
        <w:ind w:firstLine="420" w:firstLineChars="200"/>
        <w:rPr>
          <w:rFonts w:ascii="楷体" w:hAnsi="楷体" w:eastAsia="楷体"/>
          <w:sz w:val="21"/>
          <w:szCs w:val="21"/>
        </w:rPr>
      </w:pPr>
      <w:r>
        <w:rPr>
          <w:rFonts w:hint="default" w:ascii="Calibri" w:hAnsi="Calibri" w:eastAsia="楷体" w:cs="Calibri"/>
          <w:color w:val="auto"/>
          <w:sz w:val="21"/>
          <w:szCs w:val="21"/>
        </w:rPr>
        <w:t>①</w:t>
      </w:r>
      <w:r>
        <w:rPr>
          <w:rFonts w:hint="eastAsia" w:ascii="Calibri" w:hAnsi="Calibri" w:eastAsia="楷体" w:cs="Calibri"/>
          <w:color w:val="auto"/>
          <w:sz w:val="21"/>
          <w:szCs w:val="21"/>
          <w:lang w:val="en-US" w:eastAsia="zh-CN"/>
        </w:rPr>
        <w:t>每日计提模式：</w:t>
      </w:r>
      <w:r>
        <w:rPr>
          <w:rFonts w:hint="eastAsia" w:ascii="楷体" w:hAnsi="楷体" w:eastAsia="楷体" w:cs="Calibri"/>
          <w:color w:val="auto"/>
          <w:sz w:val="21"/>
          <w:szCs w:val="21"/>
        </w:rPr>
        <w:t>每日计提</w:t>
      </w:r>
      <w:r>
        <w:rPr>
          <w:rFonts w:hint="eastAsia" w:ascii="楷体" w:hAnsi="楷体" w:eastAsia="楷体" w:cs="Calibri"/>
          <w:color w:val="auto"/>
          <w:sz w:val="21"/>
          <w:szCs w:val="21"/>
          <w:lang w:eastAsia="zh-CN"/>
        </w:rPr>
        <w:t>，</w:t>
      </w:r>
      <w:r>
        <w:rPr>
          <w:rFonts w:hint="eastAsia" w:ascii="楷体" w:hAnsi="楷体" w:eastAsia="楷体"/>
          <w:sz w:val="21"/>
          <w:szCs w:val="21"/>
        </w:rPr>
        <w:t>每日应计提的销售服务费＝前一日的产品资产净值×销售服务费率÷</w:t>
      </w:r>
      <w:r>
        <w:rPr>
          <w:rFonts w:ascii="楷体" w:hAnsi="楷体" w:eastAsia="楷体"/>
          <w:sz w:val="21"/>
          <w:szCs w:val="21"/>
        </w:rPr>
        <w:t>365</w:t>
      </w:r>
    </w:p>
    <w:p>
      <w:pPr>
        <w:ind w:firstLine="420" w:firstLineChars="200"/>
        <w:rPr>
          <w:rFonts w:hint="eastAsia" w:ascii="楷体" w:hAnsi="楷体" w:eastAsia="楷体"/>
          <w:szCs w:val="21"/>
        </w:rPr>
      </w:pPr>
      <w:r>
        <w:rPr>
          <w:rFonts w:hint="default" w:ascii="Calibri" w:hAnsi="Calibri" w:eastAsia="楷体" w:cs="Calibri"/>
          <w:szCs w:val="21"/>
        </w:rPr>
        <w:t>②</w:t>
      </w:r>
      <w:r>
        <w:rPr>
          <w:rFonts w:hint="eastAsia" w:ascii="Calibri" w:hAnsi="Calibri" w:eastAsia="楷体" w:cs="Calibri"/>
          <w:szCs w:val="21"/>
          <w:lang w:val="en-US" w:eastAsia="zh-CN"/>
        </w:rPr>
        <w:t>一次性提取模式：</w:t>
      </w:r>
      <w:r>
        <w:rPr>
          <w:rFonts w:hint="eastAsia" w:ascii="楷体" w:hAnsi="楷体" w:eastAsia="楷体"/>
          <w:szCs w:val="21"/>
        </w:rPr>
        <w:t>成立日一次性提取，每日摊销</w:t>
      </w:r>
      <w:r>
        <w:rPr>
          <w:rFonts w:hint="eastAsia" w:ascii="楷体" w:hAnsi="楷体" w:eastAsia="楷体"/>
          <w:szCs w:val="21"/>
          <w:lang w:eastAsia="zh-CN"/>
        </w:rPr>
        <w:t>，</w:t>
      </w:r>
      <w:r>
        <w:rPr>
          <w:rFonts w:hint="eastAsia" w:ascii="楷体" w:hAnsi="楷体" w:eastAsia="楷体"/>
          <w:szCs w:val="21"/>
        </w:rPr>
        <w:t>销售服务费＝产品成立日的产品份额×销售服务费率×产品投资期限天数÷365</w:t>
      </w:r>
    </w:p>
    <w:p>
      <w:pPr>
        <w:numPr>
          <w:ilvl w:val="0"/>
          <w:numId w:val="10"/>
        </w:numPr>
        <w:tabs>
          <w:tab w:val="left" w:pos="728"/>
        </w:tabs>
        <w:ind w:left="0" w:firstLine="420" w:firstLineChars="200"/>
        <w:rPr>
          <w:rFonts w:hint="eastAsia" w:ascii="楷体" w:hAnsi="楷体" w:eastAsia="楷体"/>
          <w:sz w:val="21"/>
          <w:szCs w:val="21"/>
        </w:rPr>
      </w:pPr>
      <w:r>
        <w:rPr>
          <w:rFonts w:hint="eastAsia" w:ascii="楷体" w:hAnsi="楷体" w:eastAsia="楷体" w:cs="Calibri"/>
          <w:color w:val="auto"/>
          <w:sz w:val="21"/>
          <w:szCs w:val="21"/>
        </w:rPr>
        <w:t>投资管理费：每日计提，</w:t>
      </w:r>
      <w:r>
        <w:rPr>
          <w:rFonts w:hint="eastAsia" w:ascii="楷体" w:hAnsi="楷体" w:eastAsia="楷体"/>
          <w:sz w:val="21"/>
          <w:szCs w:val="21"/>
        </w:rPr>
        <w:t>每日应计提的投资管理费＝前一日的产品资产净值×投资管理费率÷</w:t>
      </w:r>
      <w:r>
        <w:rPr>
          <w:rFonts w:ascii="楷体" w:hAnsi="楷体" w:eastAsia="楷体"/>
          <w:sz w:val="21"/>
          <w:szCs w:val="21"/>
        </w:rPr>
        <w:t>365</w:t>
      </w:r>
    </w:p>
    <w:p>
      <w:pPr>
        <w:numPr>
          <w:ilvl w:val="0"/>
          <w:numId w:val="10"/>
        </w:numPr>
        <w:tabs>
          <w:tab w:val="left" w:pos="728"/>
        </w:tabs>
        <w:ind w:left="0" w:firstLine="420" w:firstLineChars="200"/>
        <w:rPr>
          <w:rFonts w:ascii="楷体" w:hAnsi="楷体" w:eastAsia="楷体"/>
          <w:color w:val="auto"/>
          <w:sz w:val="21"/>
          <w:szCs w:val="21"/>
        </w:rPr>
      </w:pPr>
      <w:r>
        <w:rPr>
          <w:rFonts w:hint="eastAsia" w:ascii="楷体" w:hAnsi="楷体" w:eastAsia="楷体" w:cs="Calibri"/>
          <w:color w:val="auto"/>
          <w:sz w:val="21"/>
          <w:szCs w:val="21"/>
        </w:rPr>
        <w:t>超额业绩报酬</w:t>
      </w:r>
      <w:r>
        <w:rPr>
          <w:rFonts w:hint="eastAsia" w:ascii="楷体" w:hAnsi="楷体" w:eastAsia="楷体" w:cs="Calibri"/>
          <w:color w:val="auto"/>
          <w:sz w:val="21"/>
          <w:szCs w:val="21"/>
          <w:lang w:eastAsia="zh-CN"/>
        </w:rPr>
        <w:t>（</w:t>
      </w:r>
      <w:r>
        <w:rPr>
          <w:rFonts w:hint="eastAsia" w:ascii="楷体" w:hAnsi="楷体" w:eastAsia="楷体" w:cs="Calibri"/>
          <w:color w:val="auto"/>
          <w:sz w:val="21"/>
          <w:szCs w:val="21"/>
          <w:lang w:val="en-US" w:eastAsia="zh-CN"/>
        </w:rPr>
        <w:t>如有）</w:t>
      </w:r>
      <w:r>
        <w:rPr>
          <w:rFonts w:hint="eastAsia" w:ascii="楷体" w:hAnsi="楷体" w:eastAsia="楷体"/>
          <w:color w:val="auto"/>
          <w:sz w:val="21"/>
          <w:szCs w:val="21"/>
        </w:rPr>
        <w:t>：</w:t>
      </w:r>
      <w:r>
        <w:rPr>
          <w:rFonts w:hint="eastAsia" w:ascii="楷体" w:hAnsi="楷体" w:eastAsia="楷体" w:cs="Calibri"/>
          <w:sz w:val="21"/>
          <w:szCs w:val="21"/>
          <w:highlight w:val="none"/>
        </w:rPr>
        <w:t>管理人按</w:t>
      </w:r>
      <w:r>
        <w:rPr>
          <w:rFonts w:hint="eastAsia" w:ascii="楷体" w:hAnsi="楷体" w:eastAsia="楷体" w:cs="Calibri"/>
          <w:sz w:val="21"/>
          <w:szCs w:val="21"/>
          <w:highlight w:val="none"/>
          <w:lang w:val="en-US" w:eastAsia="zh-CN"/>
        </w:rPr>
        <w:t>产品存续期</w:t>
      </w:r>
      <w:r>
        <w:rPr>
          <w:rFonts w:hint="eastAsia" w:ascii="楷体" w:hAnsi="楷体" w:eastAsia="楷体" w:cs="Calibri"/>
          <w:sz w:val="21"/>
          <w:szCs w:val="21"/>
          <w:highlight w:val="none"/>
        </w:rPr>
        <w:t>收取超额业绩报酬</w:t>
      </w:r>
      <w:r>
        <w:rPr>
          <w:rFonts w:hint="eastAsia" w:ascii="楷体" w:hAnsi="楷体" w:eastAsia="楷体" w:cs="Calibri"/>
          <w:sz w:val="21"/>
          <w:szCs w:val="21"/>
          <w:highlight w:val="none"/>
          <w:lang w:eastAsia="zh-CN"/>
        </w:rPr>
        <w:t>，</w:t>
      </w:r>
      <w:r>
        <w:rPr>
          <w:rFonts w:hint="eastAsia" w:ascii="楷体" w:hAnsi="楷体" w:eastAsia="楷体" w:cs="Calibri"/>
          <w:sz w:val="21"/>
          <w:szCs w:val="21"/>
          <w:highlight w:val="none"/>
          <w:lang w:val="en-US" w:eastAsia="zh-CN"/>
        </w:rPr>
        <w:t>超额业绩报酬计算详见“产品要素”。</w:t>
      </w:r>
    </w:p>
    <w:p>
      <w:pPr>
        <w:numPr>
          <w:ilvl w:val="0"/>
          <w:numId w:val="10"/>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产品运作和清算中产生的交易手续费、注册登记费、账户服务费、审计费及其他应由本产品承担的费用从产品中列支。</w:t>
      </w:r>
    </w:p>
    <w:p>
      <w:pPr>
        <w:numPr>
          <w:ilvl w:val="0"/>
          <w:numId w:val="10"/>
        </w:numPr>
        <w:tabs>
          <w:tab w:val="left" w:pos="728"/>
        </w:tabs>
        <w:ind w:left="0" w:firstLine="420" w:firstLineChars="200"/>
        <w:rPr>
          <w:rFonts w:hint="eastAsia"/>
        </w:rPr>
      </w:pPr>
      <w:r>
        <w:rPr>
          <w:rFonts w:hint="eastAsia" w:ascii="楷体" w:hAnsi="楷体" w:eastAsia="楷体" w:cs="Calibri"/>
          <w:color w:val="auto"/>
          <w:szCs w:val="21"/>
        </w:rPr>
        <w:t>本产品不收取认购费用、申购费用、赎回费用。</w:t>
      </w:r>
    </w:p>
    <w:p>
      <w:pPr>
        <w:numPr>
          <w:ilvl w:val="0"/>
          <w:numId w:val="10"/>
        </w:numPr>
        <w:tabs>
          <w:tab w:val="left" w:pos="728"/>
        </w:tabs>
        <w:ind w:left="0" w:firstLine="420" w:firstLineChars="200"/>
        <w:rPr>
          <w:rFonts w:hint="eastAsia" w:ascii="楷体" w:hAnsi="楷体" w:eastAsia="楷体" w:cs="楷体"/>
          <w:sz w:val="21"/>
          <w:szCs w:val="21"/>
          <w:highlight w:val="none"/>
        </w:rPr>
      </w:pPr>
      <w:r>
        <w:rPr>
          <w:rFonts w:hint="eastAsia" w:ascii="楷体" w:hAnsi="楷体" w:eastAsia="楷体" w:cs="Calibri"/>
          <w:color w:val="auto"/>
          <w:szCs w:val="21"/>
          <w:lang w:val="en-US" w:eastAsia="zh-CN"/>
        </w:rPr>
        <w:t>费用计算</w:t>
      </w:r>
      <w:r>
        <w:rPr>
          <w:rFonts w:hint="eastAsia" w:ascii="楷体" w:hAnsi="楷体" w:eastAsia="楷体" w:cs="Calibri"/>
          <w:color w:val="auto"/>
          <w:szCs w:val="21"/>
        </w:rPr>
        <w:t>四舍五入保留至小数点后两位</w:t>
      </w:r>
      <w:r>
        <w:rPr>
          <w:rFonts w:hint="eastAsia" w:ascii="楷体" w:hAnsi="楷体" w:eastAsia="楷体" w:cs="Calibri"/>
          <w:color w:val="auto"/>
          <w:szCs w:val="21"/>
          <w:lang w:eastAsia="zh-CN"/>
        </w:rPr>
        <w:t>。</w:t>
      </w:r>
    </w:p>
    <w:p>
      <w:pPr>
        <w:ind w:firstLine="420" w:firstLineChars="200"/>
        <w:rPr>
          <w:rFonts w:hint="eastAsia" w:ascii="楷体" w:hAnsi="楷体" w:eastAsia="楷体"/>
          <w:sz w:val="21"/>
          <w:szCs w:val="21"/>
          <w:highlight w:val="none"/>
        </w:rPr>
      </w:pPr>
      <w:r>
        <w:rPr>
          <w:rFonts w:hint="eastAsia" w:ascii="楷体" w:hAnsi="楷体" w:eastAsia="楷体" w:cs="楷体"/>
          <w:sz w:val="21"/>
          <w:szCs w:val="21"/>
          <w:highlight w:val="none"/>
        </w:rPr>
        <w:t>产品管理人有权根据市场情况等</w:t>
      </w:r>
      <w:r>
        <w:rPr>
          <w:rFonts w:hint="eastAsia" w:ascii="楷体" w:hAnsi="楷体" w:eastAsia="楷体" w:cs="楷体"/>
          <w:sz w:val="21"/>
          <w:szCs w:val="21"/>
          <w:highlight w:val="none"/>
          <w:lang w:val="en-US" w:eastAsia="zh-CN"/>
        </w:rPr>
        <w:t>因素</w:t>
      </w:r>
      <w:r>
        <w:rPr>
          <w:rFonts w:hint="eastAsia" w:ascii="楷体" w:hAnsi="楷体" w:eastAsia="楷体" w:cs="楷体"/>
          <w:sz w:val="21"/>
          <w:szCs w:val="21"/>
          <w:highlight w:val="none"/>
        </w:rPr>
        <w:t>调整上述各项费用费率和超额业绩报酬收取方式及比例，</w:t>
      </w:r>
      <w:r>
        <w:rPr>
          <w:rFonts w:hint="eastAsia" w:ascii="楷体" w:hAnsi="楷体" w:eastAsia="楷体" w:cs="Times New Roman"/>
          <w:color w:val="auto"/>
          <w:kern w:val="2"/>
          <w:sz w:val="21"/>
          <w:szCs w:val="21"/>
          <w:lang w:val="en-US" w:eastAsia="zh-CN" w:bidi="ar-SA"/>
        </w:rPr>
        <w:t>产品管理人将于调整事项生效前2个工作日通过短信、苏银理财有限责任公司官方网站（www.suyinwealth.com）、销售机构电子渠道和营业网点等方式进行信息披露。此种情况下产品管理人可能开放赎回，具体以届时产品管理人公告为准。若本理财产品的投资者不接受上述调整，可及时通过销售机构赎回本产品；若本理财产品投资者未在约定的时间内赎回本产品，则视为本理财产品投资者接受相关调整且同意继续持有本理财产品。</w:t>
      </w:r>
    </w:p>
    <w:p>
      <w:pPr>
        <w:numPr>
          <w:ilvl w:val="0"/>
          <w:numId w:val="2"/>
        </w:numPr>
        <w:tabs>
          <w:tab w:val="left" w:pos="1134"/>
        </w:tabs>
        <w:ind w:left="420" w:leftChars="0" w:firstLine="0" w:firstLineChars="0"/>
        <w:rPr>
          <w:rFonts w:ascii="楷体" w:hAnsi="楷体" w:eastAsia="楷体"/>
          <w:b/>
          <w:color w:val="auto"/>
          <w:sz w:val="21"/>
          <w:szCs w:val="21"/>
        </w:rPr>
      </w:pPr>
      <w:r>
        <w:rPr>
          <w:rFonts w:hint="eastAsia" w:ascii="楷体" w:hAnsi="楷体" w:eastAsia="楷体"/>
          <w:b/>
          <w:color w:val="auto"/>
          <w:sz w:val="21"/>
          <w:szCs w:val="21"/>
        </w:rPr>
        <w:t>产品估值</w:t>
      </w:r>
    </w:p>
    <w:p>
      <w:pPr>
        <w:numPr>
          <w:ilvl w:val="0"/>
          <w:numId w:val="11"/>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估值对象</w:t>
      </w:r>
    </w:p>
    <w:p>
      <w:pPr>
        <w:ind w:firstLine="420" w:firstLineChars="200"/>
        <w:rPr>
          <w:rFonts w:ascii="楷体" w:hAnsi="楷体" w:eastAsia="楷体"/>
          <w:color w:val="auto"/>
          <w:sz w:val="21"/>
          <w:szCs w:val="21"/>
        </w:rPr>
      </w:pPr>
      <w:r>
        <w:rPr>
          <w:rFonts w:hint="eastAsia" w:ascii="楷体" w:hAnsi="楷体" w:eastAsia="楷体"/>
          <w:color w:val="auto"/>
          <w:sz w:val="21"/>
          <w:szCs w:val="21"/>
        </w:rPr>
        <w:t>本产品所拥有的各类证券、银行存款、应收款项及其它资产及负债。</w:t>
      </w:r>
    </w:p>
    <w:p>
      <w:pPr>
        <w:numPr>
          <w:ilvl w:val="0"/>
          <w:numId w:val="11"/>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估值要求</w:t>
      </w:r>
    </w:p>
    <w:p>
      <w:pPr>
        <w:numPr>
          <w:ilvl w:val="0"/>
          <w:numId w:val="12"/>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本产品资产估值的目的是客观、准确</w:t>
      </w:r>
      <w:r>
        <w:rPr>
          <w:rFonts w:hint="eastAsia" w:ascii="楷体" w:hAnsi="楷体" w:eastAsia="楷体" w:cs="Calibri"/>
          <w:color w:val="auto"/>
          <w:sz w:val="21"/>
          <w:szCs w:val="21"/>
          <w:lang w:val="en-US" w:eastAsia="zh-CN"/>
        </w:rPr>
        <w:t>地</w:t>
      </w:r>
      <w:r>
        <w:rPr>
          <w:rFonts w:hint="eastAsia" w:ascii="楷体" w:hAnsi="楷体" w:eastAsia="楷体" w:cs="Calibri"/>
          <w:color w:val="auto"/>
          <w:sz w:val="21"/>
          <w:szCs w:val="21"/>
        </w:rPr>
        <w:t>反映资产净值，确定理财产品资产净值，并为理财产品的兑付提供计价依据。</w:t>
      </w:r>
    </w:p>
    <w:p>
      <w:pPr>
        <w:numPr>
          <w:ilvl w:val="0"/>
          <w:numId w:val="12"/>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本产品单位净值精确到小数点后</w:t>
      </w:r>
      <w:r>
        <w:rPr>
          <w:rFonts w:hint="eastAsia" w:ascii="楷体" w:hAnsi="楷体" w:eastAsia="楷体" w:cs="Calibri"/>
          <w:color w:val="auto"/>
          <w:sz w:val="21"/>
          <w:szCs w:val="21"/>
          <w:lang w:val="en-US" w:eastAsia="zh-CN"/>
        </w:rPr>
        <w:t>6</w:t>
      </w:r>
      <w:r>
        <w:rPr>
          <w:rFonts w:hint="eastAsia" w:ascii="楷体" w:hAnsi="楷体" w:eastAsia="楷体" w:cs="Calibri"/>
          <w:color w:val="auto"/>
          <w:sz w:val="21"/>
          <w:szCs w:val="21"/>
        </w:rPr>
        <w:t>位，小数点</w:t>
      </w:r>
      <w:r>
        <w:rPr>
          <w:rFonts w:hint="eastAsia" w:ascii="楷体" w:hAnsi="楷体" w:eastAsia="楷体" w:cs="Calibri"/>
          <w:color w:val="auto"/>
          <w:sz w:val="21"/>
          <w:szCs w:val="21"/>
          <w:lang w:val="en-US" w:eastAsia="zh-CN"/>
        </w:rPr>
        <w:t>6</w:t>
      </w:r>
      <w:r>
        <w:rPr>
          <w:rFonts w:hint="eastAsia" w:ascii="楷体" w:hAnsi="楷体" w:eastAsia="楷体" w:cs="Calibri"/>
          <w:color w:val="auto"/>
          <w:sz w:val="21"/>
          <w:szCs w:val="21"/>
        </w:rPr>
        <w:t>位后截位。</w:t>
      </w:r>
    </w:p>
    <w:p>
      <w:pPr>
        <w:numPr>
          <w:ilvl w:val="0"/>
          <w:numId w:val="11"/>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估值方法</w:t>
      </w:r>
    </w:p>
    <w:p>
      <w:pPr>
        <w:ind w:firstLine="420" w:firstLineChars="200"/>
        <w:rPr>
          <w:rFonts w:hint="eastAsia" w:ascii="楷体" w:hAnsi="楷体" w:eastAsia="楷体"/>
          <w:b w:val="0"/>
          <w:bCs w:val="0"/>
          <w:color w:val="auto"/>
          <w:sz w:val="21"/>
          <w:szCs w:val="21"/>
          <w:highlight w:val="none"/>
        </w:rPr>
      </w:pPr>
      <w:r>
        <w:rPr>
          <w:rFonts w:hint="eastAsia" w:ascii="楷体" w:hAnsi="楷体" w:eastAsia="楷体"/>
          <w:b w:val="0"/>
          <w:bCs w:val="0"/>
          <w:color w:val="auto"/>
          <w:sz w:val="21"/>
          <w:szCs w:val="21"/>
          <w:highlight w:val="none"/>
        </w:rPr>
        <w:t>1.存款类资产、货币市场工具：以本金列示，逐日计提利息。</w:t>
      </w:r>
    </w:p>
    <w:p>
      <w:pPr>
        <w:ind w:firstLine="420" w:firstLineChars="200"/>
        <w:rPr>
          <w:rFonts w:hint="eastAsia" w:ascii="楷体" w:hAnsi="楷体" w:eastAsia="楷体"/>
          <w:b w:val="0"/>
          <w:bCs w:val="0"/>
          <w:color w:val="auto"/>
          <w:sz w:val="21"/>
          <w:szCs w:val="21"/>
          <w:highlight w:val="none"/>
        </w:rPr>
      </w:pPr>
      <w:r>
        <w:rPr>
          <w:rFonts w:hint="eastAsia" w:ascii="楷体" w:hAnsi="楷体" w:eastAsia="楷体"/>
          <w:b w:val="0"/>
          <w:bCs w:val="0"/>
          <w:color w:val="auto"/>
          <w:sz w:val="21"/>
          <w:szCs w:val="21"/>
          <w:highlight w:val="none"/>
        </w:rPr>
        <w:t>2.货币市场基金：按公允价值进行估值，以估值截止时间点能够取得的最新每万份收益进行估值。</w:t>
      </w:r>
    </w:p>
    <w:p>
      <w:pPr>
        <w:ind w:firstLine="420" w:firstLineChars="200"/>
        <w:rPr>
          <w:rFonts w:hint="eastAsia" w:ascii="楷体" w:hAnsi="楷体" w:eastAsia="楷体"/>
          <w:color w:val="auto"/>
          <w:sz w:val="21"/>
          <w:szCs w:val="21"/>
        </w:rPr>
      </w:pPr>
      <w:r>
        <w:rPr>
          <w:rFonts w:hint="eastAsia" w:ascii="楷体" w:hAnsi="楷体" w:eastAsia="楷体"/>
          <w:b w:val="0"/>
          <w:bCs w:val="0"/>
          <w:color w:val="auto"/>
          <w:sz w:val="21"/>
          <w:szCs w:val="21"/>
          <w:highlight w:val="none"/>
        </w:rPr>
        <w:t>3.债券类资产：按公允价值进行估值，采用市价、监管认可的第三方估值机构提供的估值价格进行估值。</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4.债权类资产：按公允价值进行估值。对于以收取合同现金流量为目的并持有到期的债权类资产，金融资产暂不具备活跃交易市场，或者在活跃市场中没有报价，且符合会计准则及监管规定，按摊余成本法进行估值，并按照会计准则采用合理减值计量模型或第三方减值计量结果进行预期信用损失的减值计提。计提减值不等同于金融资产已发生损失，仅为对未来风险的审慎预期。</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5.权益类资产：按公允价值进行估值，采用市价、监管认可的第三方估值机构提供的估值价格进行估值。</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6.证券、基金、保险等资产管理计划和信托计划等资产（不含货币市场基金）：按公允价值进行估值，上述各类资管产品关于同一投资品种的估值原则、政策、技术和方法等应与理财产品管理人保持一致，理财产品管理人将按照会计准则要求定期进行评估。</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7.其他资产：按公允价值进行估值。</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如有新增事项或变更事项，按国家法律法规及监管最新规定执行。</w:t>
      </w:r>
    </w:p>
    <w:p>
      <w:pPr>
        <w:numPr>
          <w:ilvl w:val="0"/>
          <w:numId w:val="11"/>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估值错误的处理</w:t>
      </w:r>
    </w:p>
    <w:p>
      <w:pPr>
        <w:ind w:firstLine="420" w:firstLineChars="200"/>
        <w:rPr>
          <w:rFonts w:ascii="楷体" w:hAnsi="楷体" w:eastAsia="楷体"/>
          <w:color w:val="auto"/>
          <w:sz w:val="21"/>
          <w:szCs w:val="21"/>
        </w:rPr>
      </w:pPr>
      <w:r>
        <w:rPr>
          <w:rFonts w:hint="eastAsia" w:ascii="楷体" w:hAnsi="楷体" w:eastAsia="楷体"/>
          <w:color w:val="auto"/>
          <w:sz w:val="21"/>
          <w:szCs w:val="21"/>
        </w:rPr>
        <w:t>产品管理人和产品托管人将采取必要、适当合理的措施确保产品资产估值的准确性、及时性。当产品单位净值出现错误时，产品管理人应当立即予以纠正，并采取合理的措施防止损失进一步扩大。由于证券交易所、期货交易所、第三方估值机构、登记机构等发送数据错误等非理财产品管理人和托管人原因，或由于其它不可抗力原因，产品管理人和产品托管人虽然已采取必要、适当、合理的措施进行检查，但是未能发现该错误的，由此造成的产品估值错误，产品管理人和产品托管人免除赔偿责任。但产品管理人和产品托管人应当积极采取必要的措施减轻或消除由此造成的影响。</w:t>
      </w:r>
    </w:p>
    <w:p>
      <w:pPr>
        <w:numPr>
          <w:ilvl w:val="0"/>
          <w:numId w:val="11"/>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暂停估值</w:t>
      </w:r>
    </w:p>
    <w:p>
      <w:pPr>
        <w:ind w:firstLine="420" w:firstLineChars="200"/>
        <w:rPr>
          <w:rFonts w:ascii="楷体" w:hAnsi="楷体" w:eastAsia="楷体"/>
          <w:color w:val="auto"/>
          <w:sz w:val="21"/>
          <w:szCs w:val="21"/>
        </w:rPr>
      </w:pPr>
      <w:r>
        <w:rPr>
          <w:rFonts w:hint="eastAsia" w:ascii="楷体" w:hAnsi="楷体" w:eastAsia="楷体"/>
          <w:color w:val="auto"/>
          <w:sz w:val="21"/>
          <w:szCs w:val="21"/>
        </w:rPr>
        <w:t>理财产品投资所涉及的证券交易所遇法定节假日或其他原因暂停营业时，或因任何不可抗力致使无法准确评估资产价值时，可暂停估值。但估值条件恢复时，将按规定完成估值工作。</w:t>
      </w:r>
    </w:p>
    <w:p>
      <w:pPr>
        <w:numPr>
          <w:ilvl w:val="0"/>
          <w:numId w:val="2"/>
        </w:numPr>
        <w:tabs>
          <w:tab w:val="left" w:pos="1428"/>
        </w:tabs>
        <w:ind w:left="420" w:leftChars="0" w:firstLine="0" w:firstLineChars="0"/>
        <w:rPr>
          <w:rFonts w:ascii="楷体" w:hAnsi="楷体" w:eastAsia="楷体"/>
          <w:b/>
          <w:color w:val="auto"/>
          <w:sz w:val="21"/>
          <w:szCs w:val="21"/>
        </w:rPr>
      </w:pPr>
      <w:r>
        <w:rPr>
          <w:rFonts w:hint="eastAsia" w:ascii="楷体" w:hAnsi="楷体" w:eastAsia="楷体"/>
          <w:b/>
          <w:color w:val="auto"/>
          <w:sz w:val="21"/>
          <w:szCs w:val="21"/>
        </w:rPr>
        <w:t>信息披露</w:t>
      </w:r>
    </w:p>
    <w:p>
      <w:pPr>
        <w:numPr>
          <w:ilvl w:val="0"/>
          <w:numId w:val="13"/>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信息披露</w:t>
      </w:r>
      <w:r>
        <w:rPr>
          <w:rFonts w:hint="eastAsia" w:ascii="楷体" w:hAnsi="楷体" w:eastAsia="楷体" w:cs="Calibri"/>
          <w:color w:val="auto"/>
          <w:sz w:val="21"/>
          <w:szCs w:val="21"/>
          <w:lang w:val="en-US" w:eastAsia="zh-CN"/>
        </w:rPr>
        <w:t>方式</w:t>
      </w:r>
    </w:p>
    <w:p>
      <w:pPr>
        <w:numPr>
          <w:ilvl w:val="0"/>
          <w:numId w:val="14"/>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sz w:val="21"/>
          <w:szCs w:val="21"/>
          <w:highlight w:val="none"/>
          <w:lang w:val="en-US" w:eastAsia="zh-CN"/>
        </w:rPr>
        <w:t>管理人</w:t>
      </w:r>
      <w:r>
        <w:rPr>
          <w:rFonts w:hint="eastAsia" w:ascii="楷体" w:hAnsi="楷体" w:eastAsia="楷体" w:cs="Calibri"/>
          <w:sz w:val="21"/>
          <w:szCs w:val="21"/>
          <w:highlight w:val="none"/>
        </w:rPr>
        <w:t>通过苏银理财有限责任公司官方网站（</w:t>
      </w:r>
      <w:r>
        <w:rPr>
          <w:rFonts w:ascii="楷体" w:hAnsi="楷体" w:eastAsia="楷体" w:cs="Calibri"/>
          <w:sz w:val="21"/>
          <w:szCs w:val="21"/>
          <w:highlight w:val="none"/>
        </w:rPr>
        <w:t>www</w:t>
      </w:r>
      <w:r>
        <w:rPr>
          <w:rFonts w:hint="eastAsia" w:ascii="楷体" w:hAnsi="楷体" w:eastAsia="楷体" w:cs="Calibri"/>
          <w:sz w:val="21"/>
          <w:szCs w:val="21"/>
          <w:highlight w:val="none"/>
          <w:lang w:val="en-US" w:eastAsia="zh-CN"/>
        </w:rPr>
        <w:t>.</w:t>
      </w:r>
      <w:r>
        <w:rPr>
          <w:rFonts w:ascii="楷体" w:hAnsi="楷体" w:eastAsia="楷体" w:cs="Calibri"/>
          <w:sz w:val="21"/>
          <w:szCs w:val="21"/>
          <w:highlight w:val="none"/>
        </w:rPr>
        <w:t>suyinwealth</w:t>
      </w:r>
      <w:r>
        <w:rPr>
          <w:rFonts w:hint="eastAsia" w:ascii="楷体" w:hAnsi="楷体" w:eastAsia="楷体" w:cs="Calibri"/>
          <w:sz w:val="21"/>
          <w:szCs w:val="21"/>
          <w:highlight w:val="none"/>
          <w:lang w:val="en-US" w:eastAsia="zh-CN"/>
        </w:rPr>
        <w:t>.</w:t>
      </w:r>
      <w:r>
        <w:rPr>
          <w:rFonts w:ascii="楷体" w:hAnsi="楷体" w:eastAsia="楷体" w:cs="Calibri"/>
          <w:sz w:val="21"/>
          <w:szCs w:val="21"/>
          <w:highlight w:val="none"/>
        </w:rPr>
        <w:t>com</w:t>
      </w:r>
      <w:r>
        <w:rPr>
          <w:rFonts w:hint="eastAsia" w:ascii="楷体" w:hAnsi="楷体" w:eastAsia="楷体" w:cs="Calibri"/>
          <w:sz w:val="21"/>
          <w:szCs w:val="21"/>
          <w:highlight w:val="none"/>
        </w:rPr>
        <w:t>）进行信息披露。</w:t>
      </w:r>
    </w:p>
    <w:p>
      <w:pPr>
        <w:numPr>
          <w:ilvl w:val="0"/>
          <w:numId w:val="14"/>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sz w:val="21"/>
          <w:szCs w:val="21"/>
          <w:highlight w:val="none"/>
          <w:lang w:val="en-US" w:eastAsia="zh-CN"/>
        </w:rPr>
        <w:t>管理人</w:t>
      </w:r>
      <w:r>
        <w:rPr>
          <w:rFonts w:hint="eastAsia" w:ascii="楷体" w:hAnsi="楷体" w:eastAsia="楷体" w:cs="Calibri"/>
          <w:sz w:val="21"/>
          <w:szCs w:val="21"/>
          <w:highlight w:val="none"/>
        </w:rPr>
        <w:t>将信息披露内容发送销售机构，由销售机构通过</w:t>
      </w:r>
      <w:r>
        <w:rPr>
          <w:rFonts w:hint="eastAsia" w:ascii="楷体" w:hAnsi="楷体" w:eastAsia="楷体" w:cs="Calibri"/>
          <w:sz w:val="21"/>
          <w:szCs w:val="21"/>
          <w:highlight w:val="none"/>
          <w:lang w:val="en-US" w:eastAsia="zh-CN"/>
        </w:rPr>
        <w:t>短信及</w:t>
      </w:r>
      <w:r>
        <w:rPr>
          <w:rFonts w:hint="eastAsia" w:ascii="楷体" w:hAnsi="楷体" w:eastAsia="楷体" w:cs="Calibri"/>
          <w:sz w:val="21"/>
          <w:szCs w:val="21"/>
          <w:highlight w:val="none"/>
        </w:rPr>
        <w:t>销售机构电子渠道和营业网点</w:t>
      </w:r>
      <w:r>
        <w:rPr>
          <w:rFonts w:hint="eastAsia" w:ascii="楷体" w:hAnsi="楷体" w:eastAsia="楷体" w:cs="Calibri"/>
          <w:sz w:val="21"/>
          <w:szCs w:val="21"/>
          <w:highlight w:val="none"/>
          <w:lang w:val="en-US" w:eastAsia="zh-CN"/>
        </w:rPr>
        <w:t>等方式</w:t>
      </w:r>
      <w:r>
        <w:rPr>
          <w:rFonts w:hint="eastAsia" w:ascii="楷体" w:hAnsi="楷体" w:eastAsia="楷体" w:cs="Calibri"/>
          <w:sz w:val="21"/>
          <w:szCs w:val="21"/>
          <w:highlight w:val="none"/>
        </w:rPr>
        <w:t>进行信息披露。</w:t>
      </w:r>
    </w:p>
    <w:p>
      <w:pPr>
        <w:numPr>
          <w:ilvl w:val="-1"/>
          <w:numId w:val="0"/>
        </w:numPr>
        <w:ind w:left="0" w:firstLine="420" w:firstLineChars="200"/>
        <w:rPr>
          <w:rFonts w:ascii="楷体" w:hAnsi="楷体" w:eastAsia="楷体" w:cs="Calibri"/>
          <w:color w:val="auto"/>
          <w:sz w:val="21"/>
          <w:szCs w:val="21"/>
        </w:rPr>
      </w:pPr>
      <w:r>
        <w:rPr>
          <w:rFonts w:hint="eastAsia" w:ascii="楷体" w:hAnsi="楷体" w:eastAsia="楷体"/>
          <w:sz w:val="21"/>
          <w:szCs w:val="21"/>
          <w:highlight w:val="none"/>
        </w:rPr>
        <w:t>相关信息在发布或发出之日视为通知已送达投资者并生效，</w:t>
      </w:r>
      <w:r>
        <w:rPr>
          <w:rFonts w:hint="eastAsia" w:ascii="楷体" w:hAnsi="楷体" w:eastAsia="楷体"/>
          <w:sz w:val="21"/>
          <w:szCs w:val="21"/>
          <w:highlight w:val="none"/>
          <w:lang w:val="en-US" w:eastAsia="zh-CN"/>
        </w:rPr>
        <w:t>管理人已完全履行信息披露义务。如因投资者未及时查询，或由于通讯故障、非产品管理人原因的系统故障以及其它不可抗力等因素的影响，致使投资者无法及时获取产品信息而产生的全部责任和风险（包括但不限于因未及时获取信息而错过资金使用和再投资的机会等），都由投资者自行承担。因此</w:t>
      </w:r>
      <w:r>
        <w:rPr>
          <w:rFonts w:hint="eastAsia" w:ascii="楷体" w:hAnsi="楷体" w:eastAsia="楷体"/>
          <w:sz w:val="21"/>
          <w:szCs w:val="21"/>
          <w:highlight w:val="none"/>
        </w:rPr>
        <w:t>请</w:t>
      </w:r>
      <w:r>
        <w:rPr>
          <w:rFonts w:hint="eastAsia" w:ascii="楷体" w:hAnsi="楷体" w:eastAsia="楷体"/>
          <w:sz w:val="21"/>
          <w:szCs w:val="21"/>
          <w:highlight w:val="none"/>
          <w:lang w:val="en-US" w:eastAsia="zh-CN"/>
        </w:rPr>
        <w:t>投资者</w:t>
      </w:r>
      <w:r>
        <w:rPr>
          <w:rFonts w:hint="eastAsia" w:ascii="楷体" w:hAnsi="楷体" w:eastAsia="楷体"/>
          <w:sz w:val="21"/>
          <w:szCs w:val="21"/>
          <w:highlight w:val="none"/>
        </w:rPr>
        <w:t>及时登陆苏银理财有限责任</w:t>
      </w:r>
      <w:r>
        <w:rPr>
          <w:rFonts w:hint="eastAsia" w:ascii="楷体" w:hAnsi="楷体" w:eastAsia="楷体"/>
          <w:sz w:val="21"/>
          <w:szCs w:val="21"/>
          <w:highlight w:val="none"/>
          <w:lang w:val="en-US" w:eastAsia="zh-CN"/>
        </w:rPr>
        <w:t>公司</w:t>
      </w:r>
      <w:r>
        <w:rPr>
          <w:rFonts w:hint="eastAsia" w:ascii="楷体" w:hAnsi="楷体" w:eastAsia="楷体"/>
          <w:sz w:val="21"/>
          <w:szCs w:val="21"/>
          <w:highlight w:val="none"/>
        </w:rPr>
        <w:t>官方网站或者向销售机构查询获取披露信息</w:t>
      </w:r>
      <w:r>
        <w:rPr>
          <w:rFonts w:hint="eastAsia" w:ascii="楷体" w:hAnsi="楷体" w:eastAsia="楷体"/>
          <w:color w:val="auto"/>
          <w:sz w:val="21"/>
          <w:szCs w:val="21"/>
          <w:highlight w:val="none"/>
        </w:rPr>
        <w:t>。</w:t>
      </w:r>
    </w:p>
    <w:p>
      <w:pPr>
        <w:numPr>
          <w:ilvl w:val="0"/>
          <w:numId w:val="13"/>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信息披露</w:t>
      </w:r>
      <w:r>
        <w:rPr>
          <w:rFonts w:hint="eastAsia" w:ascii="楷体" w:hAnsi="楷体" w:eastAsia="楷体" w:cs="Calibri"/>
          <w:color w:val="auto"/>
          <w:sz w:val="21"/>
          <w:szCs w:val="21"/>
          <w:lang w:val="en-US" w:eastAsia="zh-CN"/>
        </w:rPr>
        <w:t>内容及时间</w:t>
      </w:r>
    </w:p>
    <w:p>
      <w:pPr>
        <w:numPr>
          <w:ilvl w:val="0"/>
          <w:numId w:val="15"/>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产品净值：</w:t>
      </w:r>
      <w:r>
        <w:rPr>
          <w:rFonts w:hint="eastAsia" w:ascii="楷体" w:hAnsi="楷体" w:eastAsia="楷体" w:cs="Calibri"/>
          <w:color w:val="auto"/>
          <w:sz w:val="21"/>
          <w:szCs w:val="21"/>
          <w:highlight w:val="none"/>
          <w:lang w:val="en-US" w:eastAsia="zh-CN"/>
        </w:rPr>
        <w:t>公募封闭式产品至少</w:t>
      </w:r>
      <w:r>
        <w:rPr>
          <w:rFonts w:hint="eastAsia" w:ascii="楷体" w:hAnsi="楷体" w:eastAsia="楷体" w:cs="Calibri"/>
          <w:color w:val="auto"/>
          <w:sz w:val="21"/>
          <w:szCs w:val="21"/>
          <w:highlight w:val="none"/>
        </w:rPr>
        <w:t>每周向投资者披露一次产品的份额净值、份额累计净值</w:t>
      </w:r>
      <w:r>
        <w:rPr>
          <w:rFonts w:hint="eastAsia" w:ascii="楷体" w:hAnsi="楷体" w:eastAsia="楷体" w:cs="Calibri"/>
          <w:color w:val="auto"/>
          <w:sz w:val="21"/>
          <w:szCs w:val="21"/>
          <w:highlight w:val="none"/>
          <w:lang w:val="en-US" w:eastAsia="zh-CN"/>
        </w:rPr>
        <w:t>；公募开放式产品</w:t>
      </w:r>
      <w:r>
        <w:rPr>
          <w:rFonts w:hint="eastAsia" w:ascii="楷体" w:hAnsi="楷体" w:eastAsia="楷体" w:cs="Calibri"/>
          <w:color w:val="auto"/>
          <w:sz w:val="21"/>
          <w:szCs w:val="21"/>
          <w:highlight w:val="none"/>
          <w:lang w:eastAsia="zh-CN"/>
        </w:rPr>
        <w:t>每个开放日结束后两个工作日内，披露开放式公募理财产品在开放日的份额净值、份额累计净值、认（申）购价格和赎回价格</w:t>
      </w:r>
      <w:r>
        <w:rPr>
          <w:rFonts w:hint="eastAsia" w:ascii="楷体" w:hAnsi="楷体" w:eastAsia="楷体" w:cs="Calibri"/>
          <w:color w:val="auto"/>
          <w:sz w:val="21"/>
          <w:szCs w:val="21"/>
          <w:highlight w:val="none"/>
          <w:lang w:val="en-US" w:eastAsia="zh-CN"/>
        </w:rPr>
        <w:t>；私募产品至少每季度向投资者披露一次产品的份额净值、份额累计净值，以管理人实际披露为准。</w:t>
      </w:r>
    </w:p>
    <w:p>
      <w:pPr>
        <w:numPr>
          <w:ilvl w:val="0"/>
          <w:numId w:val="15"/>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发行公告：管理人在产品成立后5个工作日内，披露产品成立公告，内容包括理财产品成立日期和募集规模等信息。</w:t>
      </w:r>
    </w:p>
    <w:p>
      <w:pPr>
        <w:numPr>
          <w:ilvl w:val="0"/>
          <w:numId w:val="15"/>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定期公告：管理人在每个季度结束之日起15个工作日内、上半年结束之日起60个工作日内、每年结束之日起90个工作日内，披露产品季度、半年和年度报告等定期报告；产品成立不足90个工作日或者剩余存续期不超过90个工作日的，管理人将不编制产品当期的季度、半年和年度报告；内容包括理财产品的存续规模、收益表现，并分别列示直接和间接投资的资产种类、投资比例、投资组合的流动性风险分析，以及前十项资产具体名称、规模和比例等信息。</w:t>
      </w:r>
    </w:p>
    <w:p>
      <w:pPr>
        <w:numPr>
          <w:ilvl w:val="0"/>
          <w:numId w:val="15"/>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到期公告：管理人在产品终止后5个工作日内，披露产品到期公告，内容包括理财产品的存续期限、终止日期、收费情况和收益分配情况等信息。</w:t>
      </w:r>
    </w:p>
    <w:p>
      <w:pPr>
        <w:numPr>
          <w:ilvl w:val="0"/>
          <w:numId w:val="15"/>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重大事项公告：管理人在发生可能对理财产品投资者或者理财产品收益</w:t>
      </w:r>
      <w:r>
        <w:rPr>
          <w:rFonts w:hint="eastAsia" w:ascii="楷体" w:hAnsi="楷体" w:eastAsia="楷体" w:cs="Calibri"/>
          <w:color w:val="auto"/>
          <w:sz w:val="21"/>
          <w:szCs w:val="21"/>
          <w:lang w:val="en-US" w:eastAsia="zh-CN"/>
        </w:rPr>
        <w:t>产生重大影响</w:t>
      </w:r>
      <w:r>
        <w:rPr>
          <w:rFonts w:hint="eastAsia" w:ascii="楷体" w:hAnsi="楷体" w:eastAsia="楷体" w:cs="Calibri"/>
          <w:color w:val="auto"/>
          <w:sz w:val="21"/>
          <w:szCs w:val="21"/>
        </w:rPr>
        <w:t>的事件后2个工作日内发布重大事项公告。</w:t>
      </w:r>
    </w:p>
    <w:p>
      <w:pPr>
        <w:numPr>
          <w:ilvl w:val="0"/>
          <w:numId w:val="15"/>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临时性信息：管理人将及时披露国务院银行业监督管理机构规定的其他信息或除重大事项事件以外的其他信息。</w:t>
      </w:r>
    </w:p>
    <w:p>
      <w:pPr>
        <w:numPr>
          <w:ilvl w:val="0"/>
          <w:numId w:val="15"/>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半年度整体报告：每半年披露从事理财业务活动的有关信息。</w:t>
      </w:r>
    </w:p>
    <w:p>
      <w:pPr>
        <w:numPr>
          <w:ilvl w:val="0"/>
          <w:numId w:val="15"/>
        </w:numPr>
        <w:tabs>
          <w:tab w:val="left" w:pos="728"/>
        </w:tabs>
        <w:ind w:left="0" w:firstLine="420" w:firstLineChars="200"/>
        <w:rPr>
          <w:rFonts w:ascii="楷体" w:hAnsi="楷体" w:eastAsia="楷体" w:cs="Calibri"/>
          <w:sz w:val="21"/>
          <w:szCs w:val="21"/>
          <w:highlight w:val="none"/>
        </w:rPr>
      </w:pPr>
      <w:r>
        <w:rPr>
          <w:rFonts w:hint="eastAsia" w:ascii="楷体" w:hAnsi="楷体" w:eastAsia="楷体" w:cs="Calibri"/>
          <w:color w:val="auto"/>
          <w:sz w:val="21"/>
          <w:szCs w:val="21"/>
        </w:rPr>
        <w:t>理财账单：管理人每月向投资者提供其所持有的理财产品账单，账单内容包括但不限于投资者持有的理财产品份额、认购金额、份额</w:t>
      </w:r>
      <w:r>
        <w:rPr>
          <w:rFonts w:hint="eastAsia" w:ascii="楷体" w:hAnsi="楷体" w:eastAsia="楷体" w:cs="Calibri"/>
          <w:color w:val="auto"/>
          <w:sz w:val="21"/>
          <w:szCs w:val="21"/>
          <w:lang w:val="en-US" w:eastAsia="zh-CN"/>
        </w:rPr>
        <w:t>单位</w:t>
      </w:r>
      <w:r>
        <w:rPr>
          <w:rFonts w:hint="eastAsia" w:ascii="楷体" w:hAnsi="楷体" w:eastAsia="楷体" w:cs="Calibri"/>
          <w:color w:val="auto"/>
          <w:sz w:val="21"/>
          <w:szCs w:val="21"/>
        </w:rPr>
        <w:t>净值、份额累计净值、资产净值、收益情况、投资者理财交易账户发生的交易明细记录等信息。</w:t>
      </w:r>
    </w:p>
    <w:p>
      <w:pPr>
        <w:numPr>
          <w:ilvl w:val="0"/>
          <w:numId w:val="2"/>
        </w:numPr>
        <w:tabs>
          <w:tab w:val="left" w:pos="1428"/>
        </w:tabs>
        <w:ind w:left="420" w:leftChars="0" w:firstLine="0" w:firstLineChars="0"/>
        <w:rPr>
          <w:rFonts w:ascii="楷体" w:hAnsi="楷体" w:eastAsia="楷体"/>
          <w:b/>
          <w:color w:val="auto"/>
          <w:sz w:val="21"/>
          <w:szCs w:val="21"/>
        </w:rPr>
      </w:pPr>
      <w:r>
        <w:rPr>
          <w:rFonts w:hint="eastAsia" w:ascii="楷体" w:hAnsi="楷体" w:eastAsia="楷体"/>
          <w:b/>
          <w:color w:val="auto"/>
          <w:sz w:val="21"/>
          <w:szCs w:val="21"/>
        </w:rPr>
        <w:t>其他</w:t>
      </w:r>
    </w:p>
    <w:p>
      <w:pPr>
        <w:numPr>
          <w:ilvl w:val="0"/>
          <w:numId w:val="16"/>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追索条款</w:t>
      </w:r>
    </w:p>
    <w:p>
      <w:pPr>
        <w:ind w:firstLine="420" w:firstLineChars="200"/>
        <w:rPr>
          <w:rFonts w:ascii="楷体" w:hAnsi="楷体" w:eastAsia="楷体"/>
          <w:color w:val="auto"/>
          <w:sz w:val="21"/>
          <w:szCs w:val="21"/>
        </w:rPr>
      </w:pPr>
      <w:r>
        <w:rPr>
          <w:rFonts w:hint="eastAsia" w:ascii="楷体" w:hAnsi="楷体" w:eastAsia="楷体"/>
          <w:color w:val="auto"/>
          <w:sz w:val="21"/>
          <w:szCs w:val="21"/>
        </w:rPr>
        <w:t>若本理财产品所投资的金融资产到期不能全部偿付导致资产减值甚至本金大幅损失，则苏银理财将以管理人名义，代表理财产品投资者利益行使诉讼权利或者实施其他权利救济措施。</w:t>
      </w:r>
    </w:p>
    <w:p>
      <w:pPr>
        <w:numPr>
          <w:ilvl w:val="0"/>
          <w:numId w:val="16"/>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信息安全</w:t>
      </w:r>
    </w:p>
    <w:p>
      <w:pPr>
        <w:ind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rPr>
        <w:t>苏银理财及</w:t>
      </w:r>
      <w:r>
        <w:rPr>
          <w:rFonts w:hint="eastAsia" w:ascii="楷体" w:hAnsi="楷体" w:eastAsia="楷体"/>
          <w:color w:val="auto"/>
          <w:sz w:val="21"/>
          <w:szCs w:val="21"/>
          <w:lang w:val="en-US" w:eastAsia="zh-CN"/>
        </w:rPr>
        <w:t>销售</w:t>
      </w:r>
      <w:r>
        <w:rPr>
          <w:rFonts w:hint="eastAsia" w:ascii="楷体" w:hAnsi="楷体" w:eastAsia="楷体"/>
          <w:color w:val="auto"/>
          <w:sz w:val="21"/>
          <w:szCs w:val="21"/>
        </w:rPr>
        <w:t>机构将据相关法律、法规严格履行投资者信息保密责任，除监管机构或司法机关等有权机构外，不得对其他第三方提供任何投资者信息。</w:t>
      </w:r>
    </w:p>
    <w:p>
      <w:pPr>
        <w:numPr>
          <w:ilvl w:val="0"/>
          <w:numId w:val="16"/>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争议解决</w:t>
      </w:r>
    </w:p>
    <w:p>
      <w:r>
        <w:rPr>
          <w:rFonts w:hint="eastAsia" w:ascii="楷体" w:hAnsi="楷体" w:eastAsia="楷体"/>
          <w:b w:val="0"/>
          <w:bCs w:val="0"/>
          <w:color w:val="auto"/>
          <w:sz w:val="21"/>
          <w:szCs w:val="21"/>
          <w:lang w:val="en-US" w:eastAsia="zh-CN"/>
        </w:rPr>
        <w:t>本产品说明书</w:t>
      </w:r>
      <w:r>
        <w:rPr>
          <w:rFonts w:hint="eastAsia" w:ascii="楷体" w:hAnsi="楷体" w:eastAsia="楷体"/>
          <w:b w:val="0"/>
          <w:bCs w:val="0"/>
          <w:color w:val="auto"/>
          <w:sz w:val="21"/>
          <w:szCs w:val="21"/>
        </w:rPr>
        <w:t>的订立、生效、履行、解释、修改和终止等事项均适用中华人民共和国（为本合同目的，不包括香港特别行政区、澳门特别行政区和台湾地区）法律。</w:t>
      </w:r>
      <w:r>
        <w:rPr>
          <w:rFonts w:hint="eastAsia" w:ascii="楷体" w:hAnsi="楷体" w:eastAsia="楷体"/>
          <w:b w:val="0"/>
          <w:bCs w:val="0"/>
          <w:color w:val="auto"/>
          <w:sz w:val="21"/>
          <w:szCs w:val="21"/>
          <w:lang w:val="en-US" w:eastAsia="zh-CN"/>
        </w:rPr>
        <w:t>因本产品说明书</w:t>
      </w:r>
      <w:r>
        <w:rPr>
          <w:rFonts w:hint="eastAsia" w:ascii="楷体" w:hAnsi="楷体" w:eastAsia="楷体"/>
          <w:b w:val="0"/>
          <w:bCs w:val="0"/>
          <w:color w:val="auto"/>
          <w:sz w:val="21"/>
          <w:szCs w:val="21"/>
        </w:rPr>
        <w:t>引起的或与</w:t>
      </w:r>
      <w:r>
        <w:rPr>
          <w:rFonts w:hint="eastAsia" w:ascii="楷体" w:hAnsi="楷体" w:eastAsia="楷体"/>
          <w:b w:val="0"/>
          <w:bCs w:val="0"/>
          <w:color w:val="auto"/>
          <w:sz w:val="21"/>
          <w:szCs w:val="21"/>
          <w:lang w:val="en-US" w:eastAsia="zh-CN"/>
        </w:rPr>
        <w:t>本产品说明书</w:t>
      </w:r>
      <w:r>
        <w:rPr>
          <w:rFonts w:hint="eastAsia" w:ascii="楷体" w:hAnsi="楷体" w:eastAsia="楷体"/>
          <w:b w:val="0"/>
          <w:bCs w:val="0"/>
          <w:color w:val="auto"/>
          <w:sz w:val="21"/>
          <w:szCs w:val="21"/>
        </w:rPr>
        <w:t>有关的任何争议，应当首先通过双方之间的友好协商解决；协商不成的，双方均有权提交产品管理人住所地有管辖权的人民法院诉讼解决。</w:t>
      </w:r>
      <w:bookmarkStart w:id="0" w:name="_GoBack"/>
      <w:bookmarkEnd w:id="0"/>
    </w:p>
    <w:sectPr>
      <w:headerReference r:id="rId5" w:type="first"/>
      <w:headerReference r:id="rId3" w:type="default"/>
      <w:footerReference r:id="rId6" w:type="default"/>
      <w:headerReference r:id="rId4" w:type="even"/>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浠垮畫">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320" w:lineRule="exact"/>
      <w:ind w:left="20"/>
      <w:jc w:val="both"/>
      <w:rPr>
        <w:rFonts w:ascii="楷体" w:hAnsi="楷体" w:eastAsia="楷体" w:cs="黑体"/>
        <w:b/>
        <w:spacing w:val="-2"/>
        <w:sz w:val="24"/>
        <w:szCs w:val="24"/>
      </w:rPr>
    </w:pPr>
    <w:r>
      <w:pict>
        <v:shape id="图片 1" o:spid="_x0000_s1031" o:spt="75" alt="说明: 说明: C:\Users\JSYH\Desktop\苏银理财.png" type="#_x0000_t75" style="position:absolute;left:0pt;margin-left:390.95pt;margin-top:-7.5pt;height:33.45pt;width:104.35pt;mso-wrap-distance-bottom:0pt;mso-wrap-distance-left:9pt;mso-wrap-distance-right:9pt;mso-wrap-distance-top:0pt;z-index:251662336;mso-width-relative:page;mso-height-relative:page;" filled="f" o:preferrelative="t" stroked="f" coordsize="21600,21600">
          <v:path/>
          <v:fill on="f" focussize="0,0"/>
          <v:stroke on="f" joinstyle="miter"/>
          <v:imagedata r:id="rId1" o:title="苏银理财"/>
          <o:lock v:ext="edit" aspectratio="t"/>
          <w10:wrap type="square"/>
        </v:shape>
      </w:pict>
    </w:r>
    <w:r>
      <w:rPr>
        <w:rFonts w:ascii="楷体" w:hAnsi="楷体" w:eastAsia="楷体"/>
        <w:b/>
      </w:rPr>
      <w:pict>
        <v:shape id="WordPictureWatermark367128483" o:spid="_x0000_s1030" o:spt="75" type="#_x0000_t75" style="position:absolute;left:0pt;margin-left:-315.7pt;margin-top:-81.05pt;height:862.85pt;width:1137.35pt;mso-position-horizontal-relative:margin;mso-position-vertical-relative:margin;z-index:-251655168;mso-width-relative:page;mso-height-relative:page;" filled="f" o:preferrelative="t" stroked="f" coordsize="21600,21600" o:allowincell="f">
          <v:path/>
          <v:fill on="f" focussize="0,0"/>
          <v:stroke on="f" joinstyle="miter"/>
          <v:imagedata r:id="rId2" gain="19661f" blacklevel="22938f" o:title="苏银理财"/>
          <o:lock v:ext="edit" aspectratio="t"/>
        </v:shape>
      </w:pict>
    </w:r>
    <w:r>
      <w:rPr>
        <w:rFonts w:hint="eastAsia" w:ascii="楷体" w:hAnsi="楷体" w:eastAsia="楷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2" o:spid="_x0000_s1029" o:spt="75" type="#_x0000_t75" style="position:absolute;left:0pt;height:862.85pt;width:1137.3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苏银理财"/>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1" o:spid="_x0000_s1032" o:spt="75" type="#_x0000_t75" style="position:absolute;left:0pt;height:862.85pt;width:1137.3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苏银理财"/>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4D0C0E"/>
    <w:multiLevelType w:val="multilevel"/>
    <w:tmpl w:val="AE4D0C0E"/>
    <w:lvl w:ilvl="0" w:tentative="0">
      <w:start w:val="1"/>
      <w:numFmt w:val="decimal"/>
      <w:suff w:val="nothing"/>
      <w:lvlText w:val="%1."/>
      <w:lvlJc w:val="left"/>
      <w:pPr>
        <w:tabs>
          <w:tab w:val="left" w:pos="420"/>
        </w:tabs>
        <w:ind w:left="420" w:hanging="420"/>
      </w:pPr>
      <w:rPr>
        <w:rFonts w:hint="default" w:eastAsia="楷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CD7C62DE"/>
    <w:multiLevelType w:val="multilevel"/>
    <w:tmpl w:val="CD7C62DE"/>
    <w:lvl w:ilvl="0" w:tentative="0">
      <w:start w:val="1"/>
      <w:numFmt w:val="chineseCounting"/>
      <w:suff w:val="nothing"/>
      <w:lvlText w:val="(%1)"/>
      <w:lvlJc w:val="left"/>
      <w:pPr>
        <w:tabs>
          <w:tab w:val="left" w:pos="420"/>
        </w:tabs>
        <w:ind w:left="420" w:hanging="420"/>
      </w:pPr>
      <w:rPr>
        <w:rFonts w:hint="eastAsia" w:ascii="宋体" w:hAnsi="宋体" w:eastAsia="楷体" w:cs="宋体"/>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CE27157A"/>
    <w:multiLevelType w:val="multilevel"/>
    <w:tmpl w:val="CE27157A"/>
    <w:lvl w:ilvl="0" w:tentative="0">
      <w:start w:val="1"/>
      <w:numFmt w:val="chineseCountingThousand"/>
      <w:suff w:val="space"/>
      <w:lvlText w:val="%1、"/>
      <w:lvlJc w:val="left"/>
      <w:pPr>
        <w:ind w:left="42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443B38F"/>
    <w:multiLevelType w:val="multilevel"/>
    <w:tmpl w:val="0443B38F"/>
    <w:lvl w:ilvl="0" w:tentative="0">
      <w:start w:val="1"/>
      <w:numFmt w:val="decimal"/>
      <w:suff w:val="nothing"/>
      <w:lvlText w:val="%1."/>
      <w:lvlJc w:val="left"/>
      <w:pPr>
        <w:tabs>
          <w:tab w:val="left" w:pos="420"/>
        </w:tabs>
        <w:ind w:left="420" w:hanging="420"/>
      </w:pPr>
      <w:rPr>
        <w:rFonts w:hint="default" w:eastAsia="楷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9FF389C"/>
    <w:multiLevelType w:val="multilevel"/>
    <w:tmpl w:val="09FF389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10C2B17"/>
    <w:multiLevelType w:val="multilevel"/>
    <w:tmpl w:val="110C2B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B5E71E1"/>
    <w:multiLevelType w:val="multilevel"/>
    <w:tmpl w:val="2B5E71E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08999D"/>
    <w:multiLevelType w:val="singleLevel"/>
    <w:tmpl w:val="3708999D"/>
    <w:lvl w:ilvl="0" w:tentative="0">
      <w:start w:val="1"/>
      <w:numFmt w:val="decimalEnclosedCircleChinese"/>
      <w:suff w:val="nothing"/>
      <w:lvlText w:val="%1　"/>
      <w:lvlJc w:val="left"/>
      <w:pPr>
        <w:ind w:left="0" w:firstLine="400"/>
      </w:pPr>
      <w:rPr>
        <w:rFonts w:hint="eastAsia"/>
        <w:b w:val="0"/>
        <w:bCs w:val="0"/>
      </w:rPr>
    </w:lvl>
  </w:abstractNum>
  <w:abstractNum w:abstractNumId="8">
    <w:nsid w:val="393A262E"/>
    <w:multiLevelType w:val="multilevel"/>
    <w:tmpl w:val="393A262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CC848E7"/>
    <w:multiLevelType w:val="multilevel"/>
    <w:tmpl w:val="4CC848E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FF03779"/>
    <w:multiLevelType w:val="singleLevel"/>
    <w:tmpl w:val="4FF03779"/>
    <w:lvl w:ilvl="0" w:tentative="0">
      <w:start w:val="1"/>
      <w:numFmt w:val="decimal"/>
      <w:suff w:val="nothing"/>
      <w:lvlText w:val="%1."/>
      <w:lvlJc w:val="left"/>
      <w:pPr>
        <w:tabs>
          <w:tab w:val="left" w:pos="0"/>
        </w:tabs>
        <w:ind w:left="0" w:firstLine="0"/>
      </w:pPr>
      <w:rPr>
        <w:rFonts w:hint="default"/>
      </w:rPr>
    </w:lvl>
  </w:abstractNum>
  <w:abstractNum w:abstractNumId="11">
    <w:nsid w:val="551134C1"/>
    <w:multiLevelType w:val="multilevel"/>
    <w:tmpl w:val="551134C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6FF3467"/>
    <w:multiLevelType w:val="multilevel"/>
    <w:tmpl w:val="56FF346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DA47F2C"/>
    <w:multiLevelType w:val="multilevel"/>
    <w:tmpl w:val="6DA47F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5E52FDD"/>
    <w:multiLevelType w:val="multilevel"/>
    <w:tmpl w:val="75E52FD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DB725C8"/>
    <w:multiLevelType w:val="multilevel"/>
    <w:tmpl w:val="7DB725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2"/>
  </w:num>
  <w:num w:numId="3">
    <w:abstractNumId w:val="1"/>
  </w:num>
  <w:num w:numId="4">
    <w:abstractNumId w:val="0"/>
  </w:num>
  <w:num w:numId="5">
    <w:abstractNumId w:val="3"/>
  </w:num>
  <w:num w:numId="6">
    <w:abstractNumId w:val="14"/>
  </w:num>
  <w:num w:numId="7">
    <w:abstractNumId w:val="10"/>
  </w:num>
  <w:num w:numId="8">
    <w:abstractNumId w:val="9"/>
  </w:num>
  <w:num w:numId="9">
    <w:abstractNumId w:val="12"/>
  </w:num>
  <w:num w:numId="10">
    <w:abstractNumId w:val="15"/>
  </w:num>
  <w:num w:numId="11">
    <w:abstractNumId w:val="6"/>
  </w:num>
  <w:num w:numId="12">
    <w:abstractNumId w:val="5"/>
  </w:num>
  <w:num w:numId="13">
    <w:abstractNumId w:val="11"/>
  </w:num>
  <w:num w:numId="14">
    <w:abstractNumId w:val="4"/>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F7"/>
    <w:rsid w:val="00001531"/>
    <w:rsid w:val="0000191C"/>
    <w:rsid w:val="00001E2F"/>
    <w:rsid w:val="00002389"/>
    <w:rsid w:val="00002DBD"/>
    <w:rsid w:val="00003606"/>
    <w:rsid w:val="000048B0"/>
    <w:rsid w:val="00005B01"/>
    <w:rsid w:val="000068E6"/>
    <w:rsid w:val="00006971"/>
    <w:rsid w:val="00006979"/>
    <w:rsid w:val="00006AFB"/>
    <w:rsid w:val="000101E4"/>
    <w:rsid w:val="00010C11"/>
    <w:rsid w:val="0001103A"/>
    <w:rsid w:val="00011F27"/>
    <w:rsid w:val="0001244C"/>
    <w:rsid w:val="000128E4"/>
    <w:rsid w:val="000131EF"/>
    <w:rsid w:val="0001327D"/>
    <w:rsid w:val="00013628"/>
    <w:rsid w:val="00014334"/>
    <w:rsid w:val="00014C7A"/>
    <w:rsid w:val="000157D4"/>
    <w:rsid w:val="000158A7"/>
    <w:rsid w:val="00015A92"/>
    <w:rsid w:val="00015D58"/>
    <w:rsid w:val="00016232"/>
    <w:rsid w:val="0002052D"/>
    <w:rsid w:val="000205F3"/>
    <w:rsid w:val="00020A6F"/>
    <w:rsid w:val="00021007"/>
    <w:rsid w:val="00021E37"/>
    <w:rsid w:val="000238B2"/>
    <w:rsid w:val="00023BA8"/>
    <w:rsid w:val="000247F9"/>
    <w:rsid w:val="00024C7F"/>
    <w:rsid w:val="00024F3F"/>
    <w:rsid w:val="00025A69"/>
    <w:rsid w:val="00025BC2"/>
    <w:rsid w:val="000263ED"/>
    <w:rsid w:val="00027156"/>
    <w:rsid w:val="000275AC"/>
    <w:rsid w:val="00027E61"/>
    <w:rsid w:val="00027F48"/>
    <w:rsid w:val="0003072E"/>
    <w:rsid w:val="00030D30"/>
    <w:rsid w:val="00030D69"/>
    <w:rsid w:val="00030E17"/>
    <w:rsid w:val="00031806"/>
    <w:rsid w:val="00031F80"/>
    <w:rsid w:val="0003483D"/>
    <w:rsid w:val="00034890"/>
    <w:rsid w:val="0003662E"/>
    <w:rsid w:val="00036C4C"/>
    <w:rsid w:val="000375C2"/>
    <w:rsid w:val="000405B1"/>
    <w:rsid w:val="00043555"/>
    <w:rsid w:val="000437C6"/>
    <w:rsid w:val="00043D5F"/>
    <w:rsid w:val="000449AE"/>
    <w:rsid w:val="00045436"/>
    <w:rsid w:val="0004548C"/>
    <w:rsid w:val="000469D0"/>
    <w:rsid w:val="00046AAA"/>
    <w:rsid w:val="00046ED7"/>
    <w:rsid w:val="0004714B"/>
    <w:rsid w:val="00047201"/>
    <w:rsid w:val="0004768E"/>
    <w:rsid w:val="00050834"/>
    <w:rsid w:val="00050975"/>
    <w:rsid w:val="000514C8"/>
    <w:rsid w:val="000518E2"/>
    <w:rsid w:val="00051DB3"/>
    <w:rsid w:val="000521A3"/>
    <w:rsid w:val="000522EC"/>
    <w:rsid w:val="00054536"/>
    <w:rsid w:val="00054854"/>
    <w:rsid w:val="00055ACD"/>
    <w:rsid w:val="00055CB4"/>
    <w:rsid w:val="00056312"/>
    <w:rsid w:val="000565BA"/>
    <w:rsid w:val="0005670B"/>
    <w:rsid w:val="000575CD"/>
    <w:rsid w:val="00057B16"/>
    <w:rsid w:val="00060433"/>
    <w:rsid w:val="00060571"/>
    <w:rsid w:val="00061D74"/>
    <w:rsid w:val="000622F4"/>
    <w:rsid w:val="00062791"/>
    <w:rsid w:val="00064F2B"/>
    <w:rsid w:val="00066039"/>
    <w:rsid w:val="00066F56"/>
    <w:rsid w:val="000677EE"/>
    <w:rsid w:val="00067EB8"/>
    <w:rsid w:val="00070172"/>
    <w:rsid w:val="00070302"/>
    <w:rsid w:val="00071418"/>
    <w:rsid w:val="00071581"/>
    <w:rsid w:val="00071A4C"/>
    <w:rsid w:val="0007293A"/>
    <w:rsid w:val="00072D1F"/>
    <w:rsid w:val="00072EF5"/>
    <w:rsid w:val="0007366C"/>
    <w:rsid w:val="00073A65"/>
    <w:rsid w:val="00074189"/>
    <w:rsid w:val="00074306"/>
    <w:rsid w:val="000757BB"/>
    <w:rsid w:val="00076189"/>
    <w:rsid w:val="00077A9A"/>
    <w:rsid w:val="00080423"/>
    <w:rsid w:val="00080C2C"/>
    <w:rsid w:val="00081AD6"/>
    <w:rsid w:val="00082074"/>
    <w:rsid w:val="00082902"/>
    <w:rsid w:val="000839AD"/>
    <w:rsid w:val="000853F6"/>
    <w:rsid w:val="00086585"/>
    <w:rsid w:val="0008676A"/>
    <w:rsid w:val="000867A8"/>
    <w:rsid w:val="00087036"/>
    <w:rsid w:val="00087EDB"/>
    <w:rsid w:val="000903FE"/>
    <w:rsid w:val="00091208"/>
    <w:rsid w:val="00093106"/>
    <w:rsid w:val="00093C11"/>
    <w:rsid w:val="000945CC"/>
    <w:rsid w:val="00094631"/>
    <w:rsid w:val="00094F41"/>
    <w:rsid w:val="000958D2"/>
    <w:rsid w:val="00096382"/>
    <w:rsid w:val="000972B0"/>
    <w:rsid w:val="000974E5"/>
    <w:rsid w:val="0009779A"/>
    <w:rsid w:val="0009795C"/>
    <w:rsid w:val="00097F80"/>
    <w:rsid w:val="000A0961"/>
    <w:rsid w:val="000A23B2"/>
    <w:rsid w:val="000A2D2D"/>
    <w:rsid w:val="000A2E68"/>
    <w:rsid w:val="000A45AB"/>
    <w:rsid w:val="000A560E"/>
    <w:rsid w:val="000A7772"/>
    <w:rsid w:val="000A7CA6"/>
    <w:rsid w:val="000B0078"/>
    <w:rsid w:val="000B0690"/>
    <w:rsid w:val="000B18A1"/>
    <w:rsid w:val="000B1B87"/>
    <w:rsid w:val="000B3709"/>
    <w:rsid w:val="000B382A"/>
    <w:rsid w:val="000B3B58"/>
    <w:rsid w:val="000B3EFD"/>
    <w:rsid w:val="000B425A"/>
    <w:rsid w:val="000B659B"/>
    <w:rsid w:val="000B6841"/>
    <w:rsid w:val="000B6E9F"/>
    <w:rsid w:val="000B7D78"/>
    <w:rsid w:val="000C053A"/>
    <w:rsid w:val="000C0DEA"/>
    <w:rsid w:val="000C30EA"/>
    <w:rsid w:val="000C3BB9"/>
    <w:rsid w:val="000C3DB1"/>
    <w:rsid w:val="000C54ED"/>
    <w:rsid w:val="000C5C02"/>
    <w:rsid w:val="000C6143"/>
    <w:rsid w:val="000C655E"/>
    <w:rsid w:val="000C66A4"/>
    <w:rsid w:val="000C7382"/>
    <w:rsid w:val="000D0226"/>
    <w:rsid w:val="000D1A22"/>
    <w:rsid w:val="000D1C6A"/>
    <w:rsid w:val="000D2EE5"/>
    <w:rsid w:val="000D35BD"/>
    <w:rsid w:val="000D49C0"/>
    <w:rsid w:val="000D6F7D"/>
    <w:rsid w:val="000D71CF"/>
    <w:rsid w:val="000D7225"/>
    <w:rsid w:val="000D722C"/>
    <w:rsid w:val="000D7277"/>
    <w:rsid w:val="000E0485"/>
    <w:rsid w:val="000E11F3"/>
    <w:rsid w:val="000E1951"/>
    <w:rsid w:val="000E21D9"/>
    <w:rsid w:val="000E2E7D"/>
    <w:rsid w:val="000E34F3"/>
    <w:rsid w:val="000E38B6"/>
    <w:rsid w:val="000E4205"/>
    <w:rsid w:val="000E6CC2"/>
    <w:rsid w:val="000E6D4F"/>
    <w:rsid w:val="000E7CF6"/>
    <w:rsid w:val="000E7DF4"/>
    <w:rsid w:val="000F03E7"/>
    <w:rsid w:val="000F0433"/>
    <w:rsid w:val="000F0A9F"/>
    <w:rsid w:val="000F1301"/>
    <w:rsid w:val="000F1D3C"/>
    <w:rsid w:val="000F27F6"/>
    <w:rsid w:val="000F29C8"/>
    <w:rsid w:val="000F336F"/>
    <w:rsid w:val="000F3D5D"/>
    <w:rsid w:val="000F4243"/>
    <w:rsid w:val="000F44F7"/>
    <w:rsid w:val="000F4ABF"/>
    <w:rsid w:val="000F51A4"/>
    <w:rsid w:val="000F5B66"/>
    <w:rsid w:val="000F5BE5"/>
    <w:rsid w:val="000F5FF6"/>
    <w:rsid w:val="000F65C5"/>
    <w:rsid w:val="000F7056"/>
    <w:rsid w:val="000F7103"/>
    <w:rsid w:val="000F7D2C"/>
    <w:rsid w:val="000F7F3B"/>
    <w:rsid w:val="00100E89"/>
    <w:rsid w:val="00100EB5"/>
    <w:rsid w:val="00100F0C"/>
    <w:rsid w:val="001025A3"/>
    <w:rsid w:val="001034D7"/>
    <w:rsid w:val="001036A0"/>
    <w:rsid w:val="0010457E"/>
    <w:rsid w:val="001065F5"/>
    <w:rsid w:val="00110417"/>
    <w:rsid w:val="00110B00"/>
    <w:rsid w:val="0011103A"/>
    <w:rsid w:val="00111E3E"/>
    <w:rsid w:val="001126F6"/>
    <w:rsid w:val="00112A09"/>
    <w:rsid w:val="00112EC1"/>
    <w:rsid w:val="00112F03"/>
    <w:rsid w:val="00113D1E"/>
    <w:rsid w:val="0011514B"/>
    <w:rsid w:val="00115E7F"/>
    <w:rsid w:val="00115EA5"/>
    <w:rsid w:val="0011696D"/>
    <w:rsid w:val="001211FC"/>
    <w:rsid w:val="00121681"/>
    <w:rsid w:val="0012272C"/>
    <w:rsid w:val="00122F58"/>
    <w:rsid w:val="0012352A"/>
    <w:rsid w:val="00123620"/>
    <w:rsid w:val="00123BCB"/>
    <w:rsid w:val="0012411A"/>
    <w:rsid w:val="001242DE"/>
    <w:rsid w:val="0012438E"/>
    <w:rsid w:val="00124C00"/>
    <w:rsid w:val="0012556E"/>
    <w:rsid w:val="00125B66"/>
    <w:rsid w:val="00125B8C"/>
    <w:rsid w:val="00125CCE"/>
    <w:rsid w:val="0012647A"/>
    <w:rsid w:val="00126DFD"/>
    <w:rsid w:val="00126EE1"/>
    <w:rsid w:val="001303B2"/>
    <w:rsid w:val="00130EED"/>
    <w:rsid w:val="00130F7B"/>
    <w:rsid w:val="001312BE"/>
    <w:rsid w:val="00131F1B"/>
    <w:rsid w:val="00133472"/>
    <w:rsid w:val="0013364F"/>
    <w:rsid w:val="00133A60"/>
    <w:rsid w:val="00133AAF"/>
    <w:rsid w:val="00133B98"/>
    <w:rsid w:val="00133CC9"/>
    <w:rsid w:val="00133DCE"/>
    <w:rsid w:val="0013472F"/>
    <w:rsid w:val="00134733"/>
    <w:rsid w:val="001359ED"/>
    <w:rsid w:val="001363B7"/>
    <w:rsid w:val="00137E38"/>
    <w:rsid w:val="00140B25"/>
    <w:rsid w:val="00141E1F"/>
    <w:rsid w:val="0014251A"/>
    <w:rsid w:val="00144304"/>
    <w:rsid w:val="001450DF"/>
    <w:rsid w:val="001450E0"/>
    <w:rsid w:val="00145CE7"/>
    <w:rsid w:val="0014704C"/>
    <w:rsid w:val="0014734D"/>
    <w:rsid w:val="001505D4"/>
    <w:rsid w:val="00150FDC"/>
    <w:rsid w:val="00151CC7"/>
    <w:rsid w:val="00152B36"/>
    <w:rsid w:val="00152E82"/>
    <w:rsid w:val="00153081"/>
    <w:rsid w:val="001530B2"/>
    <w:rsid w:val="00153DBB"/>
    <w:rsid w:val="001543E7"/>
    <w:rsid w:val="00154999"/>
    <w:rsid w:val="00154B0E"/>
    <w:rsid w:val="00155B77"/>
    <w:rsid w:val="00157DE3"/>
    <w:rsid w:val="00160569"/>
    <w:rsid w:val="0016091E"/>
    <w:rsid w:val="00160DD2"/>
    <w:rsid w:val="00161080"/>
    <w:rsid w:val="00161E2F"/>
    <w:rsid w:val="001622A1"/>
    <w:rsid w:val="001624A3"/>
    <w:rsid w:val="001624DA"/>
    <w:rsid w:val="00162BF5"/>
    <w:rsid w:val="00163488"/>
    <w:rsid w:val="00164627"/>
    <w:rsid w:val="00165BDE"/>
    <w:rsid w:val="00165E23"/>
    <w:rsid w:val="00166280"/>
    <w:rsid w:val="001664DF"/>
    <w:rsid w:val="00166B3A"/>
    <w:rsid w:val="00166B66"/>
    <w:rsid w:val="001671BC"/>
    <w:rsid w:val="00170099"/>
    <w:rsid w:val="00170194"/>
    <w:rsid w:val="001702DF"/>
    <w:rsid w:val="00170927"/>
    <w:rsid w:val="0017092A"/>
    <w:rsid w:val="00170A6E"/>
    <w:rsid w:val="00170E39"/>
    <w:rsid w:val="00172B90"/>
    <w:rsid w:val="00173776"/>
    <w:rsid w:val="00173A2B"/>
    <w:rsid w:val="00173CE1"/>
    <w:rsid w:val="00174417"/>
    <w:rsid w:val="001749CF"/>
    <w:rsid w:val="00174EDB"/>
    <w:rsid w:val="00176B8E"/>
    <w:rsid w:val="001770F3"/>
    <w:rsid w:val="0017780C"/>
    <w:rsid w:val="00177BCC"/>
    <w:rsid w:val="00177F23"/>
    <w:rsid w:val="0018001E"/>
    <w:rsid w:val="00180A4B"/>
    <w:rsid w:val="0018251A"/>
    <w:rsid w:val="00183A8A"/>
    <w:rsid w:val="00183D29"/>
    <w:rsid w:val="00183FAD"/>
    <w:rsid w:val="001846FB"/>
    <w:rsid w:val="00184714"/>
    <w:rsid w:val="00184C45"/>
    <w:rsid w:val="00186DA3"/>
    <w:rsid w:val="00190F8A"/>
    <w:rsid w:val="00191E3F"/>
    <w:rsid w:val="00193A85"/>
    <w:rsid w:val="00194395"/>
    <w:rsid w:val="00194963"/>
    <w:rsid w:val="00194E69"/>
    <w:rsid w:val="00194F44"/>
    <w:rsid w:val="001950DD"/>
    <w:rsid w:val="00195FF0"/>
    <w:rsid w:val="00197344"/>
    <w:rsid w:val="00197DD9"/>
    <w:rsid w:val="001A05F5"/>
    <w:rsid w:val="001A1A72"/>
    <w:rsid w:val="001A1C12"/>
    <w:rsid w:val="001A1D51"/>
    <w:rsid w:val="001A57DB"/>
    <w:rsid w:val="001A586B"/>
    <w:rsid w:val="001A5CF0"/>
    <w:rsid w:val="001A627B"/>
    <w:rsid w:val="001A72FD"/>
    <w:rsid w:val="001A73F1"/>
    <w:rsid w:val="001B1D26"/>
    <w:rsid w:val="001B1E1E"/>
    <w:rsid w:val="001B2F76"/>
    <w:rsid w:val="001B2F82"/>
    <w:rsid w:val="001B3673"/>
    <w:rsid w:val="001B396B"/>
    <w:rsid w:val="001B3DB5"/>
    <w:rsid w:val="001B413E"/>
    <w:rsid w:val="001B4B9C"/>
    <w:rsid w:val="001B72EB"/>
    <w:rsid w:val="001B7D0D"/>
    <w:rsid w:val="001B7E3D"/>
    <w:rsid w:val="001C13E9"/>
    <w:rsid w:val="001C33C1"/>
    <w:rsid w:val="001C4148"/>
    <w:rsid w:val="001C687B"/>
    <w:rsid w:val="001C786D"/>
    <w:rsid w:val="001C78FF"/>
    <w:rsid w:val="001D0014"/>
    <w:rsid w:val="001D0B29"/>
    <w:rsid w:val="001D146B"/>
    <w:rsid w:val="001D187E"/>
    <w:rsid w:val="001D1AD1"/>
    <w:rsid w:val="001D1C27"/>
    <w:rsid w:val="001D2451"/>
    <w:rsid w:val="001D2A8B"/>
    <w:rsid w:val="001D48EE"/>
    <w:rsid w:val="001D49AC"/>
    <w:rsid w:val="001D4BC9"/>
    <w:rsid w:val="001D4FE1"/>
    <w:rsid w:val="001D6D87"/>
    <w:rsid w:val="001D716D"/>
    <w:rsid w:val="001D78FF"/>
    <w:rsid w:val="001D7DD6"/>
    <w:rsid w:val="001E0062"/>
    <w:rsid w:val="001E0387"/>
    <w:rsid w:val="001E0F3F"/>
    <w:rsid w:val="001E15C2"/>
    <w:rsid w:val="001E223F"/>
    <w:rsid w:val="001E4374"/>
    <w:rsid w:val="001E4A82"/>
    <w:rsid w:val="001E4C0D"/>
    <w:rsid w:val="001E4D03"/>
    <w:rsid w:val="001E4DEB"/>
    <w:rsid w:val="001E4E95"/>
    <w:rsid w:val="001E59F4"/>
    <w:rsid w:val="001E631F"/>
    <w:rsid w:val="001F0A69"/>
    <w:rsid w:val="001F1333"/>
    <w:rsid w:val="001F1728"/>
    <w:rsid w:val="001F1EE8"/>
    <w:rsid w:val="001F2658"/>
    <w:rsid w:val="001F2DD0"/>
    <w:rsid w:val="001F3AD6"/>
    <w:rsid w:val="001F3CCB"/>
    <w:rsid w:val="001F5292"/>
    <w:rsid w:val="001F63BD"/>
    <w:rsid w:val="001F6775"/>
    <w:rsid w:val="001F69BF"/>
    <w:rsid w:val="0020004D"/>
    <w:rsid w:val="00200449"/>
    <w:rsid w:val="00200DF8"/>
    <w:rsid w:val="00200E4D"/>
    <w:rsid w:val="0020123C"/>
    <w:rsid w:val="0020196F"/>
    <w:rsid w:val="0020199B"/>
    <w:rsid w:val="002024E9"/>
    <w:rsid w:val="002034B8"/>
    <w:rsid w:val="0020515C"/>
    <w:rsid w:val="002051DA"/>
    <w:rsid w:val="0020639A"/>
    <w:rsid w:val="00206E9C"/>
    <w:rsid w:val="002078BE"/>
    <w:rsid w:val="00210857"/>
    <w:rsid w:val="00211669"/>
    <w:rsid w:val="002119A2"/>
    <w:rsid w:val="00212895"/>
    <w:rsid w:val="00213632"/>
    <w:rsid w:val="002158C4"/>
    <w:rsid w:val="00215F66"/>
    <w:rsid w:val="0021611E"/>
    <w:rsid w:val="002169DC"/>
    <w:rsid w:val="00220B6A"/>
    <w:rsid w:val="0022162D"/>
    <w:rsid w:val="002222A4"/>
    <w:rsid w:val="0022633B"/>
    <w:rsid w:val="00226F9D"/>
    <w:rsid w:val="0022731F"/>
    <w:rsid w:val="002276FA"/>
    <w:rsid w:val="00230F4A"/>
    <w:rsid w:val="00230FB5"/>
    <w:rsid w:val="00231038"/>
    <w:rsid w:val="00231746"/>
    <w:rsid w:val="00231B08"/>
    <w:rsid w:val="00232A54"/>
    <w:rsid w:val="0023376E"/>
    <w:rsid w:val="00233FAA"/>
    <w:rsid w:val="00234F3A"/>
    <w:rsid w:val="0023523A"/>
    <w:rsid w:val="00235E45"/>
    <w:rsid w:val="00235F66"/>
    <w:rsid w:val="002366EB"/>
    <w:rsid w:val="002379DD"/>
    <w:rsid w:val="00237FDB"/>
    <w:rsid w:val="0024053C"/>
    <w:rsid w:val="00241189"/>
    <w:rsid w:val="00241C46"/>
    <w:rsid w:val="002425DE"/>
    <w:rsid w:val="002436C1"/>
    <w:rsid w:val="00243DF5"/>
    <w:rsid w:val="00245106"/>
    <w:rsid w:val="002455A5"/>
    <w:rsid w:val="00245D03"/>
    <w:rsid w:val="00246334"/>
    <w:rsid w:val="00246C2A"/>
    <w:rsid w:val="0024748B"/>
    <w:rsid w:val="0024753F"/>
    <w:rsid w:val="00247A7D"/>
    <w:rsid w:val="00247D40"/>
    <w:rsid w:val="00250588"/>
    <w:rsid w:val="0025150E"/>
    <w:rsid w:val="00252462"/>
    <w:rsid w:val="00252B51"/>
    <w:rsid w:val="00253997"/>
    <w:rsid w:val="0025423C"/>
    <w:rsid w:val="0025490E"/>
    <w:rsid w:val="00254A3C"/>
    <w:rsid w:val="00254A8B"/>
    <w:rsid w:val="00254D59"/>
    <w:rsid w:val="00255480"/>
    <w:rsid w:val="00255866"/>
    <w:rsid w:val="00256152"/>
    <w:rsid w:val="00256E57"/>
    <w:rsid w:val="0025744E"/>
    <w:rsid w:val="002579CC"/>
    <w:rsid w:val="00257CDC"/>
    <w:rsid w:val="00260FFB"/>
    <w:rsid w:val="00262279"/>
    <w:rsid w:val="00263CB4"/>
    <w:rsid w:val="0026641B"/>
    <w:rsid w:val="002672C8"/>
    <w:rsid w:val="0027027C"/>
    <w:rsid w:val="00270665"/>
    <w:rsid w:val="002709BC"/>
    <w:rsid w:val="00272C53"/>
    <w:rsid w:val="00272E20"/>
    <w:rsid w:val="00273681"/>
    <w:rsid w:val="0027409E"/>
    <w:rsid w:val="002747E8"/>
    <w:rsid w:val="00274FAF"/>
    <w:rsid w:val="0027510A"/>
    <w:rsid w:val="0027608A"/>
    <w:rsid w:val="002765F4"/>
    <w:rsid w:val="002766D8"/>
    <w:rsid w:val="00276883"/>
    <w:rsid w:val="00277C1F"/>
    <w:rsid w:val="002821D7"/>
    <w:rsid w:val="00282F20"/>
    <w:rsid w:val="00283152"/>
    <w:rsid w:val="002841A6"/>
    <w:rsid w:val="00284713"/>
    <w:rsid w:val="00284BCD"/>
    <w:rsid w:val="00285867"/>
    <w:rsid w:val="0028632E"/>
    <w:rsid w:val="0029004F"/>
    <w:rsid w:val="002916BD"/>
    <w:rsid w:val="00291A31"/>
    <w:rsid w:val="00291B84"/>
    <w:rsid w:val="00292B19"/>
    <w:rsid w:val="00292B5E"/>
    <w:rsid w:val="002932FC"/>
    <w:rsid w:val="00293B59"/>
    <w:rsid w:val="00294431"/>
    <w:rsid w:val="0029480F"/>
    <w:rsid w:val="00294B49"/>
    <w:rsid w:val="0029526F"/>
    <w:rsid w:val="00295538"/>
    <w:rsid w:val="00295598"/>
    <w:rsid w:val="00297034"/>
    <w:rsid w:val="00297598"/>
    <w:rsid w:val="002A046A"/>
    <w:rsid w:val="002A05B4"/>
    <w:rsid w:val="002A0C0E"/>
    <w:rsid w:val="002A0EBC"/>
    <w:rsid w:val="002A237A"/>
    <w:rsid w:val="002A23E0"/>
    <w:rsid w:val="002A2E20"/>
    <w:rsid w:val="002A32DF"/>
    <w:rsid w:val="002A34E1"/>
    <w:rsid w:val="002A6980"/>
    <w:rsid w:val="002A6A60"/>
    <w:rsid w:val="002A7004"/>
    <w:rsid w:val="002A7DF5"/>
    <w:rsid w:val="002A7E94"/>
    <w:rsid w:val="002B001B"/>
    <w:rsid w:val="002B064E"/>
    <w:rsid w:val="002B0795"/>
    <w:rsid w:val="002B0AC9"/>
    <w:rsid w:val="002B1E52"/>
    <w:rsid w:val="002B2620"/>
    <w:rsid w:val="002B2913"/>
    <w:rsid w:val="002B3225"/>
    <w:rsid w:val="002B5080"/>
    <w:rsid w:val="002B5694"/>
    <w:rsid w:val="002B659F"/>
    <w:rsid w:val="002B7037"/>
    <w:rsid w:val="002C021F"/>
    <w:rsid w:val="002C2056"/>
    <w:rsid w:val="002C222A"/>
    <w:rsid w:val="002C23F7"/>
    <w:rsid w:val="002C266A"/>
    <w:rsid w:val="002C275F"/>
    <w:rsid w:val="002C2ADA"/>
    <w:rsid w:val="002C2D1B"/>
    <w:rsid w:val="002C3367"/>
    <w:rsid w:val="002C450E"/>
    <w:rsid w:val="002C4EAE"/>
    <w:rsid w:val="002C50C0"/>
    <w:rsid w:val="002C5C34"/>
    <w:rsid w:val="002C6302"/>
    <w:rsid w:val="002C7117"/>
    <w:rsid w:val="002C744B"/>
    <w:rsid w:val="002C7AC0"/>
    <w:rsid w:val="002C7CB4"/>
    <w:rsid w:val="002D064D"/>
    <w:rsid w:val="002D0706"/>
    <w:rsid w:val="002D29FD"/>
    <w:rsid w:val="002D2AEC"/>
    <w:rsid w:val="002D2B97"/>
    <w:rsid w:val="002D2C1F"/>
    <w:rsid w:val="002D35CA"/>
    <w:rsid w:val="002D3724"/>
    <w:rsid w:val="002D3DB4"/>
    <w:rsid w:val="002D600D"/>
    <w:rsid w:val="002D77BF"/>
    <w:rsid w:val="002D78A3"/>
    <w:rsid w:val="002E1382"/>
    <w:rsid w:val="002E2AA6"/>
    <w:rsid w:val="002E32E2"/>
    <w:rsid w:val="002E6F55"/>
    <w:rsid w:val="002F04F4"/>
    <w:rsid w:val="002F0E4E"/>
    <w:rsid w:val="002F24A1"/>
    <w:rsid w:val="002F3362"/>
    <w:rsid w:val="002F344B"/>
    <w:rsid w:val="002F3CD4"/>
    <w:rsid w:val="002F3FBD"/>
    <w:rsid w:val="002F41A5"/>
    <w:rsid w:val="002F4C66"/>
    <w:rsid w:val="002F5903"/>
    <w:rsid w:val="002F709A"/>
    <w:rsid w:val="002F7558"/>
    <w:rsid w:val="002F77A8"/>
    <w:rsid w:val="00300000"/>
    <w:rsid w:val="00300388"/>
    <w:rsid w:val="00300637"/>
    <w:rsid w:val="003010B6"/>
    <w:rsid w:val="00301619"/>
    <w:rsid w:val="00301AD3"/>
    <w:rsid w:val="00301E80"/>
    <w:rsid w:val="003025CE"/>
    <w:rsid w:val="00302755"/>
    <w:rsid w:val="00303147"/>
    <w:rsid w:val="00303458"/>
    <w:rsid w:val="003039E4"/>
    <w:rsid w:val="00304375"/>
    <w:rsid w:val="00304D18"/>
    <w:rsid w:val="00304E55"/>
    <w:rsid w:val="003050A7"/>
    <w:rsid w:val="0030551A"/>
    <w:rsid w:val="00305A15"/>
    <w:rsid w:val="00305B9A"/>
    <w:rsid w:val="00306353"/>
    <w:rsid w:val="00306D41"/>
    <w:rsid w:val="00307094"/>
    <w:rsid w:val="00307342"/>
    <w:rsid w:val="00307DE3"/>
    <w:rsid w:val="00310470"/>
    <w:rsid w:val="00310A72"/>
    <w:rsid w:val="00311C18"/>
    <w:rsid w:val="0031298C"/>
    <w:rsid w:val="00313701"/>
    <w:rsid w:val="00313D52"/>
    <w:rsid w:val="00314235"/>
    <w:rsid w:val="0031453A"/>
    <w:rsid w:val="00314BB7"/>
    <w:rsid w:val="00314E35"/>
    <w:rsid w:val="00315760"/>
    <w:rsid w:val="003169E1"/>
    <w:rsid w:val="00320186"/>
    <w:rsid w:val="003206F0"/>
    <w:rsid w:val="00320DA0"/>
    <w:rsid w:val="003211A5"/>
    <w:rsid w:val="003222FC"/>
    <w:rsid w:val="00322A55"/>
    <w:rsid w:val="00324004"/>
    <w:rsid w:val="00324EC0"/>
    <w:rsid w:val="00325D85"/>
    <w:rsid w:val="0032607C"/>
    <w:rsid w:val="00326CF5"/>
    <w:rsid w:val="00326E7B"/>
    <w:rsid w:val="003305DB"/>
    <w:rsid w:val="0033166C"/>
    <w:rsid w:val="0033358A"/>
    <w:rsid w:val="00333937"/>
    <w:rsid w:val="003342B8"/>
    <w:rsid w:val="0033504B"/>
    <w:rsid w:val="003362C7"/>
    <w:rsid w:val="00336A5A"/>
    <w:rsid w:val="00337043"/>
    <w:rsid w:val="00337AA0"/>
    <w:rsid w:val="00337E85"/>
    <w:rsid w:val="00341358"/>
    <w:rsid w:val="00341A2F"/>
    <w:rsid w:val="00341A7B"/>
    <w:rsid w:val="00342ADB"/>
    <w:rsid w:val="00343AA6"/>
    <w:rsid w:val="00343B0F"/>
    <w:rsid w:val="00344A27"/>
    <w:rsid w:val="00345F68"/>
    <w:rsid w:val="0034616E"/>
    <w:rsid w:val="00347006"/>
    <w:rsid w:val="00347D0D"/>
    <w:rsid w:val="00347D2F"/>
    <w:rsid w:val="003503AE"/>
    <w:rsid w:val="00351D8C"/>
    <w:rsid w:val="0035213A"/>
    <w:rsid w:val="00353419"/>
    <w:rsid w:val="003551CD"/>
    <w:rsid w:val="00355C14"/>
    <w:rsid w:val="00355D35"/>
    <w:rsid w:val="00356BEA"/>
    <w:rsid w:val="00357FB5"/>
    <w:rsid w:val="00360094"/>
    <w:rsid w:val="00361A05"/>
    <w:rsid w:val="0036238F"/>
    <w:rsid w:val="003627FB"/>
    <w:rsid w:val="00362826"/>
    <w:rsid w:val="00362CFD"/>
    <w:rsid w:val="00363EEF"/>
    <w:rsid w:val="0036403D"/>
    <w:rsid w:val="003642C8"/>
    <w:rsid w:val="0036455C"/>
    <w:rsid w:val="003656BF"/>
    <w:rsid w:val="00366074"/>
    <w:rsid w:val="00366FB4"/>
    <w:rsid w:val="00367122"/>
    <w:rsid w:val="0037083D"/>
    <w:rsid w:val="00370FEC"/>
    <w:rsid w:val="00372402"/>
    <w:rsid w:val="003724FE"/>
    <w:rsid w:val="003726C4"/>
    <w:rsid w:val="003732C5"/>
    <w:rsid w:val="00374086"/>
    <w:rsid w:val="0037473E"/>
    <w:rsid w:val="00375BEB"/>
    <w:rsid w:val="00375BF0"/>
    <w:rsid w:val="003762B7"/>
    <w:rsid w:val="00376C8B"/>
    <w:rsid w:val="00377160"/>
    <w:rsid w:val="003800B4"/>
    <w:rsid w:val="003809E0"/>
    <w:rsid w:val="003814E2"/>
    <w:rsid w:val="00381E88"/>
    <w:rsid w:val="003821F9"/>
    <w:rsid w:val="00382503"/>
    <w:rsid w:val="003827CD"/>
    <w:rsid w:val="00382C88"/>
    <w:rsid w:val="00382CF6"/>
    <w:rsid w:val="00383A99"/>
    <w:rsid w:val="00383D6D"/>
    <w:rsid w:val="00384713"/>
    <w:rsid w:val="00384D2B"/>
    <w:rsid w:val="003852EF"/>
    <w:rsid w:val="003859B5"/>
    <w:rsid w:val="003870EE"/>
    <w:rsid w:val="00387204"/>
    <w:rsid w:val="0038789A"/>
    <w:rsid w:val="00387ED7"/>
    <w:rsid w:val="0039016C"/>
    <w:rsid w:val="003904B4"/>
    <w:rsid w:val="00393452"/>
    <w:rsid w:val="00393CF7"/>
    <w:rsid w:val="00394AD3"/>
    <w:rsid w:val="00394C2C"/>
    <w:rsid w:val="00395441"/>
    <w:rsid w:val="003964A0"/>
    <w:rsid w:val="00396F85"/>
    <w:rsid w:val="0039723A"/>
    <w:rsid w:val="003A1C7D"/>
    <w:rsid w:val="003A1CB9"/>
    <w:rsid w:val="003A27B8"/>
    <w:rsid w:val="003A3D8C"/>
    <w:rsid w:val="003A539D"/>
    <w:rsid w:val="003A5FA1"/>
    <w:rsid w:val="003A7623"/>
    <w:rsid w:val="003B0FDF"/>
    <w:rsid w:val="003B1725"/>
    <w:rsid w:val="003B242C"/>
    <w:rsid w:val="003B324C"/>
    <w:rsid w:val="003B4D64"/>
    <w:rsid w:val="003B5CA2"/>
    <w:rsid w:val="003B5DFB"/>
    <w:rsid w:val="003B6220"/>
    <w:rsid w:val="003B64ED"/>
    <w:rsid w:val="003B6826"/>
    <w:rsid w:val="003B6F1F"/>
    <w:rsid w:val="003B7628"/>
    <w:rsid w:val="003B76DC"/>
    <w:rsid w:val="003C1E93"/>
    <w:rsid w:val="003C2161"/>
    <w:rsid w:val="003C3FAC"/>
    <w:rsid w:val="003C4071"/>
    <w:rsid w:val="003C5924"/>
    <w:rsid w:val="003C596C"/>
    <w:rsid w:val="003C6170"/>
    <w:rsid w:val="003C7A94"/>
    <w:rsid w:val="003C7DDE"/>
    <w:rsid w:val="003C7FF7"/>
    <w:rsid w:val="003D03AF"/>
    <w:rsid w:val="003D07CA"/>
    <w:rsid w:val="003D1FE5"/>
    <w:rsid w:val="003D3735"/>
    <w:rsid w:val="003D3D27"/>
    <w:rsid w:val="003D5148"/>
    <w:rsid w:val="003D5822"/>
    <w:rsid w:val="003D5999"/>
    <w:rsid w:val="003D6081"/>
    <w:rsid w:val="003D6132"/>
    <w:rsid w:val="003D6720"/>
    <w:rsid w:val="003D6B3F"/>
    <w:rsid w:val="003D73BE"/>
    <w:rsid w:val="003D7951"/>
    <w:rsid w:val="003D7A3F"/>
    <w:rsid w:val="003D7DD9"/>
    <w:rsid w:val="003E030F"/>
    <w:rsid w:val="003E1750"/>
    <w:rsid w:val="003E1EFB"/>
    <w:rsid w:val="003E2B26"/>
    <w:rsid w:val="003E4299"/>
    <w:rsid w:val="003E4396"/>
    <w:rsid w:val="003E4C74"/>
    <w:rsid w:val="003E4F77"/>
    <w:rsid w:val="003E52BE"/>
    <w:rsid w:val="003E6D92"/>
    <w:rsid w:val="003E70B9"/>
    <w:rsid w:val="003E7812"/>
    <w:rsid w:val="003F07CE"/>
    <w:rsid w:val="003F2136"/>
    <w:rsid w:val="003F277A"/>
    <w:rsid w:val="003F3190"/>
    <w:rsid w:val="003F31E6"/>
    <w:rsid w:val="003F40F9"/>
    <w:rsid w:val="003F43FA"/>
    <w:rsid w:val="003F4C40"/>
    <w:rsid w:val="003F52FE"/>
    <w:rsid w:val="003F580D"/>
    <w:rsid w:val="003F61D7"/>
    <w:rsid w:val="003F72A9"/>
    <w:rsid w:val="00401F3A"/>
    <w:rsid w:val="0040272E"/>
    <w:rsid w:val="00402EA0"/>
    <w:rsid w:val="00403387"/>
    <w:rsid w:val="00403497"/>
    <w:rsid w:val="004041C9"/>
    <w:rsid w:val="00404205"/>
    <w:rsid w:val="00406AE4"/>
    <w:rsid w:val="00406DE7"/>
    <w:rsid w:val="004079CC"/>
    <w:rsid w:val="00407AA6"/>
    <w:rsid w:val="004106A7"/>
    <w:rsid w:val="00410F85"/>
    <w:rsid w:val="00412823"/>
    <w:rsid w:val="00412DD1"/>
    <w:rsid w:val="0041353C"/>
    <w:rsid w:val="0041382E"/>
    <w:rsid w:val="00413D00"/>
    <w:rsid w:val="00414410"/>
    <w:rsid w:val="00414833"/>
    <w:rsid w:val="00414992"/>
    <w:rsid w:val="00415083"/>
    <w:rsid w:val="00415BED"/>
    <w:rsid w:val="00415CE2"/>
    <w:rsid w:val="00416ED0"/>
    <w:rsid w:val="004175B0"/>
    <w:rsid w:val="00420473"/>
    <w:rsid w:val="00420837"/>
    <w:rsid w:val="00421C9B"/>
    <w:rsid w:val="00422686"/>
    <w:rsid w:val="004244B1"/>
    <w:rsid w:val="00426041"/>
    <w:rsid w:val="0042620B"/>
    <w:rsid w:val="00426CBC"/>
    <w:rsid w:val="00427CC0"/>
    <w:rsid w:val="0043002F"/>
    <w:rsid w:val="004301CA"/>
    <w:rsid w:val="004303B3"/>
    <w:rsid w:val="00430927"/>
    <w:rsid w:val="0043134E"/>
    <w:rsid w:val="00431EDA"/>
    <w:rsid w:val="00432433"/>
    <w:rsid w:val="00432563"/>
    <w:rsid w:val="0043308A"/>
    <w:rsid w:val="00433113"/>
    <w:rsid w:val="00433284"/>
    <w:rsid w:val="00434262"/>
    <w:rsid w:val="004343D1"/>
    <w:rsid w:val="0043485C"/>
    <w:rsid w:val="00435CF7"/>
    <w:rsid w:val="00436062"/>
    <w:rsid w:val="0043673C"/>
    <w:rsid w:val="00436801"/>
    <w:rsid w:val="00436A2E"/>
    <w:rsid w:val="00437DA0"/>
    <w:rsid w:val="00440E35"/>
    <w:rsid w:val="004412CE"/>
    <w:rsid w:val="00441877"/>
    <w:rsid w:val="00442603"/>
    <w:rsid w:val="00443A49"/>
    <w:rsid w:val="00444898"/>
    <w:rsid w:val="00445E88"/>
    <w:rsid w:val="00446292"/>
    <w:rsid w:val="004469BC"/>
    <w:rsid w:val="004509F6"/>
    <w:rsid w:val="0045312C"/>
    <w:rsid w:val="00453254"/>
    <w:rsid w:val="00453326"/>
    <w:rsid w:val="0045366F"/>
    <w:rsid w:val="00453F48"/>
    <w:rsid w:val="00453F4D"/>
    <w:rsid w:val="00454062"/>
    <w:rsid w:val="00454218"/>
    <w:rsid w:val="00455D49"/>
    <w:rsid w:val="00455DF1"/>
    <w:rsid w:val="00456254"/>
    <w:rsid w:val="004563CF"/>
    <w:rsid w:val="00456A0F"/>
    <w:rsid w:val="00456C53"/>
    <w:rsid w:val="00456E84"/>
    <w:rsid w:val="0045712F"/>
    <w:rsid w:val="0046092C"/>
    <w:rsid w:val="00460F22"/>
    <w:rsid w:val="004617CD"/>
    <w:rsid w:val="004622EE"/>
    <w:rsid w:val="0046446A"/>
    <w:rsid w:val="004645D0"/>
    <w:rsid w:val="0046490E"/>
    <w:rsid w:val="00464A97"/>
    <w:rsid w:val="00464FA6"/>
    <w:rsid w:val="004651E5"/>
    <w:rsid w:val="004664E8"/>
    <w:rsid w:val="00466FD7"/>
    <w:rsid w:val="004676E4"/>
    <w:rsid w:val="0046796E"/>
    <w:rsid w:val="00467E09"/>
    <w:rsid w:val="0047041F"/>
    <w:rsid w:val="004707EC"/>
    <w:rsid w:val="00470F11"/>
    <w:rsid w:val="0047173F"/>
    <w:rsid w:val="004722FE"/>
    <w:rsid w:val="00472A2C"/>
    <w:rsid w:val="004739B2"/>
    <w:rsid w:val="00474070"/>
    <w:rsid w:val="0047586E"/>
    <w:rsid w:val="004761F8"/>
    <w:rsid w:val="0047624F"/>
    <w:rsid w:val="00476551"/>
    <w:rsid w:val="00476764"/>
    <w:rsid w:val="00477506"/>
    <w:rsid w:val="00477994"/>
    <w:rsid w:val="00480ED0"/>
    <w:rsid w:val="004815FB"/>
    <w:rsid w:val="00481CB0"/>
    <w:rsid w:val="00482251"/>
    <w:rsid w:val="00482CC2"/>
    <w:rsid w:val="004835E4"/>
    <w:rsid w:val="004838F5"/>
    <w:rsid w:val="00483FD9"/>
    <w:rsid w:val="00484CF0"/>
    <w:rsid w:val="0048562B"/>
    <w:rsid w:val="004856F7"/>
    <w:rsid w:val="00485E98"/>
    <w:rsid w:val="0048615C"/>
    <w:rsid w:val="00486A15"/>
    <w:rsid w:val="00487169"/>
    <w:rsid w:val="0049046F"/>
    <w:rsid w:val="00490539"/>
    <w:rsid w:val="004907EE"/>
    <w:rsid w:val="00490BBC"/>
    <w:rsid w:val="004910C2"/>
    <w:rsid w:val="00491342"/>
    <w:rsid w:val="00491B25"/>
    <w:rsid w:val="00491CD6"/>
    <w:rsid w:val="004925DF"/>
    <w:rsid w:val="004929D1"/>
    <w:rsid w:val="004939CA"/>
    <w:rsid w:val="00494407"/>
    <w:rsid w:val="0049785B"/>
    <w:rsid w:val="00497D5C"/>
    <w:rsid w:val="004A0831"/>
    <w:rsid w:val="004A1D81"/>
    <w:rsid w:val="004A243A"/>
    <w:rsid w:val="004A2756"/>
    <w:rsid w:val="004A3871"/>
    <w:rsid w:val="004A3BE1"/>
    <w:rsid w:val="004A3D2E"/>
    <w:rsid w:val="004A49CD"/>
    <w:rsid w:val="004A4AED"/>
    <w:rsid w:val="004A58D1"/>
    <w:rsid w:val="004A5E88"/>
    <w:rsid w:val="004A65C0"/>
    <w:rsid w:val="004A6C11"/>
    <w:rsid w:val="004B0C8E"/>
    <w:rsid w:val="004B164D"/>
    <w:rsid w:val="004B1E66"/>
    <w:rsid w:val="004B35AE"/>
    <w:rsid w:val="004B4001"/>
    <w:rsid w:val="004B4B39"/>
    <w:rsid w:val="004B5736"/>
    <w:rsid w:val="004B6EA9"/>
    <w:rsid w:val="004B7203"/>
    <w:rsid w:val="004B735F"/>
    <w:rsid w:val="004B77FF"/>
    <w:rsid w:val="004C02E5"/>
    <w:rsid w:val="004C03A8"/>
    <w:rsid w:val="004C0A7B"/>
    <w:rsid w:val="004C0F0C"/>
    <w:rsid w:val="004C19D9"/>
    <w:rsid w:val="004C1C90"/>
    <w:rsid w:val="004C21FE"/>
    <w:rsid w:val="004C49FA"/>
    <w:rsid w:val="004C4C9B"/>
    <w:rsid w:val="004C4EA4"/>
    <w:rsid w:val="004C5712"/>
    <w:rsid w:val="004C70D6"/>
    <w:rsid w:val="004C7C47"/>
    <w:rsid w:val="004C7E14"/>
    <w:rsid w:val="004D0388"/>
    <w:rsid w:val="004D0478"/>
    <w:rsid w:val="004D0A93"/>
    <w:rsid w:val="004D0D13"/>
    <w:rsid w:val="004D20F5"/>
    <w:rsid w:val="004D2AAB"/>
    <w:rsid w:val="004D2B26"/>
    <w:rsid w:val="004D34DD"/>
    <w:rsid w:val="004D35FE"/>
    <w:rsid w:val="004D382B"/>
    <w:rsid w:val="004D3B10"/>
    <w:rsid w:val="004D40AF"/>
    <w:rsid w:val="004D49D8"/>
    <w:rsid w:val="004D5099"/>
    <w:rsid w:val="004D5256"/>
    <w:rsid w:val="004D5D4E"/>
    <w:rsid w:val="004D63E7"/>
    <w:rsid w:val="004D6E8F"/>
    <w:rsid w:val="004D73A7"/>
    <w:rsid w:val="004D7BA3"/>
    <w:rsid w:val="004E30EB"/>
    <w:rsid w:val="004E35B4"/>
    <w:rsid w:val="004E3C6A"/>
    <w:rsid w:val="004E46B0"/>
    <w:rsid w:val="004E645B"/>
    <w:rsid w:val="004E706F"/>
    <w:rsid w:val="004F139C"/>
    <w:rsid w:val="004F13A9"/>
    <w:rsid w:val="004F1A36"/>
    <w:rsid w:val="004F3AC9"/>
    <w:rsid w:val="004F3E60"/>
    <w:rsid w:val="004F4072"/>
    <w:rsid w:val="004F46F0"/>
    <w:rsid w:val="004F4F78"/>
    <w:rsid w:val="004F52CF"/>
    <w:rsid w:val="004F55EC"/>
    <w:rsid w:val="004F5B96"/>
    <w:rsid w:val="004F60D0"/>
    <w:rsid w:val="004F715D"/>
    <w:rsid w:val="0050130D"/>
    <w:rsid w:val="005013A2"/>
    <w:rsid w:val="005019F1"/>
    <w:rsid w:val="00502451"/>
    <w:rsid w:val="00502ABF"/>
    <w:rsid w:val="0050386F"/>
    <w:rsid w:val="00503CF3"/>
    <w:rsid w:val="00503EE9"/>
    <w:rsid w:val="005041D5"/>
    <w:rsid w:val="005071D2"/>
    <w:rsid w:val="00510526"/>
    <w:rsid w:val="00510823"/>
    <w:rsid w:val="0051208D"/>
    <w:rsid w:val="00514D9A"/>
    <w:rsid w:val="00515789"/>
    <w:rsid w:val="00516DA1"/>
    <w:rsid w:val="005201F1"/>
    <w:rsid w:val="00520ACC"/>
    <w:rsid w:val="00520B0B"/>
    <w:rsid w:val="005212D4"/>
    <w:rsid w:val="00522752"/>
    <w:rsid w:val="00522AA1"/>
    <w:rsid w:val="00523379"/>
    <w:rsid w:val="00523F14"/>
    <w:rsid w:val="0052415B"/>
    <w:rsid w:val="00525CA0"/>
    <w:rsid w:val="005266CB"/>
    <w:rsid w:val="00527FBD"/>
    <w:rsid w:val="0053069A"/>
    <w:rsid w:val="005308B0"/>
    <w:rsid w:val="005309DB"/>
    <w:rsid w:val="00531959"/>
    <w:rsid w:val="0053444E"/>
    <w:rsid w:val="0053510C"/>
    <w:rsid w:val="00535C8A"/>
    <w:rsid w:val="00535CD5"/>
    <w:rsid w:val="00535F46"/>
    <w:rsid w:val="005362B4"/>
    <w:rsid w:val="0053633A"/>
    <w:rsid w:val="00536CE0"/>
    <w:rsid w:val="00536E3A"/>
    <w:rsid w:val="00537241"/>
    <w:rsid w:val="0053778C"/>
    <w:rsid w:val="005400DC"/>
    <w:rsid w:val="00540409"/>
    <w:rsid w:val="005408D5"/>
    <w:rsid w:val="00542CCA"/>
    <w:rsid w:val="00542F97"/>
    <w:rsid w:val="0054309D"/>
    <w:rsid w:val="005436F3"/>
    <w:rsid w:val="00544451"/>
    <w:rsid w:val="005449D5"/>
    <w:rsid w:val="00544A6C"/>
    <w:rsid w:val="00546351"/>
    <w:rsid w:val="00551149"/>
    <w:rsid w:val="0055122E"/>
    <w:rsid w:val="00551427"/>
    <w:rsid w:val="00551590"/>
    <w:rsid w:val="00551C0A"/>
    <w:rsid w:val="00553857"/>
    <w:rsid w:val="00553C6E"/>
    <w:rsid w:val="00554430"/>
    <w:rsid w:val="005555B2"/>
    <w:rsid w:val="005560A0"/>
    <w:rsid w:val="00560551"/>
    <w:rsid w:val="00560B05"/>
    <w:rsid w:val="00561A27"/>
    <w:rsid w:val="00561FE9"/>
    <w:rsid w:val="00562804"/>
    <w:rsid w:val="00564093"/>
    <w:rsid w:val="00564529"/>
    <w:rsid w:val="00564783"/>
    <w:rsid w:val="00564F46"/>
    <w:rsid w:val="005659B2"/>
    <w:rsid w:val="00566CB6"/>
    <w:rsid w:val="00567AAC"/>
    <w:rsid w:val="00572A2F"/>
    <w:rsid w:val="00572C28"/>
    <w:rsid w:val="00572D91"/>
    <w:rsid w:val="0057403F"/>
    <w:rsid w:val="00574893"/>
    <w:rsid w:val="005757A8"/>
    <w:rsid w:val="00575E03"/>
    <w:rsid w:val="00576001"/>
    <w:rsid w:val="00576A3A"/>
    <w:rsid w:val="00576B9E"/>
    <w:rsid w:val="00577555"/>
    <w:rsid w:val="005803FA"/>
    <w:rsid w:val="005806B4"/>
    <w:rsid w:val="005806F8"/>
    <w:rsid w:val="005809B5"/>
    <w:rsid w:val="00581D0F"/>
    <w:rsid w:val="005822DA"/>
    <w:rsid w:val="00583A5E"/>
    <w:rsid w:val="0058412B"/>
    <w:rsid w:val="005856D2"/>
    <w:rsid w:val="00587D7C"/>
    <w:rsid w:val="005909A0"/>
    <w:rsid w:val="00590CD8"/>
    <w:rsid w:val="00591904"/>
    <w:rsid w:val="00591D64"/>
    <w:rsid w:val="00591E65"/>
    <w:rsid w:val="00592105"/>
    <w:rsid w:val="00593310"/>
    <w:rsid w:val="0059593D"/>
    <w:rsid w:val="00595C4D"/>
    <w:rsid w:val="00597498"/>
    <w:rsid w:val="0059767A"/>
    <w:rsid w:val="005A0462"/>
    <w:rsid w:val="005A0D71"/>
    <w:rsid w:val="005A1903"/>
    <w:rsid w:val="005A43FC"/>
    <w:rsid w:val="005A4F64"/>
    <w:rsid w:val="005A6007"/>
    <w:rsid w:val="005A6752"/>
    <w:rsid w:val="005A6DE4"/>
    <w:rsid w:val="005A70FC"/>
    <w:rsid w:val="005A7236"/>
    <w:rsid w:val="005B08B3"/>
    <w:rsid w:val="005B0F07"/>
    <w:rsid w:val="005B16D7"/>
    <w:rsid w:val="005B1BB5"/>
    <w:rsid w:val="005B2FAA"/>
    <w:rsid w:val="005B31FB"/>
    <w:rsid w:val="005B372F"/>
    <w:rsid w:val="005B3AC2"/>
    <w:rsid w:val="005B439F"/>
    <w:rsid w:val="005B49CC"/>
    <w:rsid w:val="005B5F10"/>
    <w:rsid w:val="005B62FA"/>
    <w:rsid w:val="005B6576"/>
    <w:rsid w:val="005C09F1"/>
    <w:rsid w:val="005C0B01"/>
    <w:rsid w:val="005C1CF3"/>
    <w:rsid w:val="005C201C"/>
    <w:rsid w:val="005C32D6"/>
    <w:rsid w:val="005C3724"/>
    <w:rsid w:val="005C37A8"/>
    <w:rsid w:val="005C3B0D"/>
    <w:rsid w:val="005C4B2D"/>
    <w:rsid w:val="005C5AC5"/>
    <w:rsid w:val="005C5BC2"/>
    <w:rsid w:val="005C6152"/>
    <w:rsid w:val="005C61CB"/>
    <w:rsid w:val="005C72E9"/>
    <w:rsid w:val="005C79F4"/>
    <w:rsid w:val="005D03A4"/>
    <w:rsid w:val="005D163E"/>
    <w:rsid w:val="005D19DF"/>
    <w:rsid w:val="005D2664"/>
    <w:rsid w:val="005D33A6"/>
    <w:rsid w:val="005D4B30"/>
    <w:rsid w:val="005D4D03"/>
    <w:rsid w:val="005D5066"/>
    <w:rsid w:val="005D5292"/>
    <w:rsid w:val="005D5470"/>
    <w:rsid w:val="005D637B"/>
    <w:rsid w:val="005D6C4A"/>
    <w:rsid w:val="005D6FD2"/>
    <w:rsid w:val="005E0829"/>
    <w:rsid w:val="005E14F6"/>
    <w:rsid w:val="005E162C"/>
    <w:rsid w:val="005E26A1"/>
    <w:rsid w:val="005E2C12"/>
    <w:rsid w:val="005E2D33"/>
    <w:rsid w:val="005E436E"/>
    <w:rsid w:val="005E494F"/>
    <w:rsid w:val="005E5312"/>
    <w:rsid w:val="005E588E"/>
    <w:rsid w:val="005E5F0F"/>
    <w:rsid w:val="005E65CA"/>
    <w:rsid w:val="005E695B"/>
    <w:rsid w:val="005E7086"/>
    <w:rsid w:val="005E73CE"/>
    <w:rsid w:val="005E7E5C"/>
    <w:rsid w:val="005F0711"/>
    <w:rsid w:val="005F0E22"/>
    <w:rsid w:val="005F0E3C"/>
    <w:rsid w:val="005F0E71"/>
    <w:rsid w:val="005F1547"/>
    <w:rsid w:val="005F1604"/>
    <w:rsid w:val="005F24F4"/>
    <w:rsid w:val="005F27C8"/>
    <w:rsid w:val="005F2903"/>
    <w:rsid w:val="005F31D7"/>
    <w:rsid w:val="005F3AA3"/>
    <w:rsid w:val="005F52B2"/>
    <w:rsid w:val="005F537F"/>
    <w:rsid w:val="005F5931"/>
    <w:rsid w:val="005F7D07"/>
    <w:rsid w:val="00600203"/>
    <w:rsid w:val="0060020D"/>
    <w:rsid w:val="006005A0"/>
    <w:rsid w:val="00600BDF"/>
    <w:rsid w:val="00602794"/>
    <w:rsid w:val="00602D12"/>
    <w:rsid w:val="00603833"/>
    <w:rsid w:val="00604135"/>
    <w:rsid w:val="006058CB"/>
    <w:rsid w:val="0060733C"/>
    <w:rsid w:val="00607C22"/>
    <w:rsid w:val="0061093F"/>
    <w:rsid w:val="0061140B"/>
    <w:rsid w:val="00611F4B"/>
    <w:rsid w:val="00613453"/>
    <w:rsid w:val="0061377A"/>
    <w:rsid w:val="0061470B"/>
    <w:rsid w:val="00614F0B"/>
    <w:rsid w:val="0061603B"/>
    <w:rsid w:val="0061632D"/>
    <w:rsid w:val="00616AE1"/>
    <w:rsid w:val="00617F6B"/>
    <w:rsid w:val="0062067C"/>
    <w:rsid w:val="006214AD"/>
    <w:rsid w:val="0062185D"/>
    <w:rsid w:val="00621962"/>
    <w:rsid w:val="00624A2B"/>
    <w:rsid w:val="0062541F"/>
    <w:rsid w:val="00625863"/>
    <w:rsid w:val="006260E5"/>
    <w:rsid w:val="0062647B"/>
    <w:rsid w:val="00626BF4"/>
    <w:rsid w:val="00626E8D"/>
    <w:rsid w:val="00627A9B"/>
    <w:rsid w:val="00627B69"/>
    <w:rsid w:val="00633754"/>
    <w:rsid w:val="00633AD9"/>
    <w:rsid w:val="00635E85"/>
    <w:rsid w:val="0063693B"/>
    <w:rsid w:val="006371FF"/>
    <w:rsid w:val="00640F88"/>
    <w:rsid w:val="00642BAA"/>
    <w:rsid w:val="006436A7"/>
    <w:rsid w:val="00643DD9"/>
    <w:rsid w:val="006444CA"/>
    <w:rsid w:val="00644A75"/>
    <w:rsid w:val="00645DCE"/>
    <w:rsid w:val="006472A0"/>
    <w:rsid w:val="00650768"/>
    <w:rsid w:val="006512E3"/>
    <w:rsid w:val="00651512"/>
    <w:rsid w:val="00653500"/>
    <w:rsid w:val="00653D24"/>
    <w:rsid w:val="00653F0A"/>
    <w:rsid w:val="00654956"/>
    <w:rsid w:val="00654DE7"/>
    <w:rsid w:val="00655049"/>
    <w:rsid w:val="0065533C"/>
    <w:rsid w:val="00656A9D"/>
    <w:rsid w:val="00656F5E"/>
    <w:rsid w:val="00657991"/>
    <w:rsid w:val="0066229E"/>
    <w:rsid w:val="00662CBC"/>
    <w:rsid w:val="0066476E"/>
    <w:rsid w:val="00664788"/>
    <w:rsid w:val="0066619E"/>
    <w:rsid w:val="006673A8"/>
    <w:rsid w:val="0066777A"/>
    <w:rsid w:val="006700A9"/>
    <w:rsid w:val="0067038D"/>
    <w:rsid w:val="00671042"/>
    <w:rsid w:val="00671A6A"/>
    <w:rsid w:val="00673ABF"/>
    <w:rsid w:val="00673E46"/>
    <w:rsid w:val="00673F0C"/>
    <w:rsid w:val="00674B4E"/>
    <w:rsid w:val="00675082"/>
    <w:rsid w:val="00675EC1"/>
    <w:rsid w:val="006764FB"/>
    <w:rsid w:val="00676A38"/>
    <w:rsid w:val="0067775E"/>
    <w:rsid w:val="00680098"/>
    <w:rsid w:val="00680833"/>
    <w:rsid w:val="00680957"/>
    <w:rsid w:val="00682CFC"/>
    <w:rsid w:val="00682F1D"/>
    <w:rsid w:val="00683B13"/>
    <w:rsid w:val="00685264"/>
    <w:rsid w:val="00686216"/>
    <w:rsid w:val="00686325"/>
    <w:rsid w:val="0068649F"/>
    <w:rsid w:val="00686EC4"/>
    <w:rsid w:val="00687063"/>
    <w:rsid w:val="00690A09"/>
    <w:rsid w:val="00691425"/>
    <w:rsid w:val="0069185B"/>
    <w:rsid w:val="00691F37"/>
    <w:rsid w:val="006922A1"/>
    <w:rsid w:val="00694A8D"/>
    <w:rsid w:val="00695591"/>
    <w:rsid w:val="00695E17"/>
    <w:rsid w:val="00696763"/>
    <w:rsid w:val="00696CDA"/>
    <w:rsid w:val="00696D1D"/>
    <w:rsid w:val="00696DEC"/>
    <w:rsid w:val="0069734A"/>
    <w:rsid w:val="00697B2E"/>
    <w:rsid w:val="006A044A"/>
    <w:rsid w:val="006A1180"/>
    <w:rsid w:val="006A139A"/>
    <w:rsid w:val="006A1939"/>
    <w:rsid w:val="006A303A"/>
    <w:rsid w:val="006A45A4"/>
    <w:rsid w:val="006A5C3E"/>
    <w:rsid w:val="006A70CE"/>
    <w:rsid w:val="006B0367"/>
    <w:rsid w:val="006B0B61"/>
    <w:rsid w:val="006B147C"/>
    <w:rsid w:val="006B1E00"/>
    <w:rsid w:val="006B202A"/>
    <w:rsid w:val="006B4802"/>
    <w:rsid w:val="006B5097"/>
    <w:rsid w:val="006B50AD"/>
    <w:rsid w:val="006B5516"/>
    <w:rsid w:val="006B5D36"/>
    <w:rsid w:val="006B6471"/>
    <w:rsid w:val="006B7A09"/>
    <w:rsid w:val="006B7CB0"/>
    <w:rsid w:val="006C044C"/>
    <w:rsid w:val="006C07FE"/>
    <w:rsid w:val="006C0A29"/>
    <w:rsid w:val="006C17FA"/>
    <w:rsid w:val="006C1A57"/>
    <w:rsid w:val="006C2C37"/>
    <w:rsid w:val="006C35B6"/>
    <w:rsid w:val="006C42CE"/>
    <w:rsid w:val="006C5486"/>
    <w:rsid w:val="006C592D"/>
    <w:rsid w:val="006C5D93"/>
    <w:rsid w:val="006C74B3"/>
    <w:rsid w:val="006C7EF9"/>
    <w:rsid w:val="006D1D4A"/>
    <w:rsid w:val="006D209C"/>
    <w:rsid w:val="006D34E4"/>
    <w:rsid w:val="006D3791"/>
    <w:rsid w:val="006D39EB"/>
    <w:rsid w:val="006D465F"/>
    <w:rsid w:val="006D46A6"/>
    <w:rsid w:val="006D4894"/>
    <w:rsid w:val="006D4B56"/>
    <w:rsid w:val="006D4DDB"/>
    <w:rsid w:val="006D7209"/>
    <w:rsid w:val="006E0AAD"/>
    <w:rsid w:val="006E11C9"/>
    <w:rsid w:val="006E31AE"/>
    <w:rsid w:val="006E3ED5"/>
    <w:rsid w:val="006E4134"/>
    <w:rsid w:val="006E4984"/>
    <w:rsid w:val="006E5E71"/>
    <w:rsid w:val="006F18A3"/>
    <w:rsid w:val="006F1A30"/>
    <w:rsid w:val="006F32BF"/>
    <w:rsid w:val="006F38F6"/>
    <w:rsid w:val="006F3989"/>
    <w:rsid w:val="006F3DC9"/>
    <w:rsid w:val="006F3FB3"/>
    <w:rsid w:val="006F4219"/>
    <w:rsid w:val="006F55D6"/>
    <w:rsid w:val="006F575A"/>
    <w:rsid w:val="006F6243"/>
    <w:rsid w:val="006F659B"/>
    <w:rsid w:val="00700A73"/>
    <w:rsid w:val="007015E9"/>
    <w:rsid w:val="00701F9E"/>
    <w:rsid w:val="0070238A"/>
    <w:rsid w:val="00702886"/>
    <w:rsid w:val="00702A10"/>
    <w:rsid w:val="0070394A"/>
    <w:rsid w:val="007040A1"/>
    <w:rsid w:val="0070484E"/>
    <w:rsid w:val="0070491E"/>
    <w:rsid w:val="00704ED8"/>
    <w:rsid w:val="0070601C"/>
    <w:rsid w:val="0070630B"/>
    <w:rsid w:val="007066E6"/>
    <w:rsid w:val="00706C45"/>
    <w:rsid w:val="00707008"/>
    <w:rsid w:val="00710993"/>
    <w:rsid w:val="00712492"/>
    <w:rsid w:val="00712884"/>
    <w:rsid w:val="00713B2F"/>
    <w:rsid w:val="00713C6D"/>
    <w:rsid w:val="00715090"/>
    <w:rsid w:val="00715379"/>
    <w:rsid w:val="0071587A"/>
    <w:rsid w:val="007159EB"/>
    <w:rsid w:val="007160E0"/>
    <w:rsid w:val="00716601"/>
    <w:rsid w:val="00716E3F"/>
    <w:rsid w:val="007173D2"/>
    <w:rsid w:val="00717DE7"/>
    <w:rsid w:val="00720629"/>
    <w:rsid w:val="00720B16"/>
    <w:rsid w:val="00720B23"/>
    <w:rsid w:val="00720FB9"/>
    <w:rsid w:val="007219C5"/>
    <w:rsid w:val="007223FC"/>
    <w:rsid w:val="0072277B"/>
    <w:rsid w:val="00722DBB"/>
    <w:rsid w:val="00723E51"/>
    <w:rsid w:val="0072579B"/>
    <w:rsid w:val="00725CF6"/>
    <w:rsid w:val="00725F23"/>
    <w:rsid w:val="007267EB"/>
    <w:rsid w:val="0072737A"/>
    <w:rsid w:val="00730159"/>
    <w:rsid w:val="00730AC8"/>
    <w:rsid w:val="00730C0D"/>
    <w:rsid w:val="0073129C"/>
    <w:rsid w:val="00731BC5"/>
    <w:rsid w:val="00732AFD"/>
    <w:rsid w:val="00732E0C"/>
    <w:rsid w:val="007330C4"/>
    <w:rsid w:val="007339DB"/>
    <w:rsid w:val="007340ED"/>
    <w:rsid w:val="007356FC"/>
    <w:rsid w:val="00735CE3"/>
    <w:rsid w:val="007363C4"/>
    <w:rsid w:val="00736DD5"/>
    <w:rsid w:val="007372BE"/>
    <w:rsid w:val="0073765E"/>
    <w:rsid w:val="007407D3"/>
    <w:rsid w:val="0074101E"/>
    <w:rsid w:val="0074150A"/>
    <w:rsid w:val="00741FEC"/>
    <w:rsid w:val="007433D3"/>
    <w:rsid w:val="00743A86"/>
    <w:rsid w:val="00743F1B"/>
    <w:rsid w:val="0074430F"/>
    <w:rsid w:val="007448B9"/>
    <w:rsid w:val="0074509B"/>
    <w:rsid w:val="007464E2"/>
    <w:rsid w:val="007468E9"/>
    <w:rsid w:val="00746BED"/>
    <w:rsid w:val="00746E9B"/>
    <w:rsid w:val="00747D71"/>
    <w:rsid w:val="00750288"/>
    <w:rsid w:val="0075066C"/>
    <w:rsid w:val="00751BF1"/>
    <w:rsid w:val="00752BBB"/>
    <w:rsid w:val="007537F1"/>
    <w:rsid w:val="00753A4F"/>
    <w:rsid w:val="00755C58"/>
    <w:rsid w:val="00756643"/>
    <w:rsid w:val="007567FF"/>
    <w:rsid w:val="00756DA9"/>
    <w:rsid w:val="0075794D"/>
    <w:rsid w:val="007607C7"/>
    <w:rsid w:val="007608C8"/>
    <w:rsid w:val="00760C26"/>
    <w:rsid w:val="00761696"/>
    <w:rsid w:val="00761834"/>
    <w:rsid w:val="00761D2E"/>
    <w:rsid w:val="00761D56"/>
    <w:rsid w:val="007620D8"/>
    <w:rsid w:val="007631A8"/>
    <w:rsid w:val="00763926"/>
    <w:rsid w:val="0076420A"/>
    <w:rsid w:val="007645ED"/>
    <w:rsid w:val="007646E3"/>
    <w:rsid w:val="0076492F"/>
    <w:rsid w:val="00764D0F"/>
    <w:rsid w:val="00764ED5"/>
    <w:rsid w:val="007665AE"/>
    <w:rsid w:val="007665E7"/>
    <w:rsid w:val="007669D1"/>
    <w:rsid w:val="00767776"/>
    <w:rsid w:val="00767809"/>
    <w:rsid w:val="00767F65"/>
    <w:rsid w:val="007714AE"/>
    <w:rsid w:val="00773845"/>
    <w:rsid w:val="0077605D"/>
    <w:rsid w:val="00780896"/>
    <w:rsid w:val="00780E48"/>
    <w:rsid w:val="00780FF2"/>
    <w:rsid w:val="007815A1"/>
    <w:rsid w:val="00781F37"/>
    <w:rsid w:val="0078251C"/>
    <w:rsid w:val="00783BF6"/>
    <w:rsid w:val="00783D1B"/>
    <w:rsid w:val="00783F46"/>
    <w:rsid w:val="0078501F"/>
    <w:rsid w:val="00785229"/>
    <w:rsid w:val="0078620B"/>
    <w:rsid w:val="00787F19"/>
    <w:rsid w:val="007905BD"/>
    <w:rsid w:val="0079186B"/>
    <w:rsid w:val="007919EE"/>
    <w:rsid w:val="00793312"/>
    <w:rsid w:val="00794B5C"/>
    <w:rsid w:val="00796669"/>
    <w:rsid w:val="00796A9E"/>
    <w:rsid w:val="00796D05"/>
    <w:rsid w:val="007970C0"/>
    <w:rsid w:val="00797687"/>
    <w:rsid w:val="007979C3"/>
    <w:rsid w:val="00797F44"/>
    <w:rsid w:val="007A0BE3"/>
    <w:rsid w:val="007A20FE"/>
    <w:rsid w:val="007A25AF"/>
    <w:rsid w:val="007A30A5"/>
    <w:rsid w:val="007A3DCF"/>
    <w:rsid w:val="007A4EEC"/>
    <w:rsid w:val="007A5FB9"/>
    <w:rsid w:val="007A62D0"/>
    <w:rsid w:val="007A664A"/>
    <w:rsid w:val="007A6A80"/>
    <w:rsid w:val="007A6FC4"/>
    <w:rsid w:val="007A70C6"/>
    <w:rsid w:val="007A7FE7"/>
    <w:rsid w:val="007B11D0"/>
    <w:rsid w:val="007B1CB5"/>
    <w:rsid w:val="007B1DF3"/>
    <w:rsid w:val="007B27E9"/>
    <w:rsid w:val="007B2987"/>
    <w:rsid w:val="007B2E0B"/>
    <w:rsid w:val="007B40EF"/>
    <w:rsid w:val="007B5FDA"/>
    <w:rsid w:val="007B6A8F"/>
    <w:rsid w:val="007B70D3"/>
    <w:rsid w:val="007B7835"/>
    <w:rsid w:val="007C0B77"/>
    <w:rsid w:val="007C0C5F"/>
    <w:rsid w:val="007C1031"/>
    <w:rsid w:val="007C1116"/>
    <w:rsid w:val="007C3596"/>
    <w:rsid w:val="007C3AA6"/>
    <w:rsid w:val="007C4940"/>
    <w:rsid w:val="007C495E"/>
    <w:rsid w:val="007C4EF2"/>
    <w:rsid w:val="007C55D4"/>
    <w:rsid w:val="007C590E"/>
    <w:rsid w:val="007C6368"/>
    <w:rsid w:val="007C7537"/>
    <w:rsid w:val="007D093F"/>
    <w:rsid w:val="007D0BE8"/>
    <w:rsid w:val="007D0D6D"/>
    <w:rsid w:val="007D115B"/>
    <w:rsid w:val="007D190D"/>
    <w:rsid w:val="007D26ED"/>
    <w:rsid w:val="007D2DCB"/>
    <w:rsid w:val="007D333B"/>
    <w:rsid w:val="007D36CA"/>
    <w:rsid w:val="007D4C02"/>
    <w:rsid w:val="007D5396"/>
    <w:rsid w:val="007D579E"/>
    <w:rsid w:val="007D5920"/>
    <w:rsid w:val="007D61ED"/>
    <w:rsid w:val="007D6496"/>
    <w:rsid w:val="007D6731"/>
    <w:rsid w:val="007D6837"/>
    <w:rsid w:val="007D7001"/>
    <w:rsid w:val="007D782F"/>
    <w:rsid w:val="007D784E"/>
    <w:rsid w:val="007D79B4"/>
    <w:rsid w:val="007D7E87"/>
    <w:rsid w:val="007E1666"/>
    <w:rsid w:val="007E1ECC"/>
    <w:rsid w:val="007E229D"/>
    <w:rsid w:val="007E2A09"/>
    <w:rsid w:val="007E40DD"/>
    <w:rsid w:val="007E4D5F"/>
    <w:rsid w:val="007E4D84"/>
    <w:rsid w:val="007E5A59"/>
    <w:rsid w:val="007E7C73"/>
    <w:rsid w:val="007F0225"/>
    <w:rsid w:val="007F0AC8"/>
    <w:rsid w:val="007F0B50"/>
    <w:rsid w:val="007F10CE"/>
    <w:rsid w:val="007F167C"/>
    <w:rsid w:val="007F2066"/>
    <w:rsid w:val="007F2B93"/>
    <w:rsid w:val="007F4005"/>
    <w:rsid w:val="007F44BC"/>
    <w:rsid w:val="007F64E9"/>
    <w:rsid w:val="007F7EFE"/>
    <w:rsid w:val="007F7F51"/>
    <w:rsid w:val="008004E5"/>
    <w:rsid w:val="00800B11"/>
    <w:rsid w:val="0080100B"/>
    <w:rsid w:val="00801232"/>
    <w:rsid w:val="008014DB"/>
    <w:rsid w:val="00801BBC"/>
    <w:rsid w:val="00801E06"/>
    <w:rsid w:val="00802684"/>
    <w:rsid w:val="00802729"/>
    <w:rsid w:val="0080341A"/>
    <w:rsid w:val="00804380"/>
    <w:rsid w:val="00804490"/>
    <w:rsid w:val="00805F5F"/>
    <w:rsid w:val="00805FBA"/>
    <w:rsid w:val="00806655"/>
    <w:rsid w:val="00806B2A"/>
    <w:rsid w:val="008071EA"/>
    <w:rsid w:val="00810DA4"/>
    <w:rsid w:val="008111F8"/>
    <w:rsid w:val="008114F3"/>
    <w:rsid w:val="00811689"/>
    <w:rsid w:val="00813597"/>
    <w:rsid w:val="00813B3D"/>
    <w:rsid w:val="008146A2"/>
    <w:rsid w:val="00814A29"/>
    <w:rsid w:val="00814EE8"/>
    <w:rsid w:val="00814FD6"/>
    <w:rsid w:val="00816711"/>
    <w:rsid w:val="00816975"/>
    <w:rsid w:val="00817E4D"/>
    <w:rsid w:val="00820D62"/>
    <w:rsid w:val="00822457"/>
    <w:rsid w:val="008251FD"/>
    <w:rsid w:val="00825793"/>
    <w:rsid w:val="008259B8"/>
    <w:rsid w:val="00825AD3"/>
    <w:rsid w:val="00825ADA"/>
    <w:rsid w:val="00825DEA"/>
    <w:rsid w:val="00825FA4"/>
    <w:rsid w:val="0082667C"/>
    <w:rsid w:val="008269BB"/>
    <w:rsid w:val="00826C36"/>
    <w:rsid w:val="00827362"/>
    <w:rsid w:val="008279A8"/>
    <w:rsid w:val="00827E59"/>
    <w:rsid w:val="00830FC0"/>
    <w:rsid w:val="0083160C"/>
    <w:rsid w:val="0083213F"/>
    <w:rsid w:val="00832711"/>
    <w:rsid w:val="0083338A"/>
    <w:rsid w:val="00833923"/>
    <w:rsid w:val="00834CDA"/>
    <w:rsid w:val="00835E0B"/>
    <w:rsid w:val="008362EF"/>
    <w:rsid w:val="008367C0"/>
    <w:rsid w:val="00836CF4"/>
    <w:rsid w:val="00836F9D"/>
    <w:rsid w:val="00840F68"/>
    <w:rsid w:val="00843178"/>
    <w:rsid w:val="00843EBB"/>
    <w:rsid w:val="008443EB"/>
    <w:rsid w:val="00844E1C"/>
    <w:rsid w:val="00844FB1"/>
    <w:rsid w:val="00846BFA"/>
    <w:rsid w:val="00846E1E"/>
    <w:rsid w:val="008471F9"/>
    <w:rsid w:val="00847A9C"/>
    <w:rsid w:val="00847C99"/>
    <w:rsid w:val="00847E19"/>
    <w:rsid w:val="008512ED"/>
    <w:rsid w:val="00851D9C"/>
    <w:rsid w:val="00854477"/>
    <w:rsid w:val="00855674"/>
    <w:rsid w:val="00856812"/>
    <w:rsid w:val="00856A85"/>
    <w:rsid w:val="00856E27"/>
    <w:rsid w:val="0086027C"/>
    <w:rsid w:val="008610DC"/>
    <w:rsid w:val="0086291A"/>
    <w:rsid w:val="00862D4F"/>
    <w:rsid w:val="00863AB4"/>
    <w:rsid w:val="008657C0"/>
    <w:rsid w:val="00866970"/>
    <w:rsid w:val="00870406"/>
    <w:rsid w:val="0087108B"/>
    <w:rsid w:val="0087111A"/>
    <w:rsid w:val="00871456"/>
    <w:rsid w:val="00871856"/>
    <w:rsid w:val="00872ABA"/>
    <w:rsid w:val="00872FCE"/>
    <w:rsid w:val="00874EBD"/>
    <w:rsid w:val="008761FC"/>
    <w:rsid w:val="00877D2F"/>
    <w:rsid w:val="008800C1"/>
    <w:rsid w:val="00881137"/>
    <w:rsid w:val="00881373"/>
    <w:rsid w:val="0088279E"/>
    <w:rsid w:val="00882933"/>
    <w:rsid w:val="00882AF3"/>
    <w:rsid w:val="00882F35"/>
    <w:rsid w:val="00883A75"/>
    <w:rsid w:val="00883F98"/>
    <w:rsid w:val="00884396"/>
    <w:rsid w:val="008843FC"/>
    <w:rsid w:val="00885EAF"/>
    <w:rsid w:val="008862BD"/>
    <w:rsid w:val="00887670"/>
    <w:rsid w:val="00887DD7"/>
    <w:rsid w:val="0089038C"/>
    <w:rsid w:val="008917E7"/>
    <w:rsid w:val="00891F93"/>
    <w:rsid w:val="00893A8B"/>
    <w:rsid w:val="008946C7"/>
    <w:rsid w:val="008962E9"/>
    <w:rsid w:val="0089653C"/>
    <w:rsid w:val="00896CA9"/>
    <w:rsid w:val="00897158"/>
    <w:rsid w:val="00897AEF"/>
    <w:rsid w:val="008A0CFE"/>
    <w:rsid w:val="008A0DE6"/>
    <w:rsid w:val="008A13F9"/>
    <w:rsid w:val="008A1FF5"/>
    <w:rsid w:val="008A233D"/>
    <w:rsid w:val="008A237E"/>
    <w:rsid w:val="008A2B47"/>
    <w:rsid w:val="008A2CFF"/>
    <w:rsid w:val="008A447D"/>
    <w:rsid w:val="008A4AF5"/>
    <w:rsid w:val="008A4EFA"/>
    <w:rsid w:val="008A62A5"/>
    <w:rsid w:val="008A6722"/>
    <w:rsid w:val="008A7E2E"/>
    <w:rsid w:val="008B04D8"/>
    <w:rsid w:val="008B1D42"/>
    <w:rsid w:val="008B3124"/>
    <w:rsid w:val="008B3503"/>
    <w:rsid w:val="008B35D8"/>
    <w:rsid w:val="008B5749"/>
    <w:rsid w:val="008B5B89"/>
    <w:rsid w:val="008B6744"/>
    <w:rsid w:val="008B6B9C"/>
    <w:rsid w:val="008B6E55"/>
    <w:rsid w:val="008B72A5"/>
    <w:rsid w:val="008B7762"/>
    <w:rsid w:val="008B7BD4"/>
    <w:rsid w:val="008C0421"/>
    <w:rsid w:val="008C1918"/>
    <w:rsid w:val="008C1A51"/>
    <w:rsid w:val="008C1E39"/>
    <w:rsid w:val="008C2A4A"/>
    <w:rsid w:val="008C2F29"/>
    <w:rsid w:val="008C3202"/>
    <w:rsid w:val="008C404A"/>
    <w:rsid w:val="008C421B"/>
    <w:rsid w:val="008C4680"/>
    <w:rsid w:val="008C4AD0"/>
    <w:rsid w:val="008C65CD"/>
    <w:rsid w:val="008C6B30"/>
    <w:rsid w:val="008C7430"/>
    <w:rsid w:val="008C7A77"/>
    <w:rsid w:val="008D0F41"/>
    <w:rsid w:val="008D185F"/>
    <w:rsid w:val="008D2E6F"/>
    <w:rsid w:val="008D3033"/>
    <w:rsid w:val="008D371A"/>
    <w:rsid w:val="008D493B"/>
    <w:rsid w:val="008D4A7C"/>
    <w:rsid w:val="008D5163"/>
    <w:rsid w:val="008D51DA"/>
    <w:rsid w:val="008D53A9"/>
    <w:rsid w:val="008D5615"/>
    <w:rsid w:val="008D59CC"/>
    <w:rsid w:val="008D5F0D"/>
    <w:rsid w:val="008D5FCB"/>
    <w:rsid w:val="008D683A"/>
    <w:rsid w:val="008E02D6"/>
    <w:rsid w:val="008E0308"/>
    <w:rsid w:val="008E0359"/>
    <w:rsid w:val="008E0805"/>
    <w:rsid w:val="008E08ED"/>
    <w:rsid w:val="008E0FFB"/>
    <w:rsid w:val="008E12B9"/>
    <w:rsid w:val="008E2B4D"/>
    <w:rsid w:val="008E3094"/>
    <w:rsid w:val="008E3295"/>
    <w:rsid w:val="008E3DD1"/>
    <w:rsid w:val="008E55EA"/>
    <w:rsid w:val="008E5926"/>
    <w:rsid w:val="008E637E"/>
    <w:rsid w:val="008E75C5"/>
    <w:rsid w:val="008E7887"/>
    <w:rsid w:val="008E7E6E"/>
    <w:rsid w:val="008F08D7"/>
    <w:rsid w:val="008F1194"/>
    <w:rsid w:val="008F1884"/>
    <w:rsid w:val="008F237A"/>
    <w:rsid w:val="008F2796"/>
    <w:rsid w:val="008F34D3"/>
    <w:rsid w:val="008F39CC"/>
    <w:rsid w:val="008F4306"/>
    <w:rsid w:val="008F67CE"/>
    <w:rsid w:val="008F6A2F"/>
    <w:rsid w:val="008F6B5E"/>
    <w:rsid w:val="008F6FA1"/>
    <w:rsid w:val="008F755E"/>
    <w:rsid w:val="008F79D0"/>
    <w:rsid w:val="009008B1"/>
    <w:rsid w:val="00900FFE"/>
    <w:rsid w:val="00901F58"/>
    <w:rsid w:val="00902015"/>
    <w:rsid w:val="00903107"/>
    <w:rsid w:val="00903531"/>
    <w:rsid w:val="00904A65"/>
    <w:rsid w:val="00904DC3"/>
    <w:rsid w:val="00905793"/>
    <w:rsid w:val="00906A6F"/>
    <w:rsid w:val="00907263"/>
    <w:rsid w:val="0090729C"/>
    <w:rsid w:val="009074CA"/>
    <w:rsid w:val="00907E8B"/>
    <w:rsid w:val="00912168"/>
    <w:rsid w:val="009123F6"/>
    <w:rsid w:val="00913E2A"/>
    <w:rsid w:val="0091468D"/>
    <w:rsid w:val="0091475E"/>
    <w:rsid w:val="009163B6"/>
    <w:rsid w:val="00916B61"/>
    <w:rsid w:val="00917ED2"/>
    <w:rsid w:val="00917F42"/>
    <w:rsid w:val="009202F4"/>
    <w:rsid w:val="009205E3"/>
    <w:rsid w:val="00920B30"/>
    <w:rsid w:val="009217A9"/>
    <w:rsid w:val="00922F29"/>
    <w:rsid w:val="009231E6"/>
    <w:rsid w:val="00924926"/>
    <w:rsid w:val="00924ED9"/>
    <w:rsid w:val="00926705"/>
    <w:rsid w:val="009277E9"/>
    <w:rsid w:val="00927BBC"/>
    <w:rsid w:val="0093042C"/>
    <w:rsid w:val="0093114D"/>
    <w:rsid w:val="00931316"/>
    <w:rsid w:val="00931A47"/>
    <w:rsid w:val="00931EDF"/>
    <w:rsid w:val="00933086"/>
    <w:rsid w:val="00934A0F"/>
    <w:rsid w:val="00935CA2"/>
    <w:rsid w:val="00935EE2"/>
    <w:rsid w:val="0093700C"/>
    <w:rsid w:val="009375B0"/>
    <w:rsid w:val="00937ED6"/>
    <w:rsid w:val="00940213"/>
    <w:rsid w:val="009406E7"/>
    <w:rsid w:val="00940B04"/>
    <w:rsid w:val="00940BDB"/>
    <w:rsid w:val="00942EE8"/>
    <w:rsid w:val="00944126"/>
    <w:rsid w:val="00944AB3"/>
    <w:rsid w:val="00945F61"/>
    <w:rsid w:val="009465F6"/>
    <w:rsid w:val="009469A2"/>
    <w:rsid w:val="00947493"/>
    <w:rsid w:val="00947931"/>
    <w:rsid w:val="00950141"/>
    <w:rsid w:val="00950FC7"/>
    <w:rsid w:val="00951D07"/>
    <w:rsid w:val="00952835"/>
    <w:rsid w:val="00952C01"/>
    <w:rsid w:val="00953FB3"/>
    <w:rsid w:val="0095455D"/>
    <w:rsid w:val="0095482D"/>
    <w:rsid w:val="00954B48"/>
    <w:rsid w:val="00955459"/>
    <w:rsid w:val="009563AA"/>
    <w:rsid w:val="00957ACF"/>
    <w:rsid w:val="00957B91"/>
    <w:rsid w:val="00960570"/>
    <w:rsid w:val="00960F88"/>
    <w:rsid w:val="00962113"/>
    <w:rsid w:val="009623A4"/>
    <w:rsid w:val="009631D1"/>
    <w:rsid w:val="00963229"/>
    <w:rsid w:val="009632EA"/>
    <w:rsid w:val="00963D51"/>
    <w:rsid w:val="0096515A"/>
    <w:rsid w:val="00965C79"/>
    <w:rsid w:val="00966601"/>
    <w:rsid w:val="00967094"/>
    <w:rsid w:val="00970079"/>
    <w:rsid w:val="009700A9"/>
    <w:rsid w:val="00970A79"/>
    <w:rsid w:val="00971A1C"/>
    <w:rsid w:val="00971E20"/>
    <w:rsid w:val="00972B5A"/>
    <w:rsid w:val="00972CEF"/>
    <w:rsid w:val="00973C9C"/>
    <w:rsid w:val="009752BD"/>
    <w:rsid w:val="009758CF"/>
    <w:rsid w:val="00975BBA"/>
    <w:rsid w:val="00975FEE"/>
    <w:rsid w:val="009762AE"/>
    <w:rsid w:val="00976687"/>
    <w:rsid w:val="009831C5"/>
    <w:rsid w:val="0098672A"/>
    <w:rsid w:val="009868F8"/>
    <w:rsid w:val="00987A76"/>
    <w:rsid w:val="00987B88"/>
    <w:rsid w:val="00990141"/>
    <w:rsid w:val="00990AFA"/>
    <w:rsid w:val="00990D6F"/>
    <w:rsid w:val="0099157D"/>
    <w:rsid w:val="00991B97"/>
    <w:rsid w:val="00993A67"/>
    <w:rsid w:val="00994CD1"/>
    <w:rsid w:val="00994D7F"/>
    <w:rsid w:val="009962A0"/>
    <w:rsid w:val="009962A7"/>
    <w:rsid w:val="0099644E"/>
    <w:rsid w:val="00996F8C"/>
    <w:rsid w:val="009A035E"/>
    <w:rsid w:val="009A0627"/>
    <w:rsid w:val="009A0875"/>
    <w:rsid w:val="009A1F65"/>
    <w:rsid w:val="009A44CB"/>
    <w:rsid w:val="009A454D"/>
    <w:rsid w:val="009A472B"/>
    <w:rsid w:val="009A4FC3"/>
    <w:rsid w:val="009A542D"/>
    <w:rsid w:val="009A57E7"/>
    <w:rsid w:val="009A5942"/>
    <w:rsid w:val="009A5C14"/>
    <w:rsid w:val="009A6DC0"/>
    <w:rsid w:val="009A70B5"/>
    <w:rsid w:val="009A7763"/>
    <w:rsid w:val="009A7A9E"/>
    <w:rsid w:val="009A7B95"/>
    <w:rsid w:val="009B05E8"/>
    <w:rsid w:val="009B05F1"/>
    <w:rsid w:val="009B08EF"/>
    <w:rsid w:val="009B126C"/>
    <w:rsid w:val="009B1592"/>
    <w:rsid w:val="009B1936"/>
    <w:rsid w:val="009B23A7"/>
    <w:rsid w:val="009B2CF2"/>
    <w:rsid w:val="009B3E0A"/>
    <w:rsid w:val="009B45E7"/>
    <w:rsid w:val="009B493A"/>
    <w:rsid w:val="009B4DE3"/>
    <w:rsid w:val="009B535D"/>
    <w:rsid w:val="009B62CB"/>
    <w:rsid w:val="009B6612"/>
    <w:rsid w:val="009B6991"/>
    <w:rsid w:val="009B6A55"/>
    <w:rsid w:val="009C0980"/>
    <w:rsid w:val="009C0F3B"/>
    <w:rsid w:val="009C133B"/>
    <w:rsid w:val="009C158C"/>
    <w:rsid w:val="009C196E"/>
    <w:rsid w:val="009C2336"/>
    <w:rsid w:val="009C2BD7"/>
    <w:rsid w:val="009C3B52"/>
    <w:rsid w:val="009C4A6F"/>
    <w:rsid w:val="009C54BE"/>
    <w:rsid w:val="009C55EA"/>
    <w:rsid w:val="009C55F9"/>
    <w:rsid w:val="009C6025"/>
    <w:rsid w:val="009C64D5"/>
    <w:rsid w:val="009C6EF1"/>
    <w:rsid w:val="009D161B"/>
    <w:rsid w:val="009D162C"/>
    <w:rsid w:val="009D18A0"/>
    <w:rsid w:val="009D1EF0"/>
    <w:rsid w:val="009D2E92"/>
    <w:rsid w:val="009D478F"/>
    <w:rsid w:val="009D479C"/>
    <w:rsid w:val="009D4D22"/>
    <w:rsid w:val="009D4D77"/>
    <w:rsid w:val="009D5125"/>
    <w:rsid w:val="009D613E"/>
    <w:rsid w:val="009D6583"/>
    <w:rsid w:val="009D705F"/>
    <w:rsid w:val="009D7772"/>
    <w:rsid w:val="009D7E79"/>
    <w:rsid w:val="009E0B76"/>
    <w:rsid w:val="009E1143"/>
    <w:rsid w:val="009E2925"/>
    <w:rsid w:val="009E409E"/>
    <w:rsid w:val="009E63C4"/>
    <w:rsid w:val="009E6FA5"/>
    <w:rsid w:val="009E7131"/>
    <w:rsid w:val="009F0065"/>
    <w:rsid w:val="009F0651"/>
    <w:rsid w:val="009F0908"/>
    <w:rsid w:val="009F1984"/>
    <w:rsid w:val="009F1B15"/>
    <w:rsid w:val="009F1BCB"/>
    <w:rsid w:val="009F20C9"/>
    <w:rsid w:val="009F2488"/>
    <w:rsid w:val="009F3436"/>
    <w:rsid w:val="009F3650"/>
    <w:rsid w:val="009F57B8"/>
    <w:rsid w:val="009F6E81"/>
    <w:rsid w:val="009F7321"/>
    <w:rsid w:val="009F7500"/>
    <w:rsid w:val="009F7990"/>
    <w:rsid w:val="00A00194"/>
    <w:rsid w:val="00A001C6"/>
    <w:rsid w:val="00A00244"/>
    <w:rsid w:val="00A01B60"/>
    <w:rsid w:val="00A02BF2"/>
    <w:rsid w:val="00A031F9"/>
    <w:rsid w:val="00A04BE3"/>
    <w:rsid w:val="00A05A0B"/>
    <w:rsid w:val="00A05E0C"/>
    <w:rsid w:val="00A07A6B"/>
    <w:rsid w:val="00A11A72"/>
    <w:rsid w:val="00A11C5A"/>
    <w:rsid w:val="00A12FE6"/>
    <w:rsid w:val="00A1330B"/>
    <w:rsid w:val="00A134BC"/>
    <w:rsid w:val="00A14944"/>
    <w:rsid w:val="00A15004"/>
    <w:rsid w:val="00A2017E"/>
    <w:rsid w:val="00A22459"/>
    <w:rsid w:val="00A2337E"/>
    <w:rsid w:val="00A24A28"/>
    <w:rsid w:val="00A24FA6"/>
    <w:rsid w:val="00A2547A"/>
    <w:rsid w:val="00A256ED"/>
    <w:rsid w:val="00A261BA"/>
    <w:rsid w:val="00A26573"/>
    <w:rsid w:val="00A26D65"/>
    <w:rsid w:val="00A2727E"/>
    <w:rsid w:val="00A27A34"/>
    <w:rsid w:val="00A317BE"/>
    <w:rsid w:val="00A318A7"/>
    <w:rsid w:val="00A329A4"/>
    <w:rsid w:val="00A32AE5"/>
    <w:rsid w:val="00A33C4A"/>
    <w:rsid w:val="00A33F32"/>
    <w:rsid w:val="00A37578"/>
    <w:rsid w:val="00A403A6"/>
    <w:rsid w:val="00A403A8"/>
    <w:rsid w:val="00A404B2"/>
    <w:rsid w:val="00A406D2"/>
    <w:rsid w:val="00A40D2D"/>
    <w:rsid w:val="00A40F81"/>
    <w:rsid w:val="00A41901"/>
    <w:rsid w:val="00A41CE3"/>
    <w:rsid w:val="00A41E20"/>
    <w:rsid w:val="00A428F3"/>
    <w:rsid w:val="00A43874"/>
    <w:rsid w:val="00A44630"/>
    <w:rsid w:val="00A446D4"/>
    <w:rsid w:val="00A44D89"/>
    <w:rsid w:val="00A4582E"/>
    <w:rsid w:val="00A466C5"/>
    <w:rsid w:val="00A471F9"/>
    <w:rsid w:val="00A472C5"/>
    <w:rsid w:val="00A502DA"/>
    <w:rsid w:val="00A50CD1"/>
    <w:rsid w:val="00A51090"/>
    <w:rsid w:val="00A513F1"/>
    <w:rsid w:val="00A518CE"/>
    <w:rsid w:val="00A52128"/>
    <w:rsid w:val="00A528CC"/>
    <w:rsid w:val="00A5297E"/>
    <w:rsid w:val="00A52EF0"/>
    <w:rsid w:val="00A5472F"/>
    <w:rsid w:val="00A54C4F"/>
    <w:rsid w:val="00A560DE"/>
    <w:rsid w:val="00A563BD"/>
    <w:rsid w:val="00A565E9"/>
    <w:rsid w:val="00A567FD"/>
    <w:rsid w:val="00A56F02"/>
    <w:rsid w:val="00A570F1"/>
    <w:rsid w:val="00A5721B"/>
    <w:rsid w:val="00A57FD5"/>
    <w:rsid w:val="00A61B87"/>
    <w:rsid w:val="00A62028"/>
    <w:rsid w:val="00A62FE0"/>
    <w:rsid w:val="00A6320B"/>
    <w:rsid w:val="00A63615"/>
    <w:rsid w:val="00A63B52"/>
    <w:rsid w:val="00A6444C"/>
    <w:rsid w:val="00A64491"/>
    <w:rsid w:val="00A655DD"/>
    <w:rsid w:val="00A66DA4"/>
    <w:rsid w:val="00A71E32"/>
    <w:rsid w:val="00A73844"/>
    <w:rsid w:val="00A73FA4"/>
    <w:rsid w:val="00A7441C"/>
    <w:rsid w:val="00A745D2"/>
    <w:rsid w:val="00A74951"/>
    <w:rsid w:val="00A75036"/>
    <w:rsid w:val="00A7606A"/>
    <w:rsid w:val="00A76C4C"/>
    <w:rsid w:val="00A7702A"/>
    <w:rsid w:val="00A777D7"/>
    <w:rsid w:val="00A77A28"/>
    <w:rsid w:val="00A80332"/>
    <w:rsid w:val="00A80D18"/>
    <w:rsid w:val="00A82048"/>
    <w:rsid w:val="00A840C8"/>
    <w:rsid w:val="00A84413"/>
    <w:rsid w:val="00A85069"/>
    <w:rsid w:val="00A851D3"/>
    <w:rsid w:val="00A85C99"/>
    <w:rsid w:val="00A85CBE"/>
    <w:rsid w:val="00A86059"/>
    <w:rsid w:val="00A8667F"/>
    <w:rsid w:val="00A867D3"/>
    <w:rsid w:val="00A8682A"/>
    <w:rsid w:val="00A86AC2"/>
    <w:rsid w:val="00A877EA"/>
    <w:rsid w:val="00A90434"/>
    <w:rsid w:val="00A90848"/>
    <w:rsid w:val="00A90A79"/>
    <w:rsid w:val="00A90D5D"/>
    <w:rsid w:val="00A919A8"/>
    <w:rsid w:val="00A937B0"/>
    <w:rsid w:val="00A941BA"/>
    <w:rsid w:val="00A943CD"/>
    <w:rsid w:val="00A94817"/>
    <w:rsid w:val="00A95618"/>
    <w:rsid w:val="00A95E04"/>
    <w:rsid w:val="00A9702D"/>
    <w:rsid w:val="00AA00D8"/>
    <w:rsid w:val="00AA084D"/>
    <w:rsid w:val="00AA09CE"/>
    <w:rsid w:val="00AA0DAC"/>
    <w:rsid w:val="00AA109A"/>
    <w:rsid w:val="00AA1646"/>
    <w:rsid w:val="00AA184D"/>
    <w:rsid w:val="00AA21D4"/>
    <w:rsid w:val="00AA2273"/>
    <w:rsid w:val="00AA3ADF"/>
    <w:rsid w:val="00AA3C01"/>
    <w:rsid w:val="00AA4180"/>
    <w:rsid w:val="00AA4945"/>
    <w:rsid w:val="00AA4F18"/>
    <w:rsid w:val="00AA5FE9"/>
    <w:rsid w:val="00AA7490"/>
    <w:rsid w:val="00AA79FE"/>
    <w:rsid w:val="00AA7EB9"/>
    <w:rsid w:val="00AB0321"/>
    <w:rsid w:val="00AB12D8"/>
    <w:rsid w:val="00AB1B43"/>
    <w:rsid w:val="00AB21EA"/>
    <w:rsid w:val="00AB29DA"/>
    <w:rsid w:val="00AB2D5C"/>
    <w:rsid w:val="00AB3A12"/>
    <w:rsid w:val="00AB3BFD"/>
    <w:rsid w:val="00AB516D"/>
    <w:rsid w:val="00AB51C0"/>
    <w:rsid w:val="00AB538D"/>
    <w:rsid w:val="00AB636D"/>
    <w:rsid w:val="00AB70F7"/>
    <w:rsid w:val="00AB7D80"/>
    <w:rsid w:val="00AC005D"/>
    <w:rsid w:val="00AC12F5"/>
    <w:rsid w:val="00AC1749"/>
    <w:rsid w:val="00AC2608"/>
    <w:rsid w:val="00AC2A9D"/>
    <w:rsid w:val="00AC353A"/>
    <w:rsid w:val="00AC42DB"/>
    <w:rsid w:val="00AC4894"/>
    <w:rsid w:val="00AC56CE"/>
    <w:rsid w:val="00AC59CF"/>
    <w:rsid w:val="00AC604F"/>
    <w:rsid w:val="00AC63E8"/>
    <w:rsid w:val="00AC71B2"/>
    <w:rsid w:val="00AD0DBB"/>
    <w:rsid w:val="00AD1227"/>
    <w:rsid w:val="00AD21DC"/>
    <w:rsid w:val="00AD2B68"/>
    <w:rsid w:val="00AD2F15"/>
    <w:rsid w:val="00AD34FD"/>
    <w:rsid w:val="00AD4224"/>
    <w:rsid w:val="00AD4E75"/>
    <w:rsid w:val="00AD51FA"/>
    <w:rsid w:val="00AD65E0"/>
    <w:rsid w:val="00AD6DC7"/>
    <w:rsid w:val="00AD74C8"/>
    <w:rsid w:val="00AD7ED0"/>
    <w:rsid w:val="00AD7FF6"/>
    <w:rsid w:val="00AE09FB"/>
    <w:rsid w:val="00AE1A9A"/>
    <w:rsid w:val="00AE2F67"/>
    <w:rsid w:val="00AE3181"/>
    <w:rsid w:val="00AE357C"/>
    <w:rsid w:val="00AE6795"/>
    <w:rsid w:val="00AE6D50"/>
    <w:rsid w:val="00AE6ED6"/>
    <w:rsid w:val="00AE7EDF"/>
    <w:rsid w:val="00AF0065"/>
    <w:rsid w:val="00AF07F9"/>
    <w:rsid w:val="00AF165B"/>
    <w:rsid w:val="00AF16C9"/>
    <w:rsid w:val="00AF1823"/>
    <w:rsid w:val="00AF3257"/>
    <w:rsid w:val="00AF4186"/>
    <w:rsid w:val="00B00AD9"/>
    <w:rsid w:val="00B00C8D"/>
    <w:rsid w:val="00B017C4"/>
    <w:rsid w:val="00B01969"/>
    <w:rsid w:val="00B0253D"/>
    <w:rsid w:val="00B04BED"/>
    <w:rsid w:val="00B06A7F"/>
    <w:rsid w:val="00B06B66"/>
    <w:rsid w:val="00B06EDD"/>
    <w:rsid w:val="00B078AF"/>
    <w:rsid w:val="00B10470"/>
    <w:rsid w:val="00B10AEC"/>
    <w:rsid w:val="00B12212"/>
    <w:rsid w:val="00B12515"/>
    <w:rsid w:val="00B125A8"/>
    <w:rsid w:val="00B1324C"/>
    <w:rsid w:val="00B1367C"/>
    <w:rsid w:val="00B1478F"/>
    <w:rsid w:val="00B15D86"/>
    <w:rsid w:val="00B168BC"/>
    <w:rsid w:val="00B16963"/>
    <w:rsid w:val="00B17A09"/>
    <w:rsid w:val="00B17E9C"/>
    <w:rsid w:val="00B2044E"/>
    <w:rsid w:val="00B21864"/>
    <w:rsid w:val="00B2285C"/>
    <w:rsid w:val="00B232F1"/>
    <w:rsid w:val="00B234B3"/>
    <w:rsid w:val="00B235F8"/>
    <w:rsid w:val="00B23BB3"/>
    <w:rsid w:val="00B24FA2"/>
    <w:rsid w:val="00B2696E"/>
    <w:rsid w:val="00B274B4"/>
    <w:rsid w:val="00B27D31"/>
    <w:rsid w:val="00B30BB7"/>
    <w:rsid w:val="00B3130A"/>
    <w:rsid w:val="00B320FF"/>
    <w:rsid w:val="00B32B9E"/>
    <w:rsid w:val="00B32FB1"/>
    <w:rsid w:val="00B336BA"/>
    <w:rsid w:val="00B3417B"/>
    <w:rsid w:val="00B35AFE"/>
    <w:rsid w:val="00B36C6A"/>
    <w:rsid w:val="00B36C92"/>
    <w:rsid w:val="00B40329"/>
    <w:rsid w:val="00B40396"/>
    <w:rsid w:val="00B40A35"/>
    <w:rsid w:val="00B40B8D"/>
    <w:rsid w:val="00B4103B"/>
    <w:rsid w:val="00B410F6"/>
    <w:rsid w:val="00B417E1"/>
    <w:rsid w:val="00B4284B"/>
    <w:rsid w:val="00B42A03"/>
    <w:rsid w:val="00B4322A"/>
    <w:rsid w:val="00B432A2"/>
    <w:rsid w:val="00B43C11"/>
    <w:rsid w:val="00B43D87"/>
    <w:rsid w:val="00B44A7C"/>
    <w:rsid w:val="00B4527C"/>
    <w:rsid w:val="00B45440"/>
    <w:rsid w:val="00B4657E"/>
    <w:rsid w:val="00B47C5D"/>
    <w:rsid w:val="00B5024E"/>
    <w:rsid w:val="00B50405"/>
    <w:rsid w:val="00B505E4"/>
    <w:rsid w:val="00B5087C"/>
    <w:rsid w:val="00B51834"/>
    <w:rsid w:val="00B51977"/>
    <w:rsid w:val="00B51A12"/>
    <w:rsid w:val="00B529D0"/>
    <w:rsid w:val="00B53BE1"/>
    <w:rsid w:val="00B54040"/>
    <w:rsid w:val="00B5466A"/>
    <w:rsid w:val="00B546E5"/>
    <w:rsid w:val="00B54E07"/>
    <w:rsid w:val="00B551B1"/>
    <w:rsid w:val="00B5589F"/>
    <w:rsid w:val="00B565C8"/>
    <w:rsid w:val="00B56E68"/>
    <w:rsid w:val="00B5747E"/>
    <w:rsid w:val="00B575ED"/>
    <w:rsid w:val="00B57F78"/>
    <w:rsid w:val="00B61187"/>
    <w:rsid w:val="00B61952"/>
    <w:rsid w:val="00B629F1"/>
    <w:rsid w:val="00B62F9E"/>
    <w:rsid w:val="00B6326B"/>
    <w:rsid w:val="00B64124"/>
    <w:rsid w:val="00B644CA"/>
    <w:rsid w:val="00B65387"/>
    <w:rsid w:val="00B65A04"/>
    <w:rsid w:val="00B65E8B"/>
    <w:rsid w:val="00B6662D"/>
    <w:rsid w:val="00B66F7A"/>
    <w:rsid w:val="00B673E9"/>
    <w:rsid w:val="00B67872"/>
    <w:rsid w:val="00B67ED0"/>
    <w:rsid w:val="00B70145"/>
    <w:rsid w:val="00B704AF"/>
    <w:rsid w:val="00B7089F"/>
    <w:rsid w:val="00B708EA"/>
    <w:rsid w:val="00B70E53"/>
    <w:rsid w:val="00B71451"/>
    <w:rsid w:val="00B74278"/>
    <w:rsid w:val="00B74705"/>
    <w:rsid w:val="00B74730"/>
    <w:rsid w:val="00B74B9D"/>
    <w:rsid w:val="00B75149"/>
    <w:rsid w:val="00B77A6A"/>
    <w:rsid w:val="00B803D6"/>
    <w:rsid w:val="00B81460"/>
    <w:rsid w:val="00B819B6"/>
    <w:rsid w:val="00B82774"/>
    <w:rsid w:val="00B83257"/>
    <w:rsid w:val="00B851E6"/>
    <w:rsid w:val="00B859BC"/>
    <w:rsid w:val="00B87A04"/>
    <w:rsid w:val="00B903E3"/>
    <w:rsid w:val="00B911C2"/>
    <w:rsid w:val="00B9179C"/>
    <w:rsid w:val="00B91DF8"/>
    <w:rsid w:val="00B93396"/>
    <w:rsid w:val="00B95300"/>
    <w:rsid w:val="00B9543E"/>
    <w:rsid w:val="00B9594C"/>
    <w:rsid w:val="00B96F03"/>
    <w:rsid w:val="00B9734C"/>
    <w:rsid w:val="00B97CDC"/>
    <w:rsid w:val="00BA0B05"/>
    <w:rsid w:val="00BA1C6F"/>
    <w:rsid w:val="00BA1DDC"/>
    <w:rsid w:val="00BA2BD3"/>
    <w:rsid w:val="00BA314C"/>
    <w:rsid w:val="00BA5044"/>
    <w:rsid w:val="00BA6076"/>
    <w:rsid w:val="00BA6C1F"/>
    <w:rsid w:val="00BA6D21"/>
    <w:rsid w:val="00BB1E94"/>
    <w:rsid w:val="00BB3B84"/>
    <w:rsid w:val="00BB57F4"/>
    <w:rsid w:val="00BB60CB"/>
    <w:rsid w:val="00BB64DA"/>
    <w:rsid w:val="00BB6A72"/>
    <w:rsid w:val="00BB7712"/>
    <w:rsid w:val="00BB796A"/>
    <w:rsid w:val="00BC0700"/>
    <w:rsid w:val="00BC15E0"/>
    <w:rsid w:val="00BC15F3"/>
    <w:rsid w:val="00BC177D"/>
    <w:rsid w:val="00BC1A41"/>
    <w:rsid w:val="00BC2114"/>
    <w:rsid w:val="00BC2908"/>
    <w:rsid w:val="00BC2FBD"/>
    <w:rsid w:val="00BC3FC3"/>
    <w:rsid w:val="00BC5224"/>
    <w:rsid w:val="00BC57BB"/>
    <w:rsid w:val="00BC6BAB"/>
    <w:rsid w:val="00BC6E0A"/>
    <w:rsid w:val="00BC6F11"/>
    <w:rsid w:val="00BC6FDF"/>
    <w:rsid w:val="00BC76AF"/>
    <w:rsid w:val="00BC7AE4"/>
    <w:rsid w:val="00BC7D79"/>
    <w:rsid w:val="00BD02DD"/>
    <w:rsid w:val="00BD09E2"/>
    <w:rsid w:val="00BD1076"/>
    <w:rsid w:val="00BD1CB5"/>
    <w:rsid w:val="00BD25A6"/>
    <w:rsid w:val="00BD2B6F"/>
    <w:rsid w:val="00BD40FE"/>
    <w:rsid w:val="00BD4A4B"/>
    <w:rsid w:val="00BD4C27"/>
    <w:rsid w:val="00BD50C5"/>
    <w:rsid w:val="00BD5E03"/>
    <w:rsid w:val="00BD606A"/>
    <w:rsid w:val="00BD626E"/>
    <w:rsid w:val="00BD6E92"/>
    <w:rsid w:val="00BD759F"/>
    <w:rsid w:val="00BE05BB"/>
    <w:rsid w:val="00BE0F25"/>
    <w:rsid w:val="00BE13D4"/>
    <w:rsid w:val="00BE207E"/>
    <w:rsid w:val="00BE274E"/>
    <w:rsid w:val="00BE336C"/>
    <w:rsid w:val="00BE4B81"/>
    <w:rsid w:val="00BE4D2C"/>
    <w:rsid w:val="00BE7988"/>
    <w:rsid w:val="00BE7F6B"/>
    <w:rsid w:val="00BF0382"/>
    <w:rsid w:val="00BF082E"/>
    <w:rsid w:val="00BF0FC4"/>
    <w:rsid w:val="00BF191A"/>
    <w:rsid w:val="00BF1E0A"/>
    <w:rsid w:val="00BF27E9"/>
    <w:rsid w:val="00BF36F3"/>
    <w:rsid w:val="00BF5F68"/>
    <w:rsid w:val="00BF6F76"/>
    <w:rsid w:val="00C00006"/>
    <w:rsid w:val="00C00489"/>
    <w:rsid w:val="00C02978"/>
    <w:rsid w:val="00C034A9"/>
    <w:rsid w:val="00C03859"/>
    <w:rsid w:val="00C03913"/>
    <w:rsid w:val="00C03CFF"/>
    <w:rsid w:val="00C03DBF"/>
    <w:rsid w:val="00C048E6"/>
    <w:rsid w:val="00C04FA0"/>
    <w:rsid w:val="00C05E01"/>
    <w:rsid w:val="00C05E42"/>
    <w:rsid w:val="00C05F8E"/>
    <w:rsid w:val="00C06075"/>
    <w:rsid w:val="00C063F1"/>
    <w:rsid w:val="00C068D6"/>
    <w:rsid w:val="00C07625"/>
    <w:rsid w:val="00C078BD"/>
    <w:rsid w:val="00C101CF"/>
    <w:rsid w:val="00C102E1"/>
    <w:rsid w:val="00C10584"/>
    <w:rsid w:val="00C1153A"/>
    <w:rsid w:val="00C1228D"/>
    <w:rsid w:val="00C13805"/>
    <w:rsid w:val="00C13B53"/>
    <w:rsid w:val="00C14A11"/>
    <w:rsid w:val="00C14D09"/>
    <w:rsid w:val="00C14E7A"/>
    <w:rsid w:val="00C15CA6"/>
    <w:rsid w:val="00C16807"/>
    <w:rsid w:val="00C2025F"/>
    <w:rsid w:val="00C214FA"/>
    <w:rsid w:val="00C2167D"/>
    <w:rsid w:val="00C21BCC"/>
    <w:rsid w:val="00C228FA"/>
    <w:rsid w:val="00C23C07"/>
    <w:rsid w:val="00C2403A"/>
    <w:rsid w:val="00C248E4"/>
    <w:rsid w:val="00C24CC2"/>
    <w:rsid w:val="00C25E2D"/>
    <w:rsid w:val="00C266D3"/>
    <w:rsid w:val="00C266DA"/>
    <w:rsid w:val="00C26FE9"/>
    <w:rsid w:val="00C270C6"/>
    <w:rsid w:val="00C27BD3"/>
    <w:rsid w:val="00C27D03"/>
    <w:rsid w:val="00C27DE4"/>
    <w:rsid w:val="00C303DE"/>
    <w:rsid w:val="00C3081E"/>
    <w:rsid w:val="00C31095"/>
    <w:rsid w:val="00C31607"/>
    <w:rsid w:val="00C31645"/>
    <w:rsid w:val="00C31721"/>
    <w:rsid w:val="00C32321"/>
    <w:rsid w:val="00C32332"/>
    <w:rsid w:val="00C3241E"/>
    <w:rsid w:val="00C349F0"/>
    <w:rsid w:val="00C34A1E"/>
    <w:rsid w:val="00C34BEB"/>
    <w:rsid w:val="00C35828"/>
    <w:rsid w:val="00C35C9E"/>
    <w:rsid w:val="00C36509"/>
    <w:rsid w:val="00C36D95"/>
    <w:rsid w:val="00C3720B"/>
    <w:rsid w:val="00C3793F"/>
    <w:rsid w:val="00C37982"/>
    <w:rsid w:val="00C37B93"/>
    <w:rsid w:val="00C40214"/>
    <w:rsid w:val="00C41423"/>
    <w:rsid w:val="00C424DA"/>
    <w:rsid w:val="00C43335"/>
    <w:rsid w:val="00C4334F"/>
    <w:rsid w:val="00C4393F"/>
    <w:rsid w:val="00C4404A"/>
    <w:rsid w:val="00C442E5"/>
    <w:rsid w:val="00C4434A"/>
    <w:rsid w:val="00C44974"/>
    <w:rsid w:val="00C44E9E"/>
    <w:rsid w:val="00C46098"/>
    <w:rsid w:val="00C46157"/>
    <w:rsid w:val="00C46439"/>
    <w:rsid w:val="00C467EA"/>
    <w:rsid w:val="00C46B32"/>
    <w:rsid w:val="00C47389"/>
    <w:rsid w:val="00C4743D"/>
    <w:rsid w:val="00C47A26"/>
    <w:rsid w:val="00C50E1F"/>
    <w:rsid w:val="00C512BC"/>
    <w:rsid w:val="00C516EC"/>
    <w:rsid w:val="00C51B83"/>
    <w:rsid w:val="00C53DC9"/>
    <w:rsid w:val="00C53EDD"/>
    <w:rsid w:val="00C55DAD"/>
    <w:rsid w:val="00C571A9"/>
    <w:rsid w:val="00C57A73"/>
    <w:rsid w:val="00C615A7"/>
    <w:rsid w:val="00C616BF"/>
    <w:rsid w:val="00C61BBC"/>
    <w:rsid w:val="00C626A0"/>
    <w:rsid w:val="00C62C5D"/>
    <w:rsid w:val="00C64873"/>
    <w:rsid w:val="00C648D7"/>
    <w:rsid w:val="00C64B16"/>
    <w:rsid w:val="00C64F81"/>
    <w:rsid w:val="00C65241"/>
    <w:rsid w:val="00C65A0A"/>
    <w:rsid w:val="00C66628"/>
    <w:rsid w:val="00C674C0"/>
    <w:rsid w:val="00C70419"/>
    <w:rsid w:val="00C70578"/>
    <w:rsid w:val="00C70E87"/>
    <w:rsid w:val="00C7118E"/>
    <w:rsid w:val="00C712BC"/>
    <w:rsid w:val="00C72223"/>
    <w:rsid w:val="00C72782"/>
    <w:rsid w:val="00C7422F"/>
    <w:rsid w:val="00C751BF"/>
    <w:rsid w:val="00C75D0F"/>
    <w:rsid w:val="00C762C7"/>
    <w:rsid w:val="00C7651A"/>
    <w:rsid w:val="00C77280"/>
    <w:rsid w:val="00C7769A"/>
    <w:rsid w:val="00C7779F"/>
    <w:rsid w:val="00C812AA"/>
    <w:rsid w:val="00C8174A"/>
    <w:rsid w:val="00C81AD1"/>
    <w:rsid w:val="00C83111"/>
    <w:rsid w:val="00C84265"/>
    <w:rsid w:val="00C845DC"/>
    <w:rsid w:val="00C84ED5"/>
    <w:rsid w:val="00C851B3"/>
    <w:rsid w:val="00C85D87"/>
    <w:rsid w:val="00C9070B"/>
    <w:rsid w:val="00C90E0F"/>
    <w:rsid w:val="00C91979"/>
    <w:rsid w:val="00C92377"/>
    <w:rsid w:val="00C94791"/>
    <w:rsid w:val="00C96465"/>
    <w:rsid w:val="00C96B12"/>
    <w:rsid w:val="00C96D0A"/>
    <w:rsid w:val="00C97038"/>
    <w:rsid w:val="00CA001B"/>
    <w:rsid w:val="00CA01AD"/>
    <w:rsid w:val="00CA1067"/>
    <w:rsid w:val="00CA1761"/>
    <w:rsid w:val="00CA1A52"/>
    <w:rsid w:val="00CA2625"/>
    <w:rsid w:val="00CA3024"/>
    <w:rsid w:val="00CA3E46"/>
    <w:rsid w:val="00CA5399"/>
    <w:rsid w:val="00CA542C"/>
    <w:rsid w:val="00CA5475"/>
    <w:rsid w:val="00CA57F0"/>
    <w:rsid w:val="00CA6FE3"/>
    <w:rsid w:val="00CA7E44"/>
    <w:rsid w:val="00CB19DA"/>
    <w:rsid w:val="00CB1BF5"/>
    <w:rsid w:val="00CB3AF4"/>
    <w:rsid w:val="00CB3F45"/>
    <w:rsid w:val="00CB40A0"/>
    <w:rsid w:val="00CB44F6"/>
    <w:rsid w:val="00CB51FF"/>
    <w:rsid w:val="00CB58A8"/>
    <w:rsid w:val="00CB67BD"/>
    <w:rsid w:val="00CB7F06"/>
    <w:rsid w:val="00CC0334"/>
    <w:rsid w:val="00CC1692"/>
    <w:rsid w:val="00CC16DA"/>
    <w:rsid w:val="00CC1B8B"/>
    <w:rsid w:val="00CC1DF5"/>
    <w:rsid w:val="00CC3A59"/>
    <w:rsid w:val="00CC4253"/>
    <w:rsid w:val="00CC4804"/>
    <w:rsid w:val="00CC5133"/>
    <w:rsid w:val="00CC5361"/>
    <w:rsid w:val="00CC5C9B"/>
    <w:rsid w:val="00CC5F27"/>
    <w:rsid w:val="00CC63FE"/>
    <w:rsid w:val="00CC661E"/>
    <w:rsid w:val="00CC7437"/>
    <w:rsid w:val="00CC7EC6"/>
    <w:rsid w:val="00CD1841"/>
    <w:rsid w:val="00CD20E1"/>
    <w:rsid w:val="00CD2951"/>
    <w:rsid w:val="00CD3BBB"/>
    <w:rsid w:val="00CD3C54"/>
    <w:rsid w:val="00CD6CCD"/>
    <w:rsid w:val="00CD7989"/>
    <w:rsid w:val="00CE0493"/>
    <w:rsid w:val="00CE3521"/>
    <w:rsid w:val="00CE357E"/>
    <w:rsid w:val="00CE3BC2"/>
    <w:rsid w:val="00CE5723"/>
    <w:rsid w:val="00CE5FC4"/>
    <w:rsid w:val="00CE6251"/>
    <w:rsid w:val="00CE6392"/>
    <w:rsid w:val="00CE6AD1"/>
    <w:rsid w:val="00CE6ED8"/>
    <w:rsid w:val="00CE74C3"/>
    <w:rsid w:val="00CF1168"/>
    <w:rsid w:val="00CF1B5F"/>
    <w:rsid w:val="00CF1C88"/>
    <w:rsid w:val="00CF25F6"/>
    <w:rsid w:val="00CF2927"/>
    <w:rsid w:val="00CF3FC7"/>
    <w:rsid w:val="00CF4841"/>
    <w:rsid w:val="00CF4C52"/>
    <w:rsid w:val="00CF5493"/>
    <w:rsid w:val="00CF56F5"/>
    <w:rsid w:val="00CF5B07"/>
    <w:rsid w:val="00CF64CD"/>
    <w:rsid w:val="00CF67D8"/>
    <w:rsid w:val="00CF694E"/>
    <w:rsid w:val="00CF6BF4"/>
    <w:rsid w:val="00CF72BC"/>
    <w:rsid w:val="00CF7532"/>
    <w:rsid w:val="00CF7DE9"/>
    <w:rsid w:val="00D0056A"/>
    <w:rsid w:val="00D00A07"/>
    <w:rsid w:val="00D00AEB"/>
    <w:rsid w:val="00D01398"/>
    <w:rsid w:val="00D013D3"/>
    <w:rsid w:val="00D0189D"/>
    <w:rsid w:val="00D02AC6"/>
    <w:rsid w:val="00D03607"/>
    <w:rsid w:val="00D03D68"/>
    <w:rsid w:val="00D04528"/>
    <w:rsid w:val="00D050BA"/>
    <w:rsid w:val="00D052C5"/>
    <w:rsid w:val="00D05E32"/>
    <w:rsid w:val="00D06FC6"/>
    <w:rsid w:val="00D071BC"/>
    <w:rsid w:val="00D101D7"/>
    <w:rsid w:val="00D106A3"/>
    <w:rsid w:val="00D11CE7"/>
    <w:rsid w:val="00D12281"/>
    <w:rsid w:val="00D12584"/>
    <w:rsid w:val="00D12C41"/>
    <w:rsid w:val="00D14D03"/>
    <w:rsid w:val="00D15896"/>
    <w:rsid w:val="00D16A6E"/>
    <w:rsid w:val="00D174F0"/>
    <w:rsid w:val="00D17707"/>
    <w:rsid w:val="00D222FD"/>
    <w:rsid w:val="00D22569"/>
    <w:rsid w:val="00D22E79"/>
    <w:rsid w:val="00D236DE"/>
    <w:rsid w:val="00D243A9"/>
    <w:rsid w:val="00D26410"/>
    <w:rsid w:val="00D26CDC"/>
    <w:rsid w:val="00D2713F"/>
    <w:rsid w:val="00D2772F"/>
    <w:rsid w:val="00D3079F"/>
    <w:rsid w:val="00D30C5E"/>
    <w:rsid w:val="00D3100A"/>
    <w:rsid w:val="00D312EB"/>
    <w:rsid w:val="00D31D97"/>
    <w:rsid w:val="00D3348F"/>
    <w:rsid w:val="00D33C30"/>
    <w:rsid w:val="00D3413F"/>
    <w:rsid w:val="00D3483B"/>
    <w:rsid w:val="00D3497A"/>
    <w:rsid w:val="00D37235"/>
    <w:rsid w:val="00D373B0"/>
    <w:rsid w:val="00D37508"/>
    <w:rsid w:val="00D40C07"/>
    <w:rsid w:val="00D40C75"/>
    <w:rsid w:val="00D40F22"/>
    <w:rsid w:val="00D4142C"/>
    <w:rsid w:val="00D4229B"/>
    <w:rsid w:val="00D42325"/>
    <w:rsid w:val="00D42F0B"/>
    <w:rsid w:val="00D44B7B"/>
    <w:rsid w:val="00D44C56"/>
    <w:rsid w:val="00D45C32"/>
    <w:rsid w:val="00D462AD"/>
    <w:rsid w:val="00D46B3C"/>
    <w:rsid w:val="00D46FF7"/>
    <w:rsid w:val="00D47AD5"/>
    <w:rsid w:val="00D47D4C"/>
    <w:rsid w:val="00D5016C"/>
    <w:rsid w:val="00D512FD"/>
    <w:rsid w:val="00D518C3"/>
    <w:rsid w:val="00D51C09"/>
    <w:rsid w:val="00D532C6"/>
    <w:rsid w:val="00D5426B"/>
    <w:rsid w:val="00D5599A"/>
    <w:rsid w:val="00D55B21"/>
    <w:rsid w:val="00D55CEF"/>
    <w:rsid w:val="00D569AD"/>
    <w:rsid w:val="00D56FBF"/>
    <w:rsid w:val="00D57FAB"/>
    <w:rsid w:val="00D60215"/>
    <w:rsid w:val="00D605E5"/>
    <w:rsid w:val="00D62A8B"/>
    <w:rsid w:val="00D631C3"/>
    <w:rsid w:val="00D63FD6"/>
    <w:rsid w:val="00D64C2A"/>
    <w:rsid w:val="00D66D81"/>
    <w:rsid w:val="00D67005"/>
    <w:rsid w:val="00D70EEA"/>
    <w:rsid w:val="00D71595"/>
    <w:rsid w:val="00D71741"/>
    <w:rsid w:val="00D71B33"/>
    <w:rsid w:val="00D72158"/>
    <w:rsid w:val="00D72663"/>
    <w:rsid w:val="00D73025"/>
    <w:rsid w:val="00D740F4"/>
    <w:rsid w:val="00D75DFD"/>
    <w:rsid w:val="00D76353"/>
    <w:rsid w:val="00D7794A"/>
    <w:rsid w:val="00D802FD"/>
    <w:rsid w:val="00D8107A"/>
    <w:rsid w:val="00D8162D"/>
    <w:rsid w:val="00D81DE2"/>
    <w:rsid w:val="00D824F2"/>
    <w:rsid w:val="00D82881"/>
    <w:rsid w:val="00D82CD4"/>
    <w:rsid w:val="00D83FAB"/>
    <w:rsid w:val="00D843A8"/>
    <w:rsid w:val="00D843F9"/>
    <w:rsid w:val="00D857E5"/>
    <w:rsid w:val="00D869C5"/>
    <w:rsid w:val="00D90A20"/>
    <w:rsid w:val="00D911D6"/>
    <w:rsid w:val="00D91DCA"/>
    <w:rsid w:val="00D92014"/>
    <w:rsid w:val="00D932E1"/>
    <w:rsid w:val="00D937A6"/>
    <w:rsid w:val="00D94A5A"/>
    <w:rsid w:val="00D95D27"/>
    <w:rsid w:val="00D97721"/>
    <w:rsid w:val="00DA0427"/>
    <w:rsid w:val="00DA05B7"/>
    <w:rsid w:val="00DA127D"/>
    <w:rsid w:val="00DA1450"/>
    <w:rsid w:val="00DA1FAD"/>
    <w:rsid w:val="00DA266F"/>
    <w:rsid w:val="00DA26A7"/>
    <w:rsid w:val="00DA2928"/>
    <w:rsid w:val="00DA30E8"/>
    <w:rsid w:val="00DA3AE2"/>
    <w:rsid w:val="00DA3B33"/>
    <w:rsid w:val="00DA3DC7"/>
    <w:rsid w:val="00DA42A3"/>
    <w:rsid w:val="00DA50F2"/>
    <w:rsid w:val="00DA5B4D"/>
    <w:rsid w:val="00DA5CDB"/>
    <w:rsid w:val="00DA7075"/>
    <w:rsid w:val="00DA74A2"/>
    <w:rsid w:val="00DA76BE"/>
    <w:rsid w:val="00DB1EF7"/>
    <w:rsid w:val="00DB23B3"/>
    <w:rsid w:val="00DB3CEF"/>
    <w:rsid w:val="00DB47D6"/>
    <w:rsid w:val="00DB4FFA"/>
    <w:rsid w:val="00DB5DF8"/>
    <w:rsid w:val="00DB5E98"/>
    <w:rsid w:val="00DB65DC"/>
    <w:rsid w:val="00DB6664"/>
    <w:rsid w:val="00DB6B6B"/>
    <w:rsid w:val="00DB73FB"/>
    <w:rsid w:val="00DB7B75"/>
    <w:rsid w:val="00DB7CD4"/>
    <w:rsid w:val="00DC0DBE"/>
    <w:rsid w:val="00DC2A0D"/>
    <w:rsid w:val="00DC2B7E"/>
    <w:rsid w:val="00DC3413"/>
    <w:rsid w:val="00DC3910"/>
    <w:rsid w:val="00DC429D"/>
    <w:rsid w:val="00DC5146"/>
    <w:rsid w:val="00DC5F55"/>
    <w:rsid w:val="00DC6512"/>
    <w:rsid w:val="00DC6E17"/>
    <w:rsid w:val="00DC6F8F"/>
    <w:rsid w:val="00DD2246"/>
    <w:rsid w:val="00DD26B7"/>
    <w:rsid w:val="00DD32D3"/>
    <w:rsid w:val="00DD35D4"/>
    <w:rsid w:val="00DD36B7"/>
    <w:rsid w:val="00DD3969"/>
    <w:rsid w:val="00DD4C4B"/>
    <w:rsid w:val="00DD4DCA"/>
    <w:rsid w:val="00DD5181"/>
    <w:rsid w:val="00DD5AEC"/>
    <w:rsid w:val="00DD5CCB"/>
    <w:rsid w:val="00DD6003"/>
    <w:rsid w:val="00DD651B"/>
    <w:rsid w:val="00DD725A"/>
    <w:rsid w:val="00DD7B1D"/>
    <w:rsid w:val="00DE1A4C"/>
    <w:rsid w:val="00DE1B04"/>
    <w:rsid w:val="00DE285A"/>
    <w:rsid w:val="00DE288C"/>
    <w:rsid w:val="00DE2F3F"/>
    <w:rsid w:val="00DE3123"/>
    <w:rsid w:val="00DE3774"/>
    <w:rsid w:val="00DE4AFA"/>
    <w:rsid w:val="00DE51AF"/>
    <w:rsid w:val="00DE5417"/>
    <w:rsid w:val="00DE5630"/>
    <w:rsid w:val="00DE5A55"/>
    <w:rsid w:val="00DE7227"/>
    <w:rsid w:val="00DE7312"/>
    <w:rsid w:val="00DE76FC"/>
    <w:rsid w:val="00DF0898"/>
    <w:rsid w:val="00DF0E35"/>
    <w:rsid w:val="00DF0F94"/>
    <w:rsid w:val="00DF2C48"/>
    <w:rsid w:val="00DF33BD"/>
    <w:rsid w:val="00DF3500"/>
    <w:rsid w:val="00DF3789"/>
    <w:rsid w:val="00DF3F22"/>
    <w:rsid w:val="00DF4241"/>
    <w:rsid w:val="00DF4303"/>
    <w:rsid w:val="00DF45B4"/>
    <w:rsid w:val="00DF4BAB"/>
    <w:rsid w:val="00DF4D77"/>
    <w:rsid w:val="00DF4E86"/>
    <w:rsid w:val="00DF5B12"/>
    <w:rsid w:val="00DF5D14"/>
    <w:rsid w:val="00DF608E"/>
    <w:rsid w:val="00DF676A"/>
    <w:rsid w:val="00DF6CC5"/>
    <w:rsid w:val="00DF6DEE"/>
    <w:rsid w:val="00DF6F9C"/>
    <w:rsid w:val="00DF6FF1"/>
    <w:rsid w:val="00DF76E0"/>
    <w:rsid w:val="00E0139A"/>
    <w:rsid w:val="00E015A9"/>
    <w:rsid w:val="00E016B1"/>
    <w:rsid w:val="00E02883"/>
    <w:rsid w:val="00E04029"/>
    <w:rsid w:val="00E04242"/>
    <w:rsid w:val="00E05D7D"/>
    <w:rsid w:val="00E07284"/>
    <w:rsid w:val="00E079B2"/>
    <w:rsid w:val="00E07DFA"/>
    <w:rsid w:val="00E10861"/>
    <w:rsid w:val="00E120BC"/>
    <w:rsid w:val="00E1376C"/>
    <w:rsid w:val="00E13B02"/>
    <w:rsid w:val="00E14425"/>
    <w:rsid w:val="00E151A5"/>
    <w:rsid w:val="00E15635"/>
    <w:rsid w:val="00E15908"/>
    <w:rsid w:val="00E16BEE"/>
    <w:rsid w:val="00E16D43"/>
    <w:rsid w:val="00E21914"/>
    <w:rsid w:val="00E21B02"/>
    <w:rsid w:val="00E21E4E"/>
    <w:rsid w:val="00E22D70"/>
    <w:rsid w:val="00E23869"/>
    <w:rsid w:val="00E23885"/>
    <w:rsid w:val="00E26156"/>
    <w:rsid w:val="00E26B75"/>
    <w:rsid w:val="00E26F08"/>
    <w:rsid w:val="00E27323"/>
    <w:rsid w:val="00E2768F"/>
    <w:rsid w:val="00E3099D"/>
    <w:rsid w:val="00E30DA9"/>
    <w:rsid w:val="00E31803"/>
    <w:rsid w:val="00E31C8B"/>
    <w:rsid w:val="00E32002"/>
    <w:rsid w:val="00E32786"/>
    <w:rsid w:val="00E333FB"/>
    <w:rsid w:val="00E3340F"/>
    <w:rsid w:val="00E3345C"/>
    <w:rsid w:val="00E335BB"/>
    <w:rsid w:val="00E33B57"/>
    <w:rsid w:val="00E35822"/>
    <w:rsid w:val="00E36150"/>
    <w:rsid w:val="00E36F7B"/>
    <w:rsid w:val="00E40778"/>
    <w:rsid w:val="00E41642"/>
    <w:rsid w:val="00E4178B"/>
    <w:rsid w:val="00E41FE9"/>
    <w:rsid w:val="00E4501A"/>
    <w:rsid w:val="00E45786"/>
    <w:rsid w:val="00E4586E"/>
    <w:rsid w:val="00E45DE5"/>
    <w:rsid w:val="00E45DEB"/>
    <w:rsid w:val="00E45E03"/>
    <w:rsid w:val="00E464B9"/>
    <w:rsid w:val="00E46BFA"/>
    <w:rsid w:val="00E47194"/>
    <w:rsid w:val="00E477BE"/>
    <w:rsid w:val="00E478A7"/>
    <w:rsid w:val="00E47B62"/>
    <w:rsid w:val="00E47E0A"/>
    <w:rsid w:val="00E51517"/>
    <w:rsid w:val="00E51F74"/>
    <w:rsid w:val="00E54533"/>
    <w:rsid w:val="00E54924"/>
    <w:rsid w:val="00E55868"/>
    <w:rsid w:val="00E569B2"/>
    <w:rsid w:val="00E60C14"/>
    <w:rsid w:val="00E61815"/>
    <w:rsid w:val="00E63A22"/>
    <w:rsid w:val="00E63C50"/>
    <w:rsid w:val="00E63FC6"/>
    <w:rsid w:val="00E640AE"/>
    <w:rsid w:val="00E64C68"/>
    <w:rsid w:val="00E653EB"/>
    <w:rsid w:val="00E65D86"/>
    <w:rsid w:val="00E66834"/>
    <w:rsid w:val="00E66967"/>
    <w:rsid w:val="00E67E1C"/>
    <w:rsid w:val="00E7036A"/>
    <w:rsid w:val="00E708B4"/>
    <w:rsid w:val="00E70E2A"/>
    <w:rsid w:val="00E713EE"/>
    <w:rsid w:val="00E71643"/>
    <w:rsid w:val="00E71A18"/>
    <w:rsid w:val="00E721D3"/>
    <w:rsid w:val="00E72791"/>
    <w:rsid w:val="00E72C1A"/>
    <w:rsid w:val="00E73A84"/>
    <w:rsid w:val="00E74BBE"/>
    <w:rsid w:val="00E75DF7"/>
    <w:rsid w:val="00E763CD"/>
    <w:rsid w:val="00E76A0F"/>
    <w:rsid w:val="00E76F44"/>
    <w:rsid w:val="00E7711B"/>
    <w:rsid w:val="00E807D4"/>
    <w:rsid w:val="00E80A66"/>
    <w:rsid w:val="00E8114F"/>
    <w:rsid w:val="00E820A3"/>
    <w:rsid w:val="00E828F9"/>
    <w:rsid w:val="00E8297A"/>
    <w:rsid w:val="00E82B64"/>
    <w:rsid w:val="00E839DF"/>
    <w:rsid w:val="00E83E08"/>
    <w:rsid w:val="00E850A3"/>
    <w:rsid w:val="00E8528B"/>
    <w:rsid w:val="00E85A66"/>
    <w:rsid w:val="00E85D6A"/>
    <w:rsid w:val="00E868FF"/>
    <w:rsid w:val="00E869DC"/>
    <w:rsid w:val="00E86A15"/>
    <w:rsid w:val="00E87034"/>
    <w:rsid w:val="00E90733"/>
    <w:rsid w:val="00E90F26"/>
    <w:rsid w:val="00E91850"/>
    <w:rsid w:val="00E922C2"/>
    <w:rsid w:val="00E92F4A"/>
    <w:rsid w:val="00E931A2"/>
    <w:rsid w:val="00E93D9A"/>
    <w:rsid w:val="00E95B5E"/>
    <w:rsid w:val="00E95D88"/>
    <w:rsid w:val="00E96340"/>
    <w:rsid w:val="00E96551"/>
    <w:rsid w:val="00E96BBF"/>
    <w:rsid w:val="00E96F2B"/>
    <w:rsid w:val="00EA138E"/>
    <w:rsid w:val="00EA38D5"/>
    <w:rsid w:val="00EA4363"/>
    <w:rsid w:val="00EA51AC"/>
    <w:rsid w:val="00EA5409"/>
    <w:rsid w:val="00EA589F"/>
    <w:rsid w:val="00EA5F10"/>
    <w:rsid w:val="00EA5F30"/>
    <w:rsid w:val="00EA68D0"/>
    <w:rsid w:val="00EA6EA0"/>
    <w:rsid w:val="00EA6F59"/>
    <w:rsid w:val="00EA7580"/>
    <w:rsid w:val="00EA789A"/>
    <w:rsid w:val="00EA7F85"/>
    <w:rsid w:val="00EB096B"/>
    <w:rsid w:val="00EB1A9B"/>
    <w:rsid w:val="00EB219C"/>
    <w:rsid w:val="00EB321E"/>
    <w:rsid w:val="00EB56FC"/>
    <w:rsid w:val="00EB5F9C"/>
    <w:rsid w:val="00EB6244"/>
    <w:rsid w:val="00EB62A2"/>
    <w:rsid w:val="00EB64FC"/>
    <w:rsid w:val="00EB6C2C"/>
    <w:rsid w:val="00EB7463"/>
    <w:rsid w:val="00EB777A"/>
    <w:rsid w:val="00EB7B3E"/>
    <w:rsid w:val="00EC0FC7"/>
    <w:rsid w:val="00EC2329"/>
    <w:rsid w:val="00EC23FA"/>
    <w:rsid w:val="00EC3466"/>
    <w:rsid w:val="00EC37C6"/>
    <w:rsid w:val="00EC3CEA"/>
    <w:rsid w:val="00EC4ACC"/>
    <w:rsid w:val="00EC4F27"/>
    <w:rsid w:val="00EC548A"/>
    <w:rsid w:val="00EC5A47"/>
    <w:rsid w:val="00EC6DAC"/>
    <w:rsid w:val="00EC744B"/>
    <w:rsid w:val="00EC778D"/>
    <w:rsid w:val="00EC7B5A"/>
    <w:rsid w:val="00ED1573"/>
    <w:rsid w:val="00ED1966"/>
    <w:rsid w:val="00ED1987"/>
    <w:rsid w:val="00ED2394"/>
    <w:rsid w:val="00ED2DFA"/>
    <w:rsid w:val="00ED419B"/>
    <w:rsid w:val="00ED4C06"/>
    <w:rsid w:val="00ED4DA5"/>
    <w:rsid w:val="00ED5AAA"/>
    <w:rsid w:val="00ED5AF3"/>
    <w:rsid w:val="00ED6747"/>
    <w:rsid w:val="00ED6E55"/>
    <w:rsid w:val="00ED70CB"/>
    <w:rsid w:val="00ED71E9"/>
    <w:rsid w:val="00ED72F9"/>
    <w:rsid w:val="00ED7419"/>
    <w:rsid w:val="00ED78BD"/>
    <w:rsid w:val="00EE050F"/>
    <w:rsid w:val="00EE067F"/>
    <w:rsid w:val="00EE081A"/>
    <w:rsid w:val="00EE13C7"/>
    <w:rsid w:val="00EE1CE1"/>
    <w:rsid w:val="00EE1EB5"/>
    <w:rsid w:val="00EE243B"/>
    <w:rsid w:val="00EE28DF"/>
    <w:rsid w:val="00EE2CF1"/>
    <w:rsid w:val="00EE2F5B"/>
    <w:rsid w:val="00EE2FB7"/>
    <w:rsid w:val="00EE38B5"/>
    <w:rsid w:val="00EE47A0"/>
    <w:rsid w:val="00EE60DB"/>
    <w:rsid w:val="00EE6653"/>
    <w:rsid w:val="00EE6883"/>
    <w:rsid w:val="00EE70C8"/>
    <w:rsid w:val="00EE7E38"/>
    <w:rsid w:val="00EE7EEA"/>
    <w:rsid w:val="00EF1A87"/>
    <w:rsid w:val="00EF1C5D"/>
    <w:rsid w:val="00EF1D7E"/>
    <w:rsid w:val="00EF2D5D"/>
    <w:rsid w:val="00EF39FC"/>
    <w:rsid w:val="00EF449C"/>
    <w:rsid w:val="00EF4CEE"/>
    <w:rsid w:val="00EF51BE"/>
    <w:rsid w:val="00EF5638"/>
    <w:rsid w:val="00EF5E36"/>
    <w:rsid w:val="00EF6801"/>
    <w:rsid w:val="00EF76A0"/>
    <w:rsid w:val="00EF78AD"/>
    <w:rsid w:val="00EF7D54"/>
    <w:rsid w:val="00EF7F09"/>
    <w:rsid w:val="00F0059C"/>
    <w:rsid w:val="00F00DBF"/>
    <w:rsid w:val="00F01157"/>
    <w:rsid w:val="00F016CA"/>
    <w:rsid w:val="00F01E4F"/>
    <w:rsid w:val="00F02A3A"/>
    <w:rsid w:val="00F04143"/>
    <w:rsid w:val="00F0482C"/>
    <w:rsid w:val="00F04F8E"/>
    <w:rsid w:val="00F05F9F"/>
    <w:rsid w:val="00F0740D"/>
    <w:rsid w:val="00F07750"/>
    <w:rsid w:val="00F07780"/>
    <w:rsid w:val="00F0785B"/>
    <w:rsid w:val="00F106C0"/>
    <w:rsid w:val="00F10988"/>
    <w:rsid w:val="00F10A86"/>
    <w:rsid w:val="00F1110C"/>
    <w:rsid w:val="00F11168"/>
    <w:rsid w:val="00F12149"/>
    <w:rsid w:val="00F13587"/>
    <w:rsid w:val="00F13834"/>
    <w:rsid w:val="00F14DE1"/>
    <w:rsid w:val="00F15F0F"/>
    <w:rsid w:val="00F16387"/>
    <w:rsid w:val="00F1649C"/>
    <w:rsid w:val="00F16B82"/>
    <w:rsid w:val="00F16BF2"/>
    <w:rsid w:val="00F2036A"/>
    <w:rsid w:val="00F203C7"/>
    <w:rsid w:val="00F20769"/>
    <w:rsid w:val="00F210E0"/>
    <w:rsid w:val="00F21157"/>
    <w:rsid w:val="00F21209"/>
    <w:rsid w:val="00F214CB"/>
    <w:rsid w:val="00F21646"/>
    <w:rsid w:val="00F21917"/>
    <w:rsid w:val="00F24293"/>
    <w:rsid w:val="00F24526"/>
    <w:rsid w:val="00F24E14"/>
    <w:rsid w:val="00F25662"/>
    <w:rsid w:val="00F25CBF"/>
    <w:rsid w:val="00F27A4B"/>
    <w:rsid w:val="00F27BB1"/>
    <w:rsid w:val="00F27E42"/>
    <w:rsid w:val="00F3088C"/>
    <w:rsid w:val="00F319C6"/>
    <w:rsid w:val="00F31BEE"/>
    <w:rsid w:val="00F325DC"/>
    <w:rsid w:val="00F329B1"/>
    <w:rsid w:val="00F32B0E"/>
    <w:rsid w:val="00F32F05"/>
    <w:rsid w:val="00F331E9"/>
    <w:rsid w:val="00F339E2"/>
    <w:rsid w:val="00F33DC4"/>
    <w:rsid w:val="00F33E8F"/>
    <w:rsid w:val="00F3545A"/>
    <w:rsid w:val="00F35946"/>
    <w:rsid w:val="00F359C0"/>
    <w:rsid w:val="00F37DBE"/>
    <w:rsid w:val="00F40D7C"/>
    <w:rsid w:val="00F410B7"/>
    <w:rsid w:val="00F41778"/>
    <w:rsid w:val="00F421EA"/>
    <w:rsid w:val="00F430AC"/>
    <w:rsid w:val="00F462D5"/>
    <w:rsid w:val="00F464E9"/>
    <w:rsid w:val="00F46975"/>
    <w:rsid w:val="00F477B9"/>
    <w:rsid w:val="00F50562"/>
    <w:rsid w:val="00F516F6"/>
    <w:rsid w:val="00F519AF"/>
    <w:rsid w:val="00F52F08"/>
    <w:rsid w:val="00F53604"/>
    <w:rsid w:val="00F54A39"/>
    <w:rsid w:val="00F54B2D"/>
    <w:rsid w:val="00F54BBB"/>
    <w:rsid w:val="00F55625"/>
    <w:rsid w:val="00F559EB"/>
    <w:rsid w:val="00F55C71"/>
    <w:rsid w:val="00F55D59"/>
    <w:rsid w:val="00F55EC6"/>
    <w:rsid w:val="00F55FAE"/>
    <w:rsid w:val="00F5704C"/>
    <w:rsid w:val="00F5762A"/>
    <w:rsid w:val="00F60171"/>
    <w:rsid w:val="00F6086F"/>
    <w:rsid w:val="00F613FA"/>
    <w:rsid w:val="00F624FB"/>
    <w:rsid w:val="00F62FDA"/>
    <w:rsid w:val="00F6338E"/>
    <w:rsid w:val="00F63599"/>
    <w:rsid w:val="00F645A1"/>
    <w:rsid w:val="00F64BF4"/>
    <w:rsid w:val="00F6582D"/>
    <w:rsid w:val="00F65B0C"/>
    <w:rsid w:val="00F6631F"/>
    <w:rsid w:val="00F7133C"/>
    <w:rsid w:val="00F718A6"/>
    <w:rsid w:val="00F71C7D"/>
    <w:rsid w:val="00F72112"/>
    <w:rsid w:val="00F723D6"/>
    <w:rsid w:val="00F724AB"/>
    <w:rsid w:val="00F72D22"/>
    <w:rsid w:val="00F74188"/>
    <w:rsid w:val="00F757A1"/>
    <w:rsid w:val="00F7798C"/>
    <w:rsid w:val="00F77E87"/>
    <w:rsid w:val="00F806A9"/>
    <w:rsid w:val="00F81320"/>
    <w:rsid w:val="00F81620"/>
    <w:rsid w:val="00F8217F"/>
    <w:rsid w:val="00F83113"/>
    <w:rsid w:val="00F83C22"/>
    <w:rsid w:val="00F84521"/>
    <w:rsid w:val="00F86093"/>
    <w:rsid w:val="00F86C89"/>
    <w:rsid w:val="00F86FFD"/>
    <w:rsid w:val="00F87451"/>
    <w:rsid w:val="00F8785D"/>
    <w:rsid w:val="00F906AB"/>
    <w:rsid w:val="00F91766"/>
    <w:rsid w:val="00F91A6E"/>
    <w:rsid w:val="00F92C23"/>
    <w:rsid w:val="00F92EC2"/>
    <w:rsid w:val="00F9313C"/>
    <w:rsid w:val="00F94E4E"/>
    <w:rsid w:val="00F96B7D"/>
    <w:rsid w:val="00F96E67"/>
    <w:rsid w:val="00F97165"/>
    <w:rsid w:val="00F97FB3"/>
    <w:rsid w:val="00F97FE5"/>
    <w:rsid w:val="00FA0537"/>
    <w:rsid w:val="00FA0AAA"/>
    <w:rsid w:val="00FA25EA"/>
    <w:rsid w:val="00FA272D"/>
    <w:rsid w:val="00FA2E5C"/>
    <w:rsid w:val="00FA2ECA"/>
    <w:rsid w:val="00FA2FA8"/>
    <w:rsid w:val="00FA4A00"/>
    <w:rsid w:val="00FA5D30"/>
    <w:rsid w:val="00FA655A"/>
    <w:rsid w:val="00FA65E5"/>
    <w:rsid w:val="00FA6A63"/>
    <w:rsid w:val="00FA74C0"/>
    <w:rsid w:val="00FB0FE4"/>
    <w:rsid w:val="00FB1348"/>
    <w:rsid w:val="00FB1925"/>
    <w:rsid w:val="00FB1EA0"/>
    <w:rsid w:val="00FB2144"/>
    <w:rsid w:val="00FB2C2B"/>
    <w:rsid w:val="00FB2DA4"/>
    <w:rsid w:val="00FB3F05"/>
    <w:rsid w:val="00FB45C2"/>
    <w:rsid w:val="00FB50BE"/>
    <w:rsid w:val="00FB6B51"/>
    <w:rsid w:val="00FC0DD4"/>
    <w:rsid w:val="00FC1E49"/>
    <w:rsid w:val="00FC2786"/>
    <w:rsid w:val="00FC299E"/>
    <w:rsid w:val="00FC36CB"/>
    <w:rsid w:val="00FC3779"/>
    <w:rsid w:val="00FC3DC8"/>
    <w:rsid w:val="00FC400D"/>
    <w:rsid w:val="00FC4750"/>
    <w:rsid w:val="00FC58AA"/>
    <w:rsid w:val="00FC5AD5"/>
    <w:rsid w:val="00FC63CC"/>
    <w:rsid w:val="00FC6B40"/>
    <w:rsid w:val="00FC7979"/>
    <w:rsid w:val="00FC7CE2"/>
    <w:rsid w:val="00FD0184"/>
    <w:rsid w:val="00FD0AF0"/>
    <w:rsid w:val="00FD1489"/>
    <w:rsid w:val="00FD15A5"/>
    <w:rsid w:val="00FD1902"/>
    <w:rsid w:val="00FD2169"/>
    <w:rsid w:val="00FD245E"/>
    <w:rsid w:val="00FD24D9"/>
    <w:rsid w:val="00FD2B4A"/>
    <w:rsid w:val="00FD43CA"/>
    <w:rsid w:val="00FD4B6C"/>
    <w:rsid w:val="00FD589C"/>
    <w:rsid w:val="00FD5B6F"/>
    <w:rsid w:val="00FD6176"/>
    <w:rsid w:val="00FD6598"/>
    <w:rsid w:val="00FD6C77"/>
    <w:rsid w:val="00FD6D51"/>
    <w:rsid w:val="00FD74C2"/>
    <w:rsid w:val="00FD7C6C"/>
    <w:rsid w:val="00FE0E33"/>
    <w:rsid w:val="00FE1CB9"/>
    <w:rsid w:val="00FE2B98"/>
    <w:rsid w:val="00FE3040"/>
    <w:rsid w:val="00FE54A8"/>
    <w:rsid w:val="00FE5E25"/>
    <w:rsid w:val="00FE6741"/>
    <w:rsid w:val="00FE6B1A"/>
    <w:rsid w:val="00FE788A"/>
    <w:rsid w:val="00FE7B1F"/>
    <w:rsid w:val="00FF06F9"/>
    <w:rsid w:val="00FF0FB4"/>
    <w:rsid w:val="00FF1A88"/>
    <w:rsid w:val="00FF2B2A"/>
    <w:rsid w:val="00FF2B97"/>
    <w:rsid w:val="00FF3DC4"/>
    <w:rsid w:val="00FF44E7"/>
    <w:rsid w:val="00FF4EE6"/>
    <w:rsid w:val="00FF683E"/>
    <w:rsid w:val="00FF7670"/>
    <w:rsid w:val="01096F64"/>
    <w:rsid w:val="010D3E32"/>
    <w:rsid w:val="011E27CD"/>
    <w:rsid w:val="01345ED7"/>
    <w:rsid w:val="013930AF"/>
    <w:rsid w:val="013A744D"/>
    <w:rsid w:val="014354FF"/>
    <w:rsid w:val="0153453C"/>
    <w:rsid w:val="0153462C"/>
    <w:rsid w:val="01572ED7"/>
    <w:rsid w:val="015A3032"/>
    <w:rsid w:val="0168358B"/>
    <w:rsid w:val="01695881"/>
    <w:rsid w:val="016D09F4"/>
    <w:rsid w:val="018876DC"/>
    <w:rsid w:val="018E7785"/>
    <w:rsid w:val="01A02591"/>
    <w:rsid w:val="01AA6FD1"/>
    <w:rsid w:val="01AB1B3B"/>
    <w:rsid w:val="01AF3D57"/>
    <w:rsid w:val="01B522D2"/>
    <w:rsid w:val="01CA7044"/>
    <w:rsid w:val="01CB54EA"/>
    <w:rsid w:val="01D30357"/>
    <w:rsid w:val="01D9216D"/>
    <w:rsid w:val="01EC4381"/>
    <w:rsid w:val="02050E93"/>
    <w:rsid w:val="020D1201"/>
    <w:rsid w:val="020E06E0"/>
    <w:rsid w:val="021D448E"/>
    <w:rsid w:val="02231D17"/>
    <w:rsid w:val="0226186C"/>
    <w:rsid w:val="02274C09"/>
    <w:rsid w:val="02321D5A"/>
    <w:rsid w:val="023A4DB2"/>
    <w:rsid w:val="024A1CE2"/>
    <w:rsid w:val="025101E2"/>
    <w:rsid w:val="025E186D"/>
    <w:rsid w:val="027912A9"/>
    <w:rsid w:val="027F518A"/>
    <w:rsid w:val="028F7CEA"/>
    <w:rsid w:val="02943F42"/>
    <w:rsid w:val="02A94270"/>
    <w:rsid w:val="02B11073"/>
    <w:rsid w:val="02B51591"/>
    <w:rsid w:val="02BD5872"/>
    <w:rsid w:val="02C33FF8"/>
    <w:rsid w:val="02C60907"/>
    <w:rsid w:val="02C8452A"/>
    <w:rsid w:val="02CE64B1"/>
    <w:rsid w:val="02DB1B49"/>
    <w:rsid w:val="02E27592"/>
    <w:rsid w:val="02EF5B43"/>
    <w:rsid w:val="02F3289C"/>
    <w:rsid w:val="02F41779"/>
    <w:rsid w:val="02F56BCA"/>
    <w:rsid w:val="02FD0BF6"/>
    <w:rsid w:val="03034435"/>
    <w:rsid w:val="03047B72"/>
    <w:rsid w:val="03082EEB"/>
    <w:rsid w:val="03106E1B"/>
    <w:rsid w:val="03154559"/>
    <w:rsid w:val="03195B97"/>
    <w:rsid w:val="031E491E"/>
    <w:rsid w:val="031F2EA6"/>
    <w:rsid w:val="03235A64"/>
    <w:rsid w:val="03291F42"/>
    <w:rsid w:val="033262D9"/>
    <w:rsid w:val="033A578F"/>
    <w:rsid w:val="033B79F5"/>
    <w:rsid w:val="03421FC7"/>
    <w:rsid w:val="036B0333"/>
    <w:rsid w:val="037260C9"/>
    <w:rsid w:val="0375650D"/>
    <w:rsid w:val="037628A1"/>
    <w:rsid w:val="03764036"/>
    <w:rsid w:val="0379330A"/>
    <w:rsid w:val="038431CC"/>
    <w:rsid w:val="03844292"/>
    <w:rsid w:val="0385696F"/>
    <w:rsid w:val="038D4257"/>
    <w:rsid w:val="03906228"/>
    <w:rsid w:val="0392321C"/>
    <w:rsid w:val="03A2232B"/>
    <w:rsid w:val="03A63E9D"/>
    <w:rsid w:val="03A74D3B"/>
    <w:rsid w:val="03A80D12"/>
    <w:rsid w:val="03AE3B51"/>
    <w:rsid w:val="03BD4369"/>
    <w:rsid w:val="03C823DE"/>
    <w:rsid w:val="03CA3582"/>
    <w:rsid w:val="03DA2B87"/>
    <w:rsid w:val="03DB6C6A"/>
    <w:rsid w:val="03DC6360"/>
    <w:rsid w:val="03DD122A"/>
    <w:rsid w:val="03E06910"/>
    <w:rsid w:val="03EB173F"/>
    <w:rsid w:val="03ED0C96"/>
    <w:rsid w:val="03EE6004"/>
    <w:rsid w:val="03F909CF"/>
    <w:rsid w:val="03F93A9B"/>
    <w:rsid w:val="04066B99"/>
    <w:rsid w:val="040A7BD3"/>
    <w:rsid w:val="04192284"/>
    <w:rsid w:val="043312E7"/>
    <w:rsid w:val="043D69C2"/>
    <w:rsid w:val="043F37C4"/>
    <w:rsid w:val="04405D60"/>
    <w:rsid w:val="045560D9"/>
    <w:rsid w:val="045C7D7F"/>
    <w:rsid w:val="04674182"/>
    <w:rsid w:val="046874D3"/>
    <w:rsid w:val="046D4B31"/>
    <w:rsid w:val="04723C9A"/>
    <w:rsid w:val="04763DF0"/>
    <w:rsid w:val="0482632C"/>
    <w:rsid w:val="049632DF"/>
    <w:rsid w:val="04A741FF"/>
    <w:rsid w:val="04A76ED6"/>
    <w:rsid w:val="04A923EC"/>
    <w:rsid w:val="04AC0EFB"/>
    <w:rsid w:val="04AD6FEA"/>
    <w:rsid w:val="04B63702"/>
    <w:rsid w:val="04C81C8C"/>
    <w:rsid w:val="04CF101F"/>
    <w:rsid w:val="04D70BAD"/>
    <w:rsid w:val="04E8215F"/>
    <w:rsid w:val="04F01786"/>
    <w:rsid w:val="04FE16ED"/>
    <w:rsid w:val="04FE2E9B"/>
    <w:rsid w:val="05017DD7"/>
    <w:rsid w:val="050B0A06"/>
    <w:rsid w:val="050D4C4E"/>
    <w:rsid w:val="05160E9B"/>
    <w:rsid w:val="051669AD"/>
    <w:rsid w:val="05172558"/>
    <w:rsid w:val="051B7D8F"/>
    <w:rsid w:val="052757BE"/>
    <w:rsid w:val="05294C90"/>
    <w:rsid w:val="052E67A8"/>
    <w:rsid w:val="052F41A8"/>
    <w:rsid w:val="053416F2"/>
    <w:rsid w:val="05346DD7"/>
    <w:rsid w:val="054018C1"/>
    <w:rsid w:val="05436779"/>
    <w:rsid w:val="055A4032"/>
    <w:rsid w:val="05701B3A"/>
    <w:rsid w:val="05712FAA"/>
    <w:rsid w:val="05867B14"/>
    <w:rsid w:val="05895C23"/>
    <w:rsid w:val="058C49A4"/>
    <w:rsid w:val="05931450"/>
    <w:rsid w:val="0595071E"/>
    <w:rsid w:val="05A5399C"/>
    <w:rsid w:val="05A72885"/>
    <w:rsid w:val="05AB3A93"/>
    <w:rsid w:val="05BB2D13"/>
    <w:rsid w:val="05C146FC"/>
    <w:rsid w:val="05C24554"/>
    <w:rsid w:val="05C77529"/>
    <w:rsid w:val="05CC1846"/>
    <w:rsid w:val="05D201DB"/>
    <w:rsid w:val="05DF38B7"/>
    <w:rsid w:val="05E2494F"/>
    <w:rsid w:val="05E85019"/>
    <w:rsid w:val="05E93A36"/>
    <w:rsid w:val="05EC58FE"/>
    <w:rsid w:val="05F06113"/>
    <w:rsid w:val="060530A2"/>
    <w:rsid w:val="060968CE"/>
    <w:rsid w:val="060C0BF5"/>
    <w:rsid w:val="061346F1"/>
    <w:rsid w:val="06192177"/>
    <w:rsid w:val="061D67A9"/>
    <w:rsid w:val="061D75B4"/>
    <w:rsid w:val="06280889"/>
    <w:rsid w:val="06352159"/>
    <w:rsid w:val="0637498B"/>
    <w:rsid w:val="063830F8"/>
    <w:rsid w:val="063E4CE9"/>
    <w:rsid w:val="0644114B"/>
    <w:rsid w:val="064F5427"/>
    <w:rsid w:val="06524801"/>
    <w:rsid w:val="065D43D9"/>
    <w:rsid w:val="06624AB0"/>
    <w:rsid w:val="06684E70"/>
    <w:rsid w:val="066A266A"/>
    <w:rsid w:val="066D211C"/>
    <w:rsid w:val="06774542"/>
    <w:rsid w:val="06837B3B"/>
    <w:rsid w:val="06961293"/>
    <w:rsid w:val="069762C4"/>
    <w:rsid w:val="06A429CE"/>
    <w:rsid w:val="06A84414"/>
    <w:rsid w:val="06A87C21"/>
    <w:rsid w:val="06AE7ED0"/>
    <w:rsid w:val="06BB1810"/>
    <w:rsid w:val="06BE55EB"/>
    <w:rsid w:val="06BF1CFA"/>
    <w:rsid w:val="06CB2176"/>
    <w:rsid w:val="06E3547B"/>
    <w:rsid w:val="06E423A9"/>
    <w:rsid w:val="06EB5A74"/>
    <w:rsid w:val="06FC6F82"/>
    <w:rsid w:val="070005FE"/>
    <w:rsid w:val="070C7AAE"/>
    <w:rsid w:val="071115A8"/>
    <w:rsid w:val="071F05EE"/>
    <w:rsid w:val="07201CA4"/>
    <w:rsid w:val="07223296"/>
    <w:rsid w:val="07232A97"/>
    <w:rsid w:val="07247135"/>
    <w:rsid w:val="07283A1B"/>
    <w:rsid w:val="072B1029"/>
    <w:rsid w:val="07404D92"/>
    <w:rsid w:val="07463591"/>
    <w:rsid w:val="07531CE8"/>
    <w:rsid w:val="07543E36"/>
    <w:rsid w:val="07602B69"/>
    <w:rsid w:val="0762512D"/>
    <w:rsid w:val="07694F22"/>
    <w:rsid w:val="076A3C33"/>
    <w:rsid w:val="076B60E8"/>
    <w:rsid w:val="076C524F"/>
    <w:rsid w:val="07731EDA"/>
    <w:rsid w:val="077F474D"/>
    <w:rsid w:val="07864525"/>
    <w:rsid w:val="078B77BD"/>
    <w:rsid w:val="07931E97"/>
    <w:rsid w:val="079760C3"/>
    <w:rsid w:val="07A76359"/>
    <w:rsid w:val="07A93962"/>
    <w:rsid w:val="07AB05A2"/>
    <w:rsid w:val="07B2585B"/>
    <w:rsid w:val="07CA3AEE"/>
    <w:rsid w:val="07DB4646"/>
    <w:rsid w:val="07E70546"/>
    <w:rsid w:val="07E87FB5"/>
    <w:rsid w:val="07EF434F"/>
    <w:rsid w:val="07F17270"/>
    <w:rsid w:val="07F86A7E"/>
    <w:rsid w:val="081A3081"/>
    <w:rsid w:val="08237404"/>
    <w:rsid w:val="08292020"/>
    <w:rsid w:val="082A7A6A"/>
    <w:rsid w:val="082B798A"/>
    <w:rsid w:val="08323D6C"/>
    <w:rsid w:val="083808EE"/>
    <w:rsid w:val="083B6A22"/>
    <w:rsid w:val="084767BD"/>
    <w:rsid w:val="085F515F"/>
    <w:rsid w:val="08660278"/>
    <w:rsid w:val="0875764B"/>
    <w:rsid w:val="08795A53"/>
    <w:rsid w:val="087E44A8"/>
    <w:rsid w:val="087F0EB6"/>
    <w:rsid w:val="0882164E"/>
    <w:rsid w:val="088350A7"/>
    <w:rsid w:val="08992DEC"/>
    <w:rsid w:val="089B0120"/>
    <w:rsid w:val="08A17D4C"/>
    <w:rsid w:val="08AB297C"/>
    <w:rsid w:val="08B70287"/>
    <w:rsid w:val="08C15D2C"/>
    <w:rsid w:val="08CA0463"/>
    <w:rsid w:val="08CC0BDF"/>
    <w:rsid w:val="08D16F11"/>
    <w:rsid w:val="08E865C5"/>
    <w:rsid w:val="08EC1747"/>
    <w:rsid w:val="08F8134C"/>
    <w:rsid w:val="08FC69E3"/>
    <w:rsid w:val="09014C79"/>
    <w:rsid w:val="090A4A6A"/>
    <w:rsid w:val="091F26E2"/>
    <w:rsid w:val="09270DE8"/>
    <w:rsid w:val="09286544"/>
    <w:rsid w:val="092A604D"/>
    <w:rsid w:val="09301B4F"/>
    <w:rsid w:val="09312371"/>
    <w:rsid w:val="09376B41"/>
    <w:rsid w:val="09421FE2"/>
    <w:rsid w:val="09473E92"/>
    <w:rsid w:val="09496CE6"/>
    <w:rsid w:val="094A6CD2"/>
    <w:rsid w:val="094C5101"/>
    <w:rsid w:val="094F1804"/>
    <w:rsid w:val="09513983"/>
    <w:rsid w:val="09520E14"/>
    <w:rsid w:val="09546425"/>
    <w:rsid w:val="09565436"/>
    <w:rsid w:val="095733E7"/>
    <w:rsid w:val="095D1D11"/>
    <w:rsid w:val="095F2EB0"/>
    <w:rsid w:val="0965224F"/>
    <w:rsid w:val="096B7C53"/>
    <w:rsid w:val="096F369C"/>
    <w:rsid w:val="099C5BE8"/>
    <w:rsid w:val="09A5691D"/>
    <w:rsid w:val="09A635B1"/>
    <w:rsid w:val="09B256AE"/>
    <w:rsid w:val="09C64837"/>
    <w:rsid w:val="09D478DF"/>
    <w:rsid w:val="09D6248E"/>
    <w:rsid w:val="09DC23AD"/>
    <w:rsid w:val="09EA2105"/>
    <w:rsid w:val="09F25085"/>
    <w:rsid w:val="09F56A1E"/>
    <w:rsid w:val="09F57BBD"/>
    <w:rsid w:val="0A05572C"/>
    <w:rsid w:val="0A066698"/>
    <w:rsid w:val="0A077140"/>
    <w:rsid w:val="0A093E1A"/>
    <w:rsid w:val="0A13797F"/>
    <w:rsid w:val="0A2766B7"/>
    <w:rsid w:val="0A2A49C7"/>
    <w:rsid w:val="0A2B0109"/>
    <w:rsid w:val="0A556860"/>
    <w:rsid w:val="0A564792"/>
    <w:rsid w:val="0A6B6222"/>
    <w:rsid w:val="0A6E5095"/>
    <w:rsid w:val="0A7449FA"/>
    <w:rsid w:val="0A7A1B33"/>
    <w:rsid w:val="0A7C10EC"/>
    <w:rsid w:val="0A8000C8"/>
    <w:rsid w:val="0A9567C3"/>
    <w:rsid w:val="0A9636B5"/>
    <w:rsid w:val="0A967038"/>
    <w:rsid w:val="0A9A67CC"/>
    <w:rsid w:val="0AA837BF"/>
    <w:rsid w:val="0AA91CD5"/>
    <w:rsid w:val="0ABC5089"/>
    <w:rsid w:val="0ABE6EE8"/>
    <w:rsid w:val="0ACF546F"/>
    <w:rsid w:val="0ADD0325"/>
    <w:rsid w:val="0AE837D9"/>
    <w:rsid w:val="0AEB3731"/>
    <w:rsid w:val="0B011273"/>
    <w:rsid w:val="0B0E34EF"/>
    <w:rsid w:val="0B1816E9"/>
    <w:rsid w:val="0B1C3B94"/>
    <w:rsid w:val="0B22206B"/>
    <w:rsid w:val="0B2640BD"/>
    <w:rsid w:val="0B371A2F"/>
    <w:rsid w:val="0B393E11"/>
    <w:rsid w:val="0B3C6043"/>
    <w:rsid w:val="0B3E3AFA"/>
    <w:rsid w:val="0B400D9A"/>
    <w:rsid w:val="0B571424"/>
    <w:rsid w:val="0B6033E4"/>
    <w:rsid w:val="0B7028CB"/>
    <w:rsid w:val="0B852A77"/>
    <w:rsid w:val="0B8762D6"/>
    <w:rsid w:val="0B8F153D"/>
    <w:rsid w:val="0B9920BC"/>
    <w:rsid w:val="0BA749FE"/>
    <w:rsid w:val="0BAD668E"/>
    <w:rsid w:val="0BBA3A47"/>
    <w:rsid w:val="0BBA6E60"/>
    <w:rsid w:val="0BBC31C2"/>
    <w:rsid w:val="0BC17C1C"/>
    <w:rsid w:val="0BC42583"/>
    <w:rsid w:val="0BC45090"/>
    <w:rsid w:val="0BC9217A"/>
    <w:rsid w:val="0BCC2749"/>
    <w:rsid w:val="0BCD0937"/>
    <w:rsid w:val="0BCE4E88"/>
    <w:rsid w:val="0BD84F20"/>
    <w:rsid w:val="0BD97BE6"/>
    <w:rsid w:val="0BDB6A04"/>
    <w:rsid w:val="0BDD10FC"/>
    <w:rsid w:val="0BE25940"/>
    <w:rsid w:val="0BED2775"/>
    <w:rsid w:val="0BF82099"/>
    <w:rsid w:val="0BF97372"/>
    <w:rsid w:val="0C0C32AC"/>
    <w:rsid w:val="0C0F71C7"/>
    <w:rsid w:val="0C183B25"/>
    <w:rsid w:val="0C1A0608"/>
    <w:rsid w:val="0C2958E1"/>
    <w:rsid w:val="0C2D1872"/>
    <w:rsid w:val="0C3B2D04"/>
    <w:rsid w:val="0C4333CE"/>
    <w:rsid w:val="0C434BEB"/>
    <w:rsid w:val="0C475203"/>
    <w:rsid w:val="0C4A42DD"/>
    <w:rsid w:val="0C56327B"/>
    <w:rsid w:val="0C575E84"/>
    <w:rsid w:val="0C682814"/>
    <w:rsid w:val="0C6A4A7B"/>
    <w:rsid w:val="0C7055DD"/>
    <w:rsid w:val="0C706E4E"/>
    <w:rsid w:val="0C747B70"/>
    <w:rsid w:val="0C751B3D"/>
    <w:rsid w:val="0C7F3E0D"/>
    <w:rsid w:val="0C835A48"/>
    <w:rsid w:val="0C8C6097"/>
    <w:rsid w:val="0C914D49"/>
    <w:rsid w:val="0C9A7902"/>
    <w:rsid w:val="0CA21DAC"/>
    <w:rsid w:val="0CA268E9"/>
    <w:rsid w:val="0CAE31F4"/>
    <w:rsid w:val="0CB630EB"/>
    <w:rsid w:val="0CCA3955"/>
    <w:rsid w:val="0CD41033"/>
    <w:rsid w:val="0CDA5273"/>
    <w:rsid w:val="0CDE7165"/>
    <w:rsid w:val="0CE041A7"/>
    <w:rsid w:val="0CE17A4D"/>
    <w:rsid w:val="0CE96B24"/>
    <w:rsid w:val="0CEA175E"/>
    <w:rsid w:val="0CF176E8"/>
    <w:rsid w:val="0CF41713"/>
    <w:rsid w:val="0D171BAB"/>
    <w:rsid w:val="0D2A6377"/>
    <w:rsid w:val="0D2E781D"/>
    <w:rsid w:val="0D3716A6"/>
    <w:rsid w:val="0D3856CB"/>
    <w:rsid w:val="0D4010AD"/>
    <w:rsid w:val="0D475FD0"/>
    <w:rsid w:val="0D5869A7"/>
    <w:rsid w:val="0D7725E8"/>
    <w:rsid w:val="0D786A33"/>
    <w:rsid w:val="0D83590F"/>
    <w:rsid w:val="0D8E088A"/>
    <w:rsid w:val="0D8E21C9"/>
    <w:rsid w:val="0D9F6992"/>
    <w:rsid w:val="0DA44EC2"/>
    <w:rsid w:val="0DA85975"/>
    <w:rsid w:val="0DAB55FE"/>
    <w:rsid w:val="0DAF4280"/>
    <w:rsid w:val="0DBE2DC3"/>
    <w:rsid w:val="0DC04D85"/>
    <w:rsid w:val="0DC81C4F"/>
    <w:rsid w:val="0DDF6469"/>
    <w:rsid w:val="0DE92C28"/>
    <w:rsid w:val="0DED5CB5"/>
    <w:rsid w:val="0DF010E0"/>
    <w:rsid w:val="0DF644CF"/>
    <w:rsid w:val="0E0422E3"/>
    <w:rsid w:val="0E086A83"/>
    <w:rsid w:val="0E1B3E93"/>
    <w:rsid w:val="0E21430C"/>
    <w:rsid w:val="0E245572"/>
    <w:rsid w:val="0E34272F"/>
    <w:rsid w:val="0E3F352B"/>
    <w:rsid w:val="0E46737F"/>
    <w:rsid w:val="0E577D74"/>
    <w:rsid w:val="0E5805B7"/>
    <w:rsid w:val="0E5D16A2"/>
    <w:rsid w:val="0E6334B9"/>
    <w:rsid w:val="0E64703E"/>
    <w:rsid w:val="0E7143A2"/>
    <w:rsid w:val="0E7542A0"/>
    <w:rsid w:val="0E7A4CE2"/>
    <w:rsid w:val="0E8C657F"/>
    <w:rsid w:val="0E9D7ADA"/>
    <w:rsid w:val="0EA81262"/>
    <w:rsid w:val="0EB554F6"/>
    <w:rsid w:val="0EBC4133"/>
    <w:rsid w:val="0EC47A27"/>
    <w:rsid w:val="0ECD6747"/>
    <w:rsid w:val="0ED324E7"/>
    <w:rsid w:val="0ED658E5"/>
    <w:rsid w:val="0EE45A45"/>
    <w:rsid w:val="0EEA073C"/>
    <w:rsid w:val="0EF06560"/>
    <w:rsid w:val="0EF86CB8"/>
    <w:rsid w:val="0EFA7667"/>
    <w:rsid w:val="0EFD4B48"/>
    <w:rsid w:val="0F203C55"/>
    <w:rsid w:val="0F2E1147"/>
    <w:rsid w:val="0F2E692D"/>
    <w:rsid w:val="0F3023AE"/>
    <w:rsid w:val="0F333BD3"/>
    <w:rsid w:val="0F4358A7"/>
    <w:rsid w:val="0F4F75A9"/>
    <w:rsid w:val="0F5553FB"/>
    <w:rsid w:val="0F5A4287"/>
    <w:rsid w:val="0F5E2E7B"/>
    <w:rsid w:val="0F5F430B"/>
    <w:rsid w:val="0F6051E2"/>
    <w:rsid w:val="0F607F0E"/>
    <w:rsid w:val="0F6D25E8"/>
    <w:rsid w:val="0F7A6610"/>
    <w:rsid w:val="0F855B0D"/>
    <w:rsid w:val="0F8D294B"/>
    <w:rsid w:val="0F8D6C0B"/>
    <w:rsid w:val="0F9479D3"/>
    <w:rsid w:val="0F992246"/>
    <w:rsid w:val="0FAF4DE3"/>
    <w:rsid w:val="0FB757C2"/>
    <w:rsid w:val="0FBD0EC6"/>
    <w:rsid w:val="0FC04798"/>
    <w:rsid w:val="0FD6110D"/>
    <w:rsid w:val="0FDA54BC"/>
    <w:rsid w:val="0FEC1CE9"/>
    <w:rsid w:val="0FEC1D10"/>
    <w:rsid w:val="0FF67576"/>
    <w:rsid w:val="0FF902AD"/>
    <w:rsid w:val="10081E6D"/>
    <w:rsid w:val="100B3B4A"/>
    <w:rsid w:val="100E3A77"/>
    <w:rsid w:val="10184299"/>
    <w:rsid w:val="101E7929"/>
    <w:rsid w:val="102719F8"/>
    <w:rsid w:val="103706D8"/>
    <w:rsid w:val="10451378"/>
    <w:rsid w:val="1048247B"/>
    <w:rsid w:val="10594368"/>
    <w:rsid w:val="105E2FC9"/>
    <w:rsid w:val="10722BCA"/>
    <w:rsid w:val="107D4F44"/>
    <w:rsid w:val="108166F7"/>
    <w:rsid w:val="10871CDD"/>
    <w:rsid w:val="10894825"/>
    <w:rsid w:val="108B4D1D"/>
    <w:rsid w:val="108F4B64"/>
    <w:rsid w:val="109022F8"/>
    <w:rsid w:val="10960E26"/>
    <w:rsid w:val="109D79E8"/>
    <w:rsid w:val="10A654B6"/>
    <w:rsid w:val="10A83A33"/>
    <w:rsid w:val="10A945F4"/>
    <w:rsid w:val="10BD5C09"/>
    <w:rsid w:val="10BE78BE"/>
    <w:rsid w:val="10C664A7"/>
    <w:rsid w:val="10C81A80"/>
    <w:rsid w:val="10D80961"/>
    <w:rsid w:val="10D84BB2"/>
    <w:rsid w:val="10E55ACF"/>
    <w:rsid w:val="10ED705E"/>
    <w:rsid w:val="10FF1570"/>
    <w:rsid w:val="10FF7721"/>
    <w:rsid w:val="1101035E"/>
    <w:rsid w:val="11072F1A"/>
    <w:rsid w:val="110C25A3"/>
    <w:rsid w:val="111B64DD"/>
    <w:rsid w:val="111F0D72"/>
    <w:rsid w:val="1124174C"/>
    <w:rsid w:val="112B0EFD"/>
    <w:rsid w:val="113532CD"/>
    <w:rsid w:val="113E77D4"/>
    <w:rsid w:val="114B0BD6"/>
    <w:rsid w:val="114C1CCD"/>
    <w:rsid w:val="11580FA1"/>
    <w:rsid w:val="11717114"/>
    <w:rsid w:val="117307CF"/>
    <w:rsid w:val="117355F9"/>
    <w:rsid w:val="1180289C"/>
    <w:rsid w:val="11A7265A"/>
    <w:rsid w:val="11A90132"/>
    <w:rsid w:val="11AE50AD"/>
    <w:rsid w:val="11AF597F"/>
    <w:rsid w:val="11BA7693"/>
    <w:rsid w:val="11C06C50"/>
    <w:rsid w:val="11CA72EF"/>
    <w:rsid w:val="11CC7456"/>
    <w:rsid w:val="11DA2D2F"/>
    <w:rsid w:val="11DC70FC"/>
    <w:rsid w:val="11DF7049"/>
    <w:rsid w:val="11E12487"/>
    <w:rsid w:val="11EF178C"/>
    <w:rsid w:val="11F3184C"/>
    <w:rsid w:val="11F62C74"/>
    <w:rsid w:val="11F6483A"/>
    <w:rsid w:val="12033E9F"/>
    <w:rsid w:val="12033F91"/>
    <w:rsid w:val="12092C6B"/>
    <w:rsid w:val="120A7556"/>
    <w:rsid w:val="120F07B3"/>
    <w:rsid w:val="121700F0"/>
    <w:rsid w:val="12174DED"/>
    <w:rsid w:val="122347FC"/>
    <w:rsid w:val="122359F4"/>
    <w:rsid w:val="12261F55"/>
    <w:rsid w:val="123212B1"/>
    <w:rsid w:val="124706EB"/>
    <w:rsid w:val="124E39EB"/>
    <w:rsid w:val="125D33A6"/>
    <w:rsid w:val="12682F27"/>
    <w:rsid w:val="12712DBC"/>
    <w:rsid w:val="127B15E0"/>
    <w:rsid w:val="128B5E58"/>
    <w:rsid w:val="129C2721"/>
    <w:rsid w:val="12A173C6"/>
    <w:rsid w:val="12A2089F"/>
    <w:rsid w:val="12A574E4"/>
    <w:rsid w:val="12A65694"/>
    <w:rsid w:val="12AA1FCD"/>
    <w:rsid w:val="12AE43AB"/>
    <w:rsid w:val="12BB0647"/>
    <w:rsid w:val="12C36107"/>
    <w:rsid w:val="12C72579"/>
    <w:rsid w:val="12CD02E4"/>
    <w:rsid w:val="12CD0B79"/>
    <w:rsid w:val="12D614DA"/>
    <w:rsid w:val="12D93B56"/>
    <w:rsid w:val="12EB22F1"/>
    <w:rsid w:val="12F86CEF"/>
    <w:rsid w:val="12FF3FAC"/>
    <w:rsid w:val="13050AED"/>
    <w:rsid w:val="13077E39"/>
    <w:rsid w:val="130A5042"/>
    <w:rsid w:val="130C0567"/>
    <w:rsid w:val="130D5EF4"/>
    <w:rsid w:val="131806E8"/>
    <w:rsid w:val="13180E81"/>
    <w:rsid w:val="131B76BF"/>
    <w:rsid w:val="131E5A54"/>
    <w:rsid w:val="132666FE"/>
    <w:rsid w:val="132B2FAA"/>
    <w:rsid w:val="13300B4F"/>
    <w:rsid w:val="13302AD6"/>
    <w:rsid w:val="13352C51"/>
    <w:rsid w:val="1335521D"/>
    <w:rsid w:val="133A3D80"/>
    <w:rsid w:val="134C1E93"/>
    <w:rsid w:val="134E0FBA"/>
    <w:rsid w:val="135C54E2"/>
    <w:rsid w:val="136006AB"/>
    <w:rsid w:val="136C4388"/>
    <w:rsid w:val="137B2262"/>
    <w:rsid w:val="1387393B"/>
    <w:rsid w:val="138D7FB7"/>
    <w:rsid w:val="139307A7"/>
    <w:rsid w:val="139E24CA"/>
    <w:rsid w:val="13CA764E"/>
    <w:rsid w:val="13D85728"/>
    <w:rsid w:val="13DA0421"/>
    <w:rsid w:val="13E575F5"/>
    <w:rsid w:val="13EC1236"/>
    <w:rsid w:val="13F628A9"/>
    <w:rsid w:val="13FF11B0"/>
    <w:rsid w:val="14005205"/>
    <w:rsid w:val="1404363E"/>
    <w:rsid w:val="14113CC3"/>
    <w:rsid w:val="14172C63"/>
    <w:rsid w:val="14186DED"/>
    <w:rsid w:val="1424201B"/>
    <w:rsid w:val="14287802"/>
    <w:rsid w:val="142B455C"/>
    <w:rsid w:val="142D20C9"/>
    <w:rsid w:val="14310562"/>
    <w:rsid w:val="143E1E92"/>
    <w:rsid w:val="1448144E"/>
    <w:rsid w:val="144C52DA"/>
    <w:rsid w:val="14572526"/>
    <w:rsid w:val="14600F3D"/>
    <w:rsid w:val="1463094C"/>
    <w:rsid w:val="14636207"/>
    <w:rsid w:val="146E4979"/>
    <w:rsid w:val="147015CE"/>
    <w:rsid w:val="14705B06"/>
    <w:rsid w:val="148964D2"/>
    <w:rsid w:val="149C0447"/>
    <w:rsid w:val="149F349B"/>
    <w:rsid w:val="14A43C64"/>
    <w:rsid w:val="14A75D6E"/>
    <w:rsid w:val="14A93DFD"/>
    <w:rsid w:val="14AE709E"/>
    <w:rsid w:val="14AF3399"/>
    <w:rsid w:val="14B54A06"/>
    <w:rsid w:val="14C1517A"/>
    <w:rsid w:val="14C46036"/>
    <w:rsid w:val="14C95F28"/>
    <w:rsid w:val="14CA7A3B"/>
    <w:rsid w:val="14D83477"/>
    <w:rsid w:val="14E51EF4"/>
    <w:rsid w:val="14F07FF2"/>
    <w:rsid w:val="14F1597F"/>
    <w:rsid w:val="14F56A4A"/>
    <w:rsid w:val="14F6254D"/>
    <w:rsid w:val="14F67A40"/>
    <w:rsid w:val="150074C4"/>
    <w:rsid w:val="15012C7B"/>
    <w:rsid w:val="1502609F"/>
    <w:rsid w:val="1509116B"/>
    <w:rsid w:val="150C2883"/>
    <w:rsid w:val="150E365F"/>
    <w:rsid w:val="15144CBD"/>
    <w:rsid w:val="151625EC"/>
    <w:rsid w:val="151B2925"/>
    <w:rsid w:val="151C0B37"/>
    <w:rsid w:val="152A50C1"/>
    <w:rsid w:val="15324A69"/>
    <w:rsid w:val="15390394"/>
    <w:rsid w:val="15432790"/>
    <w:rsid w:val="15513F6E"/>
    <w:rsid w:val="15641ED2"/>
    <w:rsid w:val="156C71A8"/>
    <w:rsid w:val="15736F2A"/>
    <w:rsid w:val="157D2FF2"/>
    <w:rsid w:val="15833B89"/>
    <w:rsid w:val="158877FC"/>
    <w:rsid w:val="1592405F"/>
    <w:rsid w:val="159B190B"/>
    <w:rsid w:val="15A15127"/>
    <w:rsid w:val="15B650F5"/>
    <w:rsid w:val="15BC1645"/>
    <w:rsid w:val="15BE493E"/>
    <w:rsid w:val="15CB6368"/>
    <w:rsid w:val="15CF287D"/>
    <w:rsid w:val="15D0424F"/>
    <w:rsid w:val="15D51921"/>
    <w:rsid w:val="15D61CC0"/>
    <w:rsid w:val="15D82C35"/>
    <w:rsid w:val="15DB5F39"/>
    <w:rsid w:val="15E24378"/>
    <w:rsid w:val="15E65D5D"/>
    <w:rsid w:val="15F26272"/>
    <w:rsid w:val="15F96CAC"/>
    <w:rsid w:val="16003EBB"/>
    <w:rsid w:val="1602211B"/>
    <w:rsid w:val="160A56C6"/>
    <w:rsid w:val="16117820"/>
    <w:rsid w:val="16143E55"/>
    <w:rsid w:val="16160F6A"/>
    <w:rsid w:val="16181F63"/>
    <w:rsid w:val="161E0919"/>
    <w:rsid w:val="16213F84"/>
    <w:rsid w:val="162A2C97"/>
    <w:rsid w:val="162C4EF6"/>
    <w:rsid w:val="163068BB"/>
    <w:rsid w:val="16312A12"/>
    <w:rsid w:val="163D2691"/>
    <w:rsid w:val="164A3C03"/>
    <w:rsid w:val="16576FFF"/>
    <w:rsid w:val="166E5447"/>
    <w:rsid w:val="167B1FA5"/>
    <w:rsid w:val="167D5A4F"/>
    <w:rsid w:val="167D5C8B"/>
    <w:rsid w:val="167D5D73"/>
    <w:rsid w:val="16827E0D"/>
    <w:rsid w:val="16942708"/>
    <w:rsid w:val="169A44F1"/>
    <w:rsid w:val="16AD2A96"/>
    <w:rsid w:val="16B9680F"/>
    <w:rsid w:val="16C021F8"/>
    <w:rsid w:val="16C51A1F"/>
    <w:rsid w:val="16C52BE5"/>
    <w:rsid w:val="16D769AB"/>
    <w:rsid w:val="16E04894"/>
    <w:rsid w:val="16FD5A0C"/>
    <w:rsid w:val="16FD7E1E"/>
    <w:rsid w:val="16FF5248"/>
    <w:rsid w:val="17011880"/>
    <w:rsid w:val="1707488A"/>
    <w:rsid w:val="17093D7D"/>
    <w:rsid w:val="170D1C6C"/>
    <w:rsid w:val="17185E43"/>
    <w:rsid w:val="171A746E"/>
    <w:rsid w:val="171C7BD2"/>
    <w:rsid w:val="171E28E6"/>
    <w:rsid w:val="17205824"/>
    <w:rsid w:val="17224EDE"/>
    <w:rsid w:val="1724329B"/>
    <w:rsid w:val="172474C1"/>
    <w:rsid w:val="17360383"/>
    <w:rsid w:val="17432D6B"/>
    <w:rsid w:val="17580BCA"/>
    <w:rsid w:val="175D213E"/>
    <w:rsid w:val="176161EF"/>
    <w:rsid w:val="1764447F"/>
    <w:rsid w:val="17665D05"/>
    <w:rsid w:val="177032FA"/>
    <w:rsid w:val="17767F07"/>
    <w:rsid w:val="178E023F"/>
    <w:rsid w:val="178F6A13"/>
    <w:rsid w:val="17A46455"/>
    <w:rsid w:val="17A967CF"/>
    <w:rsid w:val="17AA4E4E"/>
    <w:rsid w:val="17AD79F1"/>
    <w:rsid w:val="17B513B1"/>
    <w:rsid w:val="17BA6F24"/>
    <w:rsid w:val="17D5127C"/>
    <w:rsid w:val="17DB41FD"/>
    <w:rsid w:val="17EE1F12"/>
    <w:rsid w:val="18087F07"/>
    <w:rsid w:val="180A7BFE"/>
    <w:rsid w:val="180C16BE"/>
    <w:rsid w:val="181B60D9"/>
    <w:rsid w:val="181F5100"/>
    <w:rsid w:val="182320B0"/>
    <w:rsid w:val="1825474B"/>
    <w:rsid w:val="183423A1"/>
    <w:rsid w:val="18453FC9"/>
    <w:rsid w:val="184975A7"/>
    <w:rsid w:val="184E23F7"/>
    <w:rsid w:val="18501CDC"/>
    <w:rsid w:val="185B0C66"/>
    <w:rsid w:val="185B3AA3"/>
    <w:rsid w:val="185D2622"/>
    <w:rsid w:val="186E4C91"/>
    <w:rsid w:val="186E7D6B"/>
    <w:rsid w:val="18747453"/>
    <w:rsid w:val="18840ED6"/>
    <w:rsid w:val="18862EF4"/>
    <w:rsid w:val="1895169E"/>
    <w:rsid w:val="189665E0"/>
    <w:rsid w:val="18A93AA9"/>
    <w:rsid w:val="18BA2D76"/>
    <w:rsid w:val="18C979DE"/>
    <w:rsid w:val="18D87F02"/>
    <w:rsid w:val="18DC25C3"/>
    <w:rsid w:val="18DF73B3"/>
    <w:rsid w:val="18E070E4"/>
    <w:rsid w:val="18E44789"/>
    <w:rsid w:val="18FD0A35"/>
    <w:rsid w:val="1915052B"/>
    <w:rsid w:val="191E5048"/>
    <w:rsid w:val="1934698E"/>
    <w:rsid w:val="1942617C"/>
    <w:rsid w:val="19466537"/>
    <w:rsid w:val="19517ECB"/>
    <w:rsid w:val="196064FA"/>
    <w:rsid w:val="196B760C"/>
    <w:rsid w:val="196C4D5C"/>
    <w:rsid w:val="19746251"/>
    <w:rsid w:val="197719EE"/>
    <w:rsid w:val="197A1330"/>
    <w:rsid w:val="197C0C76"/>
    <w:rsid w:val="197E1AF9"/>
    <w:rsid w:val="198669E6"/>
    <w:rsid w:val="19942C88"/>
    <w:rsid w:val="1999328D"/>
    <w:rsid w:val="199A3F2C"/>
    <w:rsid w:val="19A617B4"/>
    <w:rsid w:val="19A922D2"/>
    <w:rsid w:val="19A94838"/>
    <w:rsid w:val="19AC1F87"/>
    <w:rsid w:val="19B14AEA"/>
    <w:rsid w:val="19BE0767"/>
    <w:rsid w:val="19BF02B8"/>
    <w:rsid w:val="19C702F8"/>
    <w:rsid w:val="19CA6EB2"/>
    <w:rsid w:val="19CC727D"/>
    <w:rsid w:val="19D73138"/>
    <w:rsid w:val="19D92726"/>
    <w:rsid w:val="19DC06D0"/>
    <w:rsid w:val="19DF2A9B"/>
    <w:rsid w:val="19DF3D8E"/>
    <w:rsid w:val="19E14B66"/>
    <w:rsid w:val="19E25E4D"/>
    <w:rsid w:val="19EA47AB"/>
    <w:rsid w:val="19F026DD"/>
    <w:rsid w:val="19F05152"/>
    <w:rsid w:val="19F1444F"/>
    <w:rsid w:val="1A003650"/>
    <w:rsid w:val="1A043415"/>
    <w:rsid w:val="1A070118"/>
    <w:rsid w:val="1A075651"/>
    <w:rsid w:val="1A077D2F"/>
    <w:rsid w:val="1A0A219E"/>
    <w:rsid w:val="1A1B7FE1"/>
    <w:rsid w:val="1A236969"/>
    <w:rsid w:val="1A286F60"/>
    <w:rsid w:val="1A2C7A02"/>
    <w:rsid w:val="1A2D0203"/>
    <w:rsid w:val="1A2D3EDE"/>
    <w:rsid w:val="1A3934F4"/>
    <w:rsid w:val="1A3E65EE"/>
    <w:rsid w:val="1A413381"/>
    <w:rsid w:val="1A472610"/>
    <w:rsid w:val="1A520FBE"/>
    <w:rsid w:val="1A5333FC"/>
    <w:rsid w:val="1A6F58ED"/>
    <w:rsid w:val="1A7275D5"/>
    <w:rsid w:val="1A7B02F1"/>
    <w:rsid w:val="1A970818"/>
    <w:rsid w:val="1AAB4CA1"/>
    <w:rsid w:val="1AB00ACD"/>
    <w:rsid w:val="1AB77CCA"/>
    <w:rsid w:val="1ABC53BD"/>
    <w:rsid w:val="1AC90C8B"/>
    <w:rsid w:val="1ADB2D37"/>
    <w:rsid w:val="1AE47673"/>
    <w:rsid w:val="1B003112"/>
    <w:rsid w:val="1B0623C3"/>
    <w:rsid w:val="1B0F3F68"/>
    <w:rsid w:val="1B103D73"/>
    <w:rsid w:val="1B163DFC"/>
    <w:rsid w:val="1B196291"/>
    <w:rsid w:val="1B21144F"/>
    <w:rsid w:val="1B280851"/>
    <w:rsid w:val="1B2E1013"/>
    <w:rsid w:val="1B381912"/>
    <w:rsid w:val="1B395568"/>
    <w:rsid w:val="1B407834"/>
    <w:rsid w:val="1B41572D"/>
    <w:rsid w:val="1B4D47DE"/>
    <w:rsid w:val="1B4F421C"/>
    <w:rsid w:val="1B5A755A"/>
    <w:rsid w:val="1B5D0A87"/>
    <w:rsid w:val="1B636547"/>
    <w:rsid w:val="1B642B83"/>
    <w:rsid w:val="1B647EDE"/>
    <w:rsid w:val="1B8077C0"/>
    <w:rsid w:val="1B83432E"/>
    <w:rsid w:val="1B851B28"/>
    <w:rsid w:val="1B8C7593"/>
    <w:rsid w:val="1B933924"/>
    <w:rsid w:val="1B9C1EC6"/>
    <w:rsid w:val="1BA17139"/>
    <w:rsid w:val="1BA23DC4"/>
    <w:rsid w:val="1BA609FB"/>
    <w:rsid w:val="1BB11F4C"/>
    <w:rsid w:val="1BBC1CA7"/>
    <w:rsid w:val="1BC2223F"/>
    <w:rsid w:val="1BC629DE"/>
    <w:rsid w:val="1BD8142C"/>
    <w:rsid w:val="1BDE4BA6"/>
    <w:rsid w:val="1BE54402"/>
    <w:rsid w:val="1BEE404E"/>
    <w:rsid w:val="1BF7443D"/>
    <w:rsid w:val="1C0217DF"/>
    <w:rsid w:val="1C05092F"/>
    <w:rsid w:val="1C067C67"/>
    <w:rsid w:val="1C09172E"/>
    <w:rsid w:val="1C2928C2"/>
    <w:rsid w:val="1C3D0B0F"/>
    <w:rsid w:val="1C3F6712"/>
    <w:rsid w:val="1C451740"/>
    <w:rsid w:val="1C457937"/>
    <w:rsid w:val="1C48310E"/>
    <w:rsid w:val="1C4F1C5B"/>
    <w:rsid w:val="1C516CD2"/>
    <w:rsid w:val="1C5262DB"/>
    <w:rsid w:val="1C571AA0"/>
    <w:rsid w:val="1C5A442F"/>
    <w:rsid w:val="1C5C1A83"/>
    <w:rsid w:val="1C5E383E"/>
    <w:rsid w:val="1C644DB1"/>
    <w:rsid w:val="1C7E51D8"/>
    <w:rsid w:val="1C867971"/>
    <w:rsid w:val="1C89419D"/>
    <w:rsid w:val="1C8A28C2"/>
    <w:rsid w:val="1C9B14B0"/>
    <w:rsid w:val="1C9B637D"/>
    <w:rsid w:val="1CA40C0C"/>
    <w:rsid w:val="1CB21A4B"/>
    <w:rsid w:val="1CB74949"/>
    <w:rsid w:val="1CB81D96"/>
    <w:rsid w:val="1CD5683F"/>
    <w:rsid w:val="1CE269B3"/>
    <w:rsid w:val="1CE26D9F"/>
    <w:rsid w:val="1CEB499E"/>
    <w:rsid w:val="1CFF1ABF"/>
    <w:rsid w:val="1D0B60B4"/>
    <w:rsid w:val="1D190072"/>
    <w:rsid w:val="1D1B1C2D"/>
    <w:rsid w:val="1D1C51E9"/>
    <w:rsid w:val="1D231173"/>
    <w:rsid w:val="1D262960"/>
    <w:rsid w:val="1D2D0597"/>
    <w:rsid w:val="1D33777C"/>
    <w:rsid w:val="1D366EE8"/>
    <w:rsid w:val="1D370EF1"/>
    <w:rsid w:val="1D3D0649"/>
    <w:rsid w:val="1D3F04E6"/>
    <w:rsid w:val="1D3F1422"/>
    <w:rsid w:val="1D40154F"/>
    <w:rsid w:val="1D403285"/>
    <w:rsid w:val="1D4B5569"/>
    <w:rsid w:val="1D4D7618"/>
    <w:rsid w:val="1D4F048A"/>
    <w:rsid w:val="1D512826"/>
    <w:rsid w:val="1D5178E6"/>
    <w:rsid w:val="1D526622"/>
    <w:rsid w:val="1D5B5D2C"/>
    <w:rsid w:val="1D5C0434"/>
    <w:rsid w:val="1D622FF7"/>
    <w:rsid w:val="1D630BCC"/>
    <w:rsid w:val="1D693F29"/>
    <w:rsid w:val="1D740786"/>
    <w:rsid w:val="1D7615C4"/>
    <w:rsid w:val="1D7A37DB"/>
    <w:rsid w:val="1D7D6734"/>
    <w:rsid w:val="1D8B3A5B"/>
    <w:rsid w:val="1D8C2B34"/>
    <w:rsid w:val="1D8F06D0"/>
    <w:rsid w:val="1D94798E"/>
    <w:rsid w:val="1D9D6FF3"/>
    <w:rsid w:val="1D9F31B9"/>
    <w:rsid w:val="1DA23388"/>
    <w:rsid w:val="1DAD6BC5"/>
    <w:rsid w:val="1DB06535"/>
    <w:rsid w:val="1DB54174"/>
    <w:rsid w:val="1DB97D04"/>
    <w:rsid w:val="1DCE1814"/>
    <w:rsid w:val="1DED2DDA"/>
    <w:rsid w:val="1DF72EE2"/>
    <w:rsid w:val="1E117340"/>
    <w:rsid w:val="1E120BA4"/>
    <w:rsid w:val="1E15341A"/>
    <w:rsid w:val="1E194B86"/>
    <w:rsid w:val="1E1A5164"/>
    <w:rsid w:val="1E253B42"/>
    <w:rsid w:val="1E277F02"/>
    <w:rsid w:val="1E2834F7"/>
    <w:rsid w:val="1E3A163E"/>
    <w:rsid w:val="1E3A526C"/>
    <w:rsid w:val="1E3C4E01"/>
    <w:rsid w:val="1E494532"/>
    <w:rsid w:val="1E593CF9"/>
    <w:rsid w:val="1E7926B6"/>
    <w:rsid w:val="1E8D444A"/>
    <w:rsid w:val="1E96045A"/>
    <w:rsid w:val="1E9B4EB2"/>
    <w:rsid w:val="1E9C27FC"/>
    <w:rsid w:val="1EAF7347"/>
    <w:rsid w:val="1EB47F54"/>
    <w:rsid w:val="1EB708DB"/>
    <w:rsid w:val="1EBC4004"/>
    <w:rsid w:val="1EC31262"/>
    <w:rsid w:val="1ED6778D"/>
    <w:rsid w:val="1ED726B4"/>
    <w:rsid w:val="1EDE53E2"/>
    <w:rsid w:val="1EEC0E77"/>
    <w:rsid w:val="1EF23B0D"/>
    <w:rsid w:val="1EFB559C"/>
    <w:rsid w:val="1F0F09DB"/>
    <w:rsid w:val="1F2150C9"/>
    <w:rsid w:val="1F237235"/>
    <w:rsid w:val="1F2B4A12"/>
    <w:rsid w:val="1F355966"/>
    <w:rsid w:val="1F3C3877"/>
    <w:rsid w:val="1F3D3C30"/>
    <w:rsid w:val="1F4515B2"/>
    <w:rsid w:val="1F483C21"/>
    <w:rsid w:val="1F4B0BE5"/>
    <w:rsid w:val="1F4F388C"/>
    <w:rsid w:val="1F51767D"/>
    <w:rsid w:val="1F532DA6"/>
    <w:rsid w:val="1F551B6E"/>
    <w:rsid w:val="1F594420"/>
    <w:rsid w:val="1F5B0B02"/>
    <w:rsid w:val="1F705077"/>
    <w:rsid w:val="1F862CF3"/>
    <w:rsid w:val="1F886FA7"/>
    <w:rsid w:val="1FA96E4C"/>
    <w:rsid w:val="1FAC017C"/>
    <w:rsid w:val="1FBC37D3"/>
    <w:rsid w:val="1FD11518"/>
    <w:rsid w:val="1FD2380D"/>
    <w:rsid w:val="1FD61F23"/>
    <w:rsid w:val="1FE16E27"/>
    <w:rsid w:val="1FED417F"/>
    <w:rsid w:val="1FF26B3D"/>
    <w:rsid w:val="2003339F"/>
    <w:rsid w:val="2009302C"/>
    <w:rsid w:val="200A7B67"/>
    <w:rsid w:val="201B23DD"/>
    <w:rsid w:val="20277313"/>
    <w:rsid w:val="20283FFD"/>
    <w:rsid w:val="202F4199"/>
    <w:rsid w:val="203D30AE"/>
    <w:rsid w:val="20454486"/>
    <w:rsid w:val="204E212C"/>
    <w:rsid w:val="20504CBF"/>
    <w:rsid w:val="2054026E"/>
    <w:rsid w:val="2068778A"/>
    <w:rsid w:val="206A0005"/>
    <w:rsid w:val="20762E71"/>
    <w:rsid w:val="207748CC"/>
    <w:rsid w:val="208438ED"/>
    <w:rsid w:val="20903E4E"/>
    <w:rsid w:val="20906B7D"/>
    <w:rsid w:val="20933A06"/>
    <w:rsid w:val="20997A75"/>
    <w:rsid w:val="209D22B4"/>
    <w:rsid w:val="20A769E0"/>
    <w:rsid w:val="20AC309F"/>
    <w:rsid w:val="20AE53E1"/>
    <w:rsid w:val="20B547ED"/>
    <w:rsid w:val="20B91AD5"/>
    <w:rsid w:val="20C427B9"/>
    <w:rsid w:val="20C6209A"/>
    <w:rsid w:val="20D72CF6"/>
    <w:rsid w:val="20E03174"/>
    <w:rsid w:val="20E51585"/>
    <w:rsid w:val="20F32260"/>
    <w:rsid w:val="20F625EA"/>
    <w:rsid w:val="20FB43F0"/>
    <w:rsid w:val="20FB676C"/>
    <w:rsid w:val="21041ECB"/>
    <w:rsid w:val="210469CC"/>
    <w:rsid w:val="21094289"/>
    <w:rsid w:val="211C2204"/>
    <w:rsid w:val="211D2484"/>
    <w:rsid w:val="211E0459"/>
    <w:rsid w:val="21286EB3"/>
    <w:rsid w:val="212B5888"/>
    <w:rsid w:val="212C68D7"/>
    <w:rsid w:val="21345203"/>
    <w:rsid w:val="213D7C4C"/>
    <w:rsid w:val="214510F2"/>
    <w:rsid w:val="21453080"/>
    <w:rsid w:val="21497810"/>
    <w:rsid w:val="214B381F"/>
    <w:rsid w:val="215D7191"/>
    <w:rsid w:val="215E768F"/>
    <w:rsid w:val="21641DE3"/>
    <w:rsid w:val="216D4D6D"/>
    <w:rsid w:val="217312AC"/>
    <w:rsid w:val="21776B0B"/>
    <w:rsid w:val="21824410"/>
    <w:rsid w:val="21867929"/>
    <w:rsid w:val="2189144E"/>
    <w:rsid w:val="218E592C"/>
    <w:rsid w:val="219042DA"/>
    <w:rsid w:val="21A1172D"/>
    <w:rsid w:val="21B47F5B"/>
    <w:rsid w:val="21CF7C99"/>
    <w:rsid w:val="21DD13F3"/>
    <w:rsid w:val="21E430F3"/>
    <w:rsid w:val="21FC6010"/>
    <w:rsid w:val="21FF4DEE"/>
    <w:rsid w:val="22053222"/>
    <w:rsid w:val="220A13C1"/>
    <w:rsid w:val="220E4723"/>
    <w:rsid w:val="220F4F05"/>
    <w:rsid w:val="22182848"/>
    <w:rsid w:val="222022F7"/>
    <w:rsid w:val="22250A28"/>
    <w:rsid w:val="222B17CD"/>
    <w:rsid w:val="222B325A"/>
    <w:rsid w:val="22391127"/>
    <w:rsid w:val="223F530F"/>
    <w:rsid w:val="224730F4"/>
    <w:rsid w:val="22497DDC"/>
    <w:rsid w:val="224A6C26"/>
    <w:rsid w:val="22510BCD"/>
    <w:rsid w:val="22515C9C"/>
    <w:rsid w:val="22590B38"/>
    <w:rsid w:val="225B5E61"/>
    <w:rsid w:val="22605358"/>
    <w:rsid w:val="2269733C"/>
    <w:rsid w:val="226B0C37"/>
    <w:rsid w:val="22860EFB"/>
    <w:rsid w:val="22894F6C"/>
    <w:rsid w:val="229E5EF6"/>
    <w:rsid w:val="229F2CD8"/>
    <w:rsid w:val="22A0665F"/>
    <w:rsid w:val="22A81E9B"/>
    <w:rsid w:val="22AB0BE3"/>
    <w:rsid w:val="22B928E2"/>
    <w:rsid w:val="22BB710D"/>
    <w:rsid w:val="22C84B1C"/>
    <w:rsid w:val="22C93320"/>
    <w:rsid w:val="22D00A05"/>
    <w:rsid w:val="22DE308D"/>
    <w:rsid w:val="22DF700B"/>
    <w:rsid w:val="22ED6513"/>
    <w:rsid w:val="22F42780"/>
    <w:rsid w:val="22F94608"/>
    <w:rsid w:val="23084994"/>
    <w:rsid w:val="230C3BF2"/>
    <w:rsid w:val="230D44B2"/>
    <w:rsid w:val="231112A1"/>
    <w:rsid w:val="23153D73"/>
    <w:rsid w:val="23294DA4"/>
    <w:rsid w:val="232A31F4"/>
    <w:rsid w:val="232B3028"/>
    <w:rsid w:val="23324B43"/>
    <w:rsid w:val="23353927"/>
    <w:rsid w:val="233A0D56"/>
    <w:rsid w:val="233B7F84"/>
    <w:rsid w:val="23467365"/>
    <w:rsid w:val="234811EC"/>
    <w:rsid w:val="234E5292"/>
    <w:rsid w:val="23523288"/>
    <w:rsid w:val="235424EC"/>
    <w:rsid w:val="236C4C45"/>
    <w:rsid w:val="236F00CF"/>
    <w:rsid w:val="2371781E"/>
    <w:rsid w:val="23787EBC"/>
    <w:rsid w:val="237E2346"/>
    <w:rsid w:val="237F1892"/>
    <w:rsid w:val="23830BF6"/>
    <w:rsid w:val="2391337B"/>
    <w:rsid w:val="239D00EF"/>
    <w:rsid w:val="239F199E"/>
    <w:rsid w:val="23A07C85"/>
    <w:rsid w:val="23AA6630"/>
    <w:rsid w:val="23AB52C0"/>
    <w:rsid w:val="23AF2C1D"/>
    <w:rsid w:val="23B238A1"/>
    <w:rsid w:val="23B82958"/>
    <w:rsid w:val="23BF0A67"/>
    <w:rsid w:val="23C63FC5"/>
    <w:rsid w:val="23D10C83"/>
    <w:rsid w:val="23E21C4E"/>
    <w:rsid w:val="23E34485"/>
    <w:rsid w:val="240F218E"/>
    <w:rsid w:val="24120D92"/>
    <w:rsid w:val="241847E6"/>
    <w:rsid w:val="241B793F"/>
    <w:rsid w:val="241D0382"/>
    <w:rsid w:val="2427539E"/>
    <w:rsid w:val="242E4DF4"/>
    <w:rsid w:val="24332B4D"/>
    <w:rsid w:val="243A6FB9"/>
    <w:rsid w:val="24461561"/>
    <w:rsid w:val="24465E7F"/>
    <w:rsid w:val="2464719D"/>
    <w:rsid w:val="246D5534"/>
    <w:rsid w:val="24762209"/>
    <w:rsid w:val="24773CE6"/>
    <w:rsid w:val="247A68DB"/>
    <w:rsid w:val="24812CAC"/>
    <w:rsid w:val="24977505"/>
    <w:rsid w:val="24A26D93"/>
    <w:rsid w:val="24A310A6"/>
    <w:rsid w:val="24A90781"/>
    <w:rsid w:val="24A94685"/>
    <w:rsid w:val="24BA7B31"/>
    <w:rsid w:val="24C56B1E"/>
    <w:rsid w:val="24CA4072"/>
    <w:rsid w:val="24CF1893"/>
    <w:rsid w:val="24D75DE1"/>
    <w:rsid w:val="24DB08E9"/>
    <w:rsid w:val="24E203FF"/>
    <w:rsid w:val="24EA2E16"/>
    <w:rsid w:val="24FD6E00"/>
    <w:rsid w:val="25007C4D"/>
    <w:rsid w:val="250410B4"/>
    <w:rsid w:val="25066490"/>
    <w:rsid w:val="25081631"/>
    <w:rsid w:val="25085A2D"/>
    <w:rsid w:val="25095FB4"/>
    <w:rsid w:val="25125B70"/>
    <w:rsid w:val="25142268"/>
    <w:rsid w:val="251A55CA"/>
    <w:rsid w:val="251B0537"/>
    <w:rsid w:val="251C72FE"/>
    <w:rsid w:val="253007AC"/>
    <w:rsid w:val="253C30F9"/>
    <w:rsid w:val="254D3444"/>
    <w:rsid w:val="254E38B7"/>
    <w:rsid w:val="255327A8"/>
    <w:rsid w:val="255C4A4F"/>
    <w:rsid w:val="25615CD6"/>
    <w:rsid w:val="2577795C"/>
    <w:rsid w:val="25787DC6"/>
    <w:rsid w:val="25822169"/>
    <w:rsid w:val="258348C9"/>
    <w:rsid w:val="2585266E"/>
    <w:rsid w:val="25857D51"/>
    <w:rsid w:val="25921CA4"/>
    <w:rsid w:val="25947996"/>
    <w:rsid w:val="259F531F"/>
    <w:rsid w:val="25A24227"/>
    <w:rsid w:val="25A663CD"/>
    <w:rsid w:val="25A9799F"/>
    <w:rsid w:val="25B4788F"/>
    <w:rsid w:val="25B8042B"/>
    <w:rsid w:val="25BF3B70"/>
    <w:rsid w:val="25C215BF"/>
    <w:rsid w:val="25CB2AE5"/>
    <w:rsid w:val="25D17FBD"/>
    <w:rsid w:val="25D22FF2"/>
    <w:rsid w:val="25D84432"/>
    <w:rsid w:val="25E41429"/>
    <w:rsid w:val="25F068A9"/>
    <w:rsid w:val="25F47DCB"/>
    <w:rsid w:val="26017FE3"/>
    <w:rsid w:val="260F0FCC"/>
    <w:rsid w:val="26162F9F"/>
    <w:rsid w:val="26285570"/>
    <w:rsid w:val="262B337E"/>
    <w:rsid w:val="262C1722"/>
    <w:rsid w:val="262C38A3"/>
    <w:rsid w:val="262E0F7F"/>
    <w:rsid w:val="26473C37"/>
    <w:rsid w:val="266202F1"/>
    <w:rsid w:val="26665AD9"/>
    <w:rsid w:val="26681125"/>
    <w:rsid w:val="267C4A71"/>
    <w:rsid w:val="267E62E7"/>
    <w:rsid w:val="268637CF"/>
    <w:rsid w:val="268846E6"/>
    <w:rsid w:val="269D74B9"/>
    <w:rsid w:val="269E430B"/>
    <w:rsid w:val="26A128F1"/>
    <w:rsid w:val="26A31B69"/>
    <w:rsid w:val="26A61943"/>
    <w:rsid w:val="26AD07F9"/>
    <w:rsid w:val="26B367DF"/>
    <w:rsid w:val="26B42A1A"/>
    <w:rsid w:val="26C116E8"/>
    <w:rsid w:val="26C25308"/>
    <w:rsid w:val="26C655A0"/>
    <w:rsid w:val="26C86A12"/>
    <w:rsid w:val="26CA7463"/>
    <w:rsid w:val="26CB529A"/>
    <w:rsid w:val="26D00710"/>
    <w:rsid w:val="26E222DC"/>
    <w:rsid w:val="26E628DC"/>
    <w:rsid w:val="26E65E49"/>
    <w:rsid w:val="26EA4AAD"/>
    <w:rsid w:val="26F0197C"/>
    <w:rsid w:val="26F55BE8"/>
    <w:rsid w:val="26F56719"/>
    <w:rsid w:val="270B5779"/>
    <w:rsid w:val="270D7803"/>
    <w:rsid w:val="271B104A"/>
    <w:rsid w:val="273A445C"/>
    <w:rsid w:val="273B1378"/>
    <w:rsid w:val="273F08A2"/>
    <w:rsid w:val="27427939"/>
    <w:rsid w:val="27533C8E"/>
    <w:rsid w:val="2756245B"/>
    <w:rsid w:val="27586B74"/>
    <w:rsid w:val="275E4A93"/>
    <w:rsid w:val="276B63AC"/>
    <w:rsid w:val="276D67BF"/>
    <w:rsid w:val="27740206"/>
    <w:rsid w:val="27845EBA"/>
    <w:rsid w:val="279723AC"/>
    <w:rsid w:val="27A46E01"/>
    <w:rsid w:val="27A92674"/>
    <w:rsid w:val="27B35675"/>
    <w:rsid w:val="27CA1384"/>
    <w:rsid w:val="27D33954"/>
    <w:rsid w:val="27D7701A"/>
    <w:rsid w:val="27DC1F02"/>
    <w:rsid w:val="27DF53AA"/>
    <w:rsid w:val="27E90584"/>
    <w:rsid w:val="27FE3209"/>
    <w:rsid w:val="28002268"/>
    <w:rsid w:val="2808149B"/>
    <w:rsid w:val="280865A3"/>
    <w:rsid w:val="28095B66"/>
    <w:rsid w:val="280C5626"/>
    <w:rsid w:val="28180DB2"/>
    <w:rsid w:val="281C67C6"/>
    <w:rsid w:val="28262FFA"/>
    <w:rsid w:val="2831017E"/>
    <w:rsid w:val="283264F5"/>
    <w:rsid w:val="28370F22"/>
    <w:rsid w:val="28382D1E"/>
    <w:rsid w:val="283E16C3"/>
    <w:rsid w:val="28443D22"/>
    <w:rsid w:val="28493539"/>
    <w:rsid w:val="2866617B"/>
    <w:rsid w:val="286D5B95"/>
    <w:rsid w:val="286F5102"/>
    <w:rsid w:val="287F1A75"/>
    <w:rsid w:val="28806A5E"/>
    <w:rsid w:val="2882003E"/>
    <w:rsid w:val="28893793"/>
    <w:rsid w:val="289C186B"/>
    <w:rsid w:val="289E1ADE"/>
    <w:rsid w:val="28A2755B"/>
    <w:rsid w:val="28A97AF2"/>
    <w:rsid w:val="28B12E5F"/>
    <w:rsid w:val="28B93229"/>
    <w:rsid w:val="28BA4414"/>
    <w:rsid w:val="28C5219E"/>
    <w:rsid w:val="28CC2700"/>
    <w:rsid w:val="28D0111A"/>
    <w:rsid w:val="28DC03E8"/>
    <w:rsid w:val="28EC424C"/>
    <w:rsid w:val="28EC6178"/>
    <w:rsid w:val="28F10F1A"/>
    <w:rsid w:val="28F11492"/>
    <w:rsid w:val="28F42A33"/>
    <w:rsid w:val="28FC0AE4"/>
    <w:rsid w:val="29096924"/>
    <w:rsid w:val="291B55B8"/>
    <w:rsid w:val="291D1D8A"/>
    <w:rsid w:val="29205315"/>
    <w:rsid w:val="2922093E"/>
    <w:rsid w:val="2923009C"/>
    <w:rsid w:val="29235AB0"/>
    <w:rsid w:val="29253ACB"/>
    <w:rsid w:val="29293BB2"/>
    <w:rsid w:val="2929562D"/>
    <w:rsid w:val="292B14A8"/>
    <w:rsid w:val="2930256F"/>
    <w:rsid w:val="293E32BA"/>
    <w:rsid w:val="29467712"/>
    <w:rsid w:val="294C19C5"/>
    <w:rsid w:val="294C50AC"/>
    <w:rsid w:val="294E13D9"/>
    <w:rsid w:val="295C1BAE"/>
    <w:rsid w:val="295F5621"/>
    <w:rsid w:val="296F7D9B"/>
    <w:rsid w:val="2974658F"/>
    <w:rsid w:val="298A529C"/>
    <w:rsid w:val="298E7BA9"/>
    <w:rsid w:val="299B288D"/>
    <w:rsid w:val="299F70B2"/>
    <w:rsid w:val="29A256AF"/>
    <w:rsid w:val="29AB2002"/>
    <w:rsid w:val="29AD15DD"/>
    <w:rsid w:val="29B16239"/>
    <w:rsid w:val="29B31170"/>
    <w:rsid w:val="29BE62A7"/>
    <w:rsid w:val="29BE68E7"/>
    <w:rsid w:val="29BF38DB"/>
    <w:rsid w:val="29C36E35"/>
    <w:rsid w:val="29CE7BAB"/>
    <w:rsid w:val="29D717BD"/>
    <w:rsid w:val="29E11A02"/>
    <w:rsid w:val="29E4221E"/>
    <w:rsid w:val="29E838ED"/>
    <w:rsid w:val="29E952C2"/>
    <w:rsid w:val="29EE028D"/>
    <w:rsid w:val="29F7183A"/>
    <w:rsid w:val="2A0252C0"/>
    <w:rsid w:val="2A0F7B5E"/>
    <w:rsid w:val="2A1472D7"/>
    <w:rsid w:val="2A15437E"/>
    <w:rsid w:val="2A1E2270"/>
    <w:rsid w:val="2A253865"/>
    <w:rsid w:val="2A2765EA"/>
    <w:rsid w:val="2A276930"/>
    <w:rsid w:val="2A306A8E"/>
    <w:rsid w:val="2A332FE8"/>
    <w:rsid w:val="2A3705FA"/>
    <w:rsid w:val="2A3F7FF4"/>
    <w:rsid w:val="2A4230EA"/>
    <w:rsid w:val="2A4A2B40"/>
    <w:rsid w:val="2A563230"/>
    <w:rsid w:val="2A5723F8"/>
    <w:rsid w:val="2A5D2F1B"/>
    <w:rsid w:val="2A620E59"/>
    <w:rsid w:val="2A667317"/>
    <w:rsid w:val="2A667FEE"/>
    <w:rsid w:val="2A672BB5"/>
    <w:rsid w:val="2A676C1A"/>
    <w:rsid w:val="2A7930C8"/>
    <w:rsid w:val="2A7B5501"/>
    <w:rsid w:val="2A7C4DFA"/>
    <w:rsid w:val="2A8D5FAA"/>
    <w:rsid w:val="2A9C636E"/>
    <w:rsid w:val="2A9D68C5"/>
    <w:rsid w:val="2AA369A1"/>
    <w:rsid w:val="2AAB3F7D"/>
    <w:rsid w:val="2AB11E4B"/>
    <w:rsid w:val="2AB54523"/>
    <w:rsid w:val="2AC95377"/>
    <w:rsid w:val="2ACB3B4E"/>
    <w:rsid w:val="2AD0063B"/>
    <w:rsid w:val="2AD06270"/>
    <w:rsid w:val="2AD22100"/>
    <w:rsid w:val="2AF21E8B"/>
    <w:rsid w:val="2AF81962"/>
    <w:rsid w:val="2B0C1367"/>
    <w:rsid w:val="2B140748"/>
    <w:rsid w:val="2B144FEE"/>
    <w:rsid w:val="2B184F98"/>
    <w:rsid w:val="2B217D2B"/>
    <w:rsid w:val="2B2A6E1D"/>
    <w:rsid w:val="2B2E61BA"/>
    <w:rsid w:val="2B357E8F"/>
    <w:rsid w:val="2B3B2315"/>
    <w:rsid w:val="2B442B28"/>
    <w:rsid w:val="2B443DB8"/>
    <w:rsid w:val="2B447F8C"/>
    <w:rsid w:val="2B482EBD"/>
    <w:rsid w:val="2B4D7268"/>
    <w:rsid w:val="2B527D81"/>
    <w:rsid w:val="2B587FF8"/>
    <w:rsid w:val="2B5E683A"/>
    <w:rsid w:val="2B6107ED"/>
    <w:rsid w:val="2B6428DA"/>
    <w:rsid w:val="2B6E267A"/>
    <w:rsid w:val="2B731C37"/>
    <w:rsid w:val="2B7942B0"/>
    <w:rsid w:val="2B7A700A"/>
    <w:rsid w:val="2B7C05F4"/>
    <w:rsid w:val="2B7C4B5A"/>
    <w:rsid w:val="2B7D31BC"/>
    <w:rsid w:val="2B7E0A92"/>
    <w:rsid w:val="2B846DD9"/>
    <w:rsid w:val="2B967F8B"/>
    <w:rsid w:val="2B9D5A68"/>
    <w:rsid w:val="2BA87186"/>
    <w:rsid w:val="2BB56B1A"/>
    <w:rsid w:val="2BBF4233"/>
    <w:rsid w:val="2BDD6E12"/>
    <w:rsid w:val="2BE62B4B"/>
    <w:rsid w:val="2BE94332"/>
    <w:rsid w:val="2BEC167C"/>
    <w:rsid w:val="2BED7C81"/>
    <w:rsid w:val="2BEF5E63"/>
    <w:rsid w:val="2BFA626C"/>
    <w:rsid w:val="2C084621"/>
    <w:rsid w:val="2C186D12"/>
    <w:rsid w:val="2C1C20A9"/>
    <w:rsid w:val="2C1E328B"/>
    <w:rsid w:val="2C286654"/>
    <w:rsid w:val="2C315972"/>
    <w:rsid w:val="2C334589"/>
    <w:rsid w:val="2C3823E4"/>
    <w:rsid w:val="2C450566"/>
    <w:rsid w:val="2C4A78EF"/>
    <w:rsid w:val="2C4D6197"/>
    <w:rsid w:val="2C542E3A"/>
    <w:rsid w:val="2C5B3850"/>
    <w:rsid w:val="2C634F07"/>
    <w:rsid w:val="2C6C12F8"/>
    <w:rsid w:val="2C75110C"/>
    <w:rsid w:val="2C7A6F87"/>
    <w:rsid w:val="2C7D1DD2"/>
    <w:rsid w:val="2C7F444E"/>
    <w:rsid w:val="2C816910"/>
    <w:rsid w:val="2C92734F"/>
    <w:rsid w:val="2C974F7D"/>
    <w:rsid w:val="2CA252DF"/>
    <w:rsid w:val="2CA305DC"/>
    <w:rsid w:val="2CAD43E8"/>
    <w:rsid w:val="2CB3524E"/>
    <w:rsid w:val="2CB41485"/>
    <w:rsid w:val="2CCC1A01"/>
    <w:rsid w:val="2CD127A8"/>
    <w:rsid w:val="2CD42AC8"/>
    <w:rsid w:val="2CD43F01"/>
    <w:rsid w:val="2CE06ADC"/>
    <w:rsid w:val="2CE434B7"/>
    <w:rsid w:val="2CF64B25"/>
    <w:rsid w:val="2CFE716B"/>
    <w:rsid w:val="2D024E57"/>
    <w:rsid w:val="2D077192"/>
    <w:rsid w:val="2D133EB2"/>
    <w:rsid w:val="2D1411FA"/>
    <w:rsid w:val="2D152281"/>
    <w:rsid w:val="2D156596"/>
    <w:rsid w:val="2D1F67AE"/>
    <w:rsid w:val="2D2B53E8"/>
    <w:rsid w:val="2D35106A"/>
    <w:rsid w:val="2D505425"/>
    <w:rsid w:val="2D5A5065"/>
    <w:rsid w:val="2D6A1AEC"/>
    <w:rsid w:val="2D6F7BED"/>
    <w:rsid w:val="2D70535B"/>
    <w:rsid w:val="2D7251D8"/>
    <w:rsid w:val="2D755061"/>
    <w:rsid w:val="2D77483C"/>
    <w:rsid w:val="2D813B36"/>
    <w:rsid w:val="2D842F1A"/>
    <w:rsid w:val="2D920154"/>
    <w:rsid w:val="2D9976E2"/>
    <w:rsid w:val="2D9D1EA4"/>
    <w:rsid w:val="2DA34EF5"/>
    <w:rsid w:val="2DA8017B"/>
    <w:rsid w:val="2DA9069F"/>
    <w:rsid w:val="2DB72BC2"/>
    <w:rsid w:val="2DB770D2"/>
    <w:rsid w:val="2DBC02CE"/>
    <w:rsid w:val="2DBF2F58"/>
    <w:rsid w:val="2DC67F0B"/>
    <w:rsid w:val="2DDB7DFA"/>
    <w:rsid w:val="2DF34919"/>
    <w:rsid w:val="2E1835B1"/>
    <w:rsid w:val="2E2B3512"/>
    <w:rsid w:val="2E4324DA"/>
    <w:rsid w:val="2E52731E"/>
    <w:rsid w:val="2E5D0E63"/>
    <w:rsid w:val="2E6721F0"/>
    <w:rsid w:val="2E79348E"/>
    <w:rsid w:val="2E852ACB"/>
    <w:rsid w:val="2E8863B4"/>
    <w:rsid w:val="2EA015F1"/>
    <w:rsid w:val="2EA024D1"/>
    <w:rsid w:val="2EA1348E"/>
    <w:rsid w:val="2EA8202E"/>
    <w:rsid w:val="2EB04D19"/>
    <w:rsid w:val="2EB166AB"/>
    <w:rsid w:val="2EB3490D"/>
    <w:rsid w:val="2EBE7D19"/>
    <w:rsid w:val="2EC64D04"/>
    <w:rsid w:val="2EC901D7"/>
    <w:rsid w:val="2ED051A0"/>
    <w:rsid w:val="2EDB3D76"/>
    <w:rsid w:val="2EDC22A6"/>
    <w:rsid w:val="2EDF3DDB"/>
    <w:rsid w:val="2EE44062"/>
    <w:rsid w:val="2EFE2F95"/>
    <w:rsid w:val="2F0509F1"/>
    <w:rsid w:val="2F1201CF"/>
    <w:rsid w:val="2F145336"/>
    <w:rsid w:val="2F1E3DB3"/>
    <w:rsid w:val="2F26673C"/>
    <w:rsid w:val="2F4100F5"/>
    <w:rsid w:val="2F46214C"/>
    <w:rsid w:val="2F4E0B46"/>
    <w:rsid w:val="2F544800"/>
    <w:rsid w:val="2F5F4700"/>
    <w:rsid w:val="2F603A6A"/>
    <w:rsid w:val="2F700217"/>
    <w:rsid w:val="2FA22DFE"/>
    <w:rsid w:val="2FA318F0"/>
    <w:rsid w:val="2FBF68A3"/>
    <w:rsid w:val="2FC9496C"/>
    <w:rsid w:val="2FCC4A77"/>
    <w:rsid w:val="2FCD52D7"/>
    <w:rsid w:val="2FD22892"/>
    <w:rsid w:val="2FD31664"/>
    <w:rsid w:val="2FD51EA5"/>
    <w:rsid w:val="2FED3BC4"/>
    <w:rsid w:val="2FEF1151"/>
    <w:rsid w:val="2FF458C9"/>
    <w:rsid w:val="2FF66F32"/>
    <w:rsid w:val="2FF670A7"/>
    <w:rsid w:val="2FF7169A"/>
    <w:rsid w:val="2FF765D6"/>
    <w:rsid w:val="2FF933F9"/>
    <w:rsid w:val="2FFC4438"/>
    <w:rsid w:val="3007482D"/>
    <w:rsid w:val="300C2568"/>
    <w:rsid w:val="3026092D"/>
    <w:rsid w:val="302E5F3C"/>
    <w:rsid w:val="30314EB8"/>
    <w:rsid w:val="303C0284"/>
    <w:rsid w:val="30462661"/>
    <w:rsid w:val="305A6442"/>
    <w:rsid w:val="305C2635"/>
    <w:rsid w:val="30613062"/>
    <w:rsid w:val="30655059"/>
    <w:rsid w:val="307136E6"/>
    <w:rsid w:val="307658EC"/>
    <w:rsid w:val="30841DAC"/>
    <w:rsid w:val="308E03A6"/>
    <w:rsid w:val="309C5707"/>
    <w:rsid w:val="309D0795"/>
    <w:rsid w:val="30A919BE"/>
    <w:rsid w:val="30AE1D09"/>
    <w:rsid w:val="30B1499E"/>
    <w:rsid w:val="30BB3FD9"/>
    <w:rsid w:val="30BE3F50"/>
    <w:rsid w:val="30C86AB3"/>
    <w:rsid w:val="30D81B3D"/>
    <w:rsid w:val="30DA32BF"/>
    <w:rsid w:val="30EF4BD7"/>
    <w:rsid w:val="30EF7BFF"/>
    <w:rsid w:val="30F02C02"/>
    <w:rsid w:val="30F30AC1"/>
    <w:rsid w:val="310F6E39"/>
    <w:rsid w:val="3118459C"/>
    <w:rsid w:val="311B4D8D"/>
    <w:rsid w:val="311E07F7"/>
    <w:rsid w:val="31261529"/>
    <w:rsid w:val="31272425"/>
    <w:rsid w:val="312E544E"/>
    <w:rsid w:val="313057FA"/>
    <w:rsid w:val="313A196E"/>
    <w:rsid w:val="313B05D5"/>
    <w:rsid w:val="31472496"/>
    <w:rsid w:val="316560EC"/>
    <w:rsid w:val="31753C10"/>
    <w:rsid w:val="318678B4"/>
    <w:rsid w:val="31881012"/>
    <w:rsid w:val="318E7CBE"/>
    <w:rsid w:val="319F4D9F"/>
    <w:rsid w:val="31B70DF7"/>
    <w:rsid w:val="31CE7BB5"/>
    <w:rsid w:val="31D10261"/>
    <w:rsid w:val="31D92A4C"/>
    <w:rsid w:val="31E57610"/>
    <w:rsid w:val="31EA22FE"/>
    <w:rsid w:val="31F16D03"/>
    <w:rsid w:val="31F47DC6"/>
    <w:rsid w:val="31F92A6F"/>
    <w:rsid w:val="31FA2BF2"/>
    <w:rsid w:val="31FE06AE"/>
    <w:rsid w:val="31FE1BFF"/>
    <w:rsid w:val="320104A3"/>
    <w:rsid w:val="320336DF"/>
    <w:rsid w:val="3214323B"/>
    <w:rsid w:val="32173206"/>
    <w:rsid w:val="321D7EDA"/>
    <w:rsid w:val="32225ABD"/>
    <w:rsid w:val="322B6A4E"/>
    <w:rsid w:val="32391C9F"/>
    <w:rsid w:val="323F466C"/>
    <w:rsid w:val="32454E82"/>
    <w:rsid w:val="32460A89"/>
    <w:rsid w:val="32461745"/>
    <w:rsid w:val="3248549E"/>
    <w:rsid w:val="32491590"/>
    <w:rsid w:val="324D0E72"/>
    <w:rsid w:val="325453F3"/>
    <w:rsid w:val="32643067"/>
    <w:rsid w:val="326A21EF"/>
    <w:rsid w:val="327B1F9F"/>
    <w:rsid w:val="32884B8E"/>
    <w:rsid w:val="328A6DAE"/>
    <w:rsid w:val="32AC0031"/>
    <w:rsid w:val="32B54F17"/>
    <w:rsid w:val="32B8574F"/>
    <w:rsid w:val="32C0298F"/>
    <w:rsid w:val="32C44399"/>
    <w:rsid w:val="32CC4F93"/>
    <w:rsid w:val="32CF3EEC"/>
    <w:rsid w:val="32D55A28"/>
    <w:rsid w:val="32E558A2"/>
    <w:rsid w:val="32FA32B7"/>
    <w:rsid w:val="330C2A9A"/>
    <w:rsid w:val="330D7A08"/>
    <w:rsid w:val="331C7C0C"/>
    <w:rsid w:val="3328712B"/>
    <w:rsid w:val="3332058F"/>
    <w:rsid w:val="333373CC"/>
    <w:rsid w:val="33346179"/>
    <w:rsid w:val="33346908"/>
    <w:rsid w:val="333636C9"/>
    <w:rsid w:val="333726DB"/>
    <w:rsid w:val="33393E2C"/>
    <w:rsid w:val="333F0E83"/>
    <w:rsid w:val="33465B36"/>
    <w:rsid w:val="334D175A"/>
    <w:rsid w:val="335D7A4F"/>
    <w:rsid w:val="336045CB"/>
    <w:rsid w:val="33650CAA"/>
    <w:rsid w:val="33713745"/>
    <w:rsid w:val="337A39BA"/>
    <w:rsid w:val="337B0E24"/>
    <w:rsid w:val="338D06DC"/>
    <w:rsid w:val="339A72FB"/>
    <w:rsid w:val="33A336EF"/>
    <w:rsid w:val="33AB464E"/>
    <w:rsid w:val="33B9549D"/>
    <w:rsid w:val="33BE1549"/>
    <w:rsid w:val="33C860F8"/>
    <w:rsid w:val="33C97B61"/>
    <w:rsid w:val="33DE220C"/>
    <w:rsid w:val="33DE57BA"/>
    <w:rsid w:val="33E26C50"/>
    <w:rsid w:val="33EC5958"/>
    <w:rsid w:val="33ED5AF2"/>
    <w:rsid w:val="33EE7170"/>
    <w:rsid w:val="33FE552D"/>
    <w:rsid w:val="33FF702C"/>
    <w:rsid w:val="34023302"/>
    <w:rsid w:val="34042E97"/>
    <w:rsid w:val="34071D65"/>
    <w:rsid w:val="340F578C"/>
    <w:rsid w:val="3410777F"/>
    <w:rsid w:val="34190E90"/>
    <w:rsid w:val="34197884"/>
    <w:rsid w:val="341B67F4"/>
    <w:rsid w:val="34241E8E"/>
    <w:rsid w:val="3424360F"/>
    <w:rsid w:val="342C0E51"/>
    <w:rsid w:val="34300FA3"/>
    <w:rsid w:val="343B2E98"/>
    <w:rsid w:val="344605AA"/>
    <w:rsid w:val="34481CD0"/>
    <w:rsid w:val="344B6252"/>
    <w:rsid w:val="34581840"/>
    <w:rsid w:val="34602A06"/>
    <w:rsid w:val="34612B14"/>
    <w:rsid w:val="3464024B"/>
    <w:rsid w:val="3465048D"/>
    <w:rsid w:val="34797DCF"/>
    <w:rsid w:val="348722A0"/>
    <w:rsid w:val="348F359B"/>
    <w:rsid w:val="349F1AA3"/>
    <w:rsid w:val="34A9284D"/>
    <w:rsid w:val="34B07223"/>
    <w:rsid w:val="34B54A50"/>
    <w:rsid w:val="34B6583E"/>
    <w:rsid w:val="34B76BC7"/>
    <w:rsid w:val="34BB2CD7"/>
    <w:rsid w:val="34BC46ED"/>
    <w:rsid w:val="34BE1635"/>
    <w:rsid w:val="34C23F0D"/>
    <w:rsid w:val="34C57286"/>
    <w:rsid w:val="34CC00D3"/>
    <w:rsid w:val="34D2441F"/>
    <w:rsid w:val="34D72C19"/>
    <w:rsid w:val="34D73340"/>
    <w:rsid w:val="34DA756E"/>
    <w:rsid w:val="34DC5044"/>
    <w:rsid w:val="34E20187"/>
    <w:rsid w:val="34EB291C"/>
    <w:rsid w:val="350C4AD3"/>
    <w:rsid w:val="350F4737"/>
    <w:rsid w:val="35143012"/>
    <w:rsid w:val="351A1EF3"/>
    <w:rsid w:val="351E2264"/>
    <w:rsid w:val="3526195B"/>
    <w:rsid w:val="35270D50"/>
    <w:rsid w:val="35281E1D"/>
    <w:rsid w:val="353D15CB"/>
    <w:rsid w:val="35404339"/>
    <w:rsid w:val="35447836"/>
    <w:rsid w:val="354C413B"/>
    <w:rsid w:val="355565AF"/>
    <w:rsid w:val="355B34A4"/>
    <w:rsid w:val="35631F42"/>
    <w:rsid w:val="356B739B"/>
    <w:rsid w:val="35713CF3"/>
    <w:rsid w:val="357D2D9B"/>
    <w:rsid w:val="358316A2"/>
    <w:rsid w:val="35A457F3"/>
    <w:rsid w:val="35AC1F22"/>
    <w:rsid w:val="35AF636D"/>
    <w:rsid w:val="35B03F34"/>
    <w:rsid w:val="35BF0193"/>
    <w:rsid w:val="35BF228D"/>
    <w:rsid w:val="35C32A56"/>
    <w:rsid w:val="35C402E4"/>
    <w:rsid w:val="35C745DA"/>
    <w:rsid w:val="35CB7BC4"/>
    <w:rsid w:val="35CE1479"/>
    <w:rsid w:val="35CE42A3"/>
    <w:rsid w:val="35D444EA"/>
    <w:rsid w:val="35E45310"/>
    <w:rsid w:val="35EC6F72"/>
    <w:rsid w:val="35FA49FC"/>
    <w:rsid w:val="36111D3B"/>
    <w:rsid w:val="36136399"/>
    <w:rsid w:val="361C71C0"/>
    <w:rsid w:val="361D5BB0"/>
    <w:rsid w:val="361F255F"/>
    <w:rsid w:val="3626537A"/>
    <w:rsid w:val="363D5BC2"/>
    <w:rsid w:val="363E4C6B"/>
    <w:rsid w:val="36411BD2"/>
    <w:rsid w:val="364918AE"/>
    <w:rsid w:val="364A5848"/>
    <w:rsid w:val="365E5B6A"/>
    <w:rsid w:val="36641444"/>
    <w:rsid w:val="36762B93"/>
    <w:rsid w:val="367F0410"/>
    <w:rsid w:val="3696776B"/>
    <w:rsid w:val="369E0FB4"/>
    <w:rsid w:val="36B01301"/>
    <w:rsid w:val="36C162B9"/>
    <w:rsid w:val="36C22673"/>
    <w:rsid w:val="36D03DAA"/>
    <w:rsid w:val="36D1082A"/>
    <w:rsid w:val="36D254F8"/>
    <w:rsid w:val="36F0197C"/>
    <w:rsid w:val="36FB43FE"/>
    <w:rsid w:val="370137E2"/>
    <w:rsid w:val="370500D3"/>
    <w:rsid w:val="370E42BB"/>
    <w:rsid w:val="37101D05"/>
    <w:rsid w:val="37114944"/>
    <w:rsid w:val="371449DF"/>
    <w:rsid w:val="371674E1"/>
    <w:rsid w:val="371930A2"/>
    <w:rsid w:val="371A4595"/>
    <w:rsid w:val="371E043B"/>
    <w:rsid w:val="37262D3A"/>
    <w:rsid w:val="373A7AF8"/>
    <w:rsid w:val="373D491F"/>
    <w:rsid w:val="373D6328"/>
    <w:rsid w:val="373F58B6"/>
    <w:rsid w:val="37420AD4"/>
    <w:rsid w:val="374534D2"/>
    <w:rsid w:val="37457A24"/>
    <w:rsid w:val="37526CB1"/>
    <w:rsid w:val="375767E6"/>
    <w:rsid w:val="375C6F89"/>
    <w:rsid w:val="37624E4B"/>
    <w:rsid w:val="37667C0A"/>
    <w:rsid w:val="376F58CE"/>
    <w:rsid w:val="37805199"/>
    <w:rsid w:val="37856ABB"/>
    <w:rsid w:val="3785733B"/>
    <w:rsid w:val="378A61F6"/>
    <w:rsid w:val="37900C02"/>
    <w:rsid w:val="37905561"/>
    <w:rsid w:val="37962082"/>
    <w:rsid w:val="379E43AF"/>
    <w:rsid w:val="37A66D50"/>
    <w:rsid w:val="37AB4832"/>
    <w:rsid w:val="37AD4028"/>
    <w:rsid w:val="37B53B48"/>
    <w:rsid w:val="37BB02A4"/>
    <w:rsid w:val="37C36E7D"/>
    <w:rsid w:val="37D70140"/>
    <w:rsid w:val="37D822CF"/>
    <w:rsid w:val="37D83A95"/>
    <w:rsid w:val="37D93FA5"/>
    <w:rsid w:val="37E018D6"/>
    <w:rsid w:val="37E22DB7"/>
    <w:rsid w:val="37E329F4"/>
    <w:rsid w:val="37E53CA1"/>
    <w:rsid w:val="37E86773"/>
    <w:rsid w:val="37EA40E9"/>
    <w:rsid w:val="37EC15D3"/>
    <w:rsid w:val="37F12801"/>
    <w:rsid w:val="37F23C93"/>
    <w:rsid w:val="37FF62E3"/>
    <w:rsid w:val="380B7682"/>
    <w:rsid w:val="38123EDC"/>
    <w:rsid w:val="381D6D09"/>
    <w:rsid w:val="38222DAE"/>
    <w:rsid w:val="3828625F"/>
    <w:rsid w:val="382E4764"/>
    <w:rsid w:val="383E1C7E"/>
    <w:rsid w:val="38405E59"/>
    <w:rsid w:val="38406232"/>
    <w:rsid w:val="38410EBF"/>
    <w:rsid w:val="384D1CCD"/>
    <w:rsid w:val="38523359"/>
    <w:rsid w:val="38564A03"/>
    <w:rsid w:val="385B57A5"/>
    <w:rsid w:val="386108A2"/>
    <w:rsid w:val="386910FC"/>
    <w:rsid w:val="386F2891"/>
    <w:rsid w:val="387E69A5"/>
    <w:rsid w:val="387F4B81"/>
    <w:rsid w:val="38920917"/>
    <w:rsid w:val="38936DEF"/>
    <w:rsid w:val="389802E1"/>
    <w:rsid w:val="38A9024C"/>
    <w:rsid w:val="38A920F3"/>
    <w:rsid w:val="38B02EDC"/>
    <w:rsid w:val="38B03C65"/>
    <w:rsid w:val="38B81960"/>
    <w:rsid w:val="38C05568"/>
    <w:rsid w:val="38C54391"/>
    <w:rsid w:val="38C56618"/>
    <w:rsid w:val="38C966F2"/>
    <w:rsid w:val="38E21813"/>
    <w:rsid w:val="38F16DAC"/>
    <w:rsid w:val="38F925DF"/>
    <w:rsid w:val="38FC759F"/>
    <w:rsid w:val="39022116"/>
    <w:rsid w:val="39046CBB"/>
    <w:rsid w:val="39085FCE"/>
    <w:rsid w:val="391A539D"/>
    <w:rsid w:val="392C0F8F"/>
    <w:rsid w:val="392D41BE"/>
    <w:rsid w:val="392F768E"/>
    <w:rsid w:val="393F78C4"/>
    <w:rsid w:val="3940499F"/>
    <w:rsid w:val="39502B7F"/>
    <w:rsid w:val="395567F6"/>
    <w:rsid w:val="395753B9"/>
    <w:rsid w:val="396371A6"/>
    <w:rsid w:val="396A5B4C"/>
    <w:rsid w:val="397216AB"/>
    <w:rsid w:val="39722483"/>
    <w:rsid w:val="39725411"/>
    <w:rsid w:val="39776DE7"/>
    <w:rsid w:val="3978472E"/>
    <w:rsid w:val="39851B94"/>
    <w:rsid w:val="398841E1"/>
    <w:rsid w:val="39931F67"/>
    <w:rsid w:val="39B23A0E"/>
    <w:rsid w:val="39B32288"/>
    <w:rsid w:val="39B77B25"/>
    <w:rsid w:val="39BE7535"/>
    <w:rsid w:val="39C1457C"/>
    <w:rsid w:val="39C82975"/>
    <w:rsid w:val="39CA7B6B"/>
    <w:rsid w:val="39DB415E"/>
    <w:rsid w:val="39EA554C"/>
    <w:rsid w:val="39EE617E"/>
    <w:rsid w:val="3A0057F9"/>
    <w:rsid w:val="3A005DCC"/>
    <w:rsid w:val="3A0D519A"/>
    <w:rsid w:val="3A110698"/>
    <w:rsid w:val="3A165069"/>
    <w:rsid w:val="3A165D90"/>
    <w:rsid w:val="3A1A600C"/>
    <w:rsid w:val="3A1A7103"/>
    <w:rsid w:val="3A1D330E"/>
    <w:rsid w:val="3A1D5BB7"/>
    <w:rsid w:val="3A201FED"/>
    <w:rsid w:val="3A303BAB"/>
    <w:rsid w:val="3A425A40"/>
    <w:rsid w:val="3A4856FD"/>
    <w:rsid w:val="3A4C4FDA"/>
    <w:rsid w:val="3A4D7C0C"/>
    <w:rsid w:val="3A4E3255"/>
    <w:rsid w:val="3A526EC4"/>
    <w:rsid w:val="3A544053"/>
    <w:rsid w:val="3A5E2491"/>
    <w:rsid w:val="3A6020F7"/>
    <w:rsid w:val="3A6C0E45"/>
    <w:rsid w:val="3A8C217C"/>
    <w:rsid w:val="3A8F5F18"/>
    <w:rsid w:val="3AA6051E"/>
    <w:rsid w:val="3AAD51B1"/>
    <w:rsid w:val="3AB028FF"/>
    <w:rsid w:val="3AB77902"/>
    <w:rsid w:val="3ABB780A"/>
    <w:rsid w:val="3ABD2125"/>
    <w:rsid w:val="3AC10939"/>
    <w:rsid w:val="3AC873F6"/>
    <w:rsid w:val="3AC96800"/>
    <w:rsid w:val="3ACF560F"/>
    <w:rsid w:val="3AE37BDD"/>
    <w:rsid w:val="3AED3D62"/>
    <w:rsid w:val="3AEE5B0E"/>
    <w:rsid w:val="3AF93B35"/>
    <w:rsid w:val="3AF94658"/>
    <w:rsid w:val="3AFD08D2"/>
    <w:rsid w:val="3B1E322E"/>
    <w:rsid w:val="3B2136B9"/>
    <w:rsid w:val="3B230240"/>
    <w:rsid w:val="3B311019"/>
    <w:rsid w:val="3B4A3A1C"/>
    <w:rsid w:val="3B4A6A61"/>
    <w:rsid w:val="3B4E139F"/>
    <w:rsid w:val="3B5B2C90"/>
    <w:rsid w:val="3B60454D"/>
    <w:rsid w:val="3B642C2E"/>
    <w:rsid w:val="3B6C02E4"/>
    <w:rsid w:val="3B6E49BC"/>
    <w:rsid w:val="3B7B7262"/>
    <w:rsid w:val="3B7D1A04"/>
    <w:rsid w:val="3B8107C0"/>
    <w:rsid w:val="3B81295F"/>
    <w:rsid w:val="3B835015"/>
    <w:rsid w:val="3B8D2298"/>
    <w:rsid w:val="3B984501"/>
    <w:rsid w:val="3B9A57C6"/>
    <w:rsid w:val="3B9C41DB"/>
    <w:rsid w:val="3BA0197E"/>
    <w:rsid w:val="3BA06EAA"/>
    <w:rsid w:val="3BA64036"/>
    <w:rsid w:val="3BB57280"/>
    <w:rsid w:val="3BBA761D"/>
    <w:rsid w:val="3BBC539F"/>
    <w:rsid w:val="3BCD3338"/>
    <w:rsid w:val="3BDC7BE3"/>
    <w:rsid w:val="3BE57EC4"/>
    <w:rsid w:val="3BE802F7"/>
    <w:rsid w:val="3BFE15DD"/>
    <w:rsid w:val="3C183625"/>
    <w:rsid w:val="3C2B3A11"/>
    <w:rsid w:val="3C3D12C4"/>
    <w:rsid w:val="3C3E07E3"/>
    <w:rsid w:val="3C4F6810"/>
    <w:rsid w:val="3C544C1F"/>
    <w:rsid w:val="3C5D16B6"/>
    <w:rsid w:val="3C5E2633"/>
    <w:rsid w:val="3C693FFF"/>
    <w:rsid w:val="3C6B1146"/>
    <w:rsid w:val="3C6B61FE"/>
    <w:rsid w:val="3C6F2174"/>
    <w:rsid w:val="3C714BB7"/>
    <w:rsid w:val="3C714BDA"/>
    <w:rsid w:val="3C766C83"/>
    <w:rsid w:val="3C7B004F"/>
    <w:rsid w:val="3C80170B"/>
    <w:rsid w:val="3C8105FC"/>
    <w:rsid w:val="3C836894"/>
    <w:rsid w:val="3C870ADF"/>
    <w:rsid w:val="3CA21CD1"/>
    <w:rsid w:val="3CA74156"/>
    <w:rsid w:val="3CAE6923"/>
    <w:rsid w:val="3CB42C60"/>
    <w:rsid w:val="3CD702EC"/>
    <w:rsid w:val="3CE03FB1"/>
    <w:rsid w:val="3CE22E92"/>
    <w:rsid w:val="3CE91AFF"/>
    <w:rsid w:val="3CEF30A7"/>
    <w:rsid w:val="3CF153CC"/>
    <w:rsid w:val="3D150CF9"/>
    <w:rsid w:val="3D1E485D"/>
    <w:rsid w:val="3D1E4C6D"/>
    <w:rsid w:val="3D1F6909"/>
    <w:rsid w:val="3D29796C"/>
    <w:rsid w:val="3D2A65FB"/>
    <w:rsid w:val="3D2D38B4"/>
    <w:rsid w:val="3D2F15D1"/>
    <w:rsid w:val="3D2F4F49"/>
    <w:rsid w:val="3D3F7EA7"/>
    <w:rsid w:val="3D501FAB"/>
    <w:rsid w:val="3D5045E3"/>
    <w:rsid w:val="3D590122"/>
    <w:rsid w:val="3D69793A"/>
    <w:rsid w:val="3D71533E"/>
    <w:rsid w:val="3D787C7F"/>
    <w:rsid w:val="3D84663D"/>
    <w:rsid w:val="3D8A2495"/>
    <w:rsid w:val="3D8A2CB5"/>
    <w:rsid w:val="3D8D0DD0"/>
    <w:rsid w:val="3D8F791C"/>
    <w:rsid w:val="3D92189C"/>
    <w:rsid w:val="3D957655"/>
    <w:rsid w:val="3DC30F37"/>
    <w:rsid w:val="3DC71826"/>
    <w:rsid w:val="3DCA4C59"/>
    <w:rsid w:val="3DCD599D"/>
    <w:rsid w:val="3DD0631C"/>
    <w:rsid w:val="3DD14BA7"/>
    <w:rsid w:val="3DD42445"/>
    <w:rsid w:val="3DD43698"/>
    <w:rsid w:val="3DD66359"/>
    <w:rsid w:val="3DDE79D8"/>
    <w:rsid w:val="3DFC1847"/>
    <w:rsid w:val="3DFC6B57"/>
    <w:rsid w:val="3DFD147A"/>
    <w:rsid w:val="3E004AC7"/>
    <w:rsid w:val="3E0D7F80"/>
    <w:rsid w:val="3E0F4B97"/>
    <w:rsid w:val="3E1A0B85"/>
    <w:rsid w:val="3E1E53F4"/>
    <w:rsid w:val="3E260E34"/>
    <w:rsid w:val="3E3265FB"/>
    <w:rsid w:val="3E326708"/>
    <w:rsid w:val="3E363CD2"/>
    <w:rsid w:val="3E393A8F"/>
    <w:rsid w:val="3E5526C1"/>
    <w:rsid w:val="3E591805"/>
    <w:rsid w:val="3E6D62DF"/>
    <w:rsid w:val="3E751FD6"/>
    <w:rsid w:val="3E7A36E3"/>
    <w:rsid w:val="3E7B5663"/>
    <w:rsid w:val="3E8000C3"/>
    <w:rsid w:val="3EA405C0"/>
    <w:rsid w:val="3EAD331D"/>
    <w:rsid w:val="3EB029E5"/>
    <w:rsid w:val="3EBE650B"/>
    <w:rsid w:val="3ECC5739"/>
    <w:rsid w:val="3ECD3652"/>
    <w:rsid w:val="3ECD5B0B"/>
    <w:rsid w:val="3ED44C32"/>
    <w:rsid w:val="3EDB3F74"/>
    <w:rsid w:val="3F0668BA"/>
    <w:rsid w:val="3F092939"/>
    <w:rsid w:val="3F0F0A0C"/>
    <w:rsid w:val="3F0F1E55"/>
    <w:rsid w:val="3F144291"/>
    <w:rsid w:val="3F1B1549"/>
    <w:rsid w:val="3F1D5609"/>
    <w:rsid w:val="3F291347"/>
    <w:rsid w:val="3F2A57F1"/>
    <w:rsid w:val="3F2D0B9B"/>
    <w:rsid w:val="3F2D0F53"/>
    <w:rsid w:val="3F3100DD"/>
    <w:rsid w:val="3F412E17"/>
    <w:rsid w:val="3F4C66EF"/>
    <w:rsid w:val="3F5254F9"/>
    <w:rsid w:val="3F557759"/>
    <w:rsid w:val="3F5A0F6F"/>
    <w:rsid w:val="3F5F75C1"/>
    <w:rsid w:val="3F651F36"/>
    <w:rsid w:val="3F667AA4"/>
    <w:rsid w:val="3F727992"/>
    <w:rsid w:val="3F740212"/>
    <w:rsid w:val="3F946DAB"/>
    <w:rsid w:val="3F9C2463"/>
    <w:rsid w:val="3F9F7F01"/>
    <w:rsid w:val="3FA145FB"/>
    <w:rsid w:val="3FB46325"/>
    <w:rsid w:val="3FB9127B"/>
    <w:rsid w:val="3FB93E82"/>
    <w:rsid w:val="3FBB3270"/>
    <w:rsid w:val="3FBC356E"/>
    <w:rsid w:val="3FC920F7"/>
    <w:rsid w:val="3FCE3903"/>
    <w:rsid w:val="3FE266C5"/>
    <w:rsid w:val="3FE3566B"/>
    <w:rsid w:val="3FE63A4B"/>
    <w:rsid w:val="3FF54B35"/>
    <w:rsid w:val="40087B33"/>
    <w:rsid w:val="4013542E"/>
    <w:rsid w:val="40183E9E"/>
    <w:rsid w:val="401D0966"/>
    <w:rsid w:val="4024553F"/>
    <w:rsid w:val="40263745"/>
    <w:rsid w:val="40341C30"/>
    <w:rsid w:val="40352310"/>
    <w:rsid w:val="403860DE"/>
    <w:rsid w:val="403A2E57"/>
    <w:rsid w:val="403B2415"/>
    <w:rsid w:val="403E3C95"/>
    <w:rsid w:val="4043767B"/>
    <w:rsid w:val="404E7546"/>
    <w:rsid w:val="4060383F"/>
    <w:rsid w:val="40672B72"/>
    <w:rsid w:val="406870F5"/>
    <w:rsid w:val="40735C87"/>
    <w:rsid w:val="40852D92"/>
    <w:rsid w:val="40855E2E"/>
    <w:rsid w:val="40880940"/>
    <w:rsid w:val="408E4045"/>
    <w:rsid w:val="409221B1"/>
    <w:rsid w:val="40970F71"/>
    <w:rsid w:val="409F0D3E"/>
    <w:rsid w:val="40A028A8"/>
    <w:rsid w:val="40A02C07"/>
    <w:rsid w:val="40A6694F"/>
    <w:rsid w:val="40B812DF"/>
    <w:rsid w:val="40BE1485"/>
    <w:rsid w:val="40BF7286"/>
    <w:rsid w:val="40CA46E8"/>
    <w:rsid w:val="40CD02B0"/>
    <w:rsid w:val="40DA556D"/>
    <w:rsid w:val="40E160B1"/>
    <w:rsid w:val="40E34F98"/>
    <w:rsid w:val="40E37882"/>
    <w:rsid w:val="40F02FAE"/>
    <w:rsid w:val="40F438B4"/>
    <w:rsid w:val="40F52E07"/>
    <w:rsid w:val="40F67298"/>
    <w:rsid w:val="40FD3844"/>
    <w:rsid w:val="40FD5CA4"/>
    <w:rsid w:val="41080026"/>
    <w:rsid w:val="410C6967"/>
    <w:rsid w:val="411B4BC9"/>
    <w:rsid w:val="411B4D5B"/>
    <w:rsid w:val="411B6C04"/>
    <w:rsid w:val="411C6609"/>
    <w:rsid w:val="4132640F"/>
    <w:rsid w:val="41347979"/>
    <w:rsid w:val="41361EC6"/>
    <w:rsid w:val="413B28AB"/>
    <w:rsid w:val="41411942"/>
    <w:rsid w:val="41420D45"/>
    <w:rsid w:val="4143378D"/>
    <w:rsid w:val="414B3BD2"/>
    <w:rsid w:val="414C5142"/>
    <w:rsid w:val="41556A83"/>
    <w:rsid w:val="41562C7D"/>
    <w:rsid w:val="416C77F7"/>
    <w:rsid w:val="416E41C2"/>
    <w:rsid w:val="417B1439"/>
    <w:rsid w:val="418215F8"/>
    <w:rsid w:val="418600AC"/>
    <w:rsid w:val="41A71653"/>
    <w:rsid w:val="41A94A34"/>
    <w:rsid w:val="41AE7ADB"/>
    <w:rsid w:val="41B20129"/>
    <w:rsid w:val="41B212AF"/>
    <w:rsid w:val="41B213FC"/>
    <w:rsid w:val="41B73F8B"/>
    <w:rsid w:val="41B9070E"/>
    <w:rsid w:val="41B954E3"/>
    <w:rsid w:val="41CB09E7"/>
    <w:rsid w:val="41D21B67"/>
    <w:rsid w:val="41D32142"/>
    <w:rsid w:val="41F86571"/>
    <w:rsid w:val="41FA6BA0"/>
    <w:rsid w:val="42066F15"/>
    <w:rsid w:val="42094C4D"/>
    <w:rsid w:val="420D44A5"/>
    <w:rsid w:val="421F27A6"/>
    <w:rsid w:val="422173DA"/>
    <w:rsid w:val="422817AF"/>
    <w:rsid w:val="422A5962"/>
    <w:rsid w:val="42322E2C"/>
    <w:rsid w:val="42325D4D"/>
    <w:rsid w:val="423347FB"/>
    <w:rsid w:val="42340C5F"/>
    <w:rsid w:val="424F3677"/>
    <w:rsid w:val="42533F46"/>
    <w:rsid w:val="42610910"/>
    <w:rsid w:val="427325F0"/>
    <w:rsid w:val="427442DA"/>
    <w:rsid w:val="4274697B"/>
    <w:rsid w:val="428772D4"/>
    <w:rsid w:val="429B55E1"/>
    <w:rsid w:val="42A67C48"/>
    <w:rsid w:val="42AD783E"/>
    <w:rsid w:val="42B22E38"/>
    <w:rsid w:val="42B6283E"/>
    <w:rsid w:val="42BC1125"/>
    <w:rsid w:val="42BD0354"/>
    <w:rsid w:val="42D13754"/>
    <w:rsid w:val="42DC1A43"/>
    <w:rsid w:val="42DF4E35"/>
    <w:rsid w:val="42E4157F"/>
    <w:rsid w:val="42E52C57"/>
    <w:rsid w:val="42E62392"/>
    <w:rsid w:val="42EF6C7F"/>
    <w:rsid w:val="42F0487E"/>
    <w:rsid w:val="42F066C2"/>
    <w:rsid w:val="42F86E82"/>
    <w:rsid w:val="42F87FAA"/>
    <w:rsid w:val="432919DC"/>
    <w:rsid w:val="43343FE8"/>
    <w:rsid w:val="43375B44"/>
    <w:rsid w:val="433D4F49"/>
    <w:rsid w:val="4340095F"/>
    <w:rsid w:val="434A4920"/>
    <w:rsid w:val="434C12B5"/>
    <w:rsid w:val="43537DAA"/>
    <w:rsid w:val="43544154"/>
    <w:rsid w:val="435C0A14"/>
    <w:rsid w:val="436822D1"/>
    <w:rsid w:val="4377086E"/>
    <w:rsid w:val="437F174E"/>
    <w:rsid w:val="438363A1"/>
    <w:rsid w:val="439C02EA"/>
    <w:rsid w:val="439E2D5E"/>
    <w:rsid w:val="439E5BFC"/>
    <w:rsid w:val="43AD1381"/>
    <w:rsid w:val="43BF7975"/>
    <w:rsid w:val="43C028DE"/>
    <w:rsid w:val="43C134D4"/>
    <w:rsid w:val="43CF2CBF"/>
    <w:rsid w:val="43DD7F35"/>
    <w:rsid w:val="43F27A63"/>
    <w:rsid w:val="440B19DE"/>
    <w:rsid w:val="440F518B"/>
    <w:rsid w:val="441D36B0"/>
    <w:rsid w:val="441F7EFA"/>
    <w:rsid w:val="44275B2E"/>
    <w:rsid w:val="442F42B0"/>
    <w:rsid w:val="44354161"/>
    <w:rsid w:val="443871F1"/>
    <w:rsid w:val="443B1379"/>
    <w:rsid w:val="44452377"/>
    <w:rsid w:val="444606DF"/>
    <w:rsid w:val="44580E6C"/>
    <w:rsid w:val="445A2BB2"/>
    <w:rsid w:val="445A6F31"/>
    <w:rsid w:val="44642EA4"/>
    <w:rsid w:val="447C7D2F"/>
    <w:rsid w:val="447D7645"/>
    <w:rsid w:val="447E695F"/>
    <w:rsid w:val="448437D0"/>
    <w:rsid w:val="448C40C4"/>
    <w:rsid w:val="44945473"/>
    <w:rsid w:val="449F34E4"/>
    <w:rsid w:val="44A83F10"/>
    <w:rsid w:val="44B4132E"/>
    <w:rsid w:val="44C154EE"/>
    <w:rsid w:val="44CB5C95"/>
    <w:rsid w:val="44CD3B68"/>
    <w:rsid w:val="44CF4427"/>
    <w:rsid w:val="44DD587C"/>
    <w:rsid w:val="44E22EF8"/>
    <w:rsid w:val="44E5425F"/>
    <w:rsid w:val="44EF3D29"/>
    <w:rsid w:val="44F2742E"/>
    <w:rsid w:val="44F9230E"/>
    <w:rsid w:val="44FB5350"/>
    <w:rsid w:val="45001593"/>
    <w:rsid w:val="450A78D3"/>
    <w:rsid w:val="450C71F4"/>
    <w:rsid w:val="45193DC1"/>
    <w:rsid w:val="451A03B9"/>
    <w:rsid w:val="45231E3D"/>
    <w:rsid w:val="45244329"/>
    <w:rsid w:val="452E03D4"/>
    <w:rsid w:val="452F2225"/>
    <w:rsid w:val="45387A1B"/>
    <w:rsid w:val="453C350A"/>
    <w:rsid w:val="454129E2"/>
    <w:rsid w:val="454B3194"/>
    <w:rsid w:val="454E1449"/>
    <w:rsid w:val="45631EC8"/>
    <w:rsid w:val="45651630"/>
    <w:rsid w:val="456A0E31"/>
    <w:rsid w:val="456B2283"/>
    <w:rsid w:val="456D26BB"/>
    <w:rsid w:val="456E2687"/>
    <w:rsid w:val="45706131"/>
    <w:rsid w:val="457775B5"/>
    <w:rsid w:val="457D7C38"/>
    <w:rsid w:val="458C5BBB"/>
    <w:rsid w:val="45911443"/>
    <w:rsid w:val="459431E2"/>
    <w:rsid w:val="45964B70"/>
    <w:rsid w:val="45AA35AC"/>
    <w:rsid w:val="45B069C0"/>
    <w:rsid w:val="45BF3739"/>
    <w:rsid w:val="45C10A97"/>
    <w:rsid w:val="45C61379"/>
    <w:rsid w:val="45C87C35"/>
    <w:rsid w:val="45D043C8"/>
    <w:rsid w:val="45D66F79"/>
    <w:rsid w:val="45E75902"/>
    <w:rsid w:val="45EC24A1"/>
    <w:rsid w:val="45ED187D"/>
    <w:rsid w:val="45EE3D43"/>
    <w:rsid w:val="45EF6027"/>
    <w:rsid w:val="45EF70C2"/>
    <w:rsid w:val="45F3770D"/>
    <w:rsid w:val="45F46E7C"/>
    <w:rsid w:val="45FD53D5"/>
    <w:rsid w:val="45FE055E"/>
    <w:rsid w:val="460352E5"/>
    <w:rsid w:val="46167E08"/>
    <w:rsid w:val="461809E9"/>
    <w:rsid w:val="46193213"/>
    <w:rsid w:val="461C3B64"/>
    <w:rsid w:val="461E166B"/>
    <w:rsid w:val="46275681"/>
    <w:rsid w:val="462910C5"/>
    <w:rsid w:val="462929EB"/>
    <w:rsid w:val="462D1FD4"/>
    <w:rsid w:val="46343750"/>
    <w:rsid w:val="4634381B"/>
    <w:rsid w:val="463874B9"/>
    <w:rsid w:val="463F3225"/>
    <w:rsid w:val="463F42BD"/>
    <w:rsid w:val="46494EC4"/>
    <w:rsid w:val="464F4BC5"/>
    <w:rsid w:val="4651618E"/>
    <w:rsid w:val="4663380B"/>
    <w:rsid w:val="466552FA"/>
    <w:rsid w:val="467645D0"/>
    <w:rsid w:val="468518E3"/>
    <w:rsid w:val="46977B94"/>
    <w:rsid w:val="46B24F70"/>
    <w:rsid w:val="46B61E37"/>
    <w:rsid w:val="46BF214E"/>
    <w:rsid w:val="46C31FFD"/>
    <w:rsid w:val="46E67CF8"/>
    <w:rsid w:val="46FC118D"/>
    <w:rsid w:val="471860CF"/>
    <w:rsid w:val="472056CD"/>
    <w:rsid w:val="47346371"/>
    <w:rsid w:val="473A1DAE"/>
    <w:rsid w:val="474569E3"/>
    <w:rsid w:val="47460CD4"/>
    <w:rsid w:val="47462911"/>
    <w:rsid w:val="474A419D"/>
    <w:rsid w:val="475D0AF0"/>
    <w:rsid w:val="476E0525"/>
    <w:rsid w:val="477827D6"/>
    <w:rsid w:val="477D29DD"/>
    <w:rsid w:val="4782235B"/>
    <w:rsid w:val="47854364"/>
    <w:rsid w:val="478C0178"/>
    <w:rsid w:val="478C7298"/>
    <w:rsid w:val="479818CA"/>
    <w:rsid w:val="479C0D37"/>
    <w:rsid w:val="47A266DD"/>
    <w:rsid w:val="47A806A6"/>
    <w:rsid w:val="47A81BD4"/>
    <w:rsid w:val="47AB5FB8"/>
    <w:rsid w:val="47B01F63"/>
    <w:rsid w:val="47B57AA9"/>
    <w:rsid w:val="47BD1A01"/>
    <w:rsid w:val="47C75897"/>
    <w:rsid w:val="47D16693"/>
    <w:rsid w:val="47D4301F"/>
    <w:rsid w:val="47FD2993"/>
    <w:rsid w:val="48081356"/>
    <w:rsid w:val="48111E70"/>
    <w:rsid w:val="48122653"/>
    <w:rsid w:val="481F3081"/>
    <w:rsid w:val="482F1009"/>
    <w:rsid w:val="483A6853"/>
    <w:rsid w:val="48415BA9"/>
    <w:rsid w:val="484C3E81"/>
    <w:rsid w:val="48512D8D"/>
    <w:rsid w:val="4853360D"/>
    <w:rsid w:val="48544E73"/>
    <w:rsid w:val="485C0139"/>
    <w:rsid w:val="48680D15"/>
    <w:rsid w:val="48703291"/>
    <w:rsid w:val="487810BE"/>
    <w:rsid w:val="487854C2"/>
    <w:rsid w:val="48986ACB"/>
    <w:rsid w:val="489B4B80"/>
    <w:rsid w:val="489C1098"/>
    <w:rsid w:val="48AE7361"/>
    <w:rsid w:val="48AF22DB"/>
    <w:rsid w:val="48C26CCD"/>
    <w:rsid w:val="48C573A7"/>
    <w:rsid w:val="48D35880"/>
    <w:rsid w:val="48D6719B"/>
    <w:rsid w:val="48DB385F"/>
    <w:rsid w:val="48E95594"/>
    <w:rsid w:val="48E95BA3"/>
    <w:rsid w:val="48F44633"/>
    <w:rsid w:val="48FC3DD9"/>
    <w:rsid w:val="490D08ED"/>
    <w:rsid w:val="490F36ED"/>
    <w:rsid w:val="49114E4A"/>
    <w:rsid w:val="49136CBE"/>
    <w:rsid w:val="49167A1D"/>
    <w:rsid w:val="49167B51"/>
    <w:rsid w:val="491F2D2B"/>
    <w:rsid w:val="49200CC1"/>
    <w:rsid w:val="49283F30"/>
    <w:rsid w:val="492F2C5D"/>
    <w:rsid w:val="493703E6"/>
    <w:rsid w:val="494B66D4"/>
    <w:rsid w:val="494E7F34"/>
    <w:rsid w:val="495D1EA2"/>
    <w:rsid w:val="496126D1"/>
    <w:rsid w:val="49627A84"/>
    <w:rsid w:val="49632BF9"/>
    <w:rsid w:val="49694817"/>
    <w:rsid w:val="496D3F81"/>
    <w:rsid w:val="49705355"/>
    <w:rsid w:val="49737D38"/>
    <w:rsid w:val="497654C2"/>
    <w:rsid w:val="497F02CD"/>
    <w:rsid w:val="498A40A7"/>
    <w:rsid w:val="498C3014"/>
    <w:rsid w:val="498E499B"/>
    <w:rsid w:val="49993113"/>
    <w:rsid w:val="49A525D0"/>
    <w:rsid w:val="49B20A4B"/>
    <w:rsid w:val="49B80D9A"/>
    <w:rsid w:val="49BB38BB"/>
    <w:rsid w:val="49C119FE"/>
    <w:rsid w:val="49C53E7F"/>
    <w:rsid w:val="49C8680B"/>
    <w:rsid w:val="49DC4761"/>
    <w:rsid w:val="49DF2E17"/>
    <w:rsid w:val="49E27FA8"/>
    <w:rsid w:val="49E34092"/>
    <w:rsid w:val="49E74EB7"/>
    <w:rsid w:val="49E848E1"/>
    <w:rsid w:val="49EA5198"/>
    <w:rsid w:val="49EC6FDA"/>
    <w:rsid w:val="49ED25E1"/>
    <w:rsid w:val="49F62A86"/>
    <w:rsid w:val="4A0C6FE4"/>
    <w:rsid w:val="4A120F67"/>
    <w:rsid w:val="4A153BB2"/>
    <w:rsid w:val="4A1D6D18"/>
    <w:rsid w:val="4A483701"/>
    <w:rsid w:val="4A4D7520"/>
    <w:rsid w:val="4A591D2A"/>
    <w:rsid w:val="4A5938F5"/>
    <w:rsid w:val="4A5C069D"/>
    <w:rsid w:val="4A637681"/>
    <w:rsid w:val="4A870DDA"/>
    <w:rsid w:val="4A8A5E97"/>
    <w:rsid w:val="4A8F6D97"/>
    <w:rsid w:val="4A947899"/>
    <w:rsid w:val="4A9608B5"/>
    <w:rsid w:val="4AB374A7"/>
    <w:rsid w:val="4AC015DC"/>
    <w:rsid w:val="4ADD6B8B"/>
    <w:rsid w:val="4AE24FDB"/>
    <w:rsid w:val="4AE37209"/>
    <w:rsid w:val="4AE74853"/>
    <w:rsid w:val="4AEA0BFE"/>
    <w:rsid w:val="4AEC1A96"/>
    <w:rsid w:val="4AF07D34"/>
    <w:rsid w:val="4AF8272A"/>
    <w:rsid w:val="4B002063"/>
    <w:rsid w:val="4B236579"/>
    <w:rsid w:val="4B256B35"/>
    <w:rsid w:val="4B2B4049"/>
    <w:rsid w:val="4B3F1CDC"/>
    <w:rsid w:val="4B434576"/>
    <w:rsid w:val="4B46092C"/>
    <w:rsid w:val="4B4C1786"/>
    <w:rsid w:val="4B4F3DA3"/>
    <w:rsid w:val="4B51021F"/>
    <w:rsid w:val="4B5B6BCB"/>
    <w:rsid w:val="4B657184"/>
    <w:rsid w:val="4B6A42ED"/>
    <w:rsid w:val="4B7A6E1E"/>
    <w:rsid w:val="4BA13FCA"/>
    <w:rsid w:val="4BA441CB"/>
    <w:rsid w:val="4BA7353C"/>
    <w:rsid w:val="4BB75EE8"/>
    <w:rsid w:val="4BB82AAE"/>
    <w:rsid w:val="4BCC0512"/>
    <w:rsid w:val="4BCD36D2"/>
    <w:rsid w:val="4BCE4304"/>
    <w:rsid w:val="4BD04899"/>
    <w:rsid w:val="4BD67E9D"/>
    <w:rsid w:val="4BD7272C"/>
    <w:rsid w:val="4BDD0878"/>
    <w:rsid w:val="4BE0264C"/>
    <w:rsid w:val="4BE165EF"/>
    <w:rsid w:val="4BE93577"/>
    <w:rsid w:val="4BED6879"/>
    <w:rsid w:val="4BF018CF"/>
    <w:rsid w:val="4BF33106"/>
    <w:rsid w:val="4BFE59E1"/>
    <w:rsid w:val="4BFF0867"/>
    <w:rsid w:val="4C001976"/>
    <w:rsid w:val="4C095C96"/>
    <w:rsid w:val="4C0A6584"/>
    <w:rsid w:val="4C1816DC"/>
    <w:rsid w:val="4C197005"/>
    <w:rsid w:val="4C1C0FA5"/>
    <w:rsid w:val="4C237780"/>
    <w:rsid w:val="4C320032"/>
    <w:rsid w:val="4C335951"/>
    <w:rsid w:val="4C3E0D64"/>
    <w:rsid w:val="4C3F21AE"/>
    <w:rsid w:val="4C400D3A"/>
    <w:rsid w:val="4C432FC2"/>
    <w:rsid w:val="4C490615"/>
    <w:rsid w:val="4C504B93"/>
    <w:rsid w:val="4C5A2774"/>
    <w:rsid w:val="4C5B6AA9"/>
    <w:rsid w:val="4C634072"/>
    <w:rsid w:val="4C773859"/>
    <w:rsid w:val="4C7F1BFD"/>
    <w:rsid w:val="4C855117"/>
    <w:rsid w:val="4C855FCB"/>
    <w:rsid w:val="4C90286A"/>
    <w:rsid w:val="4C953226"/>
    <w:rsid w:val="4C9D0394"/>
    <w:rsid w:val="4C9F1C64"/>
    <w:rsid w:val="4CA4326E"/>
    <w:rsid w:val="4CA52E92"/>
    <w:rsid w:val="4CA62988"/>
    <w:rsid w:val="4CBD20F6"/>
    <w:rsid w:val="4CC56D25"/>
    <w:rsid w:val="4CC6778C"/>
    <w:rsid w:val="4CC81936"/>
    <w:rsid w:val="4CCE2140"/>
    <w:rsid w:val="4CD01D1F"/>
    <w:rsid w:val="4CD23C01"/>
    <w:rsid w:val="4CD324B4"/>
    <w:rsid w:val="4CDD0BC6"/>
    <w:rsid w:val="4CDE282D"/>
    <w:rsid w:val="4CE577A8"/>
    <w:rsid w:val="4CEA0297"/>
    <w:rsid w:val="4CFF3AF9"/>
    <w:rsid w:val="4D0A724D"/>
    <w:rsid w:val="4D147472"/>
    <w:rsid w:val="4D1A4381"/>
    <w:rsid w:val="4D2924D2"/>
    <w:rsid w:val="4D2A43C5"/>
    <w:rsid w:val="4D3C3B78"/>
    <w:rsid w:val="4D4E78F7"/>
    <w:rsid w:val="4D5D13C2"/>
    <w:rsid w:val="4D6C55BB"/>
    <w:rsid w:val="4D722D24"/>
    <w:rsid w:val="4D764762"/>
    <w:rsid w:val="4D7D7073"/>
    <w:rsid w:val="4D8372F3"/>
    <w:rsid w:val="4D8B7B9D"/>
    <w:rsid w:val="4D961D96"/>
    <w:rsid w:val="4D964D02"/>
    <w:rsid w:val="4D9B62B4"/>
    <w:rsid w:val="4DA0113A"/>
    <w:rsid w:val="4DA85319"/>
    <w:rsid w:val="4DAA1320"/>
    <w:rsid w:val="4DB220F7"/>
    <w:rsid w:val="4DBF5807"/>
    <w:rsid w:val="4DCA09E7"/>
    <w:rsid w:val="4DE2328F"/>
    <w:rsid w:val="4DE24250"/>
    <w:rsid w:val="4DE418FE"/>
    <w:rsid w:val="4DE45709"/>
    <w:rsid w:val="4DEE526E"/>
    <w:rsid w:val="4DF43F4F"/>
    <w:rsid w:val="4E085D11"/>
    <w:rsid w:val="4E0B0A97"/>
    <w:rsid w:val="4E144B9C"/>
    <w:rsid w:val="4E2502CA"/>
    <w:rsid w:val="4E26047E"/>
    <w:rsid w:val="4E2F6C60"/>
    <w:rsid w:val="4E3130AB"/>
    <w:rsid w:val="4E365133"/>
    <w:rsid w:val="4E3A196E"/>
    <w:rsid w:val="4E3D2BEC"/>
    <w:rsid w:val="4E4816F7"/>
    <w:rsid w:val="4E4E3B76"/>
    <w:rsid w:val="4E4E43F2"/>
    <w:rsid w:val="4E5262EB"/>
    <w:rsid w:val="4E536937"/>
    <w:rsid w:val="4E5E11C6"/>
    <w:rsid w:val="4E5E6989"/>
    <w:rsid w:val="4E707BEE"/>
    <w:rsid w:val="4E7421B7"/>
    <w:rsid w:val="4E7A2C09"/>
    <w:rsid w:val="4E7A2E19"/>
    <w:rsid w:val="4E7C3CAB"/>
    <w:rsid w:val="4E8846C7"/>
    <w:rsid w:val="4E951549"/>
    <w:rsid w:val="4E996485"/>
    <w:rsid w:val="4E9A6EC3"/>
    <w:rsid w:val="4E9E6CA0"/>
    <w:rsid w:val="4EA37909"/>
    <w:rsid w:val="4EAA1847"/>
    <w:rsid w:val="4EB43229"/>
    <w:rsid w:val="4EC375CB"/>
    <w:rsid w:val="4ED53B5D"/>
    <w:rsid w:val="4EDC5312"/>
    <w:rsid w:val="4EE10C22"/>
    <w:rsid w:val="4EE6629E"/>
    <w:rsid w:val="4EEE2F1C"/>
    <w:rsid w:val="4EF4503D"/>
    <w:rsid w:val="4F09555D"/>
    <w:rsid w:val="4F1639AF"/>
    <w:rsid w:val="4F25241D"/>
    <w:rsid w:val="4F27643E"/>
    <w:rsid w:val="4F44190C"/>
    <w:rsid w:val="4F564B65"/>
    <w:rsid w:val="4F580701"/>
    <w:rsid w:val="4F592604"/>
    <w:rsid w:val="4F604B42"/>
    <w:rsid w:val="4F6575E9"/>
    <w:rsid w:val="4F6C7648"/>
    <w:rsid w:val="4F7A37D0"/>
    <w:rsid w:val="4F941A1E"/>
    <w:rsid w:val="4F9E45CB"/>
    <w:rsid w:val="4FA55AF5"/>
    <w:rsid w:val="4FAF54C7"/>
    <w:rsid w:val="4FBE7A50"/>
    <w:rsid w:val="4FC45505"/>
    <w:rsid w:val="4FCD754A"/>
    <w:rsid w:val="4FCF415B"/>
    <w:rsid w:val="4FD04524"/>
    <w:rsid w:val="4FD36BF8"/>
    <w:rsid w:val="4FD64932"/>
    <w:rsid w:val="4FDF0AB8"/>
    <w:rsid w:val="4FE47AA2"/>
    <w:rsid w:val="4FE47FC5"/>
    <w:rsid w:val="4FE917B6"/>
    <w:rsid w:val="4FE95025"/>
    <w:rsid w:val="4FEA0A34"/>
    <w:rsid w:val="4FF07F9F"/>
    <w:rsid w:val="4FF83B5E"/>
    <w:rsid w:val="50033932"/>
    <w:rsid w:val="500442FB"/>
    <w:rsid w:val="500B2A88"/>
    <w:rsid w:val="500F732D"/>
    <w:rsid w:val="501205A2"/>
    <w:rsid w:val="50160CC3"/>
    <w:rsid w:val="501D127C"/>
    <w:rsid w:val="50224769"/>
    <w:rsid w:val="50254C96"/>
    <w:rsid w:val="50337421"/>
    <w:rsid w:val="50340186"/>
    <w:rsid w:val="503E7BC3"/>
    <w:rsid w:val="50454FD6"/>
    <w:rsid w:val="50471632"/>
    <w:rsid w:val="50497306"/>
    <w:rsid w:val="504B4D6E"/>
    <w:rsid w:val="504E4E6A"/>
    <w:rsid w:val="50663EBF"/>
    <w:rsid w:val="50790AC5"/>
    <w:rsid w:val="507E01BB"/>
    <w:rsid w:val="507E4C0C"/>
    <w:rsid w:val="50810299"/>
    <w:rsid w:val="50886F13"/>
    <w:rsid w:val="50954483"/>
    <w:rsid w:val="50986BDA"/>
    <w:rsid w:val="50A90F4F"/>
    <w:rsid w:val="50AA3AFC"/>
    <w:rsid w:val="50B133C3"/>
    <w:rsid w:val="50BA61A1"/>
    <w:rsid w:val="50BC3607"/>
    <w:rsid w:val="50CE20CC"/>
    <w:rsid w:val="50CE4889"/>
    <w:rsid w:val="50D04690"/>
    <w:rsid w:val="50D255D0"/>
    <w:rsid w:val="50D976F5"/>
    <w:rsid w:val="50DC5135"/>
    <w:rsid w:val="50DC6BC8"/>
    <w:rsid w:val="50DD5F5D"/>
    <w:rsid w:val="50E760A3"/>
    <w:rsid w:val="50ED18FC"/>
    <w:rsid w:val="50F81FDD"/>
    <w:rsid w:val="510001F6"/>
    <w:rsid w:val="510541BF"/>
    <w:rsid w:val="510B5ED5"/>
    <w:rsid w:val="51162080"/>
    <w:rsid w:val="51166EF9"/>
    <w:rsid w:val="511C62F1"/>
    <w:rsid w:val="511D7396"/>
    <w:rsid w:val="513C0476"/>
    <w:rsid w:val="513D7B66"/>
    <w:rsid w:val="51431D27"/>
    <w:rsid w:val="515322F8"/>
    <w:rsid w:val="51603CB7"/>
    <w:rsid w:val="516738E8"/>
    <w:rsid w:val="516C08E4"/>
    <w:rsid w:val="517A1060"/>
    <w:rsid w:val="51882F71"/>
    <w:rsid w:val="518B07AE"/>
    <w:rsid w:val="518E2BFD"/>
    <w:rsid w:val="518E6B4D"/>
    <w:rsid w:val="518F0440"/>
    <w:rsid w:val="519427C5"/>
    <w:rsid w:val="51962773"/>
    <w:rsid w:val="519C78B6"/>
    <w:rsid w:val="51AB5790"/>
    <w:rsid w:val="51AD0B89"/>
    <w:rsid w:val="51C73A22"/>
    <w:rsid w:val="51C809CE"/>
    <w:rsid w:val="51C930E8"/>
    <w:rsid w:val="51D860AE"/>
    <w:rsid w:val="51DB2213"/>
    <w:rsid w:val="51DD7091"/>
    <w:rsid w:val="51E36272"/>
    <w:rsid w:val="51EE6ED3"/>
    <w:rsid w:val="51F77A4B"/>
    <w:rsid w:val="51FB40F4"/>
    <w:rsid w:val="51FD6D6D"/>
    <w:rsid w:val="52083E3C"/>
    <w:rsid w:val="520B3EA6"/>
    <w:rsid w:val="521E495A"/>
    <w:rsid w:val="52222A50"/>
    <w:rsid w:val="522F352F"/>
    <w:rsid w:val="523F41F1"/>
    <w:rsid w:val="52475A14"/>
    <w:rsid w:val="52521490"/>
    <w:rsid w:val="525769FC"/>
    <w:rsid w:val="526A6404"/>
    <w:rsid w:val="526C22CB"/>
    <w:rsid w:val="527F6FEA"/>
    <w:rsid w:val="52876E22"/>
    <w:rsid w:val="528A65D5"/>
    <w:rsid w:val="5291168A"/>
    <w:rsid w:val="529D3717"/>
    <w:rsid w:val="529E261D"/>
    <w:rsid w:val="52A82AE3"/>
    <w:rsid w:val="52AF617F"/>
    <w:rsid w:val="52AF6614"/>
    <w:rsid w:val="52BC289F"/>
    <w:rsid w:val="52C04713"/>
    <w:rsid w:val="52C06506"/>
    <w:rsid w:val="52C17F72"/>
    <w:rsid w:val="52C52A87"/>
    <w:rsid w:val="52C530BB"/>
    <w:rsid w:val="52D6081E"/>
    <w:rsid w:val="52DE5558"/>
    <w:rsid w:val="52E304A1"/>
    <w:rsid w:val="52E46607"/>
    <w:rsid w:val="530150A6"/>
    <w:rsid w:val="53112B55"/>
    <w:rsid w:val="531518EF"/>
    <w:rsid w:val="531F4D7E"/>
    <w:rsid w:val="53223C4A"/>
    <w:rsid w:val="532C039B"/>
    <w:rsid w:val="532F25A1"/>
    <w:rsid w:val="533151B8"/>
    <w:rsid w:val="533B4BDA"/>
    <w:rsid w:val="534171A8"/>
    <w:rsid w:val="53446B13"/>
    <w:rsid w:val="53461BB3"/>
    <w:rsid w:val="534E27F4"/>
    <w:rsid w:val="535302BE"/>
    <w:rsid w:val="53665535"/>
    <w:rsid w:val="53736A2A"/>
    <w:rsid w:val="53791255"/>
    <w:rsid w:val="53827B26"/>
    <w:rsid w:val="53844723"/>
    <w:rsid w:val="5387322C"/>
    <w:rsid w:val="538B6E2C"/>
    <w:rsid w:val="538D5C24"/>
    <w:rsid w:val="5395790C"/>
    <w:rsid w:val="539A6C94"/>
    <w:rsid w:val="53A80579"/>
    <w:rsid w:val="53A868D9"/>
    <w:rsid w:val="53B203E4"/>
    <w:rsid w:val="53B37A9E"/>
    <w:rsid w:val="53B46776"/>
    <w:rsid w:val="53B71E3D"/>
    <w:rsid w:val="53B72D2C"/>
    <w:rsid w:val="53C15FC3"/>
    <w:rsid w:val="53CD44E6"/>
    <w:rsid w:val="53CE1C72"/>
    <w:rsid w:val="53D947E7"/>
    <w:rsid w:val="53D94D31"/>
    <w:rsid w:val="53E57965"/>
    <w:rsid w:val="53EF08A6"/>
    <w:rsid w:val="53F8001A"/>
    <w:rsid w:val="5404756E"/>
    <w:rsid w:val="5408650D"/>
    <w:rsid w:val="54105988"/>
    <w:rsid w:val="541A46C5"/>
    <w:rsid w:val="541F6CA6"/>
    <w:rsid w:val="542963D1"/>
    <w:rsid w:val="542B06B6"/>
    <w:rsid w:val="542E1937"/>
    <w:rsid w:val="54373AB8"/>
    <w:rsid w:val="5441703F"/>
    <w:rsid w:val="54441181"/>
    <w:rsid w:val="5445447C"/>
    <w:rsid w:val="545827D7"/>
    <w:rsid w:val="54751A27"/>
    <w:rsid w:val="54785B44"/>
    <w:rsid w:val="547903A3"/>
    <w:rsid w:val="547D2B60"/>
    <w:rsid w:val="549555E2"/>
    <w:rsid w:val="54A422B8"/>
    <w:rsid w:val="54A50013"/>
    <w:rsid w:val="54A83051"/>
    <w:rsid w:val="54A97BB6"/>
    <w:rsid w:val="54B464C3"/>
    <w:rsid w:val="54B813E9"/>
    <w:rsid w:val="54B83ADA"/>
    <w:rsid w:val="54BD2D6B"/>
    <w:rsid w:val="54C35E5C"/>
    <w:rsid w:val="54CB2443"/>
    <w:rsid w:val="54CB30D9"/>
    <w:rsid w:val="54CE113F"/>
    <w:rsid w:val="54CF6BE8"/>
    <w:rsid w:val="54D311D6"/>
    <w:rsid w:val="54D55E63"/>
    <w:rsid w:val="54DE3408"/>
    <w:rsid w:val="54F01DAF"/>
    <w:rsid w:val="54F519CE"/>
    <w:rsid w:val="54F528B8"/>
    <w:rsid w:val="54FA46AD"/>
    <w:rsid w:val="54FE057D"/>
    <w:rsid w:val="54FF1786"/>
    <w:rsid w:val="550161A7"/>
    <w:rsid w:val="55022A19"/>
    <w:rsid w:val="550720F3"/>
    <w:rsid w:val="552A1EFF"/>
    <w:rsid w:val="55313A24"/>
    <w:rsid w:val="55335255"/>
    <w:rsid w:val="55336DD6"/>
    <w:rsid w:val="55425E84"/>
    <w:rsid w:val="55505074"/>
    <w:rsid w:val="555E3C8A"/>
    <w:rsid w:val="55634300"/>
    <w:rsid w:val="556A084A"/>
    <w:rsid w:val="556B5274"/>
    <w:rsid w:val="55723134"/>
    <w:rsid w:val="557F26FB"/>
    <w:rsid w:val="55814705"/>
    <w:rsid w:val="558765D2"/>
    <w:rsid w:val="559E62C6"/>
    <w:rsid w:val="55AC2A1D"/>
    <w:rsid w:val="55BB6071"/>
    <w:rsid w:val="55BD57BD"/>
    <w:rsid w:val="55C52CB1"/>
    <w:rsid w:val="55D86810"/>
    <w:rsid w:val="55E829DA"/>
    <w:rsid w:val="55EE762F"/>
    <w:rsid w:val="55F35D2F"/>
    <w:rsid w:val="55F36D31"/>
    <w:rsid w:val="560A6EA4"/>
    <w:rsid w:val="560C1C79"/>
    <w:rsid w:val="56134A34"/>
    <w:rsid w:val="56242F51"/>
    <w:rsid w:val="562435B0"/>
    <w:rsid w:val="56273B21"/>
    <w:rsid w:val="563071ED"/>
    <w:rsid w:val="563E283D"/>
    <w:rsid w:val="564512F2"/>
    <w:rsid w:val="56542CC6"/>
    <w:rsid w:val="56636C2F"/>
    <w:rsid w:val="56657DD6"/>
    <w:rsid w:val="567042C9"/>
    <w:rsid w:val="567E3F47"/>
    <w:rsid w:val="5680063E"/>
    <w:rsid w:val="56806F4E"/>
    <w:rsid w:val="56895B6C"/>
    <w:rsid w:val="568C6120"/>
    <w:rsid w:val="56934E6B"/>
    <w:rsid w:val="56AA5523"/>
    <w:rsid w:val="56AC5844"/>
    <w:rsid w:val="56B01FDD"/>
    <w:rsid w:val="56B305D6"/>
    <w:rsid w:val="56C13D7F"/>
    <w:rsid w:val="56C66D69"/>
    <w:rsid w:val="56CA570E"/>
    <w:rsid w:val="56D92F6E"/>
    <w:rsid w:val="56EB6B58"/>
    <w:rsid w:val="56F160AC"/>
    <w:rsid w:val="56F246C4"/>
    <w:rsid w:val="570E463B"/>
    <w:rsid w:val="57117464"/>
    <w:rsid w:val="571E565A"/>
    <w:rsid w:val="571F0743"/>
    <w:rsid w:val="572068B0"/>
    <w:rsid w:val="573904D6"/>
    <w:rsid w:val="57602C1A"/>
    <w:rsid w:val="57634243"/>
    <w:rsid w:val="5766483B"/>
    <w:rsid w:val="576A6F9F"/>
    <w:rsid w:val="5771743E"/>
    <w:rsid w:val="57771C22"/>
    <w:rsid w:val="577B09D9"/>
    <w:rsid w:val="577B6C51"/>
    <w:rsid w:val="577C35BE"/>
    <w:rsid w:val="57877FD3"/>
    <w:rsid w:val="578D3B0C"/>
    <w:rsid w:val="578F7440"/>
    <w:rsid w:val="57914896"/>
    <w:rsid w:val="57972F4F"/>
    <w:rsid w:val="57996CA1"/>
    <w:rsid w:val="579D55D2"/>
    <w:rsid w:val="57A114A2"/>
    <w:rsid w:val="57BD6A99"/>
    <w:rsid w:val="57C6627D"/>
    <w:rsid w:val="57CE326D"/>
    <w:rsid w:val="57D56067"/>
    <w:rsid w:val="57DF3072"/>
    <w:rsid w:val="57E71935"/>
    <w:rsid w:val="57F6781C"/>
    <w:rsid w:val="580224B1"/>
    <w:rsid w:val="580A18F8"/>
    <w:rsid w:val="580B0C92"/>
    <w:rsid w:val="580E7952"/>
    <w:rsid w:val="581A40E5"/>
    <w:rsid w:val="581B665F"/>
    <w:rsid w:val="58385A19"/>
    <w:rsid w:val="583D12B5"/>
    <w:rsid w:val="584C467A"/>
    <w:rsid w:val="58564010"/>
    <w:rsid w:val="585E4CEA"/>
    <w:rsid w:val="586D185C"/>
    <w:rsid w:val="586E1F56"/>
    <w:rsid w:val="587156F6"/>
    <w:rsid w:val="587568B5"/>
    <w:rsid w:val="58762FAF"/>
    <w:rsid w:val="587B7B01"/>
    <w:rsid w:val="58887114"/>
    <w:rsid w:val="588C7BA9"/>
    <w:rsid w:val="58951737"/>
    <w:rsid w:val="58A663BF"/>
    <w:rsid w:val="58A8475E"/>
    <w:rsid w:val="58B27438"/>
    <w:rsid w:val="58BA2510"/>
    <w:rsid w:val="58C7228F"/>
    <w:rsid w:val="58D012A0"/>
    <w:rsid w:val="58E12CDA"/>
    <w:rsid w:val="58E66F51"/>
    <w:rsid w:val="58F024D3"/>
    <w:rsid w:val="58F66800"/>
    <w:rsid w:val="58FE34CE"/>
    <w:rsid w:val="5900556E"/>
    <w:rsid w:val="5910618D"/>
    <w:rsid w:val="59167F0F"/>
    <w:rsid w:val="591E7756"/>
    <w:rsid w:val="59243179"/>
    <w:rsid w:val="593A439E"/>
    <w:rsid w:val="593C0FEE"/>
    <w:rsid w:val="59434C5F"/>
    <w:rsid w:val="59447D0F"/>
    <w:rsid w:val="59593410"/>
    <w:rsid w:val="59597EA9"/>
    <w:rsid w:val="59666FD0"/>
    <w:rsid w:val="597B2D09"/>
    <w:rsid w:val="597B713A"/>
    <w:rsid w:val="597D4C4A"/>
    <w:rsid w:val="597F0FC5"/>
    <w:rsid w:val="59807E10"/>
    <w:rsid w:val="59890F39"/>
    <w:rsid w:val="598A70E6"/>
    <w:rsid w:val="59A16026"/>
    <w:rsid w:val="59AC67BA"/>
    <w:rsid w:val="59AE16AF"/>
    <w:rsid w:val="59B54FFD"/>
    <w:rsid w:val="59B57E4C"/>
    <w:rsid w:val="59B70430"/>
    <w:rsid w:val="59C149C2"/>
    <w:rsid w:val="59C232F1"/>
    <w:rsid w:val="59E00C4F"/>
    <w:rsid w:val="59E54182"/>
    <w:rsid w:val="59EC21A1"/>
    <w:rsid w:val="59F823A8"/>
    <w:rsid w:val="5A011FDA"/>
    <w:rsid w:val="5A0209CD"/>
    <w:rsid w:val="5A0711BD"/>
    <w:rsid w:val="5A0F4CB5"/>
    <w:rsid w:val="5A11360D"/>
    <w:rsid w:val="5A14185C"/>
    <w:rsid w:val="5A1E393D"/>
    <w:rsid w:val="5A235805"/>
    <w:rsid w:val="5A3A032E"/>
    <w:rsid w:val="5A3B6E8B"/>
    <w:rsid w:val="5A3F220C"/>
    <w:rsid w:val="5A4E3CF8"/>
    <w:rsid w:val="5A567C3A"/>
    <w:rsid w:val="5A5F6CEF"/>
    <w:rsid w:val="5A6603B8"/>
    <w:rsid w:val="5A6763FF"/>
    <w:rsid w:val="5A69581D"/>
    <w:rsid w:val="5A6D0D03"/>
    <w:rsid w:val="5A7A2847"/>
    <w:rsid w:val="5A7D0F3C"/>
    <w:rsid w:val="5A7E0E0E"/>
    <w:rsid w:val="5A851156"/>
    <w:rsid w:val="5A8550CF"/>
    <w:rsid w:val="5A855437"/>
    <w:rsid w:val="5A8861FC"/>
    <w:rsid w:val="5A976837"/>
    <w:rsid w:val="5A9A6E15"/>
    <w:rsid w:val="5A9B764B"/>
    <w:rsid w:val="5AA05B27"/>
    <w:rsid w:val="5AA3626B"/>
    <w:rsid w:val="5AA73161"/>
    <w:rsid w:val="5AA97502"/>
    <w:rsid w:val="5AAA738F"/>
    <w:rsid w:val="5AAB7C17"/>
    <w:rsid w:val="5AB12437"/>
    <w:rsid w:val="5ABE3A85"/>
    <w:rsid w:val="5ACF477C"/>
    <w:rsid w:val="5AD9175D"/>
    <w:rsid w:val="5ADB2F8A"/>
    <w:rsid w:val="5ADD6630"/>
    <w:rsid w:val="5AE37909"/>
    <w:rsid w:val="5AE731D0"/>
    <w:rsid w:val="5AEC4FB0"/>
    <w:rsid w:val="5AF201A3"/>
    <w:rsid w:val="5AF21846"/>
    <w:rsid w:val="5AFE7388"/>
    <w:rsid w:val="5B0941A9"/>
    <w:rsid w:val="5B1D74CF"/>
    <w:rsid w:val="5B211CCD"/>
    <w:rsid w:val="5B213ED2"/>
    <w:rsid w:val="5B223D51"/>
    <w:rsid w:val="5B285DB7"/>
    <w:rsid w:val="5B2A5CEC"/>
    <w:rsid w:val="5B2E4A55"/>
    <w:rsid w:val="5B3A11A0"/>
    <w:rsid w:val="5B4857A8"/>
    <w:rsid w:val="5B494AD7"/>
    <w:rsid w:val="5B582F46"/>
    <w:rsid w:val="5B5C47A5"/>
    <w:rsid w:val="5B5F571C"/>
    <w:rsid w:val="5B60132F"/>
    <w:rsid w:val="5B6664DF"/>
    <w:rsid w:val="5B671FDF"/>
    <w:rsid w:val="5B712356"/>
    <w:rsid w:val="5B8A62A5"/>
    <w:rsid w:val="5B8F0F10"/>
    <w:rsid w:val="5B950720"/>
    <w:rsid w:val="5B9B16AE"/>
    <w:rsid w:val="5B9F2C3A"/>
    <w:rsid w:val="5BA62F28"/>
    <w:rsid w:val="5BA84A80"/>
    <w:rsid w:val="5BA91C47"/>
    <w:rsid w:val="5BAB22BE"/>
    <w:rsid w:val="5BAF7015"/>
    <w:rsid w:val="5BB66D8D"/>
    <w:rsid w:val="5BBE1E03"/>
    <w:rsid w:val="5BBF6B37"/>
    <w:rsid w:val="5BC22418"/>
    <w:rsid w:val="5BC91C84"/>
    <w:rsid w:val="5BCD3928"/>
    <w:rsid w:val="5BDB2FD6"/>
    <w:rsid w:val="5BE97039"/>
    <w:rsid w:val="5BEC1A5C"/>
    <w:rsid w:val="5BED360F"/>
    <w:rsid w:val="5BFA670C"/>
    <w:rsid w:val="5C030EAC"/>
    <w:rsid w:val="5C052306"/>
    <w:rsid w:val="5C0E3DBF"/>
    <w:rsid w:val="5C1E1738"/>
    <w:rsid w:val="5C2470F5"/>
    <w:rsid w:val="5C260ED7"/>
    <w:rsid w:val="5C274363"/>
    <w:rsid w:val="5C28396C"/>
    <w:rsid w:val="5C2F4D65"/>
    <w:rsid w:val="5C453383"/>
    <w:rsid w:val="5C4A6E17"/>
    <w:rsid w:val="5C4D63F6"/>
    <w:rsid w:val="5C5801CF"/>
    <w:rsid w:val="5C5E6016"/>
    <w:rsid w:val="5C6004B2"/>
    <w:rsid w:val="5C616700"/>
    <w:rsid w:val="5C9424F2"/>
    <w:rsid w:val="5C9579DF"/>
    <w:rsid w:val="5CA10422"/>
    <w:rsid w:val="5CA86AC7"/>
    <w:rsid w:val="5CAD7863"/>
    <w:rsid w:val="5CB25066"/>
    <w:rsid w:val="5CB735D1"/>
    <w:rsid w:val="5CBD5788"/>
    <w:rsid w:val="5CBF1ACA"/>
    <w:rsid w:val="5CC3748E"/>
    <w:rsid w:val="5CDA03BD"/>
    <w:rsid w:val="5CDA4800"/>
    <w:rsid w:val="5CE83242"/>
    <w:rsid w:val="5CEE298E"/>
    <w:rsid w:val="5CF12E67"/>
    <w:rsid w:val="5CF363AF"/>
    <w:rsid w:val="5CF54DCC"/>
    <w:rsid w:val="5CFB0C98"/>
    <w:rsid w:val="5D077317"/>
    <w:rsid w:val="5D11285A"/>
    <w:rsid w:val="5D302779"/>
    <w:rsid w:val="5D353683"/>
    <w:rsid w:val="5D3E4633"/>
    <w:rsid w:val="5D3F0449"/>
    <w:rsid w:val="5D3F7480"/>
    <w:rsid w:val="5D5D3144"/>
    <w:rsid w:val="5D5D4B2F"/>
    <w:rsid w:val="5D677493"/>
    <w:rsid w:val="5D733A05"/>
    <w:rsid w:val="5D781D10"/>
    <w:rsid w:val="5D8560E7"/>
    <w:rsid w:val="5D8A326E"/>
    <w:rsid w:val="5D8B579D"/>
    <w:rsid w:val="5D8F6E8C"/>
    <w:rsid w:val="5D91227B"/>
    <w:rsid w:val="5D9616D3"/>
    <w:rsid w:val="5D9D0CBF"/>
    <w:rsid w:val="5DA630FD"/>
    <w:rsid w:val="5DAD534C"/>
    <w:rsid w:val="5DC85C22"/>
    <w:rsid w:val="5DD051EB"/>
    <w:rsid w:val="5DD81B64"/>
    <w:rsid w:val="5DDD0C01"/>
    <w:rsid w:val="5DDF2C78"/>
    <w:rsid w:val="5DDF7118"/>
    <w:rsid w:val="5DE00FDA"/>
    <w:rsid w:val="5DE01E22"/>
    <w:rsid w:val="5DEF4C41"/>
    <w:rsid w:val="5DF62864"/>
    <w:rsid w:val="5DF748A1"/>
    <w:rsid w:val="5E0D293F"/>
    <w:rsid w:val="5E202A9E"/>
    <w:rsid w:val="5E240F35"/>
    <w:rsid w:val="5E404CEC"/>
    <w:rsid w:val="5E496763"/>
    <w:rsid w:val="5E4D377B"/>
    <w:rsid w:val="5E4F14E2"/>
    <w:rsid w:val="5E603C90"/>
    <w:rsid w:val="5E6370C3"/>
    <w:rsid w:val="5E6A4AF0"/>
    <w:rsid w:val="5E711A1D"/>
    <w:rsid w:val="5E7E7B68"/>
    <w:rsid w:val="5E8169BF"/>
    <w:rsid w:val="5E98432F"/>
    <w:rsid w:val="5EBA2845"/>
    <w:rsid w:val="5EBC2909"/>
    <w:rsid w:val="5ECD76EA"/>
    <w:rsid w:val="5EDD1A1E"/>
    <w:rsid w:val="5EDD480C"/>
    <w:rsid w:val="5EE808AE"/>
    <w:rsid w:val="5EF31786"/>
    <w:rsid w:val="5EFA7753"/>
    <w:rsid w:val="5EFE38FC"/>
    <w:rsid w:val="5F012BE5"/>
    <w:rsid w:val="5F0A3A8C"/>
    <w:rsid w:val="5F0C468E"/>
    <w:rsid w:val="5F0E388F"/>
    <w:rsid w:val="5F1D72DD"/>
    <w:rsid w:val="5F247692"/>
    <w:rsid w:val="5F371E83"/>
    <w:rsid w:val="5F43355C"/>
    <w:rsid w:val="5F4C3449"/>
    <w:rsid w:val="5F5471F1"/>
    <w:rsid w:val="5F5605A0"/>
    <w:rsid w:val="5F5C293C"/>
    <w:rsid w:val="5F6A7F6F"/>
    <w:rsid w:val="5F784350"/>
    <w:rsid w:val="5F7D6B95"/>
    <w:rsid w:val="5F823EA9"/>
    <w:rsid w:val="5F8C4BD5"/>
    <w:rsid w:val="5F951DF1"/>
    <w:rsid w:val="5F9C032F"/>
    <w:rsid w:val="5F9C39D1"/>
    <w:rsid w:val="5FA0271F"/>
    <w:rsid w:val="5FA963AF"/>
    <w:rsid w:val="5FBA7CC6"/>
    <w:rsid w:val="5FBF6EFC"/>
    <w:rsid w:val="5FC1013E"/>
    <w:rsid w:val="5FC578AF"/>
    <w:rsid w:val="5FCA6B2D"/>
    <w:rsid w:val="5FCB48CD"/>
    <w:rsid w:val="5FCF6899"/>
    <w:rsid w:val="5FD2346E"/>
    <w:rsid w:val="5FD80FBE"/>
    <w:rsid w:val="5FD96365"/>
    <w:rsid w:val="5FE05B5E"/>
    <w:rsid w:val="5FE26BF9"/>
    <w:rsid w:val="5FFC4483"/>
    <w:rsid w:val="60094D2C"/>
    <w:rsid w:val="602907ED"/>
    <w:rsid w:val="602A3F9D"/>
    <w:rsid w:val="603D2D3B"/>
    <w:rsid w:val="60475C4F"/>
    <w:rsid w:val="604E270A"/>
    <w:rsid w:val="605A79EE"/>
    <w:rsid w:val="607764FE"/>
    <w:rsid w:val="607E3AFB"/>
    <w:rsid w:val="60805093"/>
    <w:rsid w:val="608B1B75"/>
    <w:rsid w:val="60997A7B"/>
    <w:rsid w:val="609A1057"/>
    <w:rsid w:val="60AE54C3"/>
    <w:rsid w:val="60BF2F8F"/>
    <w:rsid w:val="60C00554"/>
    <w:rsid w:val="60C517C4"/>
    <w:rsid w:val="60C773AA"/>
    <w:rsid w:val="60D14602"/>
    <w:rsid w:val="60D567E5"/>
    <w:rsid w:val="60DF12F6"/>
    <w:rsid w:val="60EA7A30"/>
    <w:rsid w:val="60F81F00"/>
    <w:rsid w:val="60FF6C32"/>
    <w:rsid w:val="61015D7B"/>
    <w:rsid w:val="610E1472"/>
    <w:rsid w:val="6110361A"/>
    <w:rsid w:val="61140905"/>
    <w:rsid w:val="611A2491"/>
    <w:rsid w:val="611B7449"/>
    <w:rsid w:val="61343992"/>
    <w:rsid w:val="613A368A"/>
    <w:rsid w:val="613F235B"/>
    <w:rsid w:val="61417E8D"/>
    <w:rsid w:val="6150209C"/>
    <w:rsid w:val="61592FD1"/>
    <w:rsid w:val="61633C51"/>
    <w:rsid w:val="616403C9"/>
    <w:rsid w:val="6170605B"/>
    <w:rsid w:val="61856FFD"/>
    <w:rsid w:val="618D04D2"/>
    <w:rsid w:val="61937DE6"/>
    <w:rsid w:val="619A7498"/>
    <w:rsid w:val="619D2C02"/>
    <w:rsid w:val="61A35780"/>
    <w:rsid w:val="61AF2933"/>
    <w:rsid w:val="61B372F7"/>
    <w:rsid w:val="61BC26DE"/>
    <w:rsid w:val="61C77E29"/>
    <w:rsid w:val="61CA2DDD"/>
    <w:rsid w:val="61D84169"/>
    <w:rsid w:val="61DB2D1E"/>
    <w:rsid w:val="61E322C9"/>
    <w:rsid w:val="61E66335"/>
    <w:rsid w:val="61E96CB3"/>
    <w:rsid w:val="61F12870"/>
    <w:rsid w:val="62097A86"/>
    <w:rsid w:val="620F4603"/>
    <w:rsid w:val="622D7AAB"/>
    <w:rsid w:val="62353712"/>
    <w:rsid w:val="62366B6B"/>
    <w:rsid w:val="623675F6"/>
    <w:rsid w:val="623A5F12"/>
    <w:rsid w:val="62434137"/>
    <w:rsid w:val="62492067"/>
    <w:rsid w:val="62620E8D"/>
    <w:rsid w:val="62696740"/>
    <w:rsid w:val="6274669A"/>
    <w:rsid w:val="62786EF5"/>
    <w:rsid w:val="627E3938"/>
    <w:rsid w:val="628F7407"/>
    <w:rsid w:val="628F7750"/>
    <w:rsid w:val="6293185C"/>
    <w:rsid w:val="62997343"/>
    <w:rsid w:val="629D0B33"/>
    <w:rsid w:val="62A43F2F"/>
    <w:rsid w:val="62A85D5A"/>
    <w:rsid w:val="62A962A9"/>
    <w:rsid w:val="62B06D08"/>
    <w:rsid w:val="62BA0727"/>
    <w:rsid w:val="62C409EB"/>
    <w:rsid w:val="62C467A7"/>
    <w:rsid w:val="62D30D82"/>
    <w:rsid w:val="62D3744B"/>
    <w:rsid w:val="62D61745"/>
    <w:rsid w:val="62DC4E1A"/>
    <w:rsid w:val="62E278AB"/>
    <w:rsid w:val="62E73B0D"/>
    <w:rsid w:val="62E857EB"/>
    <w:rsid w:val="62ED3BFB"/>
    <w:rsid w:val="62EE459F"/>
    <w:rsid w:val="62FB0972"/>
    <w:rsid w:val="630B22DA"/>
    <w:rsid w:val="630F0237"/>
    <w:rsid w:val="63167C26"/>
    <w:rsid w:val="63297666"/>
    <w:rsid w:val="63354232"/>
    <w:rsid w:val="633D0C68"/>
    <w:rsid w:val="63461C21"/>
    <w:rsid w:val="635504E7"/>
    <w:rsid w:val="635B59F7"/>
    <w:rsid w:val="635B7EBB"/>
    <w:rsid w:val="635C0F4F"/>
    <w:rsid w:val="6361757D"/>
    <w:rsid w:val="636E0999"/>
    <w:rsid w:val="63834036"/>
    <w:rsid w:val="63847EBE"/>
    <w:rsid w:val="638A37D2"/>
    <w:rsid w:val="63953AD9"/>
    <w:rsid w:val="639B23B6"/>
    <w:rsid w:val="63A67A01"/>
    <w:rsid w:val="63AA6096"/>
    <w:rsid w:val="63C24C59"/>
    <w:rsid w:val="63CC4164"/>
    <w:rsid w:val="63CF01C4"/>
    <w:rsid w:val="63D71292"/>
    <w:rsid w:val="63E00D8C"/>
    <w:rsid w:val="63E44E26"/>
    <w:rsid w:val="63F8368E"/>
    <w:rsid w:val="63FD5AA1"/>
    <w:rsid w:val="64014A2C"/>
    <w:rsid w:val="64042958"/>
    <w:rsid w:val="64061DE5"/>
    <w:rsid w:val="6406775E"/>
    <w:rsid w:val="640B1CFD"/>
    <w:rsid w:val="640B40C9"/>
    <w:rsid w:val="640D63C1"/>
    <w:rsid w:val="640E1284"/>
    <w:rsid w:val="6419212D"/>
    <w:rsid w:val="641B20FF"/>
    <w:rsid w:val="641E4920"/>
    <w:rsid w:val="6422079A"/>
    <w:rsid w:val="64242458"/>
    <w:rsid w:val="64265149"/>
    <w:rsid w:val="642A5CC1"/>
    <w:rsid w:val="642C2419"/>
    <w:rsid w:val="642C795B"/>
    <w:rsid w:val="6438311C"/>
    <w:rsid w:val="643C590C"/>
    <w:rsid w:val="644138D8"/>
    <w:rsid w:val="64420333"/>
    <w:rsid w:val="64517684"/>
    <w:rsid w:val="64537DA4"/>
    <w:rsid w:val="645A62B9"/>
    <w:rsid w:val="64643155"/>
    <w:rsid w:val="647238EB"/>
    <w:rsid w:val="64726E5D"/>
    <w:rsid w:val="64745879"/>
    <w:rsid w:val="64776FF1"/>
    <w:rsid w:val="64831C72"/>
    <w:rsid w:val="648A7AB4"/>
    <w:rsid w:val="6494274C"/>
    <w:rsid w:val="64993195"/>
    <w:rsid w:val="649B324A"/>
    <w:rsid w:val="64A3701B"/>
    <w:rsid w:val="64A53A6D"/>
    <w:rsid w:val="64A67BE1"/>
    <w:rsid w:val="64AD220C"/>
    <w:rsid w:val="64B17EB1"/>
    <w:rsid w:val="64B3613C"/>
    <w:rsid w:val="64B97384"/>
    <w:rsid w:val="64BA0F20"/>
    <w:rsid w:val="64BF0C98"/>
    <w:rsid w:val="64D1408B"/>
    <w:rsid w:val="64D85596"/>
    <w:rsid w:val="64D92F18"/>
    <w:rsid w:val="64E447FB"/>
    <w:rsid w:val="64F01DC5"/>
    <w:rsid w:val="64F165A9"/>
    <w:rsid w:val="64FA2F88"/>
    <w:rsid w:val="650141C0"/>
    <w:rsid w:val="65283C7D"/>
    <w:rsid w:val="65360A56"/>
    <w:rsid w:val="65402B6D"/>
    <w:rsid w:val="65456463"/>
    <w:rsid w:val="65462F10"/>
    <w:rsid w:val="654679D7"/>
    <w:rsid w:val="65624DB7"/>
    <w:rsid w:val="65671CA7"/>
    <w:rsid w:val="6567622F"/>
    <w:rsid w:val="656A2983"/>
    <w:rsid w:val="656E4F40"/>
    <w:rsid w:val="658D5BA6"/>
    <w:rsid w:val="65984DF1"/>
    <w:rsid w:val="65AB176E"/>
    <w:rsid w:val="65AB4645"/>
    <w:rsid w:val="65AB6FCC"/>
    <w:rsid w:val="65AE5305"/>
    <w:rsid w:val="65B01520"/>
    <w:rsid w:val="65BA18D8"/>
    <w:rsid w:val="65BB32AF"/>
    <w:rsid w:val="65C356D4"/>
    <w:rsid w:val="65C84E81"/>
    <w:rsid w:val="65CD6C90"/>
    <w:rsid w:val="65DD39D9"/>
    <w:rsid w:val="65E27E4E"/>
    <w:rsid w:val="65E752FB"/>
    <w:rsid w:val="65EA5682"/>
    <w:rsid w:val="65EE162D"/>
    <w:rsid w:val="65FD34F3"/>
    <w:rsid w:val="660B5EC3"/>
    <w:rsid w:val="66110FAB"/>
    <w:rsid w:val="66137345"/>
    <w:rsid w:val="6614793D"/>
    <w:rsid w:val="6622041A"/>
    <w:rsid w:val="66273FB0"/>
    <w:rsid w:val="662F093E"/>
    <w:rsid w:val="6630495D"/>
    <w:rsid w:val="6632562D"/>
    <w:rsid w:val="66362EC7"/>
    <w:rsid w:val="663A25BC"/>
    <w:rsid w:val="663C168D"/>
    <w:rsid w:val="663C2969"/>
    <w:rsid w:val="665702A2"/>
    <w:rsid w:val="6658071D"/>
    <w:rsid w:val="66655577"/>
    <w:rsid w:val="666A4F9C"/>
    <w:rsid w:val="666F1745"/>
    <w:rsid w:val="668650F6"/>
    <w:rsid w:val="66880ED6"/>
    <w:rsid w:val="669D704F"/>
    <w:rsid w:val="66AB3EC5"/>
    <w:rsid w:val="66AC6EFC"/>
    <w:rsid w:val="66AE11BA"/>
    <w:rsid w:val="66AF654A"/>
    <w:rsid w:val="66B735A3"/>
    <w:rsid w:val="66BE385F"/>
    <w:rsid w:val="66CA3AFE"/>
    <w:rsid w:val="66E64C1D"/>
    <w:rsid w:val="66F80F79"/>
    <w:rsid w:val="66FB4D34"/>
    <w:rsid w:val="66FB4DEF"/>
    <w:rsid w:val="66FC5B33"/>
    <w:rsid w:val="67017B75"/>
    <w:rsid w:val="670D7A51"/>
    <w:rsid w:val="670F7EFF"/>
    <w:rsid w:val="671141FA"/>
    <w:rsid w:val="67276465"/>
    <w:rsid w:val="67306E47"/>
    <w:rsid w:val="67332C13"/>
    <w:rsid w:val="673F1C63"/>
    <w:rsid w:val="673F4D92"/>
    <w:rsid w:val="67417835"/>
    <w:rsid w:val="67436816"/>
    <w:rsid w:val="6746217B"/>
    <w:rsid w:val="67486EC1"/>
    <w:rsid w:val="67561BAB"/>
    <w:rsid w:val="676D25DC"/>
    <w:rsid w:val="6772777B"/>
    <w:rsid w:val="67866E1E"/>
    <w:rsid w:val="678B29F5"/>
    <w:rsid w:val="678E19F1"/>
    <w:rsid w:val="679E465B"/>
    <w:rsid w:val="67A04CD2"/>
    <w:rsid w:val="67A82CD8"/>
    <w:rsid w:val="67A91DD3"/>
    <w:rsid w:val="67AC227B"/>
    <w:rsid w:val="67AE185A"/>
    <w:rsid w:val="67BA2ED4"/>
    <w:rsid w:val="67C05953"/>
    <w:rsid w:val="67C64641"/>
    <w:rsid w:val="67CA245E"/>
    <w:rsid w:val="67CF4582"/>
    <w:rsid w:val="67CF671D"/>
    <w:rsid w:val="67FC2839"/>
    <w:rsid w:val="67FC624E"/>
    <w:rsid w:val="68024255"/>
    <w:rsid w:val="6802716F"/>
    <w:rsid w:val="6804711D"/>
    <w:rsid w:val="681362E2"/>
    <w:rsid w:val="681569AD"/>
    <w:rsid w:val="682E60E4"/>
    <w:rsid w:val="68383AB8"/>
    <w:rsid w:val="683A1B31"/>
    <w:rsid w:val="683D547E"/>
    <w:rsid w:val="68445B1F"/>
    <w:rsid w:val="68491B6C"/>
    <w:rsid w:val="6850133A"/>
    <w:rsid w:val="685D0094"/>
    <w:rsid w:val="685E4912"/>
    <w:rsid w:val="68652121"/>
    <w:rsid w:val="68861720"/>
    <w:rsid w:val="688B2F2B"/>
    <w:rsid w:val="689A6D62"/>
    <w:rsid w:val="689E3A42"/>
    <w:rsid w:val="68B93D1C"/>
    <w:rsid w:val="68C17BCC"/>
    <w:rsid w:val="68C84C8D"/>
    <w:rsid w:val="68DF13C1"/>
    <w:rsid w:val="68EC0D3E"/>
    <w:rsid w:val="68F91DF1"/>
    <w:rsid w:val="68FB7DF4"/>
    <w:rsid w:val="69024731"/>
    <w:rsid w:val="690472CF"/>
    <w:rsid w:val="691179BD"/>
    <w:rsid w:val="69144304"/>
    <w:rsid w:val="691B2E9E"/>
    <w:rsid w:val="69200B1F"/>
    <w:rsid w:val="69241560"/>
    <w:rsid w:val="692C47AF"/>
    <w:rsid w:val="6938685D"/>
    <w:rsid w:val="693929AD"/>
    <w:rsid w:val="693D1558"/>
    <w:rsid w:val="69440FB7"/>
    <w:rsid w:val="69474A61"/>
    <w:rsid w:val="69477368"/>
    <w:rsid w:val="694C3FAA"/>
    <w:rsid w:val="69503505"/>
    <w:rsid w:val="6959138E"/>
    <w:rsid w:val="695939D4"/>
    <w:rsid w:val="695A2AA4"/>
    <w:rsid w:val="695C233A"/>
    <w:rsid w:val="69635432"/>
    <w:rsid w:val="69912913"/>
    <w:rsid w:val="69914ACA"/>
    <w:rsid w:val="699F63E6"/>
    <w:rsid w:val="69A23A34"/>
    <w:rsid w:val="69A432CB"/>
    <w:rsid w:val="69B317C0"/>
    <w:rsid w:val="69C04ABB"/>
    <w:rsid w:val="69C13AA2"/>
    <w:rsid w:val="69C26E97"/>
    <w:rsid w:val="69CE4CE4"/>
    <w:rsid w:val="69D63BFC"/>
    <w:rsid w:val="6A063291"/>
    <w:rsid w:val="6A185080"/>
    <w:rsid w:val="6A253162"/>
    <w:rsid w:val="6A3A6DE0"/>
    <w:rsid w:val="6A3A7894"/>
    <w:rsid w:val="6A3C4545"/>
    <w:rsid w:val="6A432665"/>
    <w:rsid w:val="6A4877E4"/>
    <w:rsid w:val="6A4B6CD5"/>
    <w:rsid w:val="6A4E5117"/>
    <w:rsid w:val="6A4F1B24"/>
    <w:rsid w:val="6A566969"/>
    <w:rsid w:val="6A587FDF"/>
    <w:rsid w:val="6A5B70F4"/>
    <w:rsid w:val="6A633F5B"/>
    <w:rsid w:val="6A6925A2"/>
    <w:rsid w:val="6A697DC8"/>
    <w:rsid w:val="6A6D5522"/>
    <w:rsid w:val="6A71259B"/>
    <w:rsid w:val="6A836CE4"/>
    <w:rsid w:val="6A8460D6"/>
    <w:rsid w:val="6A8D584F"/>
    <w:rsid w:val="6AC26D0D"/>
    <w:rsid w:val="6ACE4D37"/>
    <w:rsid w:val="6AD85EC4"/>
    <w:rsid w:val="6ADA6F1B"/>
    <w:rsid w:val="6AE75309"/>
    <w:rsid w:val="6AF53EC5"/>
    <w:rsid w:val="6AF87F2E"/>
    <w:rsid w:val="6B134A4A"/>
    <w:rsid w:val="6B175FFC"/>
    <w:rsid w:val="6B274C50"/>
    <w:rsid w:val="6B2F0954"/>
    <w:rsid w:val="6B311935"/>
    <w:rsid w:val="6B355505"/>
    <w:rsid w:val="6B356DD6"/>
    <w:rsid w:val="6B3C3D32"/>
    <w:rsid w:val="6B3E2573"/>
    <w:rsid w:val="6B3F0080"/>
    <w:rsid w:val="6B456ADD"/>
    <w:rsid w:val="6B47134E"/>
    <w:rsid w:val="6B4C029E"/>
    <w:rsid w:val="6B4D0380"/>
    <w:rsid w:val="6B5D1110"/>
    <w:rsid w:val="6B62569A"/>
    <w:rsid w:val="6B6272C8"/>
    <w:rsid w:val="6B7E05F4"/>
    <w:rsid w:val="6B8174B3"/>
    <w:rsid w:val="6B834A2D"/>
    <w:rsid w:val="6B8715D3"/>
    <w:rsid w:val="6B904428"/>
    <w:rsid w:val="6B976CC1"/>
    <w:rsid w:val="6B9D3291"/>
    <w:rsid w:val="6BCF6391"/>
    <w:rsid w:val="6BDC2AAF"/>
    <w:rsid w:val="6BE323A3"/>
    <w:rsid w:val="6BE746E9"/>
    <w:rsid w:val="6BE92BCD"/>
    <w:rsid w:val="6BFC1CD4"/>
    <w:rsid w:val="6BFF661C"/>
    <w:rsid w:val="6C050E0B"/>
    <w:rsid w:val="6C055656"/>
    <w:rsid w:val="6C0A563E"/>
    <w:rsid w:val="6C0C5806"/>
    <w:rsid w:val="6C1006E1"/>
    <w:rsid w:val="6C1709EC"/>
    <w:rsid w:val="6C1B089B"/>
    <w:rsid w:val="6C2208AB"/>
    <w:rsid w:val="6C2814C5"/>
    <w:rsid w:val="6C326F7D"/>
    <w:rsid w:val="6C3F630A"/>
    <w:rsid w:val="6C446395"/>
    <w:rsid w:val="6C485EFF"/>
    <w:rsid w:val="6C4C0CA8"/>
    <w:rsid w:val="6C5556CC"/>
    <w:rsid w:val="6C562452"/>
    <w:rsid w:val="6C5A4886"/>
    <w:rsid w:val="6C6941C6"/>
    <w:rsid w:val="6C6D5804"/>
    <w:rsid w:val="6C6E5D6B"/>
    <w:rsid w:val="6C787CB5"/>
    <w:rsid w:val="6C7D4538"/>
    <w:rsid w:val="6C7D4C99"/>
    <w:rsid w:val="6C885DC8"/>
    <w:rsid w:val="6CA529D9"/>
    <w:rsid w:val="6CA77B25"/>
    <w:rsid w:val="6CC417E3"/>
    <w:rsid w:val="6CC771DE"/>
    <w:rsid w:val="6CCC34C8"/>
    <w:rsid w:val="6CCE16E4"/>
    <w:rsid w:val="6CDC65BA"/>
    <w:rsid w:val="6CDD3A5C"/>
    <w:rsid w:val="6CE4087E"/>
    <w:rsid w:val="6CE430A4"/>
    <w:rsid w:val="6CE82EC6"/>
    <w:rsid w:val="6CEA72C0"/>
    <w:rsid w:val="6CEC2D2F"/>
    <w:rsid w:val="6CEC60B2"/>
    <w:rsid w:val="6CF00BDF"/>
    <w:rsid w:val="6CF10365"/>
    <w:rsid w:val="6CF33C40"/>
    <w:rsid w:val="6CF76CCE"/>
    <w:rsid w:val="6CF8003C"/>
    <w:rsid w:val="6CFC1F82"/>
    <w:rsid w:val="6CFF02F3"/>
    <w:rsid w:val="6D006613"/>
    <w:rsid w:val="6D064A43"/>
    <w:rsid w:val="6D106BD4"/>
    <w:rsid w:val="6D163B89"/>
    <w:rsid w:val="6D1A43F4"/>
    <w:rsid w:val="6D252B6B"/>
    <w:rsid w:val="6D281885"/>
    <w:rsid w:val="6D346F1D"/>
    <w:rsid w:val="6D361C65"/>
    <w:rsid w:val="6D3C595C"/>
    <w:rsid w:val="6D506716"/>
    <w:rsid w:val="6D5645C6"/>
    <w:rsid w:val="6D57181B"/>
    <w:rsid w:val="6D5F137A"/>
    <w:rsid w:val="6D684EAB"/>
    <w:rsid w:val="6D6C0536"/>
    <w:rsid w:val="6D6C44AF"/>
    <w:rsid w:val="6D6D3FDF"/>
    <w:rsid w:val="6D7273BF"/>
    <w:rsid w:val="6D777BD8"/>
    <w:rsid w:val="6D8F7B39"/>
    <w:rsid w:val="6D9F1794"/>
    <w:rsid w:val="6DAB4D00"/>
    <w:rsid w:val="6DC8702A"/>
    <w:rsid w:val="6DD41E64"/>
    <w:rsid w:val="6DD53A5A"/>
    <w:rsid w:val="6DDB768F"/>
    <w:rsid w:val="6DE02F5E"/>
    <w:rsid w:val="6DE317C3"/>
    <w:rsid w:val="6DE5597F"/>
    <w:rsid w:val="6DEA2AF2"/>
    <w:rsid w:val="6DF0434D"/>
    <w:rsid w:val="6DF1202B"/>
    <w:rsid w:val="6DF27BA0"/>
    <w:rsid w:val="6DF4644E"/>
    <w:rsid w:val="6DF55E6E"/>
    <w:rsid w:val="6DF77B96"/>
    <w:rsid w:val="6E062157"/>
    <w:rsid w:val="6E0B3D67"/>
    <w:rsid w:val="6E104D52"/>
    <w:rsid w:val="6E163CFE"/>
    <w:rsid w:val="6E1A3DA9"/>
    <w:rsid w:val="6E1F3329"/>
    <w:rsid w:val="6E2414D0"/>
    <w:rsid w:val="6E2A44A5"/>
    <w:rsid w:val="6E335A5B"/>
    <w:rsid w:val="6E3621C3"/>
    <w:rsid w:val="6E453189"/>
    <w:rsid w:val="6E454CC8"/>
    <w:rsid w:val="6E490261"/>
    <w:rsid w:val="6E530820"/>
    <w:rsid w:val="6E557A22"/>
    <w:rsid w:val="6E5F0DAA"/>
    <w:rsid w:val="6E656EBC"/>
    <w:rsid w:val="6E7A2651"/>
    <w:rsid w:val="6E7B361D"/>
    <w:rsid w:val="6E8C65B7"/>
    <w:rsid w:val="6E9F1975"/>
    <w:rsid w:val="6EAE3DA2"/>
    <w:rsid w:val="6EB8360B"/>
    <w:rsid w:val="6EC4312C"/>
    <w:rsid w:val="6EDE21EB"/>
    <w:rsid w:val="6EF21B88"/>
    <w:rsid w:val="6EF62377"/>
    <w:rsid w:val="6EFF2445"/>
    <w:rsid w:val="6F000F1E"/>
    <w:rsid w:val="6F063E1D"/>
    <w:rsid w:val="6F0A2370"/>
    <w:rsid w:val="6F0A4DA8"/>
    <w:rsid w:val="6F112CE7"/>
    <w:rsid w:val="6F136B01"/>
    <w:rsid w:val="6F1404DE"/>
    <w:rsid w:val="6F1F579B"/>
    <w:rsid w:val="6F3376BD"/>
    <w:rsid w:val="6F35275C"/>
    <w:rsid w:val="6F4D5894"/>
    <w:rsid w:val="6F51203A"/>
    <w:rsid w:val="6F542E31"/>
    <w:rsid w:val="6F5A5DF8"/>
    <w:rsid w:val="6F5C3100"/>
    <w:rsid w:val="6F61120D"/>
    <w:rsid w:val="6F62091E"/>
    <w:rsid w:val="6F667723"/>
    <w:rsid w:val="6F701A97"/>
    <w:rsid w:val="6F7701D6"/>
    <w:rsid w:val="6F7F091B"/>
    <w:rsid w:val="6F7F7551"/>
    <w:rsid w:val="6F8F5BAE"/>
    <w:rsid w:val="6F9D213C"/>
    <w:rsid w:val="6FA00E69"/>
    <w:rsid w:val="6FA43E60"/>
    <w:rsid w:val="6FA628FC"/>
    <w:rsid w:val="6FA808D1"/>
    <w:rsid w:val="6FA85C0E"/>
    <w:rsid w:val="6FA86512"/>
    <w:rsid w:val="6FA86B05"/>
    <w:rsid w:val="6FAF09D1"/>
    <w:rsid w:val="6FCA4CE0"/>
    <w:rsid w:val="6FCD31B3"/>
    <w:rsid w:val="6FCD7779"/>
    <w:rsid w:val="6FD0055A"/>
    <w:rsid w:val="6FD33AAE"/>
    <w:rsid w:val="6FD375E8"/>
    <w:rsid w:val="6FD57A77"/>
    <w:rsid w:val="6FD966D2"/>
    <w:rsid w:val="6FE068E4"/>
    <w:rsid w:val="6FE536DD"/>
    <w:rsid w:val="6FE54D61"/>
    <w:rsid w:val="6FF15EB3"/>
    <w:rsid w:val="6FF546B8"/>
    <w:rsid w:val="6FF86250"/>
    <w:rsid w:val="6FF9508C"/>
    <w:rsid w:val="6FFB22E5"/>
    <w:rsid w:val="700751F8"/>
    <w:rsid w:val="700C7F99"/>
    <w:rsid w:val="700F6C5A"/>
    <w:rsid w:val="70134404"/>
    <w:rsid w:val="70157DD5"/>
    <w:rsid w:val="702811A4"/>
    <w:rsid w:val="702F7772"/>
    <w:rsid w:val="703C4DCE"/>
    <w:rsid w:val="703C7596"/>
    <w:rsid w:val="7052415E"/>
    <w:rsid w:val="70584663"/>
    <w:rsid w:val="705D0282"/>
    <w:rsid w:val="705D494B"/>
    <w:rsid w:val="70647404"/>
    <w:rsid w:val="707B4BB9"/>
    <w:rsid w:val="7080255C"/>
    <w:rsid w:val="70804F16"/>
    <w:rsid w:val="7088000E"/>
    <w:rsid w:val="70880D75"/>
    <w:rsid w:val="70952C97"/>
    <w:rsid w:val="709605B2"/>
    <w:rsid w:val="7098155B"/>
    <w:rsid w:val="709826C2"/>
    <w:rsid w:val="70CA5526"/>
    <w:rsid w:val="70D23371"/>
    <w:rsid w:val="70DF36FD"/>
    <w:rsid w:val="70F266BA"/>
    <w:rsid w:val="70F44551"/>
    <w:rsid w:val="710B68F8"/>
    <w:rsid w:val="710C4A55"/>
    <w:rsid w:val="710F71D0"/>
    <w:rsid w:val="711E33D2"/>
    <w:rsid w:val="71287BEF"/>
    <w:rsid w:val="712A5894"/>
    <w:rsid w:val="712A6CE9"/>
    <w:rsid w:val="712C30B6"/>
    <w:rsid w:val="712D0E37"/>
    <w:rsid w:val="71371E23"/>
    <w:rsid w:val="713F3124"/>
    <w:rsid w:val="714239FD"/>
    <w:rsid w:val="714536D2"/>
    <w:rsid w:val="714B0D1A"/>
    <w:rsid w:val="714F2D5E"/>
    <w:rsid w:val="71560D5E"/>
    <w:rsid w:val="71697275"/>
    <w:rsid w:val="71697A56"/>
    <w:rsid w:val="716C7A6C"/>
    <w:rsid w:val="71702E1C"/>
    <w:rsid w:val="71703DB3"/>
    <w:rsid w:val="71753F72"/>
    <w:rsid w:val="718364FC"/>
    <w:rsid w:val="7186766D"/>
    <w:rsid w:val="71892FFE"/>
    <w:rsid w:val="718B7760"/>
    <w:rsid w:val="718C39B6"/>
    <w:rsid w:val="718C658F"/>
    <w:rsid w:val="718E301B"/>
    <w:rsid w:val="718E6E2B"/>
    <w:rsid w:val="71900C30"/>
    <w:rsid w:val="71A420BB"/>
    <w:rsid w:val="71B26561"/>
    <w:rsid w:val="71B76C37"/>
    <w:rsid w:val="71CA336D"/>
    <w:rsid w:val="71D072E1"/>
    <w:rsid w:val="71D14035"/>
    <w:rsid w:val="71DC4CAC"/>
    <w:rsid w:val="71E25E81"/>
    <w:rsid w:val="71F15AFE"/>
    <w:rsid w:val="71FA3323"/>
    <w:rsid w:val="71FD3949"/>
    <w:rsid w:val="720D1F1F"/>
    <w:rsid w:val="721F4F38"/>
    <w:rsid w:val="722864C5"/>
    <w:rsid w:val="72286878"/>
    <w:rsid w:val="7228724A"/>
    <w:rsid w:val="72353609"/>
    <w:rsid w:val="723B3115"/>
    <w:rsid w:val="723B7D8F"/>
    <w:rsid w:val="72416C20"/>
    <w:rsid w:val="72563A1C"/>
    <w:rsid w:val="72596D50"/>
    <w:rsid w:val="725F36EB"/>
    <w:rsid w:val="72644908"/>
    <w:rsid w:val="72666170"/>
    <w:rsid w:val="727134A0"/>
    <w:rsid w:val="727174FB"/>
    <w:rsid w:val="727B60E0"/>
    <w:rsid w:val="727F5222"/>
    <w:rsid w:val="72827B39"/>
    <w:rsid w:val="728C0BE4"/>
    <w:rsid w:val="729D18D5"/>
    <w:rsid w:val="72AA546C"/>
    <w:rsid w:val="72B5333B"/>
    <w:rsid w:val="72C94F41"/>
    <w:rsid w:val="72CB6631"/>
    <w:rsid w:val="72CF49C2"/>
    <w:rsid w:val="72D4387A"/>
    <w:rsid w:val="72D67994"/>
    <w:rsid w:val="72D7051A"/>
    <w:rsid w:val="72F25470"/>
    <w:rsid w:val="72F91E95"/>
    <w:rsid w:val="73080923"/>
    <w:rsid w:val="730C5B4E"/>
    <w:rsid w:val="731125EE"/>
    <w:rsid w:val="7316463A"/>
    <w:rsid w:val="7317405C"/>
    <w:rsid w:val="7328244B"/>
    <w:rsid w:val="732A36AC"/>
    <w:rsid w:val="733440B1"/>
    <w:rsid w:val="7335269F"/>
    <w:rsid w:val="733A049C"/>
    <w:rsid w:val="733A5B9A"/>
    <w:rsid w:val="7341049C"/>
    <w:rsid w:val="73491462"/>
    <w:rsid w:val="734B78B4"/>
    <w:rsid w:val="734E1BEC"/>
    <w:rsid w:val="73505624"/>
    <w:rsid w:val="73530BC6"/>
    <w:rsid w:val="7358133C"/>
    <w:rsid w:val="735925A6"/>
    <w:rsid w:val="73827254"/>
    <w:rsid w:val="738C54E7"/>
    <w:rsid w:val="73930668"/>
    <w:rsid w:val="7396760B"/>
    <w:rsid w:val="73B20910"/>
    <w:rsid w:val="73BD69AD"/>
    <w:rsid w:val="73C121B9"/>
    <w:rsid w:val="73C91E6F"/>
    <w:rsid w:val="73CB59CA"/>
    <w:rsid w:val="73D74517"/>
    <w:rsid w:val="73DA730C"/>
    <w:rsid w:val="73DF7BFD"/>
    <w:rsid w:val="73E32D7C"/>
    <w:rsid w:val="73E647D0"/>
    <w:rsid w:val="73E814A3"/>
    <w:rsid w:val="73F15747"/>
    <w:rsid w:val="73FB5A90"/>
    <w:rsid w:val="73FE7D8E"/>
    <w:rsid w:val="740124B3"/>
    <w:rsid w:val="7406578C"/>
    <w:rsid w:val="741159B0"/>
    <w:rsid w:val="741A29C8"/>
    <w:rsid w:val="741E1308"/>
    <w:rsid w:val="74274FED"/>
    <w:rsid w:val="742D694F"/>
    <w:rsid w:val="743177FA"/>
    <w:rsid w:val="74392C4F"/>
    <w:rsid w:val="743B6797"/>
    <w:rsid w:val="743C15A6"/>
    <w:rsid w:val="743F116C"/>
    <w:rsid w:val="744372E0"/>
    <w:rsid w:val="7450271D"/>
    <w:rsid w:val="74587C1B"/>
    <w:rsid w:val="74600884"/>
    <w:rsid w:val="74764121"/>
    <w:rsid w:val="74784453"/>
    <w:rsid w:val="747D5679"/>
    <w:rsid w:val="74834C1B"/>
    <w:rsid w:val="74883A18"/>
    <w:rsid w:val="748B1843"/>
    <w:rsid w:val="74920535"/>
    <w:rsid w:val="74966354"/>
    <w:rsid w:val="749846D5"/>
    <w:rsid w:val="749C6582"/>
    <w:rsid w:val="749D4D1F"/>
    <w:rsid w:val="74A36ACB"/>
    <w:rsid w:val="74A47AB6"/>
    <w:rsid w:val="74BF6978"/>
    <w:rsid w:val="74CD515D"/>
    <w:rsid w:val="74D50D99"/>
    <w:rsid w:val="74DD1867"/>
    <w:rsid w:val="74DE0119"/>
    <w:rsid w:val="74EA657C"/>
    <w:rsid w:val="74F47894"/>
    <w:rsid w:val="74F824A8"/>
    <w:rsid w:val="75035052"/>
    <w:rsid w:val="750D7ED4"/>
    <w:rsid w:val="75101915"/>
    <w:rsid w:val="7515520F"/>
    <w:rsid w:val="75343057"/>
    <w:rsid w:val="753C525D"/>
    <w:rsid w:val="75413E03"/>
    <w:rsid w:val="754325DD"/>
    <w:rsid w:val="75455533"/>
    <w:rsid w:val="75473D7D"/>
    <w:rsid w:val="75505FB0"/>
    <w:rsid w:val="755328D0"/>
    <w:rsid w:val="755842E4"/>
    <w:rsid w:val="755B5C32"/>
    <w:rsid w:val="75690D40"/>
    <w:rsid w:val="757976E9"/>
    <w:rsid w:val="758837C0"/>
    <w:rsid w:val="75896B45"/>
    <w:rsid w:val="758C341D"/>
    <w:rsid w:val="758D62FC"/>
    <w:rsid w:val="759477AE"/>
    <w:rsid w:val="759810DC"/>
    <w:rsid w:val="75A0244B"/>
    <w:rsid w:val="75A04BF1"/>
    <w:rsid w:val="75A56204"/>
    <w:rsid w:val="75AB200F"/>
    <w:rsid w:val="75AC3211"/>
    <w:rsid w:val="75B30892"/>
    <w:rsid w:val="75B9271D"/>
    <w:rsid w:val="75BA12E2"/>
    <w:rsid w:val="75BA2609"/>
    <w:rsid w:val="75BD5355"/>
    <w:rsid w:val="75BE5B16"/>
    <w:rsid w:val="75C16F04"/>
    <w:rsid w:val="75CF16A0"/>
    <w:rsid w:val="75D24011"/>
    <w:rsid w:val="75D248AE"/>
    <w:rsid w:val="75D4751F"/>
    <w:rsid w:val="75D554C1"/>
    <w:rsid w:val="75DB2B70"/>
    <w:rsid w:val="75E76BE6"/>
    <w:rsid w:val="75F036FA"/>
    <w:rsid w:val="75F0614D"/>
    <w:rsid w:val="75FC029A"/>
    <w:rsid w:val="7604494B"/>
    <w:rsid w:val="76060723"/>
    <w:rsid w:val="76163EE4"/>
    <w:rsid w:val="76226144"/>
    <w:rsid w:val="76232811"/>
    <w:rsid w:val="762413AC"/>
    <w:rsid w:val="762A7030"/>
    <w:rsid w:val="762E3F4B"/>
    <w:rsid w:val="763D72D7"/>
    <w:rsid w:val="7643723F"/>
    <w:rsid w:val="76454A62"/>
    <w:rsid w:val="764C5A34"/>
    <w:rsid w:val="765601C7"/>
    <w:rsid w:val="76560E6E"/>
    <w:rsid w:val="76615FD1"/>
    <w:rsid w:val="766963DF"/>
    <w:rsid w:val="76702E40"/>
    <w:rsid w:val="76816F25"/>
    <w:rsid w:val="76893007"/>
    <w:rsid w:val="768F1A73"/>
    <w:rsid w:val="768F39AF"/>
    <w:rsid w:val="76954AB3"/>
    <w:rsid w:val="76AA3816"/>
    <w:rsid w:val="76B66BC1"/>
    <w:rsid w:val="76E0462A"/>
    <w:rsid w:val="76EB008C"/>
    <w:rsid w:val="76EF1A7D"/>
    <w:rsid w:val="77020366"/>
    <w:rsid w:val="7707152E"/>
    <w:rsid w:val="77164313"/>
    <w:rsid w:val="77200B82"/>
    <w:rsid w:val="77206047"/>
    <w:rsid w:val="77221368"/>
    <w:rsid w:val="77265C97"/>
    <w:rsid w:val="772E19A9"/>
    <w:rsid w:val="77347046"/>
    <w:rsid w:val="773B2778"/>
    <w:rsid w:val="77445C06"/>
    <w:rsid w:val="77485474"/>
    <w:rsid w:val="77667C2A"/>
    <w:rsid w:val="776833C3"/>
    <w:rsid w:val="77733AC1"/>
    <w:rsid w:val="77766584"/>
    <w:rsid w:val="777E4B75"/>
    <w:rsid w:val="77856B57"/>
    <w:rsid w:val="77886E5B"/>
    <w:rsid w:val="778A1CDD"/>
    <w:rsid w:val="778B6FFA"/>
    <w:rsid w:val="778C28E5"/>
    <w:rsid w:val="779F4B1D"/>
    <w:rsid w:val="77A82052"/>
    <w:rsid w:val="77AB523D"/>
    <w:rsid w:val="77AD7473"/>
    <w:rsid w:val="77B22AD2"/>
    <w:rsid w:val="77D66F19"/>
    <w:rsid w:val="77DF0FFE"/>
    <w:rsid w:val="77E74EA3"/>
    <w:rsid w:val="77EC4E1A"/>
    <w:rsid w:val="77F93AD5"/>
    <w:rsid w:val="77FE6B15"/>
    <w:rsid w:val="78072897"/>
    <w:rsid w:val="780D5BA7"/>
    <w:rsid w:val="781E6120"/>
    <w:rsid w:val="78247ECD"/>
    <w:rsid w:val="782A2A31"/>
    <w:rsid w:val="782D3D3A"/>
    <w:rsid w:val="782E595C"/>
    <w:rsid w:val="78350944"/>
    <w:rsid w:val="783963BB"/>
    <w:rsid w:val="7847683F"/>
    <w:rsid w:val="78592AE1"/>
    <w:rsid w:val="785F36C4"/>
    <w:rsid w:val="78647B38"/>
    <w:rsid w:val="78671BBD"/>
    <w:rsid w:val="786733AF"/>
    <w:rsid w:val="786C1502"/>
    <w:rsid w:val="78812F30"/>
    <w:rsid w:val="7881633C"/>
    <w:rsid w:val="789412D2"/>
    <w:rsid w:val="78994653"/>
    <w:rsid w:val="78A23DCC"/>
    <w:rsid w:val="78B106EF"/>
    <w:rsid w:val="78B236BF"/>
    <w:rsid w:val="78BB40CD"/>
    <w:rsid w:val="78C2513D"/>
    <w:rsid w:val="78C2745B"/>
    <w:rsid w:val="78C325E3"/>
    <w:rsid w:val="78CA7836"/>
    <w:rsid w:val="78EF05C0"/>
    <w:rsid w:val="790F07B9"/>
    <w:rsid w:val="791C1A74"/>
    <w:rsid w:val="791C779B"/>
    <w:rsid w:val="79211DC3"/>
    <w:rsid w:val="79451271"/>
    <w:rsid w:val="794D2A77"/>
    <w:rsid w:val="79534CF6"/>
    <w:rsid w:val="795752FE"/>
    <w:rsid w:val="79605474"/>
    <w:rsid w:val="79631219"/>
    <w:rsid w:val="7963187D"/>
    <w:rsid w:val="797E2D94"/>
    <w:rsid w:val="79892EF0"/>
    <w:rsid w:val="798B08DE"/>
    <w:rsid w:val="79905F4F"/>
    <w:rsid w:val="79933F0B"/>
    <w:rsid w:val="79984CB7"/>
    <w:rsid w:val="7999719B"/>
    <w:rsid w:val="79A27AC6"/>
    <w:rsid w:val="79AE005F"/>
    <w:rsid w:val="79B658FE"/>
    <w:rsid w:val="79B71604"/>
    <w:rsid w:val="79D055AE"/>
    <w:rsid w:val="79DE0BC3"/>
    <w:rsid w:val="79F9067D"/>
    <w:rsid w:val="79FE6A8C"/>
    <w:rsid w:val="7A074AA7"/>
    <w:rsid w:val="7A12486F"/>
    <w:rsid w:val="7A164AE0"/>
    <w:rsid w:val="7A17550E"/>
    <w:rsid w:val="7A1D5BCA"/>
    <w:rsid w:val="7A290A2B"/>
    <w:rsid w:val="7A2925B3"/>
    <w:rsid w:val="7A3C7619"/>
    <w:rsid w:val="7A500017"/>
    <w:rsid w:val="7A577EF6"/>
    <w:rsid w:val="7A6B60EF"/>
    <w:rsid w:val="7A6C4757"/>
    <w:rsid w:val="7A71047E"/>
    <w:rsid w:val="7A77071C"/>
    <w:rsid w:val="7A861DEB"/>
    <w:rsid w:val="7A892CDF"/>
    <w:rsid w:val="7A8D1326"/>
    <w:rsid w:val="7A912CB4"/>
    <w:rsid w:val="7A964EFD"/>
    <w:rsid w:val="7AA06B35"/>
    <w:rsid w:val="7AA8683F"/>
    <w:rsid w:val="7AAC1916"/>
    <w:rsid w:val="7ABA389A"/>
    <w:rsid w:val="7ABB585A"/>
    <w:rsid w:val="7ABE3149"/>
    <w:rsid w:val="7AC15B24"/>
    <w:rsid w:val="7ADB4E96"/>
    <w:rsid w:val="7ADC4D23"/>
    <w:rsid w:val="7AEA42A3"/>
    <w:rsid w:val="7AEB1E03"/>
    <w:rsid w:val="7AEF47F3"/>
    <w:rsid w:val="7AEF4804"/>
    <w:rsid w:val="7AFF5301"/>
    <w:rsid w:val="7B002151"/>
    <w:rsid w:val="7B013FE1"/>
    <w:rsid w:val="7B0217E6"/>
    <w:rsid w:val="7B0226A7"/>
    <w:rsid w:val="7B0D277C"/>
    <w:rsid w:val="7B1A1FD7"/>
    <w:rsid w:val="7B2948F5"/>
    <w:rsid w:val="7B316253"/>
    <w:rsid w:val="7B376E26"/>
    <w:rsid w:val="7B3808E0"/>
    <w:rsid w:val="7B4A331E"/>
    <w:rsid w:val="7B587523"/>
    <w:rsid w:val="7B631FC6"/>
    <w:rsid w:val="7B6B676E"/>
    <w:rsid w:val="7B776005"/>
    <w:rsid w:val="7B7A1189"/>
    <w:rsid w:val="7B7B3D4F"/>
    <w:rsid w:val="7B806144"/>
    <w:rsid w:val="7B850568"/>
    <w:rsid w:val="7B8C6BB5"/>
    <w:rsid w:val="7B94534A"/>
    <w:rsid w:val="7BB43E63"/>
    <w:rsid w:val="7BBD3616"/>
    <w:rsid w:val="7BC01697"/>
    <w:rsid w:val="7BC7283B"/>
    <w:rsid w:val="7BCC1864"/>
    <w:rsid w:val="7BDC1166"/>
    <w:rsid w:val="7BE84E85"/>
    <w:rsid w:val="7BEA6A00"/>
    <w:rsid w:val="7BF562CD"/>
    <w:rsid w:val="7BFA6D0E"/>
    <w:rsid w:val="7C1A2843"/>
    <w:rsid w:val="7C2B2083"/>
    <w:rsid w:val="7C320127"/>
    <w:rsid w:val="7C320D0F"/>
    <w:rsid w:val="7C365313"/>
    <w:rsid w:val="7C3B5800"/>
    <w:rsid w:val="7C3D7028"/>
    <w:rsid w:val="7C403741"/>
    <w:rsid w:val="7C447E50"/>
    <w:rsid w:val="7C542CAF"/>
    <w:rsid w:val="7C554ABD"/>
    <w:rsid w:val="7C5E2245"/>
    <w:rsid w:val="7C622CFB"/>
    <w:rsid w:val="7C794E64"/>
    <w:rsid w:val="7C7D6F3B"/>
    <w:rsid w:val="7C824496"/>
    <w:rsid w:val="7C964439"/>
    <w:rsid w:val="7C9B3740"/>
    <w:rsid w:val="7C9E6D73"/>
    <w:rsid w:val="7CB0081C"/>
    <w:rsid w:val="7CB80C1E"/>
    <w:rsid w:val="7CB932B3"/>
    <w:rsid w:val="7CBA4BBB"/>
    <w:rsid w:val="7CC204B4"/>
    <w:rsid w:val="7CC370E6"/>
    <w:rsid w:val="7CCB07D6"/>
    <w:rsid w:val="7CD321D8"/>
    <w:rsid w:val="7CD87D80"/>
    <w:rsid w:val="7CDC7503"/>
    <w:rsid w:val="7CDE3D5F"/>
    <w:rsid w:val="7CE15591"/>
    <w:rsid w:val="7CE23CCD"/>
    <w:rsid w:val="7CE8714F"/>
    <w:rsid w:val="7CE97A34"/>
    <w:rsid w:val="7D02287F"/>
    <w:rsid w:val="7D071B08"/>
    <w:rsid w:val="7D0F772E"/>
    <w:rsid w:val="7D196567"/>
    <w:rsid w:val="7D1F2E11"/>
    <w:rsid w:val="7D216EBD"/>
    <w:rsid w:val="7D3C42E9"/>
    <w:rsid w:val="7D3F12B1"/>
    <w:rsid w:val="7D470518"/>
    <w:rsid w:val="7D631F12"/>
    <w:rsid w:val="7D67693B"/>
    <w:rsid w:val="7D6B77AB"/>
    <w:rsid w:val="7D7041CC"/>
    <w:rsid w:val="7D785FFB"/>
    <w:rsid w:val="7D7944BD"/>
    <w:rsid w:val="7D7A3506"/>
    <w:rsid w:val="7D90155E"/>
    <w:rsid w:val="7D911296"/>
    <w:rsid w:val="7D980C30"/>
    <w:rsid w:val="7DAB496E"/>
    <w:rsid w:val="7DAD38EF"/>
    <w:rsid w:val="7DB5379D"/>
    <w:rsid w:val="7DBC67FA"/>
    <w:rsid w:val="7DC4776F"/>
    <w:rsid w:val="7DDE0252"/>
    <w:rsid w:val="7DE87622"/>
    <w:rsid w:val="7DE92585"/>
    <w:rsid w:val="7DE9582C"/>
    <w:rsid w:val="7DF34A72"/>
    <w:rsid w:val="7DF441E0"/>
    <w:rsid w:val="7E1652C2"/>
    <w:rsid w:val="7E1A78D3"/>
    <w:rsid w:val="7E334242"/>
    <w:rsid w:val="7E335CAB"/>
    <w:rsid w:val="7E3606A2"/>
    <w:rsid w:val="7E3B052D"/>
    <w:rsid w:val="7E40505A"/>
    <w:rsid w:val="7E491C6A"/>
    <w:rsid w:val="7E4F093D"/>
    <w:rsid w:val="7E5A30AC"/>
    <w:rsid w:val="7E5A50BD"/>
    <w:rsid w:val="7E5E4287"/>
    <w:rsid w:val="7E5F3642"/>
    <w:rsid w:val="7E627D2F"/>
    <w:rsid w:val="7E757799"/>
    <w:rsid w:val="7E7A32C5"/>
    <w:rsid w:val="7E7D3369"/>
    <w:rsid w:val="7E8219DC"/>
    <w:rsid w:val="7E862487"/>
    <w:rsid w:val="7E8A20B2"/>
    <w:rsid w:val="7E8C372C"/>
    <w:rsid w:val="7E94340D"/>
    <w:rsid w:val="7E967305"/>
    <w:rsid w:val="7E973F35"/>
    <w:rsid w:val="7EA0530B"/>
    <w:rsid w:val="7EA0583E"/>
    <w:rsid w:val="7EA5444B"/>
    <w:rsid w:val="7EA76BF7"/>
    <w:rsid w:val="7EB14D62"/>
    <w:rsid w:val="7EB70EDA"/>
    <w:rsid w:val="7EC66A96"/>
    <w:rsid w:val="7ECF346A"/>
    <w:rsid w:val="7ED22C01"/>
    <w:rsid w:val="7EDD3234"/>
    <w:rsid w:val="7EE27A7A"/>
    <w:rsid w:val="7EF00DAE"/>
    <w:rsid w:val="7EF9013B"/>
    <w:rsid w:val="7EFA2E85"/>
    <w:rsid w:val="7F015A64"/>
    <w:rsid w:val="7F156BB4"/>
    <w:rsid w:val="7F1C5D59"/>
    <w:rsid w:val="7F2E4032"/>
    <w:rsid w:val="7F3C09A1"/>
    <w:rsid w:val="7F435023"/>
    <w:rsid w:val="7F4453A8"/>
    <w:rsid w:val="7F44650F"/>
    <w:rsid w:val="7F4F77E0"/>
    <w:rsid w:val="7F520E9A"/>
    <w:rsid w:val="7F5A63A1"/>
    <w:rsid w:val="7F5C125B"/>
    <w:rsid w:val="7F63224D"/>
    <w:rsid w:val="7F754EA2"/>
    <w:rsid w:val="7F7B4DEA"/>
    <w:rsid w:val="7F827DE9"/>
    <w:rsid w:val="7F852744"/>
    <w:rsid w:val="7F932219"/>
    <w:rsid w:val="7FA85FE4"/>
    <w:rsid w:val="7FA92ED5"/>
    <w:rsid w:val="7FAE449D"/>
    <w:rsid w:val="7FAF00E5"/>
    <w:rsid w:val="7FB647ED"/>
    <w:rsid w:val="7FC27060"/>
    <w:rsid w:val="7FCB6122"/>
    <w:rsid w:val="7FCC51E3"/>
    <w:rsid w:val="7FD728A5"/>
    <w:rsid w:val="7FDD0935"/>
    <w:rsid w:val="7FDD0BAD"/>
    <w:rsid w:val="7FE26DBE"/>
    <w:rsid w:val="7FED55A0"/>
    <w:rsid w:val="7FF3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8"/>
    <w:qFormat/>
    <w:uiPriority w:val="1"/>
    <w:pPr>
      <w:autoSpaceDE w:val="0"/>
      <w:autoSpaceDN w:val="0"/>
      <w:adjustRightInd w:val="0"/>
      <w:spacing w:before="17"/>
      <w:ind w:left="1144"/>
      <w:jc w:val="left"/>
      <w:outlineLvl w:val="0"/>
    </w:pPr>
    <w:rPr>
      <w:rFonts w:ascii="黑体" w:eastAsia="黑体"/>
      <w:b/>
      <w:bCs/>
      <w:kern w:val="0"/>
      <w:sz w:val="36"/>
      <w:szCs w:val="36"/>
    </w:rPr>
  </w:style>
  <w:style w:type="paragraph" w:styleId="4">
    <w:name w:val="heading 2"/>
    <w:basedOn w:val="1"/>
    <w:next w:val="1"/>
    <w:link w:val="39"/>
    <w:qFormat/>
    <w:uiPriority w:val="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40"/>
    <w:qFormat/>
    <w:uiPriority w:val="1"/>
    <w:pPr>
      <w:autoSpaceDE w:val="0"/>
      <w:autoSpaceDN w:val="0"/>
      <w:adjustRightInd w:val="0"/>
      <w:spacing w:before="34"/>
      <w:ind w:left="120"/>
      <w:jc w:val="left"/>
      <w:outlineLvl w:val="2"/>
    </w:pPr>
    <w:rPr>
      <w:rFonts w:ascii="宋体"/>
      <w:b/>
      <w:bCs/>
      <w:kern w:val="0"/>
      <w:sz w:val="20"/>
      <w:szCs w:val="21"/>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
    <w:qFormat/>
    <w:uiPriority w:val="1"/>
    <w:pPr>
      <w:autoSpaceDE w:val="0"/>
      <w:autoSpaceDN w:val="0"/>
      <w:adjustRightInd w:val="0"/>
      <w:spacing w:before="162"/>
      <w:ind w:left="120"/>
      <w:jc w:val="left"/>
    </w:pPr>
    <w:rPr>
      <w:rFonts w:ascii="宋体"/>
      <w:kern w:val="0"/>
      <w:sz w:val="20"/>
      <w:szCs w:val="21"/>
    </w:rPr>
  </w:style>
  <w:style w:type="paragraph" w:styleId="6">
    <w:name w:val="annotation text"/>
    <w:basedOn w:val="1"/>
    <w:link w:val="41"/>
    <w:unhideWhenUsed/>
    <w:qFormat/>
    <w:uiPriority w:val="99"/>
    <w:pPr>
      <w:jc w:val="left"/>
    </w:pPr>
  </w:style>
  <w:style w:type="paragraph" w:styleId="7">
    <w:name w:val="Date"/>
    <w:basedOn w:val="1"/>
    <w:next w:val="1"/>
    <w:link w:val="43"/>
    <w:unhideWhenUsed/>
    <w:qFormat/>
    <w:uiPriority w:val="99"/>
    <w:pPr>
      <w:ind w:left="100" w:leftChars="2500"/>
    </w:pPr>
  </w:style>
  <w:style w:type="paragraph" w:styleId="8">
    <w:name w:val="Balloon Text"/>
    <w:basedOn w:val="1"/>
    <w:link w:val="44"/>
    <w:unhideWhenUsed/>
    <w:qFormat/>
    <w:uiPriority w:val="99"/>
    <w:rPr>
      <w:kern w:val="0"/>
      <w:sz w:val="18"/>
      <w:szCs w:val="18"/>
    </w:rPr>
  </w:style>
  <w:style w:type="paragraph" w:styleId="9">
    <w:name w:val="footer"/>
    <w:basedOn w:val="1"/>
    <w:link w:val="45"/>
    <w:unhideWhenUsed/>
    <w:qFormat/>
    <w:uiPriority w:val="99"/>
    <w:pPr>
      <w:tabs>
        <w:tab w:val="center" w:pos="4153"/>
        <w:tab w:val="right" w:pos="8306"/>
      </w:tabs>
      <w:snapToGrid w:val="0"/>
      <w:jc w:val="left"/>
    </w:pPr>
    <w:rPr>
      <w:kern w:val="0"/>
      <w:sz w:val="18"/>
      <w:szCs w:val="18"/>
    </w:rPr>
  </w:style>
  <w:style w:type="paragraph" w:styleId="10">
    <w:name w:val="header"/>
    <w:basedOn w:val="1"/>
    <w:link w:val="4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footnote text"/>
    <w:basedOn w:val="1"/>
    <w:link w:val="47"/>
    <w:semiHidden/>
    <w:unhideWhenUsed/>
    <w:qFormat/>
    <w:uiPriority w:val="99"/>
    <w:pPr>
      <w:snapToGrid w:val="0"/>
      <w:jc w:val="left"/>
    </w:pPr>
    <w:rPr>
      <w:sz w:val="18"/>
      <w:szCs w:val="18"/>
    </w:rPr>
  </w:style>
  <w:style w:type="paragraph" w:styleId="1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annotation subject"/>
    <w:basedOn w:val="6"/>
    <w:next w:val="6"/>
    <w:link w:val="48"/>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rFonts w:ascii="Times New Roman" w:hAnsi="Times New Roman" w:eastAsia="宋体" w:cs="Times New Roman"/>
      <w:b/>
      <w:bCs/>
    </w:rPr>
  </w:style>
  <w:style w:type="character" w:styleId="19">
    <w:name w:val="Hyperlink"/>
    <w:unhideWhenUsed/>
    <w:qFormat/>
    <w:uiPriority w:val="99"/>
    <w:rPr>
      <w:rFonts w:ascii="Times New Roman" w:hAnsi="Times New Roman" w:eastAsia="宋体" w:cs="Times New Roman"/>
      <w:color w:val="0000FF"/>
      <w:u w:val="single"/>
    </w:rPr>
  </w:style>
  <w:style w:type="character" w:styleId="20">
    <w:name w:val="annotation reference"/>
    <w:unhideWhenUsed/>
    <w:qFormat/>
    <w:uiPriority w:val="99"/>
    <w:rPr>
      <w:rFonts w:ascii="Times New Roman" w:hAnsi="Times New Roman" w:eastAsia="宋体" w:cs="Times New Roman"/>
      <w:sz w:val="21"/>
      <w:szCs w:val="21"/>
    </w:rPr>
  </w:style>
  <w:style w:type="character" w:styleId="21">
    <w:name w:val="footnote reference"/>
    <w:semiHidden/>
    <w:unhideWhenUsed/>
    <w:qFormat/>
    <w:uiPriority w:val="99"/>
    <w:rPr>
      <w:rFonts w:ascii="Times New Roman" w:hAnsi="Times New Roman" w:eastAsia="宋体" w:cs="Times New Roman"/>
      <w:vertAlign w:val="superscript"/>
    </w:rPr>
  </w:style>
  <w:style w:type="character" w:customStyle="1" w:styleId="22">
    <w:name w:val="批注文字 字符"/>
    <w:qFormat/>
    <w:uiPriority w:val="99"/>
    <w:rPr>
      <w:rFonts w:ascii="Times New Roman" w:hAnsi="Times New Roman" w:eastAsia="宋体" w:cs="Times New Roman"/>
    </w:rPr>
  </w:style>
  <w:style w:type="character" w:customStyle="1" w:styleId="23">
    <w:name w:val="标题 3 字符"/>
    <w:qFormat/>
    <w:uiPriority w:val="1"/>
    <w:rPr>
      <w:rFonts w:ascii="宋体" w:hAnsi="Times New Roman" w:eastAsia="宋体" w:cs="Times New Roman"/>
      <w:b/>
      <w:bCs/>
      <w:kern w:val="0"/>
      <w:sz w:val="20"/>
      <w:szCs w:val="21"/>
    </w:rPr>
  </w:style>
  <w:style w:type="character" w:customStyle="1" w:styleId="24">
    <w:name w:val="脚注文本 字符1"/>
    <w:semiHidden/>
    <w:qFormat/>
    <w:uiPriority w:val="99"/>
    <w:rPr>
      <w:rFonts w:ascii="Times New Roman" w:hAnsi="Times New Roman" w:eastAsia="宋体" w:cs="Times New Roman"/>
      <w:sz w:val="18"/>
      <w:szCs w:val="18"/>
    </w:rPr>
  </w:style>
  <w:style w:type="character" w:customStyle="1" w:styleId="25">
    <w:name w:val="标题 2 字符"/>
    <w:qFormat/>
    <w:uiPriority w:val="9"/>
    <w:rPr>
      <w:rFonts w:ascii="Cambria" w:hAnsi="Cambria" w:eastAsia="宋体" w:cs="Times New Roman"/>
      <w:b/>
      <w:bCs/>
      <w:kern w:val="0"/>
      <w:sz w:val="32"/>
      <w:szCs w:val="32"/>
    </w:rPr>
  </w:style>
  <w:style w:type="character" w:customStyle="1" w:styleId="26">
    <w:name w:val="正文文本 字符"/>
    <w:qFormat/>
    <w:uiPriority w:val="1"/>
    <w:rPr>
      <w:rFonts w:ascii="宋体" w:hAnsi="Times New Roman" w:eastAsia="宋体" w:cs="Times New Roman"/>
      <w:kern w:val="0"/>
      <w:sz w:val="20"/>
      <w:szCs w:val="21"/>
    </w:rPr>
  </w:style>
  <w:style w:type="character" w:customStyle="1" w:styleId="27">
    <w:name w:val="脚注文本 字符"/>
    <w:semiHidden/>
    <w:qFormat/>
    <w:uiPriority w:val="99"/>
    <w:rPr>
      <w:rFonts w:ascii="Times New Roman" w:hAnsi="Times New Roman" w:eastAsia="宋体" w:cs="Times New Roman"/>
      <w:kern w:val="2"/>
      <w:sz w:val="18"/>
      <w:szCs w:val="18"/>
    </w:rPr>
  </w:style>
  <w:style w:type="character" w:customStyle="1" w:styleId="28">
    <w:name w:val="批注主题 字符"/>
    <w:semiHidden/>
    <w:qFormat/>
    <w:uiPriority w:val="99"/>
    <w:rPr>
      <w:rFonts w:ascii="Times New Roman" w:hAnsi="Times New Roman" w:eastAsia="宋体" w:cs="Times New Roman"/>
      <w:b/>
      <w:bCs/>
    </w:rPr>
  </w:style>
  <w:style w:type="character" w:customStyle="1" w:styleId="29">
    <w:name w:val="日期 字符"/>
    <w:basedOn w:val="17"/>
    <w:semiHidden/>
    <w:qFormat/>
    <w:uiPriority w:val="99"/>
    <w:rPr>
      <w:rFonts w:ascii="Times New Roman" w:hAnsi="Times New Roman" w:eastAsia="宋体" w:cs="Times New Roman"/>
    </w:rPr>
  </w:style>
  <w:style w:type="character" w:customStyle="1" w:styleId="30">
    <w:name w:val="标题 1 字符"/>
    <w:qFormat/>
    <w:uiPriority w:val="1"/>
    <w:rPr>
      <w:rFonts w:ascii="黑体" w:hAnsi="Times New Roman" w:eastAsia="黑体" w:cs="Times New Roman"/>
      <w:b/>
      <w:bCs/>
      <w:kern w:val="0"/>
      <w:sz w:val="36"/>
      <w:szCs w:val="36"/>
    </w:rPr>
  </w:style>
  <w:style w:type="character" w:customStyle="1" w:styleId="31">
    <w:name w:val="页脚 字符"/>
    <w:qFormat/>
    <w:uiPriority w:val="99"/>
    <w:rPr>
      <w:rFonts w:ascii="Times New Roman" w:hAnsi="Times New Roman" w:eastAsia="宋体" w:cs="Times New Roman"/>
      <w:kern w:val="0"/>
      <w:sz w:val="18"/>
      <w:szCs w:val="18"/>
    </w:rPr>
  </w:style>
  <w:style w:type="character" w:customStyle="1" w:styleId="32">
    <w:name w:val="页眉 字符"/>
    <w:qFormat/>
    <w:uiPriority w:val="99"/>
    <w:rPr>
      <w:rFonts w:ascii="Times New Roman" w:hAnsi="Times New Roman" w:eastAsia="宋体" w:cs="Times New Roman"/>
      <w:kern w:val="0"/>
      <w:sz w:val="18"/>
      <w:szCs w:val="18"/>
    </w:rPr>
  </w:style>
  <w:style w:type="character" w:customStyle="1" w:styleId="33">
    <w:name w:val="批注框文本 字符"/>
    <w:semiHidden/>
    <w:qFormat/>
    <w:uiPriority w:val="99"/>
    <w:rPr>
      <w:rFonts w:ascii="Times New Roman" w:hAnsi="Times New Roman" w:eastAsia="宋体" w:cs="Times New Roman"/>
      <w:kern w:val="0"/>
      <w:sz w:val="18"/>
      <w:szCs w:val="18"/>
    </w:rPr>
  </w:style>
  <w:style w:type="paragraph" w:customStyle="1" w:styleId="34">
    <w:name w:val="Table Paragraph"/>
    <w:basedOn w:val="1"/>
    <w:qFormat/>
    <w:uiPriority w:val="1"/>
    <w:pPr>
      <w:autoSpaceDE w:val="0"/>
      <w:autoSpaceDN w:val="0"/>
      <w:adjustRightInd w:val="0"/>
      <w:jc w:val="left"/>
    </w:pPr>
    <w:rPr>
      <w:kern w:val="0"/>
      <w:sz w:val="24"/>
      <w:szCs w:val="24"/>
    </w:rPr>
  </w:style>
  <w:style w:type="paragraph" w:customStyle="1" w:styleId="3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36">
    <w:name w:val="List Paragraph"/>
    <w:basedOn w:val="1"/>
    <w:qFormat/>
    <w:uiPriority w:val="72"/>
    <w:pPr>
      <w:ind w:firstLine="420" w:firstLineChars="200"/>
    </w:pPr>
  </w:style>
  <w:style w:type="paragraph" w:customStyle="1" w:styleId="37">
    <w:name w:val="_Style 36"/>
    <w:semiHidden/>
    <w:qFormat/>
    <w:uiPriority w:val="99"/>
    <w:rPr>
      <w:rFonts w:ascii="Times New Roman" w:hAnsi="Times New Roman" w:eastAsia="宋体" w:cs="Times New Roman"/>
      <w:kern w:val="2"/>
      <w:sz w:val="21"/>
      <w:szCs w:val="22"/>
      <w:lang w:val="en-US" w:eastAsia="zh-CN" w:bidi="ar-SA"/>
    </w:rPr>
  </w:style>
  <w:style w:type="character" w:customStyle="1" w:styleId="38">
    <w:name w:val="标题 1 字符1"/>
    <w:link w:val="3"/>
    <w:qFormat/>
    <w:uiPriority w:val="1"/>
    <w:rPr>
      <w:rFonts w:ascii="黑体" w:hAnsi="Times New Roman" w:eastAsia="黑体" w:cs="黑体"/>
      <w:b/>
      <w:bCs/>
      <w:kern w:val="0"/>
      <w:sz w:val="36"/>
      <w:szCs w:val="36"/>
    </w:rPr>
  </w:style>
  <w:style w:type="character" w:customStyle="1" w:styleId="39">
    <w:name w:val="标题 2 字符1"/>
    <w:link w:val="4"/>
    <w:qFormat/>
    <w:uiPriority w:val="9"/>
    <w:rPr>
      <w:rFonts w:ascii="Cambria" w:hAnsi="Cambria" w:eastAsia="宋体" w:cs="Times New Roman"/>
      <w:b/>
      <w:bCs/>
      <w:sz w:val="32"/>
      <w:szCs w:val="32"/>
    </w:rPr>
  </w:style>
  <w:style w:type="character" w:customStyle="1" w:styleId="40">
    <w:name w:val="标题 3 字符1"/>
    <w:link w:val="5"/>
    <w:qFormat/>
    <w:uiPriority w:val="1"/>
    <w:rPr>
      <w:rFonts w:ascii="宋体" w:hAnsi="Times New Roman" w:eastAsia="宋体" w:cs="宋体"/>
      <w:b/>
      <w:bCs/>
      <w:kern w:val="0"/>
      <w:szCs w:val="21"/>
    </w:rPr>
  </w:style>
  <w:style w:type="character" w:customStyle="1" w:styleId="41">
    <w:name w:val="批注文字 字符1"/>
    <w:link w:val="6"/>
    <w:qFormat/>
    <w:uiPriority w:val="99"/>
    <w:rPr>
      <w:rFonts w:ascii="Times New Roman" w:hAnsi="Times New Roman" w:eastAsia="宋体" w:cs="Times New Roman"/>
      <w:kern w:val="2"/>
      <w:sz w:val="21"/>
      <w:szCs w:val="22"/>
    </w:rPr>
  </w:style>
  <w:style w:type="character" w:customStyle="1" w:styleId="42">
    <w:name w:val="正文文本 字符1"/>
    <w:link w:val="2"/>
    <w:qFormat/>
    <w:uiPriority w:val="1"/>
    <w:rPr>
      <w:rFonts w:ascii="宋体" w:hAnsi="Times New Roman" w:eastAsia="宋体" w:cs="宋体"/>
      <w:kern w:val="0"/>
      <w:szCs w:val="21"/>
    </w:rPr>
  </w:style>
  <w:style w:type="character" w:customStyle="1" w:styleId="43">
    <w:name w:val="日期 字符1"/>
    <w:basedOn w:val="17"/>
    <w:link w:val="7"/>
    <w:semiHidden/>
    <w:qFormat/>
    <w:uiPriority w:val="99"/>
    <w:rPr>
      <w:rFonts w:ascii="Times New Roman" w:hAnsi="Times New Roman" w:eastAsia="宋体" w:cs="Times New Roman"/>
    </w:rPr>
  </w:style>
  <w:style w:type="character" w:customStyle="1" w:styleId="44">
    <w:name w:val="批注框文本 字符1"/>
    <w:link w:val="8"/>
    <w:semiHidden/>
    <w:qFormat/>
    <w:uiPriority w:val="99"/>
    <w:rPr>
      <w:rFonts w:ascii="Times New Roman" w:hAnsi="Times New Roman" w:eastAsia="宋体" w:cs="Times New Roman"/>
      <w:sz w:val="18"/>
      <w:szCs w:val="18"/>
    </w:rPr>
  </w:style>
  <w:style w:type="character" w:customStyle="1" w:styleId="45">
    <w:name w:val="页脚 字符1"/>
    <w:link w:val="9"/>
    <w:qFormat/>
    <w:uiPriority w:val="99"/>
    <w:rPr>
      <w:rFonts w:ascii="Times New Roman" w:hAnsi="Times New Roman" w:eastAsia="宋体" w:cs="Times New Roman"/>
      <w:sz w:val="18"/>
      <w:szCs w:val="18"/>
    </w:rPr>
  </w:style>
  <w:style w:type="character" w:customStyle="1" w:styleId="46">
    <w:name w:val="页眉 字符1"/>
    <w:link w:val="10"/>
    <w:qFormat/>
    <w:uiPriority w:val="99"/>
    <w:rPr>
      <w:rFonts w:ascii="Times New Roman" w:hAnsi="Times New Roman" w:eastAsia="宋体" w:cs="Times New Roman"/>
      <w:sz w:val="18"/>
      <w:szCs w:val="18"/>
    </w:rPr>
  </w:style>
  <w:style w:type="character" w:customStyle="1" w:styleId="47">
    <w:name w:val="脚注文本 字符2"/>
    <w:link w:val="11"/>
    <w:semiHidden/>
    <w:qFormat/>
    <w:uiPriority w:val="99"/>
    <w:rPr>
      <w:rFonts w:ascii="Times New Roman" w:hAnsi="Times New Roman" w:eastAsia="宋体" w:cs="Times New Roman"/>
      <w:kern w:val="2"/>
      <w:sz w:val="18"/>
      <w:szCs w:val="18"/>
    </w:rPr>
  </w:style>
  <w:style w:type="character" w:customStyle="1" w:styleId="48">
    <w:name w:val="批注主题 字符1"/>
    <w:link w:val="14"/>
    <w:semiHidden/>
    <w:qFormat/>
    <w:uiPriority w:val="99"/>
    <w:rPr>
      <w:rFonts w:ascii="Times New Roman" w:hAnsi="Times New Roman" w:eastAsia="宋体" w:cs="Times New Roman"/>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0"/>
    <customShpInfo spid="_x0000_s1029"/>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21814</Words>
  <Characters>22616</Characters>
  <Lines>243</Lines>
  <Paragraphs>68</Paragraphs>
  <TotalTime>0</TotalTime>
  <ScaleCrop>false</ScaleCrop>
  <LinksUpToDate>false</LinksUpToDate>
  <CharactersWithSpaces>22805</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2024-05-11T09:26:00Z</dcterms:created>
  <dc:creator>孙伯略</dc:creator>
  <cp:lastModifiedBy>sylc</cp:lastModifiedBy>
  <cp:lastPrinted>2024-07-15T08:58:00Z</cp:lastPrinted>
  <dcterms:modified xsi:type="dcterms:W3CDTF">2025-08-20T09:17:33Z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3D9DA4FEC1AC4898A5CD8A2776F83D6F</vt:lpwstr>
  </property>
</Properties>
</file>