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rPr>
      </w:pPr>
      <w:r>
        <w:rPr>
          <w:rFonts w:hint="eastAsia" w:ascii="楷体" w:hAnsi="楷体" w:eastAsia="楷体"/>
          <w:b/>
          <w:color w:val="auto"/>
          <w:sz w:val="28"/>
          <w:szCs w:val="28"/>
        </w:rPr>
        <w:t>“苏银理财</w:t>
      </w:r>
      <w:r>
        <w:rPr>
          <w:rFonts w:hint="eastAsia" w:ascii="楷体" w:hAnsi="楷体" w:eastAsia="楷体"/>
          <w:b/>
          <w:color w:val="auto"/>
          <w:sz w:val="28"/>
          <w:szCs w:val="28"/>
          <w:lang w:eastAsia="zh-CN"/>
        </w:rPr>
        <w:t>恒源1年定开21期</w:t>
      </w:r>
      <w:r>
        <w:rPr>
          <w:rFonts w:hint="eastAsia" w:ascii="楷体" w:hAnsi="楷体" w:eastAsia="楷体"/>
          <w:b/>
          <w:color w:val="auto"/>
          <w:sz w:val="28"/>
          <w:szCs w:val="28"/>
        </w:rPr>
        <w:t>”理财产品说</w:t>
      </w:r>
      <w:r>
        <w:rPr>
          <w:rFonts w:hint="eastAsia" w:ascii="楷体" w:hAnsi="楷体" w:eastAsia="楷体"/>
          <w:b/>
          <w:color w:val="auto"/>
          <w:sz w:val="28"/>
          <w:szCs w:val="28"/>
          <w:lang w:val="en-US" w:eastAsia="zh-CN"/>
        </w:rPr>
        <w:t>明</w:t>
      </w:r>
      <w:r>
        <w:rPr>
          <w:rFonts w:hint="eastAsia" w:ascii="楷体" w:hAnsi="楷体" w:eastAsia="楷体"/>
          <w:b/>
          <w:color w:val="auto"/>
          <w:sz w:val="28"/>
          <w:szCs w:val="28"/>
        </w:rPr>
        <w:t>书</w:t>
      </w:r>
    </w:p>
    <w:p>
      <w:pPr>
        <w:jc w:val="center"/>
        <w:rPr>
          <w:rFonts w:hint="eastAsia" w:ascii="楷体" w:hAnsi="楷体" w:eastAsia="楷体"/>
          <w:b/>
          <w:sz w:val="24"/>
          <w:szCs w:val="24"/>
        </w:rPr>
      </w:pPr>
      <w:r>
        <w:rPr>
          <w:rFonts w:hint="eastAsia" w:ascii="楷体" w:hAnsi="楷体" w:eastAsia="楷体" w:cs="宋体"/>
          <w:b/>
          <w:kern w:val="0"/>
          <w:sz w:val="24"/>
          <w:szCs w:val="24"/>
        </w:rPr>
        <w:t>理财非存款、产品有风险、投资须谨慎</w:t>
      </w:r>
    </w:p>
    <w:p>
      <w:pPr>
        <w:rPr>
          <w:rFonts w:hint="eastAsia" w:ascii="楷体" w:hAnsi="楷体" w:eastAsia="楷体"/>
          <w:b/>
          <w:sz w:val="21"/>
          <w:szCs w:val="21"/>
          <w:lang w:val="en-US" w:eastAsia="zh-CN"/>
        </w:rPr>
      </w:pPr>
      <w:r>
        <w:rPr>
          <w:rFonts w:hint="eastAsia" w:ascii="楷体" w:hAnsi="楷体" w:eastAsia="楷体"/>
          <w:b/>
          <w:sz w:val="21"/>
          <w:szCs w:val="21"/>
        </w:rPr>
        <w:t>重要须知</w:t>
      </w:r>
    </w:p>
    <w:p>
      <w:pPr>
        <w:numPr>
          <w:ilvl w:val="0"/>
          <w:numId w:val="1"/>
        </w:numPr>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方向、风险类型等基本情况，在慎重考虑后自行决定购买与自身风险承受能力和资产管理需求匹配的理财产品。</w:t>
      </w:r>
    </w:p>
    <w:p>
      <w:pPr>
        <w:numPr>
          <w:ilvl w:val="0"/>
          <w:numId w:val="1"/>
        </w:numPr>
        <w:rPr>
          <w:rFonts w:ascii="楷体" w:hAnsi="楷体" w:eastAsia="楷体"/>
          <w:b/>
          <w:color w:val="auto"/>
          <w:sz w:val="21"/>
          <w:szCs w:val="21"/>
          <w:u w:val="single"/>
        </w:rPr>
      </w:pPr>
      <w:r>
        <w:rPr>
          <w:rFonts w:hint="eastAsia" w:ascii="楷体" w:hAnsi="楷体" w:eastAsia="楷体"/>
          <w:b/>
          <w:color w:val="auto"/>
          <w:sz w:val="21"/>
          <w:szCs w:val="21"/>
          <w:u w:val="single"/>
        </w:rPr>
        <w:t>本理财产品</w:t>
      </w:r>
      <w:r>
        <w:rPr>
          <w:rFonts w:hint="eastAsia" w:ascii="楷体" w:hAnsi="楷体" w:eastAsia="楷体"/>
          <w:b/>
          <w:color w:val="auto"/>
          <w:sz w:val="21"/>
          <w:szCs w:val="21"/>
          <w:u w:val="single"/>
          <w:lang w:val="en-US" w:eastAsia="zh-CN"/>
        </w:rPr>
        <w:t>不等同于银行存款，</w:t>
      </w:r>
      <w:r>
        <w:rPr>
          <w:rFonts w:hint="eastAsia" w:ascii="楷体" w:hAnsi="楷体" w:eastAsia="楷体"/>
          <w:b/>
          <w:color w:val="auto"/>
          <w:sz w:val="21"/>
          <w:szCs w:val="21"/>
          <w:u w:val="single"/>
        </w:rPr>
        <w:t>不保证本金及收益，您的本金可能因市场变动或者交易违约等事项而蒙受相应损失，投资者应充分认识投资风险，谨慎投资</w:t>
      </w:r>
      <w:r>
        <w:rPr>
          <w:rFonts w:hint="eastAsia" w:ascii="楷体" w:hAnsi="楷体" w:eastAsia="楷体"/>
          <w:b/>
          <w:color w:val="auto"/>
          <w:sz w:val="21"/>
          <w:szCs w:val="21"/>
          <w:u w:val="single"/>
          <w:lang w:eastAsia="zh-CN"/>
        </w:rPr>
        <w:t>。</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本理财产品过往业绩不代表其未来表现，不等于理财产品实际收益，投资须谨慎。</w:t>
      </w:r>
    </w:p>
    <w:p>
      <w:pPr>
        <w:numPr>
          <w:ilvl w:val="0"/>
          <w:numId w:val="1"/>
        </w:numPr>
        <w:rPr>
          <w:rFonts w:ascii="楷体" w:hAnsi="楷体" w:eastAsia="楷体"/>
          <w:b/>
          <w:sz w:val="21"/>
          <w:szCs w:val="21"/>
          <w:u w:val="single"/>
        </w:rPr>
      </w:pPr>
      <w:r>
        <w:rPr>
          <w:rFonts w:hint="eastAsia" w:ascii="楷体" w:hAnsi="楷体" w:eastAsia="楷体"/>
          <w:b/>
          <w:color w:val="auto"/>
          <w:sz w:val="21"/>
          <w:szCs w:val="21"/>
          <w:u w:val="single"/>
        </w:rPr>
        <w:t>本理财产品的任何业绩比较区间、业绩比较基准</w:t>
      </w:r>
      <w:r>
        <w:rPr>
          <w:rFonts w:hint="eastAsia" w:ascii="楷体" w:hAnsi="楷体" w:eastAsia="楷体"/>
          <w:b/>
          <w:color w:val="auto"/>
          <w:sz w:val="21"/>
          <w:szCs w:val="21"/>
          <w:u w:val="single"/>
          <w:lang w:val="en-US" w:eastAsia="zh-CN"/>
        </w:rPr>
        <w:t>等</w:t>
      </w:r>
      <w:r>
        <w:rPr>
          <w:rFonts w:hint="eastAsia" w:ascii="楷体" w:hAnsi="楷体" w:eastAsia="楷体"/>
          <w:b/>
          <w:color w:val="auto"/>
          <w:sz w:val="21"/>
          <w:szCs w:val="21"/>
          <w:u w:val="single"/>
        </w:rPr>
        <w:t>类似表述均属不具有法律约束力的用语</w:t>
      </w:r>
      <w:r>
        <w:rPr>
          <w:rFonts w:hint="eastAsia" w:ascii="楷体" w:hAnsi="楷体" w:eastAsia="楷体"/>
          <w:b/>
          <w:color w:val="auto"/>
          <w:sz w:val="21"/>
          <w:szCs w:val="21"/>
          <w:u w:val="single"/>
          <w:lang w:eastAsia="zh-CN"/>
        </w:rPr>
        <w:t>。</w:t>
      </w:r>
      <w:r>
        <w:rPr>
          <w:rFonts w:hint="eastAsia" w:ascii="楷体" w:hAnsi="楷体" w:eastAsia="楷体"/>
          <w:b/>
          <w:color w:val="auto"/>
          <w:szCs w:val="21"/>
          <w:highlight w:val="none"/>
          <w:u w:val="single"/>
        </w:rPr>
        <w:t>业绩比较基准</w:t>
      </w:r>
      <w:r>
        <w:rPr>
          <w:rFonts w:hint="eastAsia" w:ascii="楷体" w:hAnsi="楷体" w:eastAsia="楷体"/>
          <w:b/>
          <w:color w:val="auto"/>
          <w:sz w:val="21"/>
          <w:szCs w:val="21"/>
          <w:highlight w:val="none"/>
          <w:u w:val="single"/>
          <w:lang w:val="en-US" w:eastAsia="zh-CN"/>
        </w:rPr>
        <w:t>为</w:t>
      </w:r>
      <w:r>
        <w:rPr>
          <w:rFonts w:hint="eastAsia" w:ascii="楷体" w:hAnsi="楷体" w:eastAsia="楷体"/>
          <w:b/>
          <w:color w:val="auto"/>
          <w:szCs w:val="21"/>
          <w:highlight w:val="none"/>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rPr>
          <w:rFonts w:ascii="楷体" w:hAnsi="楷体" w:eastAsia="楷体"/>
          <w:sz w:val="21"/>
          <w:szCs w:val="21"/>
        </w:rPr>
      </w:pPr>
      <w:r>
        <w:rPr>
          <w:rFonts w:hint="eastAsia" w:ascii="楷体" w:hAnsi="楷体" w:eastAsia="楷体"/>
          <w:sz w:val="21"/>
          <w:szCs w:val="21"/>
        </w:rPr>
        <w:t>《风险揭示书》、《理财产品说明书》、《理财产品投资协议书》</w:t>
      </w:r>
      <w:r>
        <w:rPr>
          <w:rFonts w:hint="eastAsia" w:ascii="楷体" w:hAnsi="楷体" w:eastAsia="楷体"/>
          <w:sz w:val="21"/>
          <w:szCs w:val="21"/>
          <w:lang w:eastAsia="zh-CN"/>
        </w:rPr>
        <w:t>、</w:t>
      </w:r>
      <w:r>
        <w:rPr>
          <w:rFonts w:hint="eastAsia" w:ascii="楷体" w:hAnsi="楷体" w:eastAsia="楷体"/>
          <w:sz w:val="21"/>
          <w:szCs w:val="21"/>
        </w:rPr>
        <w:t>《投资者权益须知》、《理财产品（代理）销售协议书》共同构成本理财产品完整的不可分割的理财产品合同。</w:t>
      </w:r>
    </w:p>
    <w:p>
      <w:pPr>
        <w:numPr>
          <w:ilvl w:val="0"/>
          <w:numId w:val="1"/>
        </w:numPr>
        <w:rPr>
          <w:rFonts w:ascii="楷体" w:hAnsi="楷体" w:eastAsia="楷体"/>
          <w:sz w:val="21"/>
          <w:szCs w:val="21"/>
          <w:highlight w:val="none"/>
        </w:rPr>
      </w:pPr>
      <w:r>
        <w:rPr>
          <w:rFonts w:hint="eastAsia" w:ascii="楷体" w:hAnsi="楷体" w:eastAsia="楷体"/>
          <w:sz w:val="21"/>
          <w:szCs w:val="21"/>
        </w:rPr>
        <w:t>本理财产品涉及的主要风险</w:t>
      </w:r>
      <w:r>
        <w:rPr>
          <w:rFonts w:hint="eastAsia" w:ascii="楷体" w:hAnsi="楷体" w:eastAsia="楷体"/>
          <w:sz w:val="21"/>
          <w:szCs w:val="21"/>
          <w:highlight w:val="none"/>
        </w:rPr>
        <w:t>包括政策风险、信用风险、市场风险、流动性风险、管理风险、操作风险、产品不成立风险、延期兑付风险、提前终止风险、信息传递风险、税务风险、代销风险</w:t>
      </w:r>
      <w:r>
        <w:rPr>
          <w:rFonts w:hint="eastAsia" w:ascii="楷体" w:hAnsi="楷体" w:eastAsia="楷体"/>
          <w:sz w:val="21"/>
          <w:szCs w:val="21"/>
          <w:highlight w:val="none"/>
          <w:lang w:eastAsia="zh-CN"/>
        </w:rPr>
        <w:t>（</w:t>
      </w:r>
      <w:r>
        <w:rPr>
          <w:rFonts w:hint="eastAsia" w:ascii="楷体" w:hAnsi="楷体" w:eastAsia="楷体"/>
          <w:sz w:val="21"/>
          <w:szCs w:val="21"/>
          <w:highlight w:val="none"/>
          <w:lang w:val="en-US" w:eastAsia="zh-CN"/>
        </w:rPr>
        <w:t>如有）</w:t>
      </w:r>
      <w:r>
        <w:rPr>
          <w:rFonts w:hint="eastAsia" w:ascii="楷体" w:hAnsi="楷体" w:eastAsia="楷体"/>
          <w:sz w:val="21"/>
          <w:szCs w:val="21"/>
          <w:highlight w:val="none"/>
        </w:rPr>
        <w:t>、其他风险等。请仔细阅读《“苏银理财</w:t>
      </w:r>
      <w:r>
        <w:rPr>
          <w:rFonts w:hint="eastAsia" w:ascii="楷体" w:hAnsi="楷体" w:eastAsia="楷体"/>
          <w:sz w:val="21"/>
          <w:szCs w:val="21"/>
          <w:highlight w:val="none"/>
          <w:lang w:eastAsia="zh-CN"/>
        </w:rPr>
        <w:t>恒源1年定开21期</w:t>
      </w:r>
      <w:r>
        <w:rPr>
          <w:rFonts w:hint="eastAsia" w:ascii="楷体" w:hAnsi="楷体" w:eastAsia="楷体"/>
          <w:sz w:val="21"/>
          <w:szCs w:val="21"/>
          <w:highlight w:val="none"/>
        </w:rPr>
        <w:t>”理财产品风险揭示书》的“风险揭示”部分。</w:t>
      </w:r>
    </w:p>
    <w:p>
      <w:pPr>
        <w:numPr>
          <w:ilvl w:val="0"/>
          <w:numId w:val="1"/>
        </w:numPr>
        <w:rPr>
          <w:rFonts w:ascii="楷体" w:hAnsi="楷体" w:eastAsia="楷体"/>
          <w:b/>
          <w:sz w:val="21"/>
          <w:szCs w:val="21"/>
          <w:highlight w:val="none"/>
          <w:u w:val="single"/>
        </w:rPr>
      </w:pPr>
      <w:r>
        <w:rPr>
          <w:rFonts w:hint="eastAsia" w:ascii="楷体" w:hAnsi="楷体" w:eastAsia="楷体"/>
          <w:b/>
          <w:sz w:val="21"/>
          <w:szCs w:val="21"/>
          <w:highlight w:val="none"/>
          <w:u w:val="single"/>
        </w:rPr>
        <w:t>投资者不得使用贷款、发行债券等筹集的非自有资金投资本理财产品。</w:t>
      </w:r>
    </w:p>
    <w:p>
      <w:pPr>
        <w:numPr>
          <w:ilvl w:val="0"/>
          <w:numId w:val="1"/>
        </w:numPr>
        <w:rPr>
          <w:rFonts w:ascii="楷体" w:hAnsi="楷体" w:eastAsia="楷体"/>
          <w:sz w:val="21"/>
          <w:szCs w:val="21"/>
          <w:highlight w:val="none"/>
        </w:rPr>
      </w:pPr>
      <w:r>
        <w:rPr>
          <w:rFonts w:hint="eastAsia" w:ascii="楷体" w:hAnsi="楷体" w:eastAsia="楷体"/>
          <w:sz w:val="21"/>
          <w:szCs w:val="21"/>
        </w:rPr>
        <w:t>在本产品存续期内，如因监管政策或法律法规发生变化，在不损害投资者利益的前提下</w:t>
      </w:r>
      <w:r>
        <w:rPr>
          <w:rFonts w:hint="eastAsia" w:ascii="楷体" w:hAnsi="楷体" w:eastAsia="楷体"/>
          <w:sz w:val="21"/>
          <w:szCs w:val="21"/>
          <w:highlight w:val="none"/>
        </w:rPr>
        <w:t>，苏银理财有权单方对本产品条款进行修订，并按本理财产品说明书约定的信息披露方式予以披露。</w:t>
      </w:r>
    </w:p>
    <w:p>
      <w:pPr>
        <w:numPr>
          <w:ilvl w:val="0"/>
          <w:numId w:val="2"/>
        </w:numPr>
        <w:tabs>
          <w:tab w:val="left" w:pos="1134"/>
        </w:tabs>
        <w:ind w:firstLine="422" w:firstLineChars="200"/>
        <w:outlineLvl w:val="1"/>
        <w:rPr>
          <w:rFonts w:hint="eastAsia" w:ascii="楷体" w:hAnsi="楷体" w:eastAsia="楷体"/>
          <w:sz w:val="21"/>
          <w:szCs w:val="21"/>
          <w:highlight w:val="none"/>
        </w:rPr>
      </w:pPr>
      <w:r>
        <w:rPr>
          <w:rFonts w:hint="eastAsia" w:ascii="楷体" w:hAnsi="楷体" w:eastAsia="楷体"/>
          <w:b/>
          <w:sz w:val="21"/>
          <w:szCs w:val="21"/>
        </w:rPr>
        <w:t>产品要素</w:t>
      </w:r>
    </w:p>
    <w:p>
      <w:pPr>
        <w:numPr>
          <w:ilvl w:val="0"/>
          <w:numId w:val="0"/>
        </w:numPr>
        <w:tabs>
          <w:tab w:val="left" w:pos="1134"/>
        </w:tabs>
        <w:ind w:left="0" w:leftChars="0" w:firstLine="420" w:firstLineChars="200"/>
        <w:outlineLvl w:val="1"/>
        <w:rPr>
          <w:rFonts w:hint="eastAsia" w:ascii="楷体" w:hAnsi="楷体" w:eastAsia="楷体"/>
          <w:sz w:val="21"/>
          <w:szCs w:val="21"/>
          <w:highlight w:val="none"/>
        </w:rPr>
      </w:pPr>
      <w:r>
        <w:rPr>
          <w:rFonts w:hint="eastAsia" w:ascii="楷体" w:hAnsi="楷体" w:eastAsia="楷体"/>
          <w:sz w:val="21"/>
          <w:szCs w:val="21"/>
          <w:highlight w:val="none"/>
        </w:rPr>
        <w:t>为保护投资者合法权益，尊重投资者的知情权和自主选择权，现将本理财产品的基本要素说明如下：</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6"/>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1"/>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产品名称</w:t>
            </w:r>
          </w:p>
        </w:tc>
        <w:tc>
          <w:tcPr>
            <w:tcW w:w="7026" w:type="dxa"/>
            <w:noWrap w:val="0"/>
            <w:vAlign w:val="center"/>
          </w:tcPr>
          <w:p>
            <w:pPr>
              <w:pStyle w:val="34"/>
              <w:kinsoku w:val="0"/>
              <w:overflowPunct w:val="0"/>
              <w:spacing w:before="13"/>
              <w:ind w:left="59" w:right="73" w:rightChars="35"/>
              <w:jc w:val="both"/>
              <w:rPr>
                <w:rFonts w:hint="eastAsia" w:ascii="楷体" w:hAnsi="楷体" w:eastAsia="楷体" w:cs="宋体"/>
                <w:spacing w:val="-2"/>
                <w:sz w:val="18"/>
                <w:szCs w:val="18"/>
                <w:lang w:eastAsia="zh-CN"/>
              </w:rPr>
            </w:pPr>
            <w:r>
              <w:rPr>
                <w:rFonts w:hint="eastAsia" w:ascii="楷体" w:hAnsi="楷体" w:eastAsia="楷体" w:cs="宋体"/>
                <w:spacing w:val="-2"/>
                <w:sz w:val="18"/>
                <w:szCs w:val="18"/>
              </w:rPr>
              <w:t>苏银理财</w:t>
            </w:r>
            <w:r>
              <w:rPr>
                <w:rFonts w:hint="eastAsia" w:ascii="楷体" w:hAnsi="楷体" w:eastAsia="楷体" w:cs="宋体"/>
                <w:spacing w:val="-2"/>
                <w:sz w:val="18"/>
                <w:szCs w:val="18"/>
                <w:lang w:eastAsia="zh-CN"/>
              </w:rPr>
              <w:t>恒源1年定开21期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0"/>
              <w:ind w:left="55"/>
              <w:jc w:val="both"/>
              <w:rPr>
                <w:rFonts w:ascii="楷体" w:hAnsi="楷体" w:eastAsia="楷体" w:cs="宋体"/>
                <w:b/>
                <w:spacing w:val="-2"/>
                <w:sz w:val="18"/>
                <w:szCs w:val="18"/>
              </w:rPr>
            </w:pPr>
            <w:r>
              <w:rPr>
                <w:rFonts w:hint="eastAsia" w:ascii="楷体" w:hAnsi="楷体" w:eastAsia="楷体" w:cs="宋体"/>
                <w:b/>
                <w:spacing w:val="-2"/>
                <w:sz w:val="18"/>
                <w:szCs w:val="18"/>
              </w:rPr>
              <w:t>理财产品登记编码</w:t>
            </w:r>
          </w:p>
        </w:tc>
        <w:tc>
          <w:tcPr>
            <w:tcW w:w="7026" w:type="dxa"/>
            <w:noWrap w:val="0"/>
            <w:vAlign w:val="center"/>
          </w:tcPr>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lang w:eastAsia="zh-CN"/>
              </w:rPr>
              <w:t>Z7003121000126，</w:t>
            </w:r>
            <w:r>
              <w:rPr>
                <w:rFonts w:hint="eastAsia" w:ascii="楷体" w:hAnsi="楷体" w:eastAsia="楷体" w:cs="宋体"/>
                <w:spacing w:val="-2"/>
                <w:sz w:val="18"/>
                <w:szCs w:val="18"/>
              </w:rPr>
              <w:t>投资者可依据该编码在中国理财网</w:t>
            </w:r>
            <w:r>
              <w:rPr>
                <w:rFonts w:ascii="楷体" w:hAnsi="楷体" w:eastAsia="楷体" w:cs="宋体"/>
                <w:spacing w:val="-2"/>
                <w:sz w:val="18"/>
                <w:szCs w:val="18"/>
              </w:rPr>
              <w:fldChar w:fldCharType="begin"/>
            </w:r>
            <w:r>
              <w:rPr>
                <w:rFonts w:ascii="楷体" w:hAnsi="楷体" w:eastAsia="楷体" w:cs="宋体"/>
                <w:spacing w:val="-2"/>
                <w:sz w:val="18"/>
                <w:szCs w:val="18"/>
              </w:rPr>
              <w:instrText xml:space="preserve"> HYPERLINK "http://www.chinawealth.com.cn/" </w:instrText>
            </w:r>
            <w:r>
              <w:rPr>
                <w:rFonts w:ascii="楷体" w:hAnsi="楷体" w:eastAsia="楷体" w:cs="宋体"/>
                <w:spacing w:val="-2"/>
                <w:sz w:val="18"/>
                <w:szCs w:val="18"/>
              </w:rPr>
              <w:fldChar w:fldCharType="separate"/>
            </w:r>
            <w:r>
              <w:rPr>
                <w:rFonts w:ascii="楷体" w:hAnsi="楷体" w:eastAsia="楷体" w:cs="宋体"/>
                <w:spacing w:val="-2"/>
                <w:sz w:val="18"/>
                <w:szCs w:val="18"/>
              </w:rPr>
              <w:t>www.chinawealth.com.cn</w:t>
            </w:r>
            <w:r>
              <w:rPr>
                <w:rFonts w:ascii="楷体" w:hAnsi="楷体" w:eastAsia="楷体" w:cs="宋体"/>
                <w:spacing w:val="-2"/>
                <w:sz w:val="18"/>
                <w:szCs w:val="18"/>
              </w:rPr>
              <w:fldChar w:fldCharType="end"/>
            </w:r>
            <w:r>
              <w:rPr>
                <w:rFonts w:hint="eastAsia" w:ascii="楷体" w:hAnsi="楷体" w:eastAsia="楷体" w:cs="宋体"/>
                <w:spacing w:val="-2"/>
                <w:sz w:val="18"/>
                <w:szCs w:val="18"/>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2"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highlight w:val="none"/>
              </w:rPr>
            </w:pPr>
            <w:r>
              <w:rPr>
                <w:rFonts w:hint="eastAsia" w:ascii="楷体" w:hAnsi="楷体" w:eastAsia="楷体" w:cs="宋体"/>
                <w:b/>
                <w:spacing w:val="-2"/>
                <w:sz w:val="18"/>
                <w:szCs w:val="18"/>
                <w:highlight w:val="none"/>
              </w:rPr>
              <w:t>销售简称/销售代码</w:t>
            </w:r>
          </w:p>
        </w:tc>
        <w:tc>
          <w:tcPr>
            <w:tcW w:w="702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ind w:right="73" w:rightChars="35"/>
              <w:jc w:val="both"/>
              <w:textAlignment w:val="auto"/>
              <w:rPr>
                <w:rFonts w:hint="eastAsia" w:ascii="楷体" w:hAnsi="楷体" w:eastAsia="楷体" w:cs="宋体"/>
                <w:spacing w:val="-2"/>
                <w:sz w:val="18"/>
                <w:szCs w:val="18"/>
                <w:highlight w:val="none"/>
                <w:vertAlign w:val="baseline"/>
                <w:lang w:val="en-US"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8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销售简称</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b/>
                      <w:bCs/>
                      <w:spacing w:val="-2"/>
                      <w:sz w:val="18"/>
                      <w:szCs w:val="18"/>
                      <w:highlight w:val="none"/>
                      <w:vertAlign w:val="baseline"/>
                      <w:lang w:val="en-US"/>
                    </w:rPr>
                  </w:pPr>
                  <w:r>
                    <w:rPr>
                      <w:rFonts w:hint="eastAsia" w:ascii="楷体" w:hAnsi="楷体" w:eastAsia="楷体" w:cs="宋体"/>
                      <w:b/>
                      <w:bCs/>
                      <w:spacing w:val="-2"/>
                      <w:sz w:val="18"/>
                      <w:szCs w:val="18"/>
                      <w:highlight w:val="none"/>
                      <w:vertAlign w:val="baseline"/>
                      <w:lang w:val="en-US" w:eastAsia="zh-CN"/>
                    </w:rPr>
                    <w:t>销售代码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rPr>
                    <w:t>A</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J00</w:t>
                  </w:r>
                  <w:r>
                    <w:rPr>
                      <w:rFonts w:hint="eastAsia" w:ascii="楷体" w:hAnsi="楷体" w:eastAsia="楷体" w:cs="宋体"/>
                      <w:spacing w:val="-2"/>
                      <w:sz w:val="18"/>
                      <w:szCs w:val="18"/>
                      <w:highlight w:val="none"/>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rPr>
                    <w:t>B</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J00</w:t>
                  </w:r>
                  <w:r>
                    <w:rPr>
                      <w:rFonts w:hint="eastAsia" w:ascii="楷体" w:hAnsi="楷体" w:eastAsia="楷体" w:cs="宋体"/>
                      <w:spacing w:val="-2"/>
                      <w:sz w:val="18"/>
                      <w:szCs w:val="18"/>
                      <w:highlight w:val="none"/>
                      <w:lang w:val="en-US" w:eastAsia="zh-CN"/>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C</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J07221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D份额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D</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F</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G</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J</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vertAlign w:val="baseline"/>
                      <w:lang w:val="en-US" w:eastAsia="zh-CN"/>
                    </w:rPr>
                    <w:t>J02584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P</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kern w:val="0"/>
                      <w:sz w:val="18"/>
                      <w:szCs w:val="18"/>
                      <w:highlight w:val="none"/>
                      <w:lang w:val="en-US" w:eastAsia="zh-CN" w:bidi="ar-SA"/>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Q</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J07223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default" w:ascii="楷体" w:hAnsi="楷体" w:eastAsia="楷体" w:cs="宋体"/>
                      <w:spacing w:val="-2"/>
                      <w:sz w:val="18"/>
                      <w:szCs w:val="18"/>
                      <w:highlight w:val="none"/>
                      <w:lang w:val="en-US"/>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S</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ZA（自动赎回）</w:t>
                  </w:r>
                </w:p>
              </w:tc>
              <w:tc>
                <w:tcPr>
                  <w:tcW w:w="1652" w:type="dxa"/>
                  <w:noWrap w:val="0"/>
                  <w:vAlign w:val="bottom"/>
                </w:tcPr>
                <w:p>
                  <w:pPr>
                    <w:keepNext w:val="0"/>
                    <w:keepLines w:val="0"/>
                    <w:pageBreakBefore w:val="0"/>
                    <w:widowControl/>
                    <w:suppressLineNumbers w:val="0"/>
                    <w:wordWrap/>
                    <w:topLinePunct w:val="0"/>
                    <w:bidi w:val="0"/>
                    <w:snapToGrid/>
                    <w:spacing w:line="0" w:lineRule="atLeast"/>
                    <w:jc w:val="center"/>
                    <w:textAlignment w:val="bottom"/>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382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ZF（自动赎回）</w:t>
                  </w:r>
                </w:p>
              </w:tc>
              <w:tc>
                <w:tcPr>
                  <w:tcW w:w="165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 xml:space="preserve"> J02586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ZN（自动赎回）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ZQ（自动赎回）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kern w:val="0"/>
                      <w:sz w:val="18"/>
                      <w:szCs w:val="18"/>
                      <w:highlight w:val="none"/>
                      <w:lang w:val="en-US" w:eastAsia="zh-CN" w:bidi="ar-SA"/>
                    </w:rPr>
                    <w:t>J07226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0" w:type="dxa"/>
                  <w:noWrap w:val="0"/>
                  <w:vAlign w:val="center"/>
                </w:tcPr>
                <w:p>
                  <w:pPr>
                    <w:keepNext w:val="0"/>
                    <w:keepLines w:val="0"/>
                    <w:pageBreakBefore w:val="0"/>
                    <w:widowControl/>
                    <w:suppressLineNumbers w:val="0"/>
                    <w:wordWrap/>
                    <w:topLinePunct w:val="0"/>
                    <w:bidi w:val="0"/>
                    <w:snapToGrid/>
                    <w:spacing w:line="0" w:lineRule="atLeast"/>
                    <w:jc w:val="center"/>
                    <w:textAlignment w:val="auto"/>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ZS份额</w:t>
                  </w:r>
                </w:p>
              </w:tc>
              <w:tc>
                <w:tcPr>
                  <w:tcW w:w="382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both"/>
                    <w:textAlignment w:val="auto"/>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苏银理财</w:t>
                  </w:r>
                  <w:r>
                    <w:rPr>
                      <w:rFonts w:hint="eastAsia" w:ascii="楷体" w:hAnsi="楷体" w:eastAsia="楷体" w:cs="宋体"/>
                      <w:spacing w:val="-2"/>
                      <w:sz w:val="18"/>
                      <w:szCs w:val="18"/>
                      <w:highlight w:val="none"/>
                      <w:lang w:eastAsia="zh-CN"/>
                    </w:rPr>
                    <w:t>恒源1年定开21期</w:t>
                  </w:r>
                  <w:r>
                    <w:rPr>
                      <w:rFonts w:hint="eastAsia" w:ascii="楷体" w:hAnsi="楷体" w:eastAsia="楷体" w:cs="宋体"/>
                      <w:spacing w:val="-2"/>
                      <w:sz w:val="18"/>
                      <w:szCs w:val="18"/>
                      <w:highlight w:val="none"/>
                      <w:lang w:val="en-US" w:eastAsia="zh-CN"/>
                    </w:rPr>
                    <w:t>ZS（自动赎回）</w:t>
                  </w:r>
                </w:p>
              </w:tc>
              <w:tc>
                <w:tcPr>
                  <w:tcW w:w="16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宋体"/>
                      <w:spacing w:val="-2"/>
                      <w:kern w:val="0"/>
                      <w:sz w:val="18"/>
                      <w:szCs w:val="18"/>
                      <w:highlight w:val="none"/>
                      <w:lang w:val="en-US" w:eastAsia="zh-CN" w:bidi="ar-SA"/>
                    </w:rPr>
                  </w:pPr>
                  <w:r>
                    <w:rPr>
                      <w:rFonts w:hint="eastAsia" w:ascii="楷体" w:hAnsi="楷体" w:eastAsia="楷体" w:cs="宋体"/>
                      <w:spacing w:val="-2"/>
                      <w:kern w:val="0"/>
                      <w:sz w:val="18"/>
                      <w:szCs w:val="18"/>
                      <w:highlight w:val="none"/>
                      <w:lang w:val="en-US" w:eastAsia="zh-CN" w:bidi="ar-SA"/>
                    </w:rPr>
                    <w:t>J03489</w:t>
                  </w:r>
                </w:p>
              </w:tc>
            </w:tr>
          </w:tbl>
          <w:p>
            <w:pPr>
              <w:pStyle w:val="34"/>
              <w:kinsoku w:val="0"/>
              <w:overflowPunct w:val="0"/>
              <w:spacing w:before="12"/>
              <w:ind w:right="73" w:rightChars="35"/>
              <w:jc w:val="both"/>
              <w:rPr>
                <w:rFonts w:hint="default" w:ascii="楷体" w:hAnsi="楷体" w:eastAsia="楷体" w:cs="宋体"/>
                <w:spacing w:val="-2"/>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产品类型</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b/>
                <w:spacing w:val="-2"/>
                <w:kern w:val="0"/>
                <w:sz w:val="18"/>
                <w:szCs w:val="18"/>
                <w:u w:val="single"/>
                <w:lang w:val="en-US" w:eastAsia="zh-CN" w:bidi="ar-SA"/>
              </w:rPr>
            </w:pPr>
            <w:r>
              <w:rPr>
                <w:rFonts w:hint="eastAsia" w:ascii="楷体" w:hAnsi="楷体" w:eastAsia="楷体" w:cs="宋体"/>
                <w:b/>
                <w:spacing w:val="-2"/>
                <w:sz w:val="18"/>
                <w:szCs w:val="18"/>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产品内部风险评级</w:t>
            </w:r>
          </w:p>
        </w:tc>
        <w:tc>
          <w:tcPr>
            <w:tcW w:w="7026" w:type="dxa"/>
            <w:noWrap w:val="0"/>
            <w:vAlign w:val="center"/>
          </w:tcPr>
          <w:p>
            <w:pPr>
              <w:numPr>
                <w:ilvl w:val="-1"/>
                <w:numId w:val="0"/>
              </w:numPr>
              <w:spacing w:before="6"/>
              <w:ind w:left="57" w:leftChars="0" w:right="57" w:firstLine="0" w:firstLineChars="0"/>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17"/>
              <w:gridCol w:w="179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autoSpaceDE/>
                    <w:autoSpaceDN/>
                    <w:adjustRightInd/>
                    <w:spacing w:before="6" w:line="0" w:lineRule="atLeast"/>
                    <w:ind w:left="0" w:right="0" w:firstLine="0" w:firstLineChars="0"/>
                    <w:jc w:val="center"/>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numPr>
                <w:ilvl w:val="-1"/>
                <w:numId w:val="0"/>
              </w:numPr>
              <w:spacing w:before="6"/>
              <w:ind w:left="57" w:leftChars="0" w:right="57" w:firstLine="0" w:firstLineChars="0"/>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pStyle w:val="34"/>
              <w:kinsoku w:val="0"/>
              <w:overflowPunct w:val="0"/>
              <w:spacing w:before="13"/>
              <w:ind w:left="59" w:right="73" w:rightChars="35"/>
              <w:jc w:val="both"/>
              <w:rPr>
                <w:rFonts w:ascii="楷体" w:hAnsi="楷体" w:eastAsia="楷体" w:cs="宋体"/>
                <w:spacing w:val="-2"/>
                <w:sz w:val="18"/>
                <w:szCs w:val="18"/>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866" w:type="dxa"/>
            <w:noWrap w:val="0"/>
            <w:vAlign w:val="center"/>
          </w:tcPr>
          <w:p>
            <w:pPr>
              <w:pStyle w:val="34"/>
              <w:kinsoku w:val="0"/>
              <w:overflowPunct w:val="0"/>
              <w:spacing w:before="13"/>
              <w:ind w:left="55"/>
              <w:jc w:val="both"/>
              <w:rPr>
                <w:rFonts w:ascii="楷体" w:hAnsi="楷体" w:eastAsia="楷体" w:cs="宋体"/>
                <w:b/>
                <w:spacing w:val="-2"/>
                <w:sz w:val="18"/>
                <w:szCs w:val="18"/>
              </w:rPr>
            </w:pPr>
            <w:r>
              <w:rPr>
                <w:rFonts w:hint="eastAsia" w:ascii="楷体" w:hAnsi="楷体" w:eastAsia="楷体" w:cs="宋体"/>
                <w:b/>
                <w:spacing w:val="-2"/>
                <w:sz w:val="18"/>
                <w:szCs w:val="18"/>
              </w:rPr>
              <w:t>销售对象</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color w:val="auto"/>
                <w:spacing w:val="-2"/>
                <w:kern w:val="0"/>
                <w:sz w:val="18"/>
                <w:szCs w:val="18"/>
                <w:highlight w:val="none"/>
                <w:lang w:val="en-US" w:eastAsia="zh-CN" w:bidi="ar-SA"/>
              </w:rPr>
            </w:pPr>
            <w:r>
              <w:rPr>
                <w:rFonts w:hint="eastAsia" w:ascii="楷体" w:hAnsi="楷体" w:eastAsia="楷体" w:cs="宋体"/>
                <w:color w:val="auto"/>
                <w:spacing w:val="-2"/>
                <w:kern w:val="0"/>
                <w:sz w:val="18"/>
                <w:szCs w:val="18"/>
                <w:highlight w:val="none"/>
                <w:lang w:val="en-US" w:eastAsia="zh-CN" w:bidi="ar-SA"/>
              </w:rPr>
              <w:t>除ZS份额外，均面向个人和机构投资者销售。</w:t>
            </w:r>
          </w:p>
          <w:p>
            <w:pPr>
              <w:pStyle w:val="34"/>
              <w:kinsoku w:val="0"/>
              <w:overflowPunct w:val="0"/>
              <w:spacing w:before="12"/>
              <w:ind w:left="59"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其中C份额销售机构江苏银行个人投资者仅限代发工资客户；新资金客户及新客户，新资金的达标条件为“客户前一日资产时点余额”较“前一月末资产月日均余额”的新增额大于5万元，新客户是指首次购买苏银理财理财产品的客户；50周岁及以上客户；</w:t>
            </w:r>
            <w:r>
              <w:rPr>
                <w:rFonts w:hint="eastAsia" w:ascii="楷体" w:hAnsi="楷体" w:eastAsia="楷体" w:cs="宋体"/>
                <w:spacing w:val="-2"/>
                <w:sz w:val="18"/>
                <w:szCs w:val="18"/>
                <w:highlight w:val="none"/>
                <w:vertAlign w:val="baseline"/>
                <w:lang w:eastAsia="zh-CN"/>
              </w:rPr>
              <w:t>机构投资者具体以销售机构设置为准。</w:t>
            </w:r>
          </w:p>
          <w:p>
            <w:pPr>
              <w:pStyle w:val="34"/>
              <w:kinsoku w:val="0"/>
              <w:overflowPunct w:val="0"/>
              <w:spacing w:before="12"/>
              <w:ind w:left="59" w:right="73" w:rightChars="35"/>
              <w:jc w:val="both"/>
              <w:rPr>
                <w:rFonts w:hint="eastAsia" w:ascii="楷体" w:hAnsi="楷体" w:eastAsia="楷体" w:cs="宋体"/>
                <w:spacing w:val="-2"/>
                <w:sz w:val="18"/>
                <w:szCs w:val="18"/>
                <w:highlight w:val="none"/>
                <w:vertAlign w:val="baseline"/>
                <w:lang w:eastAsia="zh-CN"/>
              </w:rPr>
            </w:pPr>
            <w:r>
              <w:rPr>
                <w:rFonts w:hint="eastAsia" w:ascii="楷体" w:hAnsi="楷体" w:eastAsia="楷体" w:cs="宋体"/>
                <w:spacing w:val="-2"/>
                <w:sz w:val="18"/>
                <w:szCs w:val="18"/>
                <w:highlight w:val="none"/>
                <w:lang w:val="en-US" w:eastAsia="zh-CN"/>
              </w:rPr>
              <w:t>D份额</w:t>
            </w:r>
            <w:r>
              <w:rPr>
                <w:rFonts w:hint="eastAsia" w:ascii="楷体" w:hAnsi="楷体" w:eastAsia="楷体" w:cs="宋体"/>
                <w:spacing w:val="-2"/>
                <w:sz w:val="18"/>
                <w:szCs w:val="18"/>
                <w:highlight w:val="none"/>
                <w:vertAlign w:val="baseline"/>
                <w:lang w:val="en-US" w:eastAsia="zh-CN"/>
              </w:rPr>
              <w:t>销售机构江苏银行个人投资者仅限</w:t>
            </w:r>
            <w:r>
              <w:rPr>
                <w:rFonts w:hint="eastAsia" w:ascii="楷体" w:hAnsi="楷体" w:eastAsia="楷体" w:cs="宋体"/>
                <w:spacing w:val="-2"/>
                <w:sz w:val="18"/>
                <w:szCs w:val="18"/>
                <w:highlight w:val="none"/>
                <w:vertAlign w:val="baseline"/>
                <w:lang w:eastAsia="zh-CN"/>
              </w:rPr>
              <w:t>财富客户购买，江苏银行财富客户指在江苏银行日均资产大于等于200万元的个人客户；机构投资者具体以销售机构设置为准。</w:t>
            </w:r>
          </w:p>
          <w:p>
            <w:pPr>
              <w:pStyle w:val="34"/>
              <w:kinsoku w:val="0"/>
              <w:overflowPunct w:val="0"/>
              <w:spacing w:before="12"/>
              <w:ind w:left="59" w:right="73" w:rightChars="35"/>
              <w:jc w:val="both"/>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ZS份额面向家族信托销售。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ascii="楷体" w:hAnsi="楷体" w:eastAsia="楷体" w:cs="宋体"/>
                <w:b/>
                <w:spacing w:val="-2"/>
                <w:sz w:val="18"/>
                <w:szCs w:val="18"/>
              </w:rPr>
            </w:pPr>
            <w:r>
              <w:rPr>
                <w:rFonts w:hint="eastAsia" w:ascii="楷体" w:hAnsi="楷体" w:eastAsia="楷体" w:cs="宋体"/>
                <w:b/>
                <w:spacing w:val="-2"/>
                <w:sz w:val="18"/>
                <w:szCs w:val="18"/>
              </w:rPr>
              <w:t>募集币种</w:t>
            </w:r>
          </w:p>
        </w:tc>
        <w:tc>
          <w:tcPr>
            <w:tcW w:w="7026" w:type="dxa"/>
            <w:noWrap w:val="0"/>
            <w:vAlign w:val="center"/>
          </w:tcPr>
          <w:p>
            <w:pPr>
              <w:pStyle w:val="34"/>
              <w:kinsoku w:val="0"/>
              <w:overflowPunct w:val="0"/>
              <w:spacing w:before="14"/>
              <w:ind w:left="59" w:right="73" w:rightChars="35"/>
              <w:jc w:val="both"/>
              <w:rPr>
                <w:rFonts w:ascii="楷体" w:hAnsi="楷体" w:eastAsia="楷体" w:cs="宋体"/>
                <w:spacing w:val="-2"/>
                <w:sz w:val="18"/>
                <w:szCs w:val="18"/>
              </w:rPr>
            </w:pPr>
            <w:r>
              <w:rPr>
                <w:rFonts w:hint="eastAsia" w:ascii="楷体" w:hAnsi="楷体" w:eastAsia="楷体" w:cs="宋体"/>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份额面值</w:t>
            </w:r>
          </w:p>
        </w:tc>
        <w:tc>
          <w:tcPr>
            <w:tcW w:w="7026" w:type="dxa"/>
            <w:noWrap w:val="0"/>
            <w:vAlign w:val="center"/>
          </w:tcPr>
          <w:p>
            <w:pPr>
              <w:pStyle w:val="34"/>
              <w:kinsoku w:val="0"/>
              <w:overflowPunct w:val="0"/>
              <w:spacing w:before="12"/>
              <w:ind w:left="59" w:leftChars="0" w:right="73" w:rightChars="35"/>
              <w:jc w:val="both"/>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eastAsia="zh-CN"/>
              </w:rPr>
              <w:t>1元</w:t>
            </w:r>
            <w:r>
              <w:rPr>
                <w:rFonts w:hint="eastAsia" w:ascii="楷体" w:hAnsi="楷体" w:eastAsia="楷体" w:cs="宋体"/>
                <w:spacing w:val="-2"/>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投资周期</w:t>
            </w:r>
          </w:p>
        </w:tc>
        <w:tc>
          <w:tcPr>
            <w:tcW w:w="7026" w:type="dxa"/>
            <w:noWrap w:val="0"/>
            <w:vAlign w:val="center"/>
          </w:tcPr>
          <w:p>
            <w:pPr>
              <w:pStyle w:val="34"/>
              <w:kinsoku w:val="0"/>
              <w:overflowPunct w:val="0"/>
              <w:spacing w:before="14"/>
              <w:ind w:left="59" w:right="73" w:rightChars="35"/>
              <w:jc w:val="both"/>
              <w:rPr>
                <w:rFonts w:hint="default" w:ascii="楷体" w:hAnsi="楷体" w:eastAsia="楷体" w:cs="宋体"/>
                <w:b/>
                <w:spacing w:val="-2"/>
                <w:sz w:val="18"/>
                <w:szCs w:val="18"/>
                <w:highlight w:val="none"/>
                <w:lang w:val="en-US" w:eastAsia="zh-CN"/>
              </w:rPr>
            </w:pPr>
            <w:r>
              <w:rPr>
                <w:rFonts w:hint="eastAsia" w:ascii="楷体" w:hAnsi="楷体" w:eastAsia="楷体" w:cs="宋体"/>
                <w:spacing w:val="-2"/>
                <w:sz w:val="18"/>
                <w:szCs w:val="18"/>
                <w:highlight w:val="none"/>
                <w:lang w:val="en-US" w:eastAsia="zh-CN"/>
              </w:rPr>
              <w:t>1年左右，具体天数以实际投资为准。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计划发行规模</w:t>
            </w:r>
          </w:p>
        </w:tc>
        <w:tc>
          <w:tcPr>
            <w:tcW w:w="7026" w:type="dxa"/>
            <w:noWrap w:val="0"/>
            <w:vAlign w:val="center"/>
          </w:tcPr>
          <w:p>
            <w:pPr>
              <w:keepNext w:val="0"/>
              <w:keepLines w:val="0"/>
              <w:pageBreakBefore w:val="0"/>
              <w:widowControl w:val="0"/>
              <w:kinsoku/>
              <w:wordWrap/>
              <w:overflowPunct/>
              <w:topLinePunct w:val="0"/>
              <w:autoSpaceDE/>
              <w:autoSpaceDN/>
              <w:bidi w:val="0"/>
              <w:adjustRightInd/>
              <w:snapToGrid/>
              <w:ind w:left="21" w:leftChars="10" w:right="73" w:rightChars="35"/>
              <w:textAlignment w:val="auto"/>
              <w:rPr>
                <w:rFonts w:hint="eastAsia" w:ascii="楷体" w:hAnsi="楷体" w:eastAsia="楷体" w:cs="宋体"/>
                <w:spacing w:val="-2"/>
                <w:sz w:val="18"/>
                <w:szCs w:val="18"/>
              </w:rPr>
            </w:pPr>
            <w:r>
              <w:rPr>
                <w:rFonts w:hint="eastAsia" w:ascii="楷体" w:hAnsi="楷体" w:eastAsia="楷体" w:cs="宋体"/>
                <w:spacing w:val="-2"/>
                <w:kern w:val="0"/>
                <w:sz w:val="18"/>
                <w:szCs w:val="18"/>
                <w:highlight w:val="none"/>
                <w:lang w:val="en-US" w:eastAsia="zh-CN" w:bidi="ar-SA"/>
              </w:rPr>
              <w:t>50亿元，募集期及存续期管理人有权根据实际需要调整计划发行规模。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1866" w:type="dxa"/>
            <w:noWrap w:val="0"/>
            <w:vAlign w:val="center"/>
          </w:tcPr>
          <w:p>
            <w:pPr>
              <w:pStyle w:val="34"/>
              <w:kinsoku w:val="0"/>
              <w:overflowPunct w:val="0"/>
              <w:spacing w:before="13"/>
              <w:ind w:left="55" w:leftChars="0"/>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highlight w:val="none"/>
                <w:lang w:val="en-US" w:eastAsia="zh-CN"/>
              </w:rPr>
              <w:t>最低发行规模</w:t>
            </w:r>
          </w:p>
        </w:tc>
        <w:tc>
          <w:tcPr>
            <w:tcW w:w="7026" w:type="dxa"/>
            <w:noWrap w:val="0"/>
            <w:vAlign w:val="center"/>
          </w:tcPr>
          <w:p>
            <w:pPr>
              <w:pStyle w:val="34"/>
              <w:kinsoku w:val="0"/>
              <w:overflowPunct w:val="0"/>
              <w:spacing w:before="6"/>
              <w:ind w:left="57" w:leftChars="0" w:right="57" w:rightChars="0"/>
              <w:jc w:val="both"/>
              <w:rPr>
                <w:rFonts w:hint="eastAsia" w:ascii="楷体" w:hAnsi="楷体" w:eastAsia="楷体" w:cs="宋体"/>
                <w:color w:val="auto"/>
                <w:spacing w:val="-2"/>
                <w:sz w:val="18"/>
                <w:szCs w:val="18"/>
                <w:lang w:val="en-US" w:eastAsia="zh-CN"/>
              </w:rPr>
            </w:pPr>
            <w:r>
              <w:rPr>
                <w:rFonts w:hint="eastAsia" w:ascii="楷体" w:hAnsi="楷体" w:eastAsia="楷体" w:cs="宋体"/>
                <w:color w:val="auto"/>
                <w:spacing w:val="-2"/>
                <w:sz w:val="18"/>
                <w:szCs w:val="18"/>
                <w:highlight w:val="none"/>
                <w:lang w:val="en-US" w:eastAsia="zh-CN"/>
              </w:rPr>
              <w:t>本产品最低发行规模为</w:t>
            </w:r>
            <w:r>
              <w:rPr>
                <w:rFonts w:hint="eastAsia" w:ascii="楷体" w:hAnsi="楷体" w:eastAsia="楷体" w:cs="宋体"/>
                <w:color w:val="auto"/>
                <w:spacing w:val="-2"/>
                <w:sz w:val="18"/>
                <w:szCs w:val="18"/>
                <w:lang w:val="en-US" w:eastAsia="zh-CN"/>
              </w:rPr>
              <w:t>3000万元，</w:t>
            </w:r>
            <w:r>
              <w:rPr>
                <w:rFonts w:hint="eastAsia" w:ascii="楷体" w:hAnsi="楷体" w:eastAsia="楷体" w:cs="宋体"/>
                <w:color w:val="auto"/>
                <w:spacing w:val="-2"/>
                <w:sz w:val="18"/>
                <w:szCs w:val="18"/>
                <w:highlight w:val="none"/>
              </w:rPr>
              <w:t>管理人有权</w:t>
            </w:r>
            <w:r>
              <w:rPr>
                <w:rFonts w:hint="eastAsia" w:ascii="楷体" w:hAnsi="楷体" w:eastAsia="楷体" w:cs="宋体"/>
                <w:color w:val="auto"/>
                <w:spacing w:val="-2"/>
                <w:sz w:val="18"/>
                <w:szCs w:val="18"/>
                <w:highlight w:val="none"/>
                <w:lang w:val="en-US" w:eastAsia="zh-CN"/>
              </w:rPr>
              <w:t>根据实际需要</w:t>
            </w:r>
            <w:r>
              <w:rPr>
                <w:rFonts w:hint="eastAsia" w:ascii="楷体" w:hAnsi="楷体" w:eastAsia="楷体" w:cs="宋体"/>
                <w:color w:val="auto"/>
                <w:spacing w:val="-2"/>
                <w:sz w:val="18"/>
                <w:szCs w:val="18"/>
                <w:highlight w:val="none"/>
              </w:rPr>
              <w:t>调整</w:t>
            </w:r>
            <w:r>
              <w:rPr>
                <w:rFonts w:hint="eastAsia" w:ascii="楷体" w:hAnsi="楷体" w:eastAsia="楷体" w:cs="宋体"/>
                <w:color w:val="auto"/>
                <w:spacing w:val="-2"/>
                <w:sz w:val="18"/>
                <w:szCs w:val="18"/>
                <w:highlight w:val="none"/>
                <w:lang w:val="en-US" w:eastAsia="zh-CN"/>
              </w:rPr>
              <w:t>最低</w:t>
            </w:r>
            <w:r>
              <w:rPr>
                <w:rFonts w:hint="eastAsia" w:ascii="楷体" w:hAnsi="楷体" w:eastAsia="楷体" w:cs="宋体"/>
                <w:color w:val="auto"/>
                <w:spacing w:val="-2"/>
                <w:sz w:val="18"/>
                <w:szCs w:val="18"/>
                <w:highlight w:val="none"/>
              </w:rPr>
              <w:t>发行规模。</w:t>
            </w:r>
          </w:p>
          <w:p>
            <w:pPr>
              <w:pStyle w:val="34"/>
              <w:kinsoku w:val="0"/>
              <w:overflowPunct w:val="0"/>
              <w:spacing w:before="6"/>
              <w:ind w:left="57" w:leftChars="0" w:right="57" w:rightChars="0"/>
              <w:jc w:val="both"/>
              <w:rPr>
                <w:rFonts w:hint="eastAsia" w:ascii="楷体" w:hAnsi="楷体" w:eastAsia="楷体" w:cs="宋体"/>
                <w:spacing w:val="-2"/>
                <w:sz w:val="18"/>
                <w:szCs w:val="18"/>
                <w:lang w:val="en-US" w:eastAsia="zh-CN"/>
              </w:rPr>
            </w:pPr>
            <w:r>
              <w:rPr>
                <w:rFonts w:hint="eastAsia" w:ascii="楷体" w:hAnsi="楷体" w:eastAsia="楷体" w:cs="宋体"/>
                <w:color w:val="auto"/>
                <w:spacing w:val="-2"/>
                <w:sz w:val="18"/>
                <w:szCs w:val="18"/>
              </w:rPr>
              <w:t>若产品认购</w:t>
            </w:r>
            <w:r>
              <w:rPr>
                <w:rFonts w:hint="eastAsia" w:ascii="楷体" w:hAnsi="楷体" w:eastAsia="楷体" w:cs="宋体"/>
                <w:color w:val="auto"/>
                <w:spacing w:val="-2"/>
                <w:sz w:val="18"/>
                <w:szCs w:val="18"/>
                <w:lang w:val="en-US" w:eastAsia="zh-CN"/>
              </w:rPr>
              <w:t>规模</w:t>
            </w:r>
            <w:r>
              <w:rPr>
                <w:rFonts w:hint="eastAsia" w:ascii="楷体" w:hAnsi="楷体" w:eastAsia="楷体" w:cs="宋体"/>
                <w:color w:val="auto"/>
                <w:spacing w:val="-2"/>
                <w:sz w:val="18"/>
                <w:szCs w:val="18"/>
              </w:rPr>
              <w:t>未达到最低发行规模，或新的法律、法规导致本产品无法合法合规运行，或出现其他导致影响产品成立不可抗力因素，产品管理人有权利但无义务宣布产品不成立，并于产品</w:t>
            </w:r>
            <w:r>
              <w:rPr>
                <w:rFonts w:hint="eastAsia" w:ascii="楷体" w:hAnsi="楷体" w:eastAsia="楷体" w:cs="宋体"/>
                <w:color w:val="auto"/>
                <w:spacing w:val="-2"/>
                <w:sz w:val="18"/>
                <w:szCs w:val="18"/>
                <w:lang w:val="en-US" w:eastAsia="zh-CN"/>
              </w:rPr>
              <w:t>认购</w:t>
            </w:r>
            <w:r>
              <w:rPr>
                <w:rFonts w:hint="eastAsia" w:ascii="楷体" w:hAnsi="楷体" w:eastAsia="楷体" w:cs="宋体"/>
                <w:color w:val="auto"/>
                <w:spacing w:val="-2"/>
                <w:sz w:val="18"/>
                <w:szCs w:val="18"/>
              </w:rPr>
              <w:t>期结束后5个工作日内将投资者认购资金返还至投资者资金账户，</w:t>
            </w:r>
            <w:r>
              <w:rPr>
                <w:rFonts w:hint="eastAsia" w:ascii="楷体" w:hAnsi="楷体" w:eastAsia="楷体" w:cs="宋体"/>
                <w:color w:val="auto"/>
                <w:spacing w:val="-2"/>
                <w:sz w:val="18"/>
                <w:szCs w:val="18"/>
                <w:lang w:val="en-US" w:eastAsia="zh-CN"/>
              </w:rPr>
              <w:t>认购期及资金</w:t>
            </w:r>
            <w:r>
              <w:rPr>
                <w:rFonts w:hint="eastAsia" w:ascii="楷体" w:hAnsi="楷体" w:eastAsia="楷体" w:cs="宋体"/>
                <w:color w:val="auto"/>
                <w:spacing w:val="-2"/>
                <w:sz w:val="18"/>
                <w:szCs w:val="18"/>
              </w:rPr>
              <w:t>在途期间投资者投资本金不计息。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4" w:hRule="atLeast"/>
          <w:jc w:val="center"/>
        </w:trPr>
        <w:tc>
          <w:tcPr>
            <w:tcW w:w="1866" w:type="dxa"/>
            <w:noWrap w:val="0"/>
            <w:vAlign w:val="center"/>
          </w:tcPr>
          <w:p>
            <w:pPr>
              <w:pStyle w:val="34"/>
              <w:kinsoku w:val="0"/>
              <w:overflowPunct w:val="0"/>
              <w:spacing w:before="12"/>
              <w:ind w:left="55"/>
              <w:jc w:val="both"/>
              <w:rPr>
                <w:rFonts w:ascii="楷体" w:hAnsi="楷体" w:eastAsia="楷体" w:cs="宋体"/>
                <w:b/>
                <w:spacing w:val="-2"/>
                <w:sz w:val="18"/>
                <w:szCs w:val="18"/>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r>
              <w:rPr>
                <w:rFonts w:ascii="楷体" w:hAnsi="楷体" w:eastAsia="楷体" w:cs="宋体"/>
                <w:b/>
                <w:spacing w:val="-2"/>
                <w:sz w:val="18"/>
                <w:szCs w:val="18"/>
              </w:rPr>
              <w:t>/</w:t>
            </w:r>
            <w:r>
              <w:rPr>
                <w:rFonts w:hint="eastAsia" w:ascii="楷体" w:hAnsi="楷体" w:eastAsia="楷体" w:cs="宋体"/>
                <w:b/>
                <w:spacing w:val="-2"/>
                <w:sz w:val="18"/>
                <w:szCs w:val="18"/>
              </w:rPr>
              <w:t>追加金额</w:t>
            </w:r>
          </w:p>
        </w:tc>
        <w:tc>
          <w:tcPr>
            <w:tcW w:w="7026" w:type="dxa"/>
            <w:noWrap w:val="0"/>
            <w:vAlign w:val="center"/>
          </w:tcPr>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36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起点</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rPr>
                  </w:pPr>
                  <w:r>
                    <w:rPr>
                      <w:rFonts w:hint="default" w:ascii="楷体" w:hAnsi="楷体" w:eastAsia="楷体" w:cs="宋体"/>
                      <w:b/>
                      <w:bCs/>
                      <w:spacing w:val="-2"/>
                      <w:sz w:val="18"/>
                      <w:szCs w:val="18"/>
                      <w:highlight w:val="none"/>
                      <w:vertAlign w:val="baseline"/>
                      <w:lang w:val="en-US"/>
                    </w:rPr>
                    <w:t>追加金额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B份额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sz w:val="18"/>
                      <w:szCs w:val="18"/>
                      <w:lang w:val="en-US" w:eastAsia="zh-CN"/>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宋体"/>
                      <w:spacing w:val="-2"/>
                      <w:sz w:val="18"/>
                      <w:szCs w:val="18"/>
                      <w:highlight w:val="none"/>
                      <w:vertAlign w:val="baseline"/>
                      <w:lang w:val="en-US"/>
                    </w:rPr>
                  </w:pPr>
                  <w:r>
                    <w:rPr>
                      <w:rFonts w:hint="eastAsia" w:ascii="楷体" w:hAnsi="楷体" w:eastAsia="楷体" w:cs="楷体"/>
                      <w:i w:val="0"/>
                      <w:iCs w:val="0"/>
                      <w:color w:val="000000"/>
                      <w:kern w:val="0"/>
                      <w:sz w:val="18"/>
                      <w:szCs w:val="18"/>
                      <w:u w:val="none"/>
                      <w:lang w:val="en-US" w:eastAsia="zh-CN" w:bidi="ar"/>
                    </w:rPr>
                    <w:t>D份额</w:t>
                  </w:r>
                </w:p>
              </w:tc>
              <w:tc>
                <w:tcPr>
                  <w:tcW w:w="2360"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个人投资者：500,000元</w:t>
                  </w:r>
                </w:p>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vertAlign w:val="baseline"/>
                      <w:lang w:val="en-US" w:eastAsia="zh-CN"/>
                    </w:rPr>
                    <w:t>机构投资者：50,000,000元</w:t>
                  </w:r>
                </w:p>
              </w:tc>
              <w:tc>
                <w:tcPr>
                  <w:tcW w:w="1893" w:type="dxa"/>
                  <w:noWrap w:val="0"/>
                  <w:vAlign w:val="center"/>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sz w:val="18"/>
                      <w:szCs w:val="18"/>
                      <w:lang w:eastAsia="zh-CN"/>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J份额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highlight w:val="none"/>
                      <w:vertAlign w:val="baseline"/>
                      <w:lang w:val="en-US" w:eastAsia="zh-CN"/>
                    </w:rPr>
                    <w:t>500,000元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10</w:t>
                  </w:r>
                  <w:r>
                    <w:rPr>
                      <w:rFonts w:ascii="楷体" w:hAnsi="楷体" w:eastAsia="楷体"/>
                      <w:sz w:val="18"/>
                      <w:szCs w:val="18"/>
                    </w:rPr>
                    <w:t>,</w:t>
                  </w:r>
                  <w:r>
                    <w:rPr>
                      <w:rFonts w:hint="eastAsia" w:ascii="楷体" w:hAnsi="楷体" w:eastAsia="楷体"/>
                      <w:sz w:val="18"/>
                      <w:szCs w:val="18"/>
                    </w:rPr>
                    <w:t>000元的整数倍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val="en-US" w:eastAsia="zh-CN"/>
                    </w:rPr>
                    <w:t>10,000元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Times New Roman"/>
                      <w:kern w:val="0"/>
                      <w:sz w:val="18"/>
                      <w:szCs w:val="18"/>
                      <w:lang w:val="en-US" w:eastAsia="zh-CN" w:bidi="ar-SA"/>
                    </w:rPr>
                  </w:pPr>
                  <w:r>
                    <w:rPr>
                      <w:rFonts w:hint="eastAsia" w:ascii="楷体" w:hAnsi="楷体" w:eastAsia="楷体"/>
                      <w:sz w:val="18"/>
                      <w:szCs w:val="18"/>
                      <w:lang w:val="en-US" w:eastAsia="zh-CN"/>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rPr>
                    <w:t>200</w:t>
                  </w:r>
                  <w:r>
                    <w:rPr>
                      <w:rFonts w:ascii="楷体" w:hAnsi="楷体" w:eastAsia="楷体" w:cs="宋体"/>
                      <w:spacing w:val="-2"/>
                      <w:sz w:val="18"/>
                      <w:szCs w:val="18"/>
                    </w:rPr>
                    <w:t>,</w:t>
                  </w:r>
                  <w:r>
                    <w:rPr>
                      <w:rFonts w:hint="eastAsia" w:ascii="楷体" w:hAnsi="楷体" w:eastAsia="楷体" w:cs="宋体"/>
                      <w:spacing w:val="-2"/>
                      <w:sz w:val="18"/>
                      <w:szCs w:val="18"/>
                    </w:rPr>
                    <w:t>000元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rPr>
                    <w:t>1元的整数倍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宋体"/>
                      <w:spacing w:val="-2"/>
                      <w:sz w:val="18"/>
                      <w:szCs w:val="18"/>
                      <w:highlight w:val="none"/>
                      <w:vertAlign w:val="baseline"/>
                    </w:rPr>
                  </w:pPr>
                  <w:r>
                    <w:rPr>
                      <w:rFonts w:hint="eastAsia" w:ascii="楷体" w:hAnsi="楷体" w:eastAsia="楷体" w:cs="楷体"/>
                      <w:i w:val="0"/>
                      <w:iCs w:val="0"/>
                      <w:color w:val="000000"/>
                      <w:kern w:val="0"/>
                      <w:sz w:val="18"/>
                      <w:szCs w:val="18"/>
                      <w:u w:val="none"/>
                      <w:lang w:val="en-US" w:eastAsia="zh-CN" w:bidi="ar"/>
                    </w:rPr>
                    <w:t>ZA份额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sz w:val="18"/>
                      <w:szCs w:val="18"/>
                      <w:highlight w:val="none"/>
                      <w:vertAlign w:val="baseline"/>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ZF份额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2"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ZS份额</w:t>
                  </w:r>
                </w:p>
              </w:tc>
              <w:tc>
                <w:tcPr>
                  <w:tcW w:w="2360"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cs="宋体"/>
                      <w:spacing w:val="-2"/>
                      <w:sz w:val="18"/>
                      <w:szCs w:val="18"/>
                      <w:lang w:eastAsia="zh-CN"/>
                    </w:rPr>
                    <w:t>1</w:t>
                  </w:r>
                  <w:r>
                    <w:rPr>
                      <w:rFonts w:hint="eastAsia" w:ascii="楷体" w:hAnsi="楷体" w:eastAsia="楷体" w:cs="宋体"/>
                      <w:spacing w:val="-2"/>
                      <w:sz w:val="18"/>
                      <w:szCs w:val="18"/>
                      <w:lang w:val="en-US" w:eastAsia="zh-CN"/>
                    </w:rPr>
                    <w:t>00</w:t>
                  </w:r>
                  <w:r>
                    <w:rPr>
                      <w:rFonts w:hint="eastAsia" w:ascii="楷体" w:hAnsi="楷体" w:eastAsia="楷体" w:cs="宋体"/>
                      <w:spacing w:val="-2"/>
                      <w:sz w:val="18"/>
                      <w:szCs w:val="18"/>
                      <w:lang w:eastAsia="zh-CN"/>
                    </w:rPr>
                    <w:t>元</w:t>
                  </w:r>
                </w:p>
              </w:tc>
              <w:tc>
                <w:tcPr>
                  <w:tcW w:w="1893"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spacing w:val="-2"/>
                      <w:kern w:val="0"/>
                      <w:sz w:val="18"/>
                      <w:szCs w:val="18"/>
                      <w:highlight w:val="none"/>
                      <w:vertAlign w:val="baseline"/>
                      <w:lang w:val="en-US" w:eastAsia="zh-CN" w:bidi="ar-SA"/>
                    </w:rPr>
                  </w:pPr>
                  <w:r>
                    <w:rPr>
                      <w:rFonts w:hint="eastAsia" w:ascii="楷体" w:hAnsi="楷体" w:eastAsia="楷体"/>
                      <w:sz w:val="18"/>
                      <w:szCs w:val="18"/>
                      <w:lang w:eastAsia="zh-CN"/>
                    </w:rPr>
                    <w:t>1</w:t>
                  </w:r>
                  <w:r>
                    <w:rPr>
                      <w:rFonts w:hint="eastAsia" w:ascii="楷体" w:hAnsi="楷体" w:eastAsia="楷体"/>
                      <w:sz w:val="18"/>
                      <w:szCs w:val="18"/>
                      <w:lang w:val="en-US" w:eastAsia="zh-CN"/>
                    </w:rPr>
                    <w:t>00</w:t>
                  </w:r>
                  <w:r>
                    <w:rPr>
                      <w:rFonts w:hint="eastAsia" w:ascii="楷体" w:hAnsi="楷体" w:eastAsia="楷体"/>
                      <w:sz w:val="18"/>
                      <w:szCs w:val="18"/>
                      <w:lang w:eastAsia="zh-CN"/>
                    </w:rPr>
                    <w:t>元</w:t>
                  </w:r>
                  <w:r>
                    <w:rPr>
                      <w:rFonts w:hint="eastAsia" w:ascii="楷体" w:hAnsi="楷体" w:eastAsia="楷体"/>
                      <w:sz w:val="18"/>
                      <w:szCs w:val="18"/>
                    </w:rPr>
                    <w:t>的整数倍</w:t>
                  </w:r>
                </w:p>
              </w:tc>
            </w:tr>
          </w:tbl>
          <w:p>
            <w:pPr>
              <w:ind w:left="59" w:right="73" w:rightChars="35"/>
              <w:rPr>
                <w:rFonts w:ascii="楷体" w:hAnsi="楷体" w:eastAsia="楷体" w:cs="宋体"/>
                <w:spacing w:val="-2"/>
                <w:sz w:val="18"/>
                <w:szCs w:val="18"/>
              </w:rPr>
            </w:pPr>
            <w:r>
              <w:rPr>
                <w:rFonts w:hint="eastAsia" w:ascii="楷体" w:hAnsi="楷体" w:eastAsia="楷体" w:cs="宋体"/>
                <w:spacing w:val="-2"/>
                <w:kern w:val="0"/>
                <w:sz w:val="18"/>
                <w:szCs w:val="18"/>
                <w:lang w:val="en-US" w:eastAsia="zh-CN" w:bidi="ar-SA"/>
              </w:rPr>
              <w:t>购买起点/追加金额具体以销售机构设置为准。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jc w:val="center"/>
        </w:trPr>
        <w:tc>
          <w:tcPr>
            <w:tcW w:w="1866" w:type="dxa"/>
            <w:noWrap w:val="0"/>
            <w:vAlign w:val="center"/>
          </w:tcPr>
          <w:p>
            <w:pPr>
              <w:pStyle w:val="34"/>
              <w:kinsoku w:val="0"/>
              <w:overflowPunct w:val="0"/>
              <w:spacing w:before="13"/>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募集期</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eastAsia="zh-CN"/>
              </w:rPr>
              <w:t>2021年8月4日9:00至2021年8月10日17:00。</w:t>
            </w:r>
            <w:r>
              <w:rPr>
                <w:rFonts w:hint="eastAsia" w:ascii="楷体" w:hAnsi="楷体" w:eastAsia="楷体" w:cs="宋体"/>
                <w:spacing w:val="-2"/>
                <w:sz w:val="18"/>
                <w:szCs w:val="18"/>
              </w:rPr>
              <w:t>管理人在法律允许的范围内保留延长或提前终止产品募集期的权利。如有变动，实际产品募集期以管理人公告或各销售机构设置的募集时间为准。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产品成立日/份额登记日</w:t>
            </w:r>
          </w:p>
        </w:tc>
        <w:tc>
          <w:tcPr>
            <w:tcW w:w="7026" w:type="dxa"/>
            <w:noWrap w:val="0"/>
            <w:vAlign w:val="center"/>
          </w:tcPr>
          <w:p>
            <w:pPr>
              <w:pStyle w:val="34"/>
              <w:kinsoku w:val="0"/>
              <w:overflowPunct w:val="0"/>
              <w:spacing w:before="6"/>
              <w:ind w:left="57" w:right="57" w:rightChars="0"/>
              <w:jc w:val="both"/>
              <w:rPr>
                <w:rFonts w:hint="eastAsia" w:ascii="楷体" w:hAnsi="楷体" w:eastAsia="楷体" w:cs="宋体"/>
                <w:color w:val="auto"/>
                <w:spacing w:val="-2"/>
                <w:sz w:val="18"/>
                <w:szCs w:val="18"/>
                <w:lang w:eastAsia="zh-CN"/>
              </w:rPr>
            </w:pPr>
            <w:r>
              <w:rPr>
                <w:rFonts w:hint="eastAsia" w:ascii="楷体" w:hAnsi="楷体" w:eastAsia="楷体" w:cs="宋体"/>
                <w:spacing w:val="-2"/>
                <w:sz w:val="18"/>
                <w:szCs w:val="18"/>
                <w:lang w:eastAsia="zh-CN"/>
              </w:rPr>
              <w:t>2021年8月11日</w:t>
            </w:r>
          </w:p>
          <w:p>
            <w:pPr>
              <w:pStyle w:val="34"/>
              <w:kinsoku w:val="0"/>
              <w:overflowPunct w:val="0"/>
              <w:spacing w:before="12"/>
              <w:ind w:right="73" w:rightChars="35"/>
              <w:jc w:val="both"/>
              <w:rPr>
                <w:rFonts w:hint="eastAsia" w:ascii="楷体" w:hAnsi="楷体" w:eastAsia="楷体" w:cs="宋体"/>
                <w:spacing w:val="-2"/>
                <w:sz w:val="18"/>
                <w:szCs w:val="18"/>
              </w:rPr>
            </w:pPr>
            <w:r>
              <w:rPr>
                <w:rFonts w:hint="eastAsia" w:ascii="楷体" w:hAnsi="楷体" w:eastAsia="楷体" w:cs="宋体"/>
                <w:color w:val="auto"/>
                <w:spacing w:val="-2"/>
                <w:sz w:val="18"/>
                <w:szCs w:val="18"/>
                <w:lang w:val="en-US" w:eastAsia="zh-CN"/>
              </w:rPr>
              <w:t>如管理人调整募集期，则产品成立日/份额登记日将相应调整，</w:t>
            </w:r>
            <w:r>
              <w:rPr>
                <w:rFonts w:hint="eastAsia" w:ascii="楷体" w:hAnsi="楷体" w:eastAsia="楷体" w:cs="宋体"/>
                <w:color w:val="auto"/>
                <w:spacing w:val="-2"/>
                <w:sz w:val="18"/>
                <w:szCs w:val="18"/>
              </w:rPr>
              <w:t>以管理人公告为准</w:t>
            </w:r>
            <w:r>
              <w:rPr>
                <w:rFonts w:hint="eastAsia" w:ascii="楷体" w:hAnsi="楷体" w:eastAsia="楷体" w:cs="宋体"/>
                <w:color w:val="auto"/>
                <w:spacing w:val="-2"/>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产品到期日</w:t>
            </w:r>
          </w:p>
        </w:tc>
        <w:tc>
          <w:tcPr>
            <w:tcW w:w="7026" w:type="dxa"/>
            <w:noWrap w:val="0"/>
            <w:vAlign w:val="center"/>
          </w:tcPr>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2031年8月12日（如遇节假日，顺延至下一工作日）</w:t>
            </w:r>
          </w:p>
          <w:p>
            <w:pPr>
              <w:pStyle w:val="34"/>
              <w:kinsoku w:val="0"/>
              <w:overflowPunct w:val="0"/>
              <w:spacing w:before="12"/>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在符合本理财产品说明书约定的条件下，管理人有权提前终止该产品，产品到期日受制于提前终止条款。详见下文“十、产品终止”。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highlight w:val="none"/>
              </w:rPr>
              <w:t>开放计划</w:t>
            </w:r>
          </w:p>
        </w:tc>
        <w:tc>
          <w:tcPr>
            <w:tcW w:w="7026" w:type="dxa"/>
            <w:noWrap w:val="0"/>
            <w:vAlign w:val="center"/>
          </w:tcPr>
          <w:tbl>
            <w:tblPr>
              <w:tblStyle w:val="16"/>
              <w:tblpPr w:leftFromText="180" w:rightFromText="180" w:vertAnchor="text" w:horzAnchor="page" w:tblpX="543" w:tblpY="1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份额</w:t>
                  </w:r>
                </w:p>
              </w:tc>
              <w:tc>
                <w:tcPr>
                  <w:tcW w:w="4706" w:type="dxa"/>
                  <w:noWrap w:val="0"/>
                  <w:vAlign w:val="top"/>
                </w:tcPr>
                <w:p>
                  <w:pPr>
                    <w:pStyle w:val="34"/>
                    <w:keepNext w:val="0"/>
                    <w:keepLines w:val="0"/>
                    <w:pageBreakBefore w:val="0"/>
                    <w:kinsoku w:val="0"/>
                    <w:wordWrap/>
                    <w:overflowPunct w:val="0"/>
                    <w:topLinePunct w:val="0"/>
                    <w:bidi w:val="0"/>
                    <w:snapToGrid/>
                    <w:spacing w:line="0" w:lineRule="atLeast"/>
                    <w:ind w:right="73" w:rightChars="35"/>
                    <w:jc w:val="center"/>
                    <w:rPr>
                      <w:rFonts w:hint="default" w:ascii="楷体" w:hAnsi="楷体" w:eastAsia="楷体" w:cs="宋体"/>
                      <w:b/>
                      <w:bCs/>
                      <w:spacing w:val="-2"/>
                      <w:sz w:val="18"/>
                      <w:szCs w:val="18"/>
                      <w:highlight w:val="none"/>
                      <w:vertAlign w:val="baseline"/>
                      <w:lang w:val="en-US" w:eastAsia="zh-CN"/>
                    </w:rPr>
                  </w:pPr>
                  <w:r>
                    <w:rPr>
                      <w:rFonts w:hint="eastAsia" w:ascii="楷体" w:hAnsi="楷体" w:eastAsia="楷体" w:cs="宋体"/>
                      <w:b/>
                      <w:bCs/>
                      <w:spacing w:val="-2"/>
                      <w:sz w:val="18"/>
                      <w:szCs w:val="18"/>
                      <w:highlight w:val="none"/>
                      <w:vertAlign w:val="baseline"/>
                      <w:lang w:val="en-US" w:eastAsia="zh-CN"/>
                    </w:rPr>
                    <w:t>开放计划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A份额、B份额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C份额、D份额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F份额、G份额</w:t>
                  </w:r>
                </w:p>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J份额、P份额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Q份额、S份额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eastAsia"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按投资周期开放申购与赎回，投资者可在每个投资周期终止日前7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日（含投资周期终止日）内，通过销售机构提出申购/赎回申请，管理人于投资周期终止日次日对申购/赎回申请予以统一确认，未赎回的部分份额自动进入下一个投资周期。（以各销售机构设置的开放时间为准</w:t>
                  </w:r>
                  <w:r>
                    <w:rPr>
                      <w:rFonts w:hint="eastAsia" w:ascii="楷体" w:hAnsi="楷体" w:eastAsia="楷体" w:cs="宋体"/>
                      <w:spacing w:val="-2"/>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31" w:type="dxa"/>
                  <w:noWrap w:val="0"/>
                  <w:vAlign w:val="center"/>
                </w:tcPr>
                <w:p>
                  <w:pPr>
                    <w:keepNext w:val="0"/>
                    <w:keepLines w:val="0"/>
                    <w:pageBreakBefore w:val="0"/>
                    <w:widowControl/>
                    <w:suppressLineNumbers w:val="0"/>
                    <w:wordWrap/>
                    <w:topLinePunct w:val="0"/>
                    <w:bidi w:val="0"/>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ZA份额、ZF份额</w:t>
                  </w:r>
                </w:p>
                <w:p>
                  <w:pPr>
                    <w:keepNext w:val="0"/>
                    <w:keepLines w:val="0"/>
                    <w:pageBreakBefore w:val="0"/>
                    <w:widowControl/>
                    <w:suppressLineNumbers w:val="0"/>
                    <w:wordWrap/>
                    <w:topLinePunct w:val="0"/>
                    <w:bidi w:val="0"/>
                    <w:snapToGrid/>
                    <w:spacing w:line="0" w:lineRule="atLeast"/>
                    <w:jc w:val="center"/>
                    <w:textAlignment w:val="center"/>
                    <w:rPr>
                      <w:rFonts w:hint="default"/>
                      <w:sz w:val="18"/>
                      <w:szCs w:val="18"/>
                      <w:lang w:val="en-US" w:eastAsia="zh-CN"/>
                    </w:rPr>
                  </w:pPr>
                  <w:r>
                    <w:rPr>
                      <w:rFonts w:hint="eastAsia" w:ascii="楷体" w:hAnsi="楷体" w:eastAsia="楷体" w:cs="楷体"/>
                      <w:i w:val="0"/>
                      <w:iCs w:val="0"/>
                      <w:color w:val="000000"/>
                      <w:kern w:val="0"/>
                      <w:sz w:val="18"/>
                      <w:szCs w:val="18"/>
                      <w:u w:val="none"/>
                      <w:lang w:val="en-US" w:eastAsia="zh-CN" w:bidi="ar"/>
                    </w:rPr>
                    <w:t>ZN份额、ZQ份额ZS份额</w:t>
                  </w:r>
                </w:p>
              </w:tc>
              <w:tc>
                <w:tcPr>
                  <w:tcW w:w="4706"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line="0" w:lineRule="atLeast"/>
                    <w:ind w:left="0" w:right="0" w:rightChars="0"/>
                    <w:jc w:val="both"/>
                    <w:textAlignment w:val="auto"/>
                    <w:rPr>
                      <w:rFonts w:hint="default" w:ascii="楷体" w:hAnsi="楷体" w:eastAsia="楷体" w:cs="宋体"/>
                      <w:spacing w:val="-2"/>
                      <w:sz w:val="18"/>
                      <w:szCs w:val="18"/>
                      <w:highlight w:val="none"/>
                      <w:vertAlign w:val="baseline"/>
                      <w:lang w:val="en-US" w:eastAsia="zh-CN"/>
                    </w:rPr>
                  </w:pPr>
                  <w:r>
                    <w:rPr>
                      <w:rFonts w:hint="eastAsia" w:ascii="楷体" w:hAnsi="楷体" w:eastAsia="楷体" w:cs="宋体"/>
                      <w:spacing w:val="-2"/>
                      <w:sz w:val="18"/>
                      <w:szCs w:val="18"/>
                      <w:highlight w:val="none"/>
                    </w:rPr>
                    <w:t>按投资周期开放申购，投资者可在每个投资周期终止日前7</w:t>
                  </w:r>
                  <w:r>
                    <w:rPr>
                      <w:rFonts w:hint="eastAsia" w:ascii="楷体" w:hAnsi="楷体" w:eastAsia="楷体" w:cs="宋体"/>
                      <w:spacing w:val="-2"/>
                      <w:sz w:val="18"/>
                      <w:szCs w:val="18"/>
                      <w:highlight w:val="none"/>
                      <w:lang w:val="en-US" w:eastAsia="zh-CN"/>
                    </w:rPr>
                    <w:t>个工作</w:t>
                  </w:r>
                  <w:r>
                    <w:rPr>
                      <w:rFonts w:hint="eastAsia" w:ascii="楷体" w:hAnsi="楷体" w:eastAsia="楷体" w:cs="宋体"/>
                      <w:spacing w:val="-2"/>
                      <w:sz w:val="18"/>
                      <w:szCs w:val="18"/>
                      <w:highlight w:val="none"/>
                    </w:rPr>
                    <w:t>日（含投资周期终止日）内，通过销售机构提出申购申请，管理人于投资周期终止日次日对申购申请予以统一确认</w:t>
                  </w:r>
                  <w:r>
                    <w:rPr>
                      <w:rFonts w:hint="eastAsia" w:ascii="楷体" w:hAnsi="楷体" w:eastAsia="楷体" w:cs="宋体"/>
                      <w:spacing w:val="-2"/>
                      <w:sz w:val="18"/>
                      <w:szCs w:val="18"/>
                      <w:highlight w:val="none"/>
                      <w:lang w:eastAsia="zh-CN"/>
                    </w:rPr>
                    <w:t>。</w:t>
                  </w:r>
                  <w:r>
                    <w:rPr>
                      <w:rFonts w:hint="eastAsia" w:ascii="楷体" w:hAnsi="楷体" w:eastAsia="楷体" w:cs="宋体"/>
                      <w:spacing w:val="-2"/>
                      <w:sz w:val="18"/>
                      <w:szCs w:val="18"/>
                      <w:highlight w:val="none"/>
                      <w:lang w:val="en-US" w:eastAsia="zh-CN"/>
                    </w:rPr>
                    <w:t>份额持有一个投资周期后，在每个投资周期终止日由系统自动为投资者的所有持仓份额发起赎回申请，</w:t>
                  </w:r>
                  <w:r>
                    <w:rPr>
                      <w:rFonts w:hint="eastAsia" w:ascii="楷体" w:hAnsi="楷体" w:eastAsia="楷体" w:cs="宋体"/>
                      <w:spacing w:val="-2"/>
                      <w:sz w:val="18"/>
                      <w:szCs w:val="18"/>
                      <w:highlight w:val="none"/>
                    </w:rPr>
                    <w:t>管理人于投资周期终止日次日对赎回申请予以统一确认，</w:t>
                  </w:r>
                  <w:r>
                    <w:rPr>
                      <w:rFonts w:hint="eastAsia" w:ascii="楷体" w:hAnsi="楷体" w:eastAsia="楷体" w:cs="宋体"/>
                      <w:spacing w:val="-2"/>
                      <w:sz w:val="18"/>
                      <w:szCs w:val="18"/>
                      <w:highlight w:val="none"/>
                      <w:lang w:eastAsia="zh-CN"/>
                    </w:rPr>
                    <w:t>上一投资周期投资者的所有持仓份额不会</w:t>
                  </w:r>
                  <w:r>
                    <w:rPr>
                      <w:rFonts w:hint="eastAsia" w:ascii="楷体" w:hAnsi="楷体" w:eastAsia="楷体" w:cs="宋体"/>
                      <w:spacing w:val="-2"/>
                      <w:sz w:val="18"/>
                      <w:szCs w:val="18"/>
                      <w:highlight w:val="none"/>
                    </w:rPr>
                    <w:t>进入下一个投资周期。（以各销售机构设置的开放时间为准）</w:t>
                  </w:r>
                </w:p>
              </w:tc>
            </w:tr>
          </w:tbl>
          <w:p>
            <w:pPr>
              <w:pStyle w:val="34"/>
              <w:keepNext w:val="0"/>
              <w:keepLines w:val="0"/>
              <w:pageBreakBefore w:val="0"/>
              <w:kinsoku w:val="0"/>
              <w:wordWrap/>
              <w:overflowPunct w:val="0"/>
              <w:topLinePunct w:val="0"/>
              <w:bidi w:val="0"/>
              <w:snapToGrid/>
              <w:spacing w:line="0" w:lineRule="atLeast"/>
              <w:ind w:right="73" w:rightChars="35"/>
              <w:jc w:val="center"/>
              <w:rPr>
                <w:rFonts w:hint="eastAsia" w:ascii="楷体" w:hAnsi="楷体" w:eastAsia="楷体" w:cs="宋体"/>
                <w:b/>
                <w:bCs/>
                <w:spacing w:val="-2"/>
                <w:sz w:val="18"/>
                <w:szCs w:val="18"/>
                <w:highlight w:val="none"/>
                <w:vertAlign w:val="baseline"/>
                <w:lang w:val="en-US" w:eastAsia="zh-CN"/>
              </w:rPr>
            </w:pPr>
          </w:p>
          <w:p>
            <w:pPr>
              <w:pStyle w:val="34"/>
              <w:kinsoku w:val="0"/>
              <w:overflowPunct w:val="0"/>
              <w:spacing w:before="14"/>
              <w:ind w:right="73" w:rightChars="35"/>
              <w:jc w:val="both"/>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最新投资周期开放申购与赎回时间为：</w:t>
            </w:r>
            <w:r>
              <w:rPr>
                <w:rFonts w:hint="eastAsia" w:ascii="楷体" w:hAnsi="楷体" w:eastAsia="楷体" w:cs="宋体"/>
                <w:b/>
                <w:bCs/>
                <w:spacing w:val="-2"/>
                <w:sz w:val="18"/>
                <w:szCs w:val="18"/>
                <w:highlight w:val="none"/>
                <w:lang w:val="en-US" w:eastAsia="zh-CN"/>
              </w:rPr>
              <w:t>2025年8月27日至2025年9月4日</w:t>
            </w:r>
          </w:p>
          <w:p>
            <w:pPr>
              <w:pStyle w:val="34"/>
              <w:kinsoku w:val="0"/>
              <w:overflowPunct w:val="0"/>
              <w:spacing w:before="14"/>
              <w:ind w:left="59" w:right="73" w:rightChars="35"/>
              <w:jc w:val="both"/>
              <w:rPr>
                <w:rFonts w:hint="eastAsia" w:ascii="楷体" w:hAnsi="楷体" w:eastAsia="楷体" w:cs="宋体"/>
                <w:spacing w:val="-2"/>
                <w:sz w:val="18"/>
                <w:szCs w:val="18"/>
                <w:highlight w:val="yellow"/>
              </w:rPr>
            </w:pPr>
            <w:r>
              <w:rPr>
                <w:rFonts w:hint="eastAsia" w:ascii="楷体" w:hAnsi="楷体" w:eastAsia="楷体" w:cs="宋体"/>
                <w:spacing w:val="-2"/>
                <w:sz w:val="18"/>
                <w:szCs w:val="18"/>
                <w:highlight w:val="none"/>
              </w:rPr>
              <w:t>管理人有权根据资产运作情况、节假日安排调整开放计划，并在调整前进行公告。详见下文“</w:t>
            </w:r>
            <w:r>
              <w:rPr>
                <w:rFonts w:hint="eastAsia" w:ascii="楷体" w:hAnsi="楷体" w:eastAsia="楷体" w:cs="宋体"/>
                <w:spacing w:val="-2"/>
                <w:sz w:val="18"/>
                <w:szCs w:val="18"/>
                <w:highlight w:val="none"/>
                <w:lang w:val="en-US" w:eastAsia="zh-CN"/>
              </w:rPr>
              <w:t>八</w:t>
            </w:r>
            <w:r>
              <w:rPr>
                <w:rFonts w:hint="eastAsia" w:ascii="楷体" w:hAnsi="楷体" w:eastAsia="楷体" w:cs="宋体"/>
                <w:spacing w:val="-2"/>
                <w:sz w:val="18"/>
                <w:szCs w:val="18"/>
                <w:highlight w:val="none"/>
              </w:rPr>
              <w:t>、产品申购、赎回”。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单个客户单日认/申购限额</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1亿元。</w:t>
            </w:r>
            <w:r>
              <w:rPr>
                <w:rFonts w:hint="eastAsia" w:ascii="楷体" w:hAnsi="楷体" w:eastAsia="楷体" w:cs="宋体"/>
                <w:spacing w:val="-2"/>
                <w:sz w:val="18"/>
                <w:szCs w:val="18"/>
              </w:rPr>
              <w:t>超过单日累计认/申购上限时，管理人有权拒绝投资者的认/申购申请。产品存续期</w:t>
            </w:r>
            <w:r>
              <w:rPr>
                <w:rFonts w:ascii="楷体" w:hAnsi="楷体" w:eastAsia="楷体" w:cs="宋体"/>
                <w:spacing w:val="-2"/>
                <w:sz w:val="18"/>
                <w:szCs w:val="18"/>
              </w:rPr>
              <w:t>内管理人有权根据实际情况调整</w:t>
            </w:r>
            <w:r>
              <w:rPr>
                <w:rFonts w:hint="eastAsia" w:ascii="楷体" w:hAnsi="楷体" w:eastAsia="楷体" w:cs="宋体"/>
                <w:spacing w:val="-2"/>
                <w:sz w:val="18"/>
                <w:szCs w:val="18"/>
              </w:rPr>
              <w:t>单日累计认/申购上限。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单个客户持有份额上限</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kern w:val="0"/>
                <w:sz w:val="18"/>
                <w:szCs w:val="18"/>
              </w:rPr>
              <w:t>单一投资者持有份额不得超过总份额50%；非因主观因素导致突破前款规定比例限制的，在单一投资者持有份额占理财产品总份额比例降至50%以下之前，不再接受该单一投资者对理财产品的认购申请。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单个客户赎回限额</w:t>
            </w:r>
          </w:p>
        </w:tc>
        <w:tc>
          <w:tcPr>
            <w:tcW w:w="7026" w:type="dxa"/>
            <w:noWrap w:val="0"/>
            <w:vAlign w:val="center"/>
          </w:tcPr>
          <w:p>
            <w:pPr>
              <w:pStyle w:val="34"/>
              <w:kinsoku w:val="0"/>
              <w:overflowPunct w:val="0"/>
              <w:spacing w:before="14"/>
              <w:ind w:left="59"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rPr>
              <w:t>1亿份。超过单个客户赎回限额时，管理人有权拒绝投资者的赎回申请。</w:t>
            </w:r>
            <w:r>
              <w:rPr>
                <w:rFonts w:hint="eastAsia" w:ascii="楷体" w:hAnsi="楷体" w:eastAsia="楷体" w:cs="宋体"/>
                <w:b/>
                <w:bCs/>
                <w:spacing w:val="-2"/>
                <w:sz w:val="18"/>
                <w:szCs w:val="18"/>
                <w:u w:val="single"/>
              </w:rPr>
              <w:t>对于单个投资者单个开放日申请赎回理财份额超过上一交易日日终理财产品总份额的10%的部分，管理人有权暂停接受其赎回申请。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4"/>
              <w:ind w:left="55" w:leftChars="0"/>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巨额申购</w:t>
            </w:r>
          </w:p>
        </w:tc>
        <w:tc>
          <w:tcPr>
            <w:tcW w:w="7026" w:type="dxa"/>
            <w:noWrap w:val="0"/>
            <w:vAlign w:val="center"/>
          </w:tcPr>
          <w:p>
            <w:pPr>
              <w:pStyle w:val="34"/>
              <w:kinsoku w:val="0"/>
              <w:overflowPunct w:val="0"/>
              <w:spacing w:before="14"/>
              <w:ind w:left="59" w:leftChars="0" w:right="73" w:rightChars="35"/>
              <w:jc w:val="both"/>
              <w:rPr>
                <w:rFonts w:hint="eastAsia" w:ascii="楷体" w:hAnsi="楷体" w:eastAsia="楷体" w:cs="宋体"/>
                <w:spacing w:val="-2"/>
                <w:sz w:val="18"/>
                <w:szCs w:val="18"/>
              </w:rPr>
            </w:pPr>
            <w:r>
              <w:rPr>
                <w:rFonts w:hint="eastAsia" w:ascii="楷体" w:hAnsi="楷体" w:eastAsia="楷体" w:cs="宋体"/>
                <w:spacing w:val="-2"/>
                <w:sz w:val="18"/>
                <w:szCs w:val="18"/>
                <w:highlight w:val="none"/>
              </w:rPr>
              <w:t>本产品单个开放日投资者净</w:t>
            </w:r>
            <w:r>
              <w:rPr>
                <w:rFonts w:hint="eastAsia" w:ascii="楷体" w:hAnsi="楷体" w:eastAsia="楷体" w:cs="宋体"/>
                <w:spacing w:val="-2"/>
                <w:sz w:val="18"/>
                <w:szCs w:val="18"/>
                <w:highlight w:val="none"/>
                <w:lang w:val="en-US" w:eastAsia="zh-CN"/>
              </w:rPr>
              <w:t>申购</w:t>
            </w:r>
            <w:r>
              <w:rPr>
                <w:rFonts w:hint="eastAsia" w:ascii="楷体" w:hAnsi="楷体" w:eastAsia="楷体" w:cs="宋体"/>
                <w:spacing w:val="-2"/>
                <w:sz w:val="18"/>
                <w:szCs w:val="18"/>
                <w:highlight w:val="none"/>
              </w:rPr>
              <w:t>额（申购申请份额总数扣除赎回申请份额总数）超过上一日产品总份额20%时，即</w:t>
            </w:r>
            <w:r>
              <w:rPr>
                <w:rFonts w:hint="eastAsia" w:ascii="楷体" w:hAnsi="楷体" w:eastAsia="楷体" w:cs="宋体"/>
                <w:spacing w:val="-2"/>
                <w:sz w:val="18"/>
                <w:szCs w:val="18"/>
              </w:rPr>
              <w:t>认为发生了巨额申购。</w:t>
            </w:r>
            <w:r>
              <w:rPr>
                <w:rFonts w:hint="eastAsia" w:ascii="楷体" w:hAnsi="楷体" w:eastAsia="楷体" w:cs="宋体"/>
                <w:b/>
                <w:bCs/>
                <w:spacing w:val="-2"/>
                <w:sz w:val="18"/>
                <w:szCs w:val="18"/>
                <w:u w:val="single"/>
              </w:rPr>
              <w:t>当出现巨额申购时，产品管理人有权拒绝客户的全部或部分申购申请。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巨额赎回</w:t>
            </w:r>
          </w:p>
        </w:tc>
        <w:tc>
          <w:tcPr>
            <w:tcW w:w="7026" w:type="dxa"/>
            <w:noWrap w:val="0"/>
            <w:vAlign w:val="center"/>
          </w:tcPr>
          <w:p>
            <w:pPr>
              <w:ind w:right="115" w:rightChars="55"/>
              <w:rPr>
                <w:rFonts w:hint="eastAsia" w:ascii="楷体" w:hAnsi="楷体" w:eastAsia="楷体" w:cs="宋体"/>
                <w:spacing w:val="-2"/>
                <w:sz w:val="18"/>
                <w:szCs w:val="18"/>
              </w:rPr>
            </w:pPr>
            <w:r>
              <w:rPr>
                <w:rFonts w:hint="eastAsia" w:ascii="楷体" w:hAnsi="楷体" w:eastAsia="楷体" w:cs="宋体"/>
                <w:spacing w:val="-2"/>
                <w:sz w:val="18"/>
                <w:szCs w:val="18"/>
              </w:rPr>
              <w:t>本产品每个开放日投资者净赎回额（赎回申请份额总数扣除申购申请份额总数）超过本产品上一工作日日终份额10%时，即为发生巨额赎回。产品管理人可以根据本产品当时的资产组合状况决定采取全额赎回、部分赎回、</w:t>
            </w:r>
            <w:r>
              <w:rPr>
                <w:rFonts w:ascii="楷体" w:hAnsi="楷体" w:eastAsia="楷体" w:cs="宋体"/>
                <w:spacing w:val="-2"/>
                <w:sz w:val="18"/>
                <w:szCs w:val="18"/>
              </w:rPr>
              <w:t>延期</w:t>
            </w:r>
            <w:r>
              <w:rPr>
                <w:rFonts w:hint="eastAsia" w:ascii="楷体" w:hAnsi="楷体" w:eastAsia="楷体" w:cs="宋体"/>
                <w:spacing w:val="-2"/>
                <w:sz w:val="18"/>
                <w:szCs w:val="18"/>
              </w:rPr>
              <w:t>办理</w:t>
            </w:r>
            <w:r>
              <w:rPr>
                <w:rFonts w:ascii="楷体" w:hAnsi="楷体" w:eastAsia="楷体" w:cs="宋体"/>
                <w:spacing w:val="-2"/>
                <w:sz w:val="18"/>
                <w:szCs w:val="18"/>
              </w:rPr>
              <w:t>巨额赎回</w:t>
            </w:r>
            <w:r>
              <w:rPr>
                <w:rFonts w:hint="eastAsia" w:ascii="楷体" w:hAnsi="楷体" w:eastAsia="楷体" w:cs="宋体"/>
                <w:spacing w:val="-2"/>
                <w:sz w:val="18"/>
                <w:szCs w:val="18"/>
              </w:rPr>
              <w:t>等</w:t>
            </w:r>
            <w:r>
              <w:rPr>
                <w:rFonts w:ascii="楷体" w:hAnsi="楷体" w:eastAsia="楷体" w:cs="宋体"/>
                <w:spacing w:val="-2"/>
                <w:sz w:val="18"/>
                <w:szCs w:val="18"/>
              </w:rPr>
              <w:t>措施</w:t>
            </w:r>
            <w:r>
              <w:rPr>
                <w:rFonts w:hint="eastAsia" w:ascii="楷体" w:hAnsi="楷体" w:eastAsia="楷体" w:cs="宋体"/>
                <w:spacing w:val="-2"/>
                <w:sz w:val="18"/>
                <w:szCs w:val="18"/>
              </w:rPr>
              <w:t>，产品管理人将在采取</w:t>
            </w:r>
            <w:r>
              <w:rPr>
                <w:rFonts w:ascii="楷体" w:hAnsi="楷体" w:eastAsia="楷体" w:cs="宋体"/>
                <w:spacing w:val="-2"/>
                <w:sz w:val="18"/>
                <w:szCs w:val="18"/>
              </w:rPr>
              <w:t>相关</w:t>
            </w:r>
            <w:r>
              <w:rPr>
                <w:rFonts w:hint="eastAsia" w:ascii="楷体" w:hAnsi="楷体" w:eastAsia="楷体" w:cs="宋体"/>
                <w:spacing w:val="-2"/>
                <w:sz w:val="18"/>
                <w:szCs w:val="18"/>
              </w:rPr>
              <w:t>措施后3个工作日内进行信息披露。</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1.全额赎回：当产品管理人有能力兑付投资者的全部赎回申请时，将在申请确认日按投资者申请赎回份额执行正常赎回程序。</w:t>
            </w:r>
          </w:p>
          <w:p>
            <w:pPr>
              <w:rPr>
                <w:rFonts w:ascii="楷体" w:hAnsi="楷体" w:eastAsia="楷体" w:cs="宋体"/>
                <w:b/>
                <w:spacing w:val="-2"/>
                <w:sz w:val="18"/>
                <w:szCs w:val="18"/>
                <w:u w:val="single"/>
              </w:rPr>
            </w:pPr>
            <w:r>
              <w:rPr>
                <w:rFonts w:hint="eastAsia" w:ascii="楷体" w:hAnsi="楷体" w:eastAsia="楷体" w:cs="宋体"/>
                <w:b/>
                <w:spacing w:val="-2"/>
                <w:sz w:val="18"/>
                <w:szCs w:val="18"/>
                <w:u w:val="single"/>
              </w:rPr>
              <w:t>2.部分赎回</w:t>
            </w:r>
            <w:r>
              <w:rPr>
                <w:rFonts w:ascii="楷体" w:hAnsi="楷体" w:eastAsia="楷体" w:cs="宋体"/>
                <w:b/>
                <w:spacing w:val="-2"/>
                <w:sz w:val="18"/>
                <w:szCs w:val="18"/>
                <w:u w:val="single"/>
              </w:rPr>
              <w:t>：</w:t>
            </w:r>
            <w:r>
              <w:rPr>
                <w:rFonts w:hint="eastAsia" w:ascii="楷体" w:hAnsi="楷体" w:eastAsia="楷体" w:cs="宋体"/>
                <w:b/>
                <w:spacing w:val="-2"/>
                <w:sz w:val="18"/>
                <w:szCs w:val="18"/>
                <w:u w:val="single"/>
              </w:rPr>
              <w:t>当产品管理人认为兑付投资者的赎回申请可能会对产品的资产净值造成较大波动时，当日办理的赎回份额不得低于前一日终理财产品总份额的10%，对其余赎回申请管理人有权暂停接受或延期办理。对该产品单个份额持有人的赎回申请，按照其申请占当日申请赎回总份额的比例，确定该份额持有人当日办理的赎回份额。</w:t>
            </w:r>
          </w:p>
          <w:p>
            <w:pPr>
              <w:ind w:right="73" w:rightChars="35"/>
              <w:rPr>
                <w:rFonts w:ascii="楷体" w:hAnsi="楷体" w:eastAsia="楷体" w:cs="宋体"/>
                <w:b/>
                <w:spacing w:val="-2"/>
                <w:sz w:val="18"/>
                <w:szCs w:val="18"/>
                <w:u w:val="single"/>
              </w:rPr>
            </w:pPr>
            <w:r>
              <w:rPr>
                <w:rFonts w:hint="eastAsia" w:ascii="楷体" w:hAnsi="楷体" w:eastAsia="楷体" w:cs="宋体"/>
                <w:b/>
                <w:spacing w:val="-2"/>
                <w:sz w:val="18"/>
                <w:szCs w:val="18"/>
                <w:u w:val="single"/>
              </w:rPr>
              <w:t>3.对于该开放日内净赎回额超过本产品上一工作日日终份额10%时，管理人有权拒绝超过10%以上部分的赎回申请。未确认受理的赎回申请份额，投资者</w:t>
            </w:r>
            <w:r>
              <w:rPr>
                <w:rFonts w:ascii="楷体" w:hAnsi="楷体" w:eastAsia="楷体" w:cs="宋体"/>
                <w:b/>
                <w:spacing w:val="-2"/>
                <w:sz w:val="18"/>
                <w:szCs w:val="18"/>
                <w:u w:val="single"/>
              </w:rPr>
              <w:t>可</w:t>
            </w:r>
            <w:r>
              <w:rPr>
                <w:rFonts w:hint="eastAsia" w:ascii="楷体" w:hAnsi="楷体" w:eastAsia="楷体" w:cs="宋体"/>
                <w:b/>
                <w:spacing w:val="-2"/>
                <w:sz w:val="18"/>
                <w:szCs w:val="18"/>
                <w:u w:val="single"/>
              </w:rPr>
              <w:t>选择将当日未获受理部分予以撤销（巨额赎回处理方式具体以</w:t>
            </w:r>
            <w:r>
              <w:rPr>
                <w:rFonts w:hint="eastAsia" w:ascii="楷体" w:hAnsi="楷体" w:eastAsia="楷体" w:cs="宋体"/>
                <w:b/>
                <w:spacing w:val="-2"/>
                <w:sz w:val="18"/>
                <w:szCs w:val="18"/>
                <w:u w:val="single"/>
                <w:lang w:val="en-US" w:eastAsia="zh-CN"/>
              </w:rPr>
              <w:t>销售</w:t>
            </w:r>
            <w:r>
              <w:rPr>
                <w:rFonts w:hint="eastAsia" w:ascii="楷体" w:hAnsi="楷体" w:eastAsia="楷体" w:cs="宋体"/>
                <w:b/>
                <w:spacing w:val="-2"/>
                <w:sz w:val="18"/>
                <w:szCs w:val="18"/>
                <w:u w:val="single"/>
              </w:rPr>
              <w:t>机构展示为准），未选择撤销的赎回申请，产品</w:t>
            </w:r>
            <w:r>
              <w:rPr>
                <w:rFonts w:ascii="楷体" w:hAnsi="楷体" w:eastAsia="楷体" w:cs="宋体"/>
                <w:b/>
                <w:spacing w:val="-2"/>
                <w:sz w:val="18"/>
                <w:szCs w:val="18"/>
                <w:u w:val="single"/>
              </w:rPr>
              <w:t>管理人可以</w:t>
            </w:r>
            <w:r>
              <w:rPr>
                <w:rFonts w:hint="eastAsia" w:ascii="楷体" w:hAnsi="楷体" w:eastAsia="楷体" w:cs="宋体"/>
                <w:b/>
                <w:spacing w:val="-2"/>
                <w:sz w:val="18"/>
                <w:szCs w:val="18"/>
                <w:u w:val="single"/>
              </w:rPr>
              <w:t>延迟至下一开放日处理，转入下一开放日的赎回申请不享有优先确认权。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b/>
                <w:spacing w:val="-2"/>
                <w:sz w:val="18"/>
                <w:szCs w:val="18"/>
                <w:highlight w:val="yellow"/>
              </w:rPr>
            </w:pPr>
            <w:r>
              <w:rPr>
                <w:rFonts w:hint="eastAsia" w:ascii="楷体" w:hAnsi="楷体" w:eastAsia="楷体" w:cs="宋体"/>
                <w:b/>
                <w:spacing w:val="-2"/>
                <w:sz w:val="18"/>
                <w:szCs w:val="18"/>
              </w:rPr>
              <w:t>连续巨额赎回</w:t>
            </w:r>
          </w:p>
        </w:tc>
        <w:tc>
          <w:tcPr>
            <w:tcW w:w="7026" w:type="dxa"/>
            <w:noWrap w:val="0"/>
            <w:vAlign w:val="center"/>
          </w:tcPr>
          <w:p>
            <w:pPr>
              <w:ind w:right="53" w:rightChars="25"/>
              <w:rPr>
                <w:rFonts w:hint="eastAsia" w:ascii="楷体" w:hAnsi="楷体" w:eastAsia="楷体" w:cs="宋体"/>
                <w:spacing w:val="-2"/>
                <w:kern w:val="0"/>
                <w:sz w:val="18"/>
                <w:szCs w:val="18"/>
              </w:rPr>
            </w:pPr>
            <w:r>
              <w:rPr>
                <w:rFonts w:hint="eastAsia" w:ascii="楷体" w:hAnsi="楷体" w:eastAsia="楷体" w:cs="宋体"/>
                <w:spacing w:val="-2"/>
                <w:kern w:val="0"/>
                <w:sz w:val="18"/>
                <w:szCs w:val="18"/>
              </w:rPr>
              <w:t>连续2个以上开放日发生巨额赎回的，对于已经接受的赎回申请，可以延缓支付赎回款项，但延缓期限不得超过20个工作日。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2"/>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业绩比较基准（年化）</w:t>
            </w:r>
          </w:p>
        </w:tc>
        <w:tc>
          <w:tcPr>
            <w:tcW w:w="7026" w:type="dxa"/>
            <w:noWrap w:val="0"/>
            <w:vAlign w:val="center"/>
          </w:tcPr>
          <w:p>
            <w:pPr>
              <w:pStyle w:val="34"/>
              <w:kinsoku w:val="0"/>
              <w:overflowPunct w:val="0"/>
              <w:spacing w:before="37"/>
              <w:ind w:right="73" w:rightChars="35"/>
              <w:jc w:val="both"/>
              <w:rPr>
                <w:rFonts w:hint="eastAsia" w:ascii="楷体" w:hAnsi="楷体" w:eastAsia="楷体" w:cs="宋体"/>
                <w:spacing w:val="-2"/>
                <w:sz w:val="18"/>
                <w:szCs w:val="18"/>
              </w:rPr>
            </w:pPr>
            <w:r>
              <w:rPr>
                <w:rFonts w:hint="eastAsia" w:ascii="楷体" w:hAnsi="楷体" w:eastAsia="楷体" w:cs="宋体"/>
                <w:b/>
                <w:bCs/>
                <w:spacing w:val="-2"/>
                <w:sz w:val="18"/>
                <w:szCs w:val="18"/>
                <w:u w:val="single"/>
              </w:rPr>
              <w:t>苏银理财</w:t>
            </w:r>
            <w:r>
              <w:rPr>
                <w:rFonts w:ascii="楷体" w:hAnsi="楷体" w:eastAsia="楷体" w:cs="宋体"/>
                <w:b/>
                <w:bCs/>
                <w:spacing w:val="-2"/>
                <w:sz w:val="18"/>
                <w:szCs w:val="18"/>
                <w:u w:val="single"/>
              </w:rPr>
              <w:t>参考过往投资经验，依据近期货币市场工具、</w:t>
            </w:r>
            <w:r>
              <w:rPr>
                <w:rFonts w:hint="eastAsia" w:ascii="楷体" w:hAnsi="楷体" w:eastAsia="楷体" w:cs="宋体"/>
                <w:b/>
                <w:bCs/>
                <w:spacing w:val="-2"/>
                <w:sz w:val="18"/>
                <w:szCs w:val="18"/>
                <w:u w:val="single"/>
                <w:lang w:val="en-US" w:eastAsia="zh-CN"/>
              </w:rPr>
              <w:t>银行存款（含结构性存款）、</w:t>
            </w:r>
            <w:r>
              <w:rPr>
                <w:rFonts w:ascii="楷体" w:hAnsi="楷体" w:eastAsia="楷体" w:cs="宋体"/>
                <w:b/>
                <w:bCs/>
                <w:spacing w:val="-2"/>
                <w:sz w:val="18"/>
                <w:szCs w:val="18"/>
                <w:u w:val="single"/>
              </w:rPr>
              <w:t>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u w:val="single"/>
              </w:rPr>
              <w:t>等资产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，综合考虑各份额收取的销售服务费和投资管理费的情况，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业绩比较基准。本产品各份额因收取的销售服务费和投资管理费存在差异，业绩比较基准设置将有所不同。</w:t>
            </w:r>
            <w:r>
              <w:rPr>
                <w:rFonts w:hint="eastAsia" w:ascii="楷体" w:hAnsi="楷体" w:eastAsia="楷体" w:cs="宋体"/>
                <w:spacing w:val="-2"/>
                <w:sz w:val="18"/>
                <w:szCs w:val="18"/>
              </w:rPr>
              <w:t>各份额业绩比较基准如下：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26"/>
              <w:gridCol w:w="1697"/>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w:t>
                  </w:r>
                </w:p>
              </w:tc>
              <w:tc>
                <w:tcPr>
                  <w:tcW w:w="1726"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投资周期起始日</w:t>
                  </w:r>
                </w:p>
              </w:tc>
              <w:tc>
                <w:tcPr>
                  <w:tcW w:w="1697" w:type="dxa"/>
                  <w:noWrap w:val="0"/>
                  <w:vAlign w:val="center"/>
                </w:tcPr>
                <w:p>
                  <w:pPr>
                    <w:jc w:val="center"/>
                    <w:rPr>
                      <w:rFonts w:hint="eastAsia" w:ascii="楷体" w:hAnsi="楷体" w:eastAsia="楷体"/>
                      <w:sz w:val="18"/>
                      <w:szCs w:val="18"/>
                    </w:rPr>
                  </w:pPr>
                  <w:r>
                    <w:rPr>
                      <w:rFonts w:hint="eastAsia" w:ascii="楷体" w:hAnsi="楷体" w:eastAsia="楷体"/>
                      <w:sz w:val="18"/>
                      <w:szCs w:val="18"/>
                    </w:rPr>
                    <w:t>投资周期终止日</w:t>
                  </w:r>
                </w:p>
              </w:tc>
              <w:tc>
                <w:tcPr>
                  <w:tcW w:w="1989"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业绩比较基准</w:t>
                  </w:r>
                </w:p>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rPr>
                    <w:t>1</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2021年8月11日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2022年8月18日</w:t>
                  </w:r>
                </w:p>
              </w:tc>
              <w:tc>
                <w:tcPr>
                  <w:tcW w:w="198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highlight w:val="none"/>
                      <w:lang w:val="en-US"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rPr>
                  </w:pPr>
                  <w:r>
                    <w:rPr>
                      <w:rFonts w:hint="eastAsia" w:ascii="楷体" w:hAnsi="楷体" w:eastAsia="楷体"/>
                      <w:sz w:val="18"/>
                      <w:szCs w:val="18"/>
                      <w:lang w:val="en-US" w:eastAsia="zh-CN"/>
                    </w:rPr>
                    <w:t>2</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2022年8月19日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eastAsia="zh-CN"/>
                    </w:rPr>
                    <w:t>2023年8月21日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cs="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08</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kern w:val="2"/>
                      <w:sz w:val="18"/>
                      <w:szCs w:val="18"/>
                      <w:lang w:val="en-US" w:eastAsia="zh-CN" w:bidi="ar-SA"/>
                    </w:rPr>
                  </w:pPr>
                  <w:r>
                    <w:rPr>
                      <w:rFonts w:hint="eastAsia" w:ascii="楷体" w:hAnsi="楷体" w:eastAsia="楷体"/>
                      <w:sz w:val="18"/>
                      <w:szCs w:val="18"/>
                      <w:lang w:val="en-US" w:eastAsia="zh-CN"/>
                    </w:rPr>
                    <w:t>3</w:t>
                  </w:r>
                </w:p>
              </w:tc>
              <w:tc>
                <w:tcPr>
                  <w:tcW w:w="172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2023年8月22日</w:t>
                  </w:r>
                </w:p>
              </w:tc>
              <w:tc>
                <w:tcPr>
                  <w:tcW w:w="169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2024年8月27日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3.73%-4.13%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3.85%-4.25%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G份额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3.80%-4.20%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sz w:val="18"/>
                      <w:szCs w:val="18"/>
                      <w:lang w:val="en-US" w:eastAsia="zh-CN"/>
                    </w:rPr>
                    <w:t>ZF份额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3.70%-4.10%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4</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2024年8月28日</w:t>
                  </w:r>
                </w:p>
              </w:tc>
              <w:tc>
                <w:tcPr>
                  <w:tcW w:w="1697"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120" w:leftChars="0"/>
                    <w:jc w:val="both"/>
                    <w:textAlignment w:val="auto"/>
                    <w:rPr>
                      <w:rFonts w:hint="eastAsia" w:ascii="楷体" w:hAnsi="楷体" w:eastAsia="楷体"/>
                      <w:sz w:val="18"/>
                      <w:szCs w:val="18"/>
                      <w:lang w:val="en-US" w:eastAsia="zh-CN"/>
                    </w:rPr>
                  </w:pPr>
                  <w:r>
                    <w:rPr>
                      <w:rFonts w:hint="eastAsia" w:ascii="楷体" w:hAnsi="楷体" w:eastAsia="楷体"/>
                      <w:sz w:val="18"/>
                      <w:szCs w:val="18"/>
                      <w:lang w:val="en-US" w:eastAsia="zh-CN"/>
                    </w:rPr>
                    <w:t>2025年9月4日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2.83</w:t>
                  </w:r>
                  <w:r>
                    <w:rPr>
                      <w:rFonts w:hint="default" w:ascii="楷体" w:hAnsi="楷体" w:eastAsia="楷体"/>
                      <w:sz w:val="18"/>
                      <w:szCs w:val="18"/>
                      <w:lang w:val="en-US" w:eastAsia="zh-CN"/>
                    </w:rPr>
                    <w:t>%-3.</w:t>
                  </w:r>
                  <w:r>
                    <w:rPr>
                      <w:rFonts w:hint="eastAsia" w:ascii="楷体" w:hAnsi="楷体" w:eastAsia="楷体"/>
                      <w:sz w:val="18"/>
                      <w:szCs w:val="18"/>
                      <w:lang w:val="en-US" w:eastAsia="zh-CN"/>
                    </w:rPr>
                    <w:t>43</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2.95</w:t>
                  </w:r>
                  <w:r>
                    <w:rPr>
                      <w:rFonts w:hint="default" w:ascii="楷体" w:hAnsi="楷体" w:eastAsia="楷体"/>
                      <w:sz w:val="18"/>
                      <w:szCs w:val="18"/>
                      <w:lang w:val="en-US" w:eastAsia="zh-CN"/>
                    </w:rPr>
                    <w:t>%-</w:t>
                  </w:r>
                  <w:r>
                    <w:rPr>
                      <w:rFonts w:hint="eastAsia" w:ascii="楷体" w:hAnsi="楷体" w:eastAsia="楷体"/>
                      <w:sz w:val="18"/>
                      <w:szCs w:val="18"/>
                      <w:lang w:val="en-US" w:eastAsia="zh-CN"/>
                    </w:rPr>
                    <w:t>3.55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G份额2.85%-3.45%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ZF份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sz w:val="18"/>
                      <w:szCs w:val="18"/>
                      <w:lang w:val="en-US" w:eastAsia="zh-CN"/>
                    </w:rPr>
                    <w:t>ZS份额 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44" w:type="dxa"/>
                  <w:noWrap w:val="0"/>
                  <w:vAlign w:val="center"/>
                </w:tcPr>
                <w:p>
                  <w:pPr>
                    <w:jc w:val="center"/>
                    <w:rPr>
                      <w:rFonts w:hint="eastAsia" w:ascii="楷体" w:hAnsi="楷体" w:eastAsia="楷体"/>
                      <w:kern w:val="2"/>
                      <w:sz w:val="18"/>
                      <w:szCs w:val="18"/>
                      <w:lang w:val="en-US" w:eastAsia="zh-CN" w:bidi="ar-SA"/>
                    </w:rPr>
                  </w:pPr>
                  <w:r>
                    <w:rPr>
                      <w:rFonts w:hint="eastAsia" w:ascii="楷体" w:hAnsi="楷体" w:eastAsia="楷体"/>
                      <w:sz w:val="18"/>
                      <w:szCs w:val="18"/>
                      <w:highlight w:val="none"/>
                      <w:lang w:val="en-US" w:eastAsia="zh-CN"/>
                    </w:rPr>
                    <w:t>5</w:t>
                  </w:r>
                </w:p>
              </w:tc>
              <w:tc>
                <w:tcPr>
                  <w:tcW w:w="1726" w:type="dxa"/>
                  <w:noWrap w:val="0"/>
                  <w:vAlign w:val="center"/>
                </w:tcPr>
                <w:p>
                  <w:pPr>
                    <w:jc w:val="center"/>
                    <w:rPr>
                      <w:rFonts w:hint="eastAsia" w:ascii="楷体" w:hAnsi="楷体" w:eastAsia="楷体" w:cs="宋体"/>
                      <w:spacing w:val="-2"/>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5</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9</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5</w:t>
                  </w:r>
                  <w:r>
                    <w:rPr>
                      <w:rFonts w:hint="eastAsia" w:ascii="楷体" w:hAnsi="楷体" w:eastAsia="楷体"/>
                      <w:sz w:val="18"/>
                      <w:szCs w:val="18"/>
                      <w:highlight w:val="none"/>
                      <w:lang w:eastAsia="zh-CN"/>
                    </w:rPr>
                    <w:t>日</w:t>
                  </w:r>
                </w:p>
              </w:tc>
              <w:tc>
                <w:tcPr>
                  <w:tcW w:w="1697" w:type="dxa"/>
                  <w:noWrap w:val="0"/>
                  <w:vAlign w:val="center"/>
                </w:tcPr>
                <w:p>
                  <w:pPr>
                    <w:jc w:val="center"/>
                    <w:rPr>
                      <w:rFonts w:hint="eastAsia" w:ascii="楷体" w:hAnsi="楷体" w:eastAsia="楷体"/>
                      <w:sz w:val="18"/>
                      <w:szCs w:val="18"/>
                      <w:lang w:val="en-US" w:eastAsia="zh-CN"/>
                    </w:rPr>
                  </w:pPr>
                  <w:r>
                    <w:rPr>
                      <w:rFonts w:hint="eastAsia" w:ascii="楷体" w:hAnsi="楷体" w:eastAsia="楷体"/>
                      <w:sz w:val="18"/>
                      <w:szCs w:val="18"/>
                      <w:highlight w:val="none"/>
                      <w:lang w:eastAsia="zh-CN"/>
                    </w:rPr>
                    <w:t>202</w:t>
                  </w:r>
                  <w:r>
                    <w:rPr>
                      <w:rFonts w:hint="eastAsia" w:ascii="楷体" w:hAnsi="楷体" w:eastAsia="楷体"/>
                      <w:sz w:val="18"/>
                      <w:szCs w:val="18"/>
                      <w:highlight w:val="none"/>
                      <w:lang w:val="en-US" w:eastAsia="zh-CN"/>
                    </w:rPr>
                    <w:t>6</w:t>
                  </w:r>
                  <w:r>
                    <w:rPr>
                      <w:rFonts w:hint="eastAsia" w:ascii="楷体" w:hAnsi="楷体" w:eastAsia="楷体"/>
                      <w:sz w:val="18"/>
                      <w:szCs w:val="18"/>
                      <w:highlight w:val="none"/>
                      <w:lang w:eastAsia="zh-CN"/>
                    </w:rPr>
                    <w:t>年</w:t>
                  </w:r>
                  <w:r>
                    <w:rPr>
                      <w:rFonts w:hint="eastAsia" w:ascii="楷体" w:hAnsi="楷体" w:eastAsia="楷体"/>
                      <w:sz w:val="18"/>
                      <w:szCs w:val="18"/>
                      <w:highlight w:val="none"/>
                      <w:lang w:val="en-US" w:eastAsia="zh-CN"/>
                    </w:rPr>
                    <w:t>10</w:t>
                  </w:r>
                  <w:r>
                    <w:rPr>
                      <w:rFonts w:hint="eastAsia" w:ascii="楷体" w:hAnsi="楷体" w:eastAsia="楷体"/>
                      <w:sz w:val="18"/>
                      <w:szCs w:val="18"/>
                      <w:highlight w:val="none"/>
                      <w:lang w:eastAsia="zh-CN"/>
                    </w:rPr>
                    <w:t>月</w:t>
                  </w:r>
                  <w:r>
                    <w:rPr>
                      <w:rFonts w:hint="eastAsia" w:ascii="楷体" w:hAnsi="楷体" w:eastAsia="楷体"/>
                      <w:sz w:val="18"/>
                      <w:szCs w:val="18"/>
                      <w:highlight w:val="none"/>
                      <w:lang w:val="en-US" w:eastAsia="zh-CN"/>
                    </w:rPr>
                    <w:t>12</w:t>
                  </w:r>
                  <w:r>
                    <w:rPr>
                      <w:rFonts w:hint="eastAsia" w:ascii="楷体" w:hAnsi="楷体" w:eastAsia="楷体"/>
                      <w:sz w:val="18"/>
                      <w:szCs w:val="18"/>
                      <w:highlight w:val="none"/>
                      <w:lang w:eastAsia="zh-CN"/>
                    </w:rPr>
                    <w:t>日</w:t>
                  </w:r>
                </w:p>
              </w:tc>
              <w:tc>
                <w:tcPr>
                  <w:tcW w:w="198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B份额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C份额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D份额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G份额 2.65%-3.25%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J份额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P份额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Times New Roman"/>
                      <w:sz w:val="18"/>
                      <w:szCs w:val="18"/>
                      <w:lang w:val="en-US" w:eastAsia="zh-CN"/>
                    </w:rPr>
                  </w:pPr>
                  <w:r>
                    <w:rPr>
                      <w:rFonts w:hint="eastAsia" w:ascii="楷体" w:hAnsi="楷体" w:eastAsia="楷体" w:cs="Times New Roman"/>
                      <w:sz w:val="18"/>
                      <w:szCs w:val="18"/>
                      <w:lang w:val="en-US" w:eastAsia="zh-CN"/>
                    </w:rPr>
                    <w:t>Q份额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S份额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ZN份额 2.7</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%-3.3</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ZQ份额 2.55%-3.15%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ZS份额 2.70%-3.30%</w:t>
                  </w:r>
                </w:p>
              </w:tc>
            </w:tr>
          </w:tbl>
          <w:p>
            <w:pPr>
              <w:ind w:left="59" w:right="73" w:rightChars="35"/>
              <w:jc w:val="both"/>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本产品为净值型产品，业绩表现将随市场波动，具有不确定性。业绩比较基准为管理人对本产品所设定的投资目标，不代表理财产品未来表现，不等于理财产品实际收益，不构成管理人对产品实际投资收益率的承诺或担保，投资者的实际收益由产品净值表现决定。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noWrap w:val="0"/>
            <w:vAlign w:val="center"/>
          </w:tcPr>
          <w:p>
            <w:pPr>
              <w:pStyle w:val="34"/>
              <w:kinsoku w:val="0"/>
              <w:overflowPunct w:val="0"/>
              <w:spacing w:before="18"/>
              <w:ind w:left="55"/>
              <w:jc w:val="both"/>
              <w:rPr>
                <w:rFonts w:hint="eastAsia" w:ascii="楷体" w:hAnsi="楷体" w:eastAsia="楷体" w:cs="宋体"/>
                <w:spacing w:val="-2"/>
                <w:sz w:val="18"/>
                <w:szCs w:val="18"/>
              </w:rPr>
            </w:pPr>
            <w:r>
              <w:rPr>
                <w:rFonts w:hint="eastAsia" w:ascii="楷体" w:hAnsi="楷体" w:eastAsia="楷体" w:cs="宋体"/>
                <w:b/>
                <w:spacing w:val="-2"/>
                <w:sz w:val="18"/>
                <w:szCs w:val="18"/>
              </w:rPr>
              <w:t>产品费用</w:t>
            </w:r>
          </w:p>
        </w:tc>
        <w:tc>
          <w:tcPr>
            <w:tcW w:w="7026" w:type="dxa"/>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本产品费用包括托管费、销售服务费、投资管理费、超额业绩报酬以及产品运作和清算中产生的其他费用等。</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1.托管费率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销售服务费率</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投资管理费率：</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1273"/>
              <w:gridCol w:w="1273"/>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托管费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销售服务费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投资管理费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B份额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C份额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D份额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G份额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J份额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P份额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0.60%/年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S份额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ZA份额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ZF份额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0.50%/年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ZN份额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0.70%/年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ZQ份额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0.55%/年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ZS份额</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0.02%/年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0.40%/年</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 w:hAnsi="楷体" w:eastAsia="楷体" w:cs="楷体"/>
                      <w:i w:val="0"/>
                      <w:iCs w:val="0"/>
                      <w:color w:val="000000"/>
                      <w:kern w:val="2"/>
                      <w:sz w:val="18"/>
                      <w:szCs w:val="18"/>
                      <w:u w:val="none"/>
                      <w:lang w:val="en-US" w:eastAsia="zh-CN" w:bidi="ar-SA"/>
                    </w:rPr>
                  </w:pPr>
                  <w:r>
                    <w:rPr>
                      <w:rFonts w:hint="eastAsia" w:ascii="楷体" w:hAnsi="楷体" w:eastAsia="楷体" w:cs="楷体"/>
                      <w:i w:val="0"/>
                      <w:iCs w:val="0"/>
                      <w:color w:val="000000"/>
                      <w:kern w:val="0"/>
                      <w:sz w:val="18"/>
                      <w:szCs w:val="18"/>
                      <w:u w:val="none"/>
                      <w:lang w:val="en-US" w:eastAsia="zh-CN" w:bidi="ar"/>
                    </w:rPr>
                    <w:t>0.80%/年</w:t>
                  </w:r>
                </w:p>
              </w:tc>
            </w:tr>
          </w:tbl>
          <w:p>
            <w:pPr>
              <w:numPr>
                <w:ilvl w:val="0"/>
                <w:numId w:val="3"/>
              </w:num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超额业绩报酬：管理人按投资周期收取超额业绩报酬。假设单一投资周期的各份额实际年化投资收益在扣除托管费、销售服务费、投资管理费以及运作产品所必须缴纳的税费后为R：</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highlight w:val="none"/>
              </w:rPr>
              <w:t>若</w:t>
            </w:r>
            <w:r>
              <w:rPr>
                <w:rFonts w:hint="eastAsia" w:ascii="楷体" w:hAnsi="楷体" w:eastAsia="楷体" w:cs="宋体"/>
                <w:spacing w:val="-2"/>
                <w:sz w:val="18"/>
                <w:szCs w:val="18"/>
              </w:rPr>
              <w:t>R&lt;</w:t>
            </w:r>
            <w:r>
              <w:rPr>
                <w:rFonts w:hint="eastAsia" w:ascii="楷体" w:hAnsi="楷体" w:eastAsia="楷体" w:cs="宋体"/>
                <w:spacing w:val="-2"/>
                <w:sz w:val="18"/>
                <w:szCs w:val="18"/>
                <w:highlight w:val="none"/>
              </w:rPr>
              <w:t>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w:t>
            </w:r>
            <w:r>
              <w:rPr>
                <w:rFonts w:hint="eastAsia" w:ascii="楷体" w:hAnsi="楷体" w:eastAsia="楷体" w:cs="宋体"/>
                <w:spacing w:val="-2"/>
                <w:sz w:val="18"/>
                <w:szCs w:val="18"/>
              </w:rPr>
              <w:t>，管理人无超额业绩报酬；</w:t>
            </w:r>
          </w:p>
          <w:p>
            <w:pPr>
              <w:ind w:left="59" w:right="73" w:rightChars="35"/>
              <w:rPr>
                <w:rFonts w:hint="eastAsia" w:ascii="楷体" w:hAnsi="楷体" w:eastAsia="楷体" w:cs="宋体"/>
                <w:spacing w:val="-2"/>
                <w:sz w:val="18"/>
                <w:szCs w:val="18"/>
                <w:highlight w:val="none"/>
              </w:rPr>
            </w:pPr>
            <w:r>
              <w:rPr>
                <w:rFonts w:hint="eastAsia" w:ascii="楷体" w:hAnsi="楷体" w:eastAsia="楷体" w:cs="宋体"/>
                <w:spacing w:val="-2"/>
                <w:sz w:val="18"/>
                <w:szCs w:val="18"/>
                <w:highlight w:val="none"/>
              </w:rPr>
              <w:t>若业绩比较基准下限+（业绩比较基准上限-业绩比较基准下限）*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%≤R&lt;业绩比较基准上限，管理人对超出【业绩比较基准下限+（业绩比较基准上限-业绩比较基准下限）*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%】的部分，收取40%的超额业绩报酬；</w:t>
            </w:r>
          </w:p>
          <w:p>
            <w:pPr>
              <w:ind w:left="59" w:right="73" w:rightChars="35"/>
              <w:rPr>
                <w:rFonts w:hint="eastAsia"/>
                <w:sz w:val="18"/>
                <w:szCs w:val="18"/>
              </w:rPr>
            </w:pPr>
            <w:r>
              <w:rPr>
                <w:rFonts w:hint="eastAsia" w:ascii="楷体" w:hAnsi="楷体" w:eastAsia="楷体" w:cs="宋体"/>
                <w:spacing w:val="-2"/>
                <w:sz w:val="18"/>
                <w:szCs w:val="18"/>
                <w:highlight w:val="none"/>
              </w:rPr>
              <w:t>若R≥业绩比较基准上限，管理人对【业绩比较基准下限+（业绩比较基准上限-业绩比较基准下限）*</w:t>
            </w:r>
            <w:r>
              <w:rPr>
                <w:rFonts w:hint="eastAsia" w:ascii="楷体" w:hAnsi="楷体" w:eastAsia="楷体" w:cs="宋体"/>
                <w:spacing w:val="-2"/>
                <w:sz w:val="18"/>
                <w:szCs w:val="18"/>
                <w:highlight w:val="none"/>
                <w:lang w:val="en-US" w:eastAsia="zh-CN"/>
              </w:rPr>
              <w:t>60</w:t>
            </w:r>
            <w:r>
              <w:rPr>
                <w:rFonts w:hint="eastAsia" w:ascii="楷体" w:hAnsi="楷体" w:eastAsia="楷体" w:cs="宋体"/>
                <w:spacing w:val="-2"/>
                <w:sz w:val="18"/>
                <w:szCs w:val="18"/>
                <w:highlight w:val="none"/>
              </w:rPr>
              <w:t>%】与业绩比较基准上限之间的部分，收取40%的超额业绩报酬；管理人对超出业绩比较基准上限的部分，收取60%的超额业绩报酬。</w:t>
            </w:r>
          </w:p>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单一投资周期运作期间内理财产品将每日暂估超额业绩报酬，仅用于理财产品会计核算，并将扣除“暂估超额业绩报酬”后的理财产品份额净值按照说明书约定向投资者进行披露。理财产品实际的超额业绩报酬以投资周期终止日或产品到期日计提核算的数值为准。计算累计年化收益率和业绩比较基准时，1年按365日计算。</w:t>
            </w:r>
          </w:p>
          <w:p>
            <w:pPr>
              <w:ind w:left="59" w:right="73" w:rightChars="35"/>
              <w:rPr>
                <w:rFonts w:ascii="楷体" w:hAnsi="楷体" w:eastAsia="楷体"/>
                <w:sz w:val="18"/>
                <w:szCs w:val="18"/>
              </w:rPr>
            </w:pPr>
            <w:r>
              <w:rPr>
                <w:rFonts w:hint="eastAsia" w:ascii="楷体" w:hAnsi="楷体" w:eastAsia="楷体" w:cs="宋体"/>
                <w:spacing w:val="-2"/>
                <w:sz w:val="18"/>
                <w:szCs w:val="18"/>
                <w:highlight w:val="none"/>
              </w:rPr>
              <w:t>产品存续期内苏银理财可对</w:t>
            </w:r>
            <w:r>
              <w:rPr>
                <w:rFonts w:hint="eastAsia" w:ascii="楷体" w:hAnsi="楷体" w:eastAsia="楷体" w:cs="宋体"/>
                <w:spacing w:val="-2"/>
                <w:sz w:val="18"/>
                <w:szCs w:val="18"/>
                <w:highlight w:val="none"/>
                <w:lang w:val="en-US" w:eastAsia="zh-CN"/>
              </w:rPr>
              <w:t>费用进行调整</w:t>
            </w:r>
            <w:r>
              <w:rPr>
                <w:rFonts w:hint="eastAsia" w:ascii="楷体" w:hAnsi="楷体" w:eastAsia="楷体" w:cs="宋体"/>
                <w:spacing w:val="-2"/>
                <w:sz w:val="18"/>
                <w:szCs w:val="18"/>
                <w:highlight w:val="none"/>
              </w:rPr>
              <w:t>，实际收取费率以管理人公告为准</w:t>
            </w:r>
            <w:r>
              <w:rPr>
                <w:rFonts w:hint="eastAsia" w:ascii="楷体" w:hAnsi="楷体" w:eastAsia="楷体" w:cs="宋体"/>
                <w:spacing w:val="-2"/>
                <w:sz w:val="18"/>
                <w:szCs w:val="18"/>
              </w:rPr>
              <w:t>。</w:t>
            </w:r>
            <w:r>
              <w:rPr>
                <w:rFonts w:hint="eastAsia" w:ascii="楷体" w:hAnsi="楷体" w:eastAsia="楷体" w:cs="宋体"/>
                <w:b/>
                <w:spacing w:val="-2"/>
                <w:sz w:val="18"/>
                <w:szCs w:val="18"/>
                <w:u w:val="single"/>
              </w:rPr>
              <w:t>本产品设置有多个份额，各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按照设置的销售对象和销售起点进行销售，各</w:t>
            </w:r>
            <w:r>
              <w:rPr>
                <w:rFonts w:hint="eastAsia" w:ascii="楷体" w:hAnsi="楷体" w:eastAsia="楷体" w:cs="宋体"/>
                <w:b/>
                <w:spacing w:val="-2"/>
                <w:sz w:val="18"/>
                <w:szCs w:val="18"/>
                <w:u w:val="single"/>
                <w:lang w:eastAsia="zh-CN"/>
              </w:rPr>
              <w:t>份额</w:t>
            </w:r>
            <w:r>
              <w:rPr>
                <w:rFonts w:hint="eastAsia" w:ascii="楷体" w:hAnsi="楷体" w:eastAsia="楷体" w:cs="宋体"/>
                <w:b/>
                <w:spacing w:val="-2"/>
                <w:sz w:val="18"/>
                <w:szCs w:val="18"/>
                <w:u w:val="single"/>
              </w:rPr>
              <w:t>实际收取的销售服务费率和投资管理费率可能存在差异，客户根据产品销售时设置的条件自主选择购买。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bottom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spacing w:val="-2"/>
                <w:sz w:val="18"/>
                <w:szCs w:val="18"/>
              </w:rPr>
              <w:t>收益分配</w:t>
            </w:r>
          </w:p>
        </w:tc>
        <w:tc>
          <w:tcPr>
            <w:tcW w:w="7026" w:type="dxa"/>
            <w:tcBorders>
              <w:bottom w:val="single" w:color="auto" w:sz="4" w:space="0"/>
            </w:tcBorders>
            <w:noWrap w:val="0"/>
            <w:vAlign w:val="center"/>
          </w:tcPr>
          <w:p>
            <w:pPr>
              <w:ind w:left="59" w:right="73" w:rightChars="35"/>
              <w:rPr>
                <w:rFonts w:hint="eastAsia" w:ascii="楷体" w:hAnsi="楷体" w:eastAsia="楷体" w:cs="宋体"/>
                <w:spacing w:val="-2"/>
                <w:sz w:val="18"/>
                <w:szCs w:val="18"/>
              </w:rPr>
            </w:pPr>
            <w:r>
              <w:rPr>
                <w:rFonts w:hint="eastAsia" w:ascii="楷体" w:hAnsi="楷体" w:eastAsia="楷体" w:cs="宋体"/>
                <w:spacing w:val="-2"/>
                <w:sz w:val="18"/>
                <w:szCs w:val="18"/>
              </w:rPr>
              <w:t>本产品按投资周期进行现金分红</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2个工作日内到达投资者资金账户。</w:t>
            </w:r>
            <w:r>
              <w:rPr>
                <w:rFonts w:ascii="楷体" w:hAnsi="楷体" w:eastAsia="楷体" w:cs="宋体"/>
                <w:spacing w:val="-2"/>
                <w:sz w:val="18"/>
                <w:szCs w:val="18"/>
              </w:rPr>
              <w:t>详见下文</w:t>
            </w:r>
            <w:r>
              <w:rPr>
                <w:rFonts w:hint="eastAsia" w:ascii="楷体" w:hAnsi="楷体" w:eastAsia="楷体" w:cs="宋体"/>
                <w:spacing w:val="-2"/>
                <w:sz w:val="18"/>
                <w:szCs w:val="18"/>
              </w:rPr>
              <w:t>“九、收益分配”。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866" w:type="dxa"/>
            <w:tcBorders>
              <w:top w:val="single" w:color="auto" w:sz="4" w:space="0"/>
              <w:left w:val="single" w:color="auto" w:sz="4" w:space="0"/>
              <w:bottom w:val="single" w:color="auto" w:sz="4" w:space="0"/>
              <w:right w:val="single" w:color="auto" w:sz="4" w:space="0"/>
            </w:tcBorders>
            <w:noWrap w:val="0"/>
            <w:vAlign w:val="center"/>
          </w:tcPr>
          <w:p>
            <w:pPr>
              <w:pStyle w:val="34"/>
              <w:kinsoku w:val="0"/>
              <w:overflowPunct w:val="0"/>
              <w:spacing w:before="18"/>
              <w:ind w:left="55"/>
              <w:jc w:val="both"/>
              <w:rPr>
                <w:rFonts w:hint="eastAsia" w:ascii="楷体" w:hAnsi="楷体" w:eastAsia="楷体" w:cs="宋体"/>
                <w:b/>
                <w:spacing w:val="-2"/>
                <w:sz w:val="18"/>
                <w:szCs w:val="18"/>
              </w:rPr>
            </w:pPr>
            <w:r>
              <w:rPr>
                <w:rFonts w:hint="eastAsia" w:ascii="楷体" w:hAnsi="楷体" w:eastAsia="楷体" w:cs="宋体"/>
                <w:b/>
                <w:color w:val="auto"/>
                <w:spacing w:val="-2"/>
                <w:sz w:val="18"/>
                <w:szCs w:val="18"/>
                <w:lang w:val="en-US" w:eastAsia="zh-CN"/>
              </w:rPr>
              <w:t>税收规定</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spacing w:before="6"/>
              <w:ind w:left="57" w:leftChars="0" w:right="57" w:rightChars="0"/>
              <w:rPr>
                <w:rFonts w:hint="eastAsia" w:ascii="楷体" w:hAnsi="楷体" w:eastAsia="楷体" w:cs="宋体"/>
                <w:color w:val="auto"/>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p>
          <w:p>
            <w:pPr>
              <w:ind w:left="59" w:right="73" w:rightChars="35"/>
              <w:rPr>
                <w:rFonts w:hint="eastAsia" w:ascii="楷体" w:hAnsi="楷体" w:eastAsia="楷体" w:cs="宋体"/>
                <w:spacing w:val="-2"/>
                <w:szCs w:val="21"/>
              </w:rPr>
            </w:pP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产品管理人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本产品管理人为</w:t>
      </w:r>
      <w:r>
        <w:rPr>
          <w:rFonts w:hint="eastAsia" w:ascii="楷体" w:hAnsi="楷体" w:eastAsia="楷体" w:cs="Calibri"/>
          <w:b/>
          <w:bCs/>
          <w:sz w:val="21"/>
          <w:szCs w:val="21"/>
          <w:u w:val="single"/>
        </w:rPr>
        <w:t>苏银理财有限责任公司</w:t>
      </w:r>
      <w:r>
        <w:rPr>
          <w:rFonts w:hint="eastAsia" w:ascii="楷体" w:hAnsi="楷体" w:eastAsia="楷体" w:cs="Calibri"/>
          <w:sz w:val="21"/>
          <w:szCs w:val="21"/>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监管机构批准的其他业务等。</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投资者在此授权并同意苏银理财享有以下权利：按照本理财产品合同的约定，管理、运用和处分理财计划资金；按照本理财产品合同的约定，及时、足额获得投资管理费；管理人有权根据本理财产品合同的约定提前终止或延长本理财产品的期限；管理人有权调整本理财产品的认购规模上限、认购起点、认购金额上限、认购资金的最低金额等要素；管理人有权依照法律规定和监管机构的要求将投资者的信息向有权部门或相关机构披露；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以理财产品投资管理人的名义，依照法律法规相关规定以及代表理财产品份额持有人的利益行使代为追索的权利（包括但不限于提起诉讼/仲裁、申请保全/执行的权利）或者实施其他法律行为；法律法规、监管政策和本理财计划文件约定的其他权利。</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销售机构</w:t>
      </w:r>
    </w:p>
    <w:p>
      <w:pPr>
        <w:ind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rPr>
        <w:t>本产品可以通过商业银行、农村合作银行、村镇银行、农村信用合作社等吸收公众存款的银行业金融机构，或者国务院银行业监督管理机构认可的其他机构进行销售。销售机构负责理财产品宣传推广、投资者风险承受能力评估和投资者适当性管理、理财产品客户身份识别及反洗钱、反恐怖融资及非居民金融账户涉税信息调查、理财产品份额认购/申购/赎回、协助管理人与投资者订立理财产品合同、协助投资者与管理人沟通、接受投资者咨询和客户维护等销售服务工作。销售机构不承担产品投资、兑付和风险管理责任，产品的投资、兑付和风险管理责任由管理人苏银理财承担。</w:t>
      </w:r>
      <w:r>
        <w:rPr>
          <w:rFonts w:hint="eastAsia" w:ascii="楷体" w:hAnsi="楷体" w:eastAsia="楷体"/>
          <w:b w:val="0"/>
          <w:bCs w:val="0"/>
          <w:sz w:val="21"/>
          <w:szCs w:val="21"/>
          <w:highlight w:val="none"/>
          <w:u w:val="none"/>
          <w:lang w:val="en-US" w:eastAsia="zh-CN"/>
        </w:rPr>
        <w:t>本产品各份额销售机构如下：</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A份额：兴业银行股份有限公司/上海银行股份有限公司/上海农村商业银行股份有限公司/江苏银行股份有限公司/江苏江阴农村商业银行股份有限公司/宁波东海银行股份有限公司/齐鲁银行股份有限公司/苏银理财有限责任公司/九江银行股份有限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兴业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B份额：兴业银行股份有限公司/江苏银行股份有限公司/宁波东海银行股份有限公司/齐鲁银行股份有限公司/苏银理财有限责任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lang w:val="en-US" w:eastAsia="zh-CN"/>
        </w:rPr>
      </w:pPr>
      <w:r>
        <w:rPr>
          <w:rFonts w:hint="eastAsia" w:ascii="楷体" w:hAnsi="楷体" w:eastAsia="楷体" w:cs="楷体"/>
          <w:sz w:val="21"/>
          <w:szCs w:val="21"/>
          <w:highlight w:val="none"/>
          <w:lang w:val="en-US" w:eastAsia="zh-CN"/>
        </w:rPr>
        <w:t>C份额：江苏银行股份有限公司/苏银理财有限责任公司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D份额：江苏银行股份有限公司/江苏江阴农村商业银行股份有限公司/江苏南通农村商业银行股份有限公司/上海银行股份有限公司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F份额：交通银行股份有限公司/上海浦东发展银行股份有限公司/北京农村商业银行股份有限公司/深圳农村商业银行股份有限公司/广州银行股份有限公司/广州农村商业银行股份有限公司/苏州银行股份有限公司/杭州联合农村商业银行股份有限公司/华侨银行有限公司/日照银行股份有限公司/浙江绍兴瑞丰农村商业银行股份有限公司/浙江龙湾农村商业银行股份有限公司/潍坊银行股份有限公司/甘肃银行股份有限公司/台州银行股份有限公司/浙江乐清农村商业银行股份有限公司/山西银行股份有限公司/浙江余杭农村商业银行股份有限公司/浙江德清农村商业银行股份有限公司/浙江萧山农村商业银行股份有限公司/宁波慈溪农村商业银行股份有限公司/浙江温州瓯海农村商业银行股份有限公司/九江银行股份有限公司/浙商银行股份有限公司/浙江永康农村商业银行股份有限公司/浙江武义农村商业银行股份有限公司/浙江江山农村商业银行股份有限公司/浙江青田农村商业银行股份有限公司/浙江舟山定海海洋农村商业银行股份有限公司/浙江岱山农村商业银行股份有限公司/宁波通商银行股份有限公司/中邮邮惠万家银行有限责任公司/浙江桐庐农村商业银行股份有限公司/浙江淳安农村商业银行股份有限公司/宁波余姚农村商业银行股份有限公司/浙江永嘉农村商业银行股份有限公司/浙江嘉善农村商业银行股份有限公司/浙江海宁农村商业银行股份有限公司/浙江长兴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G份额：上海浦东发展银行股份有限公司/徽商银行股份有限公司/深圳农村商业银行股份有限公司/广州农村商业银行股份有限公司/杭州联合农村商业银行股份有限公司/浙江绍兴瑞丰农村商业银行股份有限公司/山西银行股份有限公司/浙江余杭农村商业银行股份有限公司/浙江德清农村商业银行股份有限公司/浙江萧山农村商业银行股份有限公司/浙商银行股份有限公司/浙江衢州衢江农村商业银行股份有限公司/宁波通商银行股份有限公司/浙江永嘉农村商业银行股份有限公司/浙江嘉善农村商业银行股份有限公司/浙江海宁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J份额：上海银行股份有限公司/江苏银行股份有限公司/江苏如皋农村商业银行股份有限公司/威海银行股份有限公司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P份额：郑州银行股份有限公司/徽商银行股份有限公司（仅限合肥分行）</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Q份额：上海浦东发展银行股份有限公司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S份额：上海浦东发展银行股份有限公司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A份额：江苏苏州农村商业银行股份有限公司/江苏扬州农村商业银行股份有限公司/江苏阜宁农村商业银行股份有限公司/江苏丹阳农村商业银行股份有限公司/江苏盐城农村商业银行股份有限公司/江苏如东农村商业银行股份有限公司/江苏东台农村商业银行股份有限公司/江苏江都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金湖农村商业银行股份有限公司/江苏灌云农村商业银行股份有限公司/江苏淮安农村商业银行股份有限公司/连云港东方农村商业银行股份有限公司/江苏高邮农村商业银行股份有限公司/江苏句容农村商业银行股份有限公司/江苏沭阳农村商业银行股份有限公司/江苏泗阳农村商业银行股份有限公司/江苏睢宁农村商业银行股份有限公司/江苏盱眙农村商业银行股份有限公司/江苏镇江农村商业银行股份有限公司/江苏宜兴农村商业银行股份有限公司/江苏溧水农村商业银行股份有限公司/江苏大丰农村商业银行股份有限公司/江苏启东农村商业银行股份有限公司/江苏海安农村商业银行股份有限公司/江苏仪征农村商业银行股份有限公司/江苏高淳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F份额：汉口银行股份有限公司/江苏张家港农村商业银行股份有限公司/河北银行股份有限公司/嘉兴银行股份有限公司/厦门银行股份有限公司/苏州银行股份有限公司/浙江龙湾农村商业银行股份有限公司/浙江新昌农村商业银行股份有限公司/浙江义乌农村商业银行股份有限公司/浙江余杭农村商业银行股份有限公司/浙江德清农村商业银行股份有限公司/浙江萧山农村商业银行股份有限公司/宁波慈溪农村商业银行股份有限公司/浙江温州瓯海农村商业银行股份有限公司/莱商银行股份有限公司/浙江兰溪农村商业银行股份有限公司/浙江永康农村商业银行股份有限公司/浙江浦江农村商业银行股份有限公司/浙江青田农村商业银行股份有限公司/浙江温岭农村商业银行股份有限公司/浙江岱山农村商业银行股份有限公司/浙江临安农村商业银行股份有限公司/宁波余姚农村商业银行股份有限公司/浙江嘉善农村商业银行股份有限公司/浙江上虞农村商业银行股份有限公司/兴业银行股份有限公司/</w:t>
      </w:r>
      <w:bookmarkStart w:id="0" w:name="_GoBack"/>
      <w:bookmarkEnd w:id="0"/>
      <w:r>
        <w:rPr>
          <w:rFonts w:hint="eastAsia" w:ascii="楷体" w:hAnsi="楷体" w:eastAsia="楷体" w:cs="楷体"/>
          <w:sz w:val="21"/>
          <w:szCs w:val="21"/>
          <w:highlight w:val="none"/>
          <w:lang w:val="en-US" w:eastAsia="zh-CN"/>
        </w:rPr>
        <w:t>浙江衢州柯城农村商业银行股份有限公司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ZN份额：河北银行股份有限公司/宁波通商银行股份有限公司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ZQ份额：江苏苏州农村商业银行股份有限公司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default"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ZS份额：苏银理财有限责任公司</w:t>
      </w:r>
    </w:p>
    <w:p>
      <w:pPr>
        <w:numPr>
          <w:ilvl w:val="0"/>
          <w:numId w:val="2"/>
        </w:numPr>
        <w:shd w:val="clear" w:color="auto" w:fill="auto"/>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产品托管人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sz w:val="21"/>
          <w:szCs w:val="21"/>
        </w:rPr>
      </w:pPr>
      <w:r>
        <w:rPr>
          <w:rFonts w:hint="eastAsia" w:ascii="楷体" w:hAnsi="楷体" w:eastAsia="楷体"/>
          <w:color w:val="auto"/>
          <w:sz w:val="21"/>
          <w:szCs w:val="21"/>
          <w:highlight w:val="none"/>
        </w:rPr>
        <w:t>本产品托管人为</w:t>
      </w:r>
      <w:r>
        <w:rPr>
          <w:rFonts w:hint="eastAsia" w:ascii="楷体" w:hAnsi="楷体" w:eastAsia="楷体" w:cs="楷体"/>
          <w:b/>
          <w:bCs/>
          <w:color w:val="auto"/>
          <w:sz w:val="21"/>
          <w:szCs w:val="21"/>
          <w:u w:val="single"/>
        </w:rPr>
        <w:t>江苏银行股份有限公司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名词释义</w:t>
      </w:r>
    </w:p>
    <w:p>
      <w:pPr>
        <w:ind w:firstLine="420" w:firstLineChars="200"/>
        <w:rPr>
          <w:rFonts w:hint="eastAsia" w:ascii="楷体" w:hAnsi="楷体" w:eastAsia="楷体"/>
          <w:sz w:val="21"/>
          <w:szCs w:val="21"/>
        </w:rPr>
      </w:pPr>
      <w:r>
        <w:rPr>
          <w:rFonts w:hint="eastAsia" w:ascii="楷体" w:hAnsi="楷体" w:eastAsia="楷体"/>
          <w:sz w:val="21"/>
          <w:szCs w:val="21"/>
        </w:rPr>
        <w:t>在本理财产品说明书中，除非上下文另有明确约定，下列用词将具有如下含义：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理财产品用语</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销售代码：指本理财产品可能设置一个或多个产品份额，管理人在理财产品销售管理过程中为区分不同产品份额，对各份额设置的内部识别码。</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理财产品份额：指投资者持有本理财产品的单位数额。投资者基于其所持有的理财产品单位数额享有理财产品利益、承担理财产品风险。</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理财产品资产净值/净资产：指产品资产总值减去产品负债总值后的价值。</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产品资产总值：指产品拥有的各类有价证券、银行存款、应收款项及其他资产的价值总和。</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理财产品份额单位净值/理财产品单位净值/单位净值：指每1份理财产品份额以人民币计价的价格。理财产品单位净值=理财资产净值/产品总份额。投资者按该份额单位净值进行理财产品申购、赎回和终止时分配。</w:t>
      </w:r>
    </w:p>
    <w:p>
      <w:pPr>
        <w:numPr>
          <w:ilvl w:val="0"/>
          <w:numId w:val="5"/>
        </w:numPr>
        <w:tabs>
          <w:tab w:val="left" w:pos="851"/>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r>
        <w:rPr>
          <w:rFonts w:hint="eastAsia" w:ascii="楷体" w:hAnsi="楷体" w:eastAsia="楷体" w:cs="Calibri"/>
          <w:kern w:val="2"/>
          <w:sz w:val="21"/>
          <w:szCs w:val="21"/>
          <w:highlight w:val="none"/>
          <w:lang w:val="en-US" w:eastAsia="zh-CN"/>
        </w:rPr>
        <w:t>法律法规或监管机构另有规定的，从其规定。</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4"/>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期间与日期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工作日：指国家法定工作日。</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交易日：</w:t>
      </w:r>
      <w:r>
        <w:rPr>
          <w:rFonts w:ascii="楷体" w:hAnsi="楷体" w:eastAsia="楷体" w:cs="Calibri"/>
          <w:sz w:val="21"/>
          <w:szCs w:val="21"/>
        </w:rPr>
        <w:t>指上海证券交易所和深圳证券交易所的正常开盘交易日</w:t>
      </w:r>
      <w:r>
        <w:rPr>
          <w:rFonts w:hint="eastAsia" w:ascii="楷体" w:hAnsi="楷体" w:eastAsia="楷体" w:cs="Calibri"/>
          <w:sz w:val="21"/>
          <w:szCs w:val="21"/>
        </w:rPr>
        <w:t>。</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成立日：指本产品开始运作的日期。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份额登记日/份额确认日：指管理人对投资者提交的认购申请进行份额登记的日期。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终止日/到期日：指本产品终止的日期。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估值日：指产品管理人对理财产品项下资产进行估值的日期。</w:t>
      </w:r>
    </w:p>
    <w:p>
      <w:pPr>
        <w:numPr>
          <w:ilvl w:val="0"/>
          <w:numId w:val="6"/>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兑付日：指投资者理财资金到达投资者资金账户的日期。</w:t>
      </w:r>
    </w:p>
    <w:p>
      <w:pPr>
        <w:numPr>
          <w:ilvl w:val="0"/>
          <w:numId w:val="6"/>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投资周期：投资周期指投资者持有理财产品份额所对应的理财资金由产品管理人进行投资运作的一段完整期间，每一个投资周期为该投资周期起始日至该投资周期终止日的理财期间。</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开放日：指投资周期终止日。开放计划内的申购、赎回申请，将以开放日的净值进行确认。</w:t>
      </w:r>
    </w:p>
    <w:p>
      <w:pPr>
        <w:numPr>
          <w:ilvl w:val="0"/>
          <w:numId w:val="6"/>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产品存续期：指自理财产品成立日起，至理财产品终止日的期间。</w:t>
      </w:r>
    </w:p>
    <w:p>
      <w:pPr>
        <w:numPr>
          <w:ilvl w:val="0"/>
          <w:numId w:val="2"/>
        </w:numPr>
        <w:tabs>
          <w:tab w:val="left" w:pos="1134"/>
        </w:tabs>
        <w:ind w:firstLine="422" w:firstLineChars="200"/>
        <w:outlineLvl w:val="1"/>
        <w:rPr>
          <w:rFonts w:hint="eastAsia" w:ascii="楷体" w:hAnsi="楷体" w:eastAsia="楷体"/>
          <w:b/>
          <w:sz w:val="21"/>
          <w:szCs w:val="21"/>
        </w:rPr>
      </w:pPr>
      <w:r>
        <w:rPr>
          <w:rFonts w:hint="eastAsia" w:ascii="楷体" w:hAnsi="楷体" w:eastAsia="楷体"/>
          <w:b/>
          <w:sz w:val="21"/>
          <w:szCs w:val="21"/>
        </w:rPr>
        <w:t>投资管理</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投资范围和比例</w:t>
      </w:r>
    </w:p>
    <w:p>
      <w:pPr>
        <w:ind w:firstLine="420" w:firstLineChars="200"/>
        <w:rPr>
          <w:rFonts w:hint="eastAsia" w:ascii="楷体" w:hAnsi="楷体" w:eastAsia="楷体"/>
          <w:sz w:val="21"/>
          <w:szCs w:val="21"/>
        </w:rPr>
      </w:pPr>
      <w:r>
        <w:rPr>
          <w:rFonts w:hint="eastAsia" w:ascii="楷体" w:hAnsi="楷体" w:eastAsia="楷体"/>
          <w:sz w:val="21"/>
          <w:szCs w:val="21"/>
        </w:rPr>
        <w:t>本理财产品直接或间接投资于货币市场工具类资产、银行存款（含结构性存款）、标准化债权类资产、非标准化债权类资产和监管机构允许投资的其他资产。具体资产投资比例为：货币市场工具、银行存款（含结构性存款）、债券以及符合监管要求的固定收益类资产占产品资产总值比例</w:t>
      </w:r>
      <w:r>
        <w:rPr>
          <w:rFonts w:hint="eastAsia" w:ascii="楷体" w:hAnsi="楷体" w:eastAsia="楷体"/>
          <w:sz w:val="21"/>
          <w:szCs w:val="21"/>
          <w:lang w:val="en-US" w:eastAsia="zh-CN"/>
        </w:rPr>
        <w:t>为</w:t>
      </w:r>
      <w:r>
        <w:rPr>
          <w:rFonts w:hint="eastAsia" w:ascii="楷体" w:hAnsi="楷体" w:eastAsia="楷体"/>
          <w:sz w:val="21"/>
          <w:szCs w:val="21"/>
        </w:rPr>
        <w:t>80%-100%，符合监管要求的其他资产占产品资产总值比例0%-20%，其中非标准化债权类资产合计投资比例不高于产品净资产50%。</w:t>
      </w:r>
    </w:p>
    <w:p>
      <w:pPr>
        <w:ind w:firstLine="420" w:firstLineChars="200"/>
        <w:rPr>
          <w:rFonts w:hint="eastAsia" w:ascii="楷体" w:hAnsi="楷体" w:eastAsia="楷体" w:cs="楷体"/>
          <w:sz w:val="21"/>
          <w:szCs w:val="21"/>
          <w:highlight w:val="none"/>
          <w:lang w:val="en-US" w:eastAsia="zh-CN"/>
        </w:rPr>
      </w:pPr>
      <w:r>
        <w:rPr>
          <w:rFonts w:hint="eastAsia" w:ascii="楷体" w:hAnsi="楷体" w:eastAsia="楷体"/>
          <w:sz w:val="21"/>
          <w:szCs w:val="21"/>
        </w:rPr>
        <w:t>本理财产品在开放日及开放日前7个工作日内持有不低于产品资产净值5%的现金或者到期日在一年以内的国债、中央银行票据和政策性金融债券；直接投资于流动性受限资</w:t>
      </w:r>
      <w:r>
        <w:rPr>
          <w:rFonts w:hint="eastAsia" w:ascii="楷体" w:hAnsi="楷体" w:eastAsia="楷体"/>
          <w:sz w:val="21"/>
          <w:szCs w:val="21"/>
          <w:highlight w:val="none"/>
        </w:rPr>
        <w:t>产的市值在开放日不得超过产品资产净值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15%；在开放日前一工作日内，7个工作日可变现资产的可变现价值应当不低于产品资产净值</w:t>
      </w:r>
      <w:r>
        <w:rPr>
          <w:rFonts w:hint="eastAsia" w:ascii="楷体" w:hAnsi="楷体" w:eastAsia="楷体"/>
          <w:sz w:val="21"/>
          <w:szCs w:val="21"/>
          <w:highlight w:val="none"/>
          <w:lang w:val="en-US" w:eastAsia="zh-CN"/>
        </w:rPr>
        <w:t>的</w:t>
      </w:r>
      <w:r>
        <w:rPr>
          <w:rFonts w:hint="eastAsia" w:ascii="楷体" w:hAnsi="楷体" w:eastAsia="楷体"/>
          <w:sz w:val="21"/>
          <w:szCs w:val="21"/>
          <w:highlight w:val="none"/>
        </w:rPr>
        <w:t>10%；每日确认且需当日支付的净赎回申请不超过前一工作日理财产品7个工作日可变现资产的</w:t>
      </w:r>
      <w:r>
        <w:rPr>
          <w:rFonts w:hint="eastAsia" w:ascii="楷体" w:hAnsi="楷体" w:eastAsia="楷体" w:cs="楷体"/>
          <w:sz w:val="21"/>
          <w:szCs w:val="21"/>
          <w:highlight w:val="none"/>
        </w:rPr>
        <w:t>可变现价值。</w:t>
      </w:r>
    </w:p>
    <w:p>
      <w:pPr>
        <w:ind w:firstLine="420" w:firstLineChars="200"/>
        <w:rPr>
          <w:rFonts w:hint="eastAsia" w:ascii="楷体" w:hAnsi="楷体" w:eastAsia="楷体" w:cs="楷体"/>
          <w:sz w:val="21"/>
          <w:szCs w:val="21"/>
          <w:highlight w:val="none"/>
        </w:rPr>
      </w:pPr>
      <w:r>
        <w:rPr>
          <w:rFonts w:hint="eastAsia" w:ascii="楷体" w:hAnsi="楷体" w:eastAsia="楷体" w:cs="楷体"/>
          <w:sz w:val="21"/>
          <w:szCs w:val="21"/>
          <w:highlight w:val="none"/>
        </w:rPr>
        <w:t>本产品计划配置的备选非标准化债权类资产如下：</w:t>
      </w:r>
    </w:p>
    <w:p>
      <w:pPr>
        <w:numPr>
          <w:ilvl w:val="0"/>
          <w:numId w:val="8"/>
        </w:numPr>
        <w:ind w:firstLine="420" w:firstLineChars="200"/>
        <w:rPr>
          <w:rFonts w:hint="eastAsia" w:ascii="楷体" w:hAnsi="楷体" w:eastAsia="楷体"/>
          <w:color w:val="auto"/>
          <w:sz w:val="21"/>
          <w:szCs w:val="21"/>
        </w:rPr>
      </w:pPr>
      <w:r>
        <w:rPr>
          <w:rFonts w:hint="eastAsia" w:ascii="楷体" w:hAnsi="楷体" w:eastAsia="楷体" w:cs="楷体"/>
          <w:color w:val="auto"/>
          <w:kern w:val="2"/>
          <w:sz w:val="21"/>
          <w:szCs w:val="21"/>
          <w:highlight w:val="none"/>
          <w:lang w:val="en-US" w:eastAsia="zh-CN" w:bidi="ar-SA"/>
        </w:rPr>
        <w:t>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3）</w:t>
      </w:r>
      <w:r>
        <w:rPr>
          <w:rFonts w:hint="eastAsia" w:ascii="楷体" w:hAnsi="楷体" w:eastAsia="楷体"/>
          <w:color w:val="auto"/>
          <w:sz w:val="21"/>
          <w:szCs w:val="21"/>
          <w:lang w:eastAsia="zh-CN"/>
        </w:rPr>
        <w:t>非标准化债权类资产：融资人为江苏淮阴城市产业投资集团有限公司。融资人经营正常，是依法设立的国有公司，主要股东为淮安国控投资集团有限公司，实际控制人为淮安市人民政府。（</w:t>
      </w:r>
      <w:r>
        <w:rPr>
          <w:rFonts w:hint="eastAsia" w:ascii="楷体" w:hAnsi="楷体" w:eastAsia="楷体"/>
          <w:color w:val="auto"/>
          <w:sz w:val="21"/>
          <w:szCs w:val="21"/>
          <w:lang w:val="en-US" w:eastAsia="zh-CN"/>
        </w:rPr>
        <w:t>4）</w:t>
      </w:r>
      <w:r>
        <w:rPr>
          <w:rFonts w:hint="eastAsia" w:ascii="楷体" w:hAnsi="楷体" w:eastAsia="楷体"/>
          <w:color w:val="auto"/>
          <w:sz w:val="21"/>
          <w:szCs w:val="21"/>
          <w:lang w:eastAsia="zh-CN"/>
        </w:rPr>
        <w:t>非标准化债权类资产：融资人为泰州国控投资集团有限公司。融资人经营正常，是依法设立的国有公司，主要股东为泰州市政府国有资产监督管理委员会，实际控制人为泰州市政府国有资产监督管理委员会。（</w:t>
      </w:r>
      <w:r>
        <w:rPr>
          <w:rFonts w:hint="eastAsia" w:ascii="楷体" w:hAnsi="楷体" w:eastAsia="楷体"/>
          <w:color w:val="auto"/>
          <w:sz w:val="21"/>
          <w:szCs w:val="21"/>
          <w:lang w:val="en-US" w:eastAsia="zh-CN"/>
        </w:rPr>
        <w:t>5）</w:t>
      </w:r>
      <w:r>
        <w:rPr>
          <w:rFonts w:hint="eastAsia" w:ascii="楷体" w:hAnsi="楷体" w:eastAsia="楷体"/>
          <w:color w:val="auto"/>
          <w:sz w:val="21"/>
          <w:szCs w:val="21"/>
          <w:lang w:eastAsia="zh-CN"/>
        </w:rPr>
        <w:t>非标准化债权类资产：融资人为无锡惠山高科集团有限公司。融资人经营正常，是依法设立的国有公司，主要股东为无锡惠山高科产业控股有限公司，实际控制人为无锡惠山经济开发区国有资产管理办公室。（</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非标准化债权类资产：融资人为仪征市扬子文旅控股集团有限公司。融资人经营正常，是依法设立的国有公司，主要股东为仪征市国有资产管理中心，实际控制人为仪征市财政局(仪征市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7）</w:t>
      </w:r>
      <w:r>
        <w:rPr>
          <w:rFonts w:hint="eastAsia" w:ascii="楷体" w:hAnsi="楷体" w:eastAsia="楷体"/>
          <w:color w:val="auto"/>
          <w:sz w:val="21"/>
          <w:szCs w:val="21"/>
        </w:rPr>
        <w:t>非标准化债权类资产：融资人为台州市路桥区社会事业发展集团有限公司。融资人经营正常，是依法设立的国有公司，主要股东为台州市路桥公共资产投资管理集团有限公司，实际控制人为台州市路桥国有资产工作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8）</w:t>
      </w:r>
      <w:r>
        <w:rPr>
          <w:rFonts w:hint="eastAsia" w:ascii="楷体" w:hAnsi="楷体" w:eastAsia="楷体"/>
          <w:color w:val="auto"/>
          <w:sz w:val="21"/>
          <w:szCs w:val="21"/>
        </w:rPr>
        <w:t>非标准化债权类资产：融资人为杭州富阳城市建设投资集团有限公司。融资人经营正常，是依法设立的国有公司，主要股东为杭州市富阳区人民政府国有资产监督管理办公室，实际控制人为杭州市富阳区人民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9）</w:t>
      </w:r>
      <w:r>
        <w:rPr>
          <w:rFonts w:hint="eastAsia" w:ascii="楷体" w:hAnsi="楷体" w:eastAsia="楷体"/>
          <w:color w:val="auto"/>
          <w:sz w:val="21"/>
          <w:szCs w:val="21"/>
        </w:rPr>
        <w:t>非标准化债权类资产：融资人为扬州新材料国资控股集团有限公司。融资人经营正常，是依法设立的国有公司，主要股东为扬州市兴仪投资控股集团有限公司、仪征市扬子文旅控股集团有限公司，实际控制人为扬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10）</w:t>
      </w:r>
      <w:r>
        <w:rPr>
          <w:rFonts w:hint="eastAsia" w:ascii="楷体" w:hAnsi="楷体" w:eastAsia="楷体"/>
          <w:color w:val="auto"/>
          <w:sz w:val="21"/>
          <w:szCs w:val="21"/>
        </w:rPr>
        <w:t>非标准化债权类资产：融资人为淮安市城市发展投资控股集团有限公司。融资人经营正常，是依法设立的国有公司，主要股东为淮安市人民政府，实际控制人为淮安市人民政府。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11）</w:t>
      </w:r>
      <w:r>
        <w:rPr>
          <w:rFonts w:hint="eastAsia" w:ascii="楷体" w:hAnsi="楷体" w:eastAsia="楷体"/>
          <w:color w:val="auto"/>
          <w:sz w:val="21"/>
          <w:szCs w:val="21"/>
        </w:rPr>
        <w:t>非标准化债权类资产：融资人为盐城市水务集团有限公司。融资人经营正常，是依法设立的国有公司，主要股东为盐城市市政公用投资有限公司，实际控制人为盐城市人民政府。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12）</w:t>
      </w:r>
      <w:r>
        <w:rPr>
          <w:rFonts w:hint="eastAsia" w:ascii="楷体" w:hAnsi="楷体" w:eastAsia="楷体"/>
          <w:color w:val="auto"/>
          <w:sz w:val="21"/>
          <w:szCs w:val="21"/>
        </w:rPr>
        <w:t>非标准化债权类资产：融资人为江苏开晟产业发展集团有限公司。融资人经营正常，是依法设立的国有公司，主要股东为海安经济技术开发区管理委员会，实际控制人为海安经济技术开发区管理委员会。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13）</w:t>
      </w:r>
      <w:r>
        <w:rPr>
          <w:rFonts w:hint="eastAsia" w:ascii="楷体" w:hAnsi="楷体" w:eastAsia="楷体"/>
          <w:color w:val="auto"/>
          <w:sz w:val="21"/>
          <w:szCs w:val="21"/>
        </w:rPr>
        <w:t>非标准化债权类资产：融资人为富皋万泰集团有限公司。融资人经营正常，是依法设立的国有公司，主要股东为如皋市人民政府，实际控制人为如皋市人民政府。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14）</w:t>
      </w:r>
      <w:r>
        <w:rPr>
          <w:rFonts w:hint="eastAsia" w:ascii="楷体" w:hAnsi="楷体" w:eastAsia="楷体"/>
          <w:color w:val="auto"/>
          <w:sz w:val="21"/>
          <w:szCs w:val="21"/>
        </w:rPr>
        <w:t>非标准化债权类资产：融资人为南通国有资产投资控股有限公司。融资人经营正常，是依法设立的国有公司，主要股东为南通城市建设集团有限公司，实际控制人为南通市人民政府国有资产监督管理委员会。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15）</w:t>
      </w:r>
      <w:r>
        <w:rPr>
          <w:rFonts w:hint="eastAsia" w:ascii="楷体" w:hAnsi="楷体" w:eastAsia="楷体"/>
          <w:color w:val="auto"/>
          <w:sz w:val="21"/>
          <w:szCs w:val="21"/>
        </w:rPr>
        <w:t>非标准化债权类资产：融资人为徐州高新控股集团有限公司。融资人经营正常，是依法设立的国有公司，主要股东为徐州市人民政府国有资产监督管理委员会，实际控制人为徐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16）</w:t>
      </w:r>
      <w:r>
        <w:rPr>
          <w:rFonts w:hint="eastAsia" w:ascii="楷体" w:hAnsi="楷体" w:eastAsia="楷体"/>
          <w:color w:val="auto"/>
          <w:sz w:val="21"/>
          <w:szCs w:val="21"/>
        </w:rPr>
        <w:t>非标准化债权类资产：融资人为湖州经开投资发展集团有限公司。融资人经营正常，是依法设立的国有公司，主要股东为湖州南太湖国有控股集团有限公司，实际控制人为湖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17）</w:t>
      </w:r>
      <w:r>
        <w:rPr>
          <w:rFonts w:hint="eastAsia" w:ascii="楷体" w:hAnsi="楷体" w:eastAsia="楷体"/>
          <w:color w:val="auto"/>
          <w:sz w:val="21"/>
          <w:szCs w:val="21"/>
        </w:rPr>
        <w:t>非标准化债权类资产：融资人为慈溪市国有资产投资控股有限公司。融资人经营正常，是依法设立的国有公司，主要股东为慈溪市国有资本投资运营集团有限公司、慈溪市国有资产管理中心、浙江省财开集团有限公司，实际控制人为慈溪市国有资产管理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18）</w:t>
      </w:r>
      <w:r>
        <w:rPr>
          <w:rFonts w:hint="eastAsia" w:ascii="楷体" w:hAnsi="楷体" w:eastAsia="楷体"/>
          <w:color w:val="auto"/>
          <w:sz w:val="21"/>
          <w:szCs w:val="21"/>
        </w:rPr>
        <w:t>非标准化债权类资产：融资人为无锡锡东新城城市发展集团有限公司。融资人经营正常，是依法设立的国有公司，主要股东为无锡市锡东新城商务区开发建设管理中心，实际控制人为无锡锡东新城商务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19）</w:t>
      </w:r>
      <w:r>
        <w:rPr>
          <w:rFonts w:hint="eastAsia" w:ascii="楷体" w:hAnsi="楷体" w:eastAsia="楷体"/>
          <w:color w:val="auto"/>
          <w:sz w:val="21"/>
          <w:szCs w:val="21"/>
        </w:rPr>
        <w:t>非标准化债权类资产：融资人为扬州市邗江国有资产经营有限公司。融资人经营正常，是依法设立的国有公司，主要股东为扬州市邗江城市建设发展有限公司，扬州市正本溯源建设发展有限公司，实际控制人为扬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20）</w:t>
      </w:r>
      <w:r>
        <w:rPr>
          <w:rFonts w:hint="eastAsia" w:ascii="楷体" w:hAnsi="楷体" w:eastAsia="楷体"/>
          <w:color w:val="auto"/>
          <w:sz w:val="21"/>
          <w:szCs w:val="21"/>
        </w:rPr>
        <w:t>非标准化债权类资产：融资人为无锡市梁溪产业发展集团有限公司。融资人经营正常，是依法设立的国有公司，主要股东为无锡市梁溪区人民政府国有资产监督管理办公室、无锡市梁溪城市运营服务集团有限公司，实际控制人为无锡市梁溪区人民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21）</w:t>
      </w:r>
      <w:r>
        <w:rPr>
          <w:rFonts w:hint="eastAsia" w:ascii="楷体" w:hAnsi="楷体" w:eastAsia="楷体"/>
          <w:color w:val="auto"/>
          <w:sz w:val="21"/>
          <w:szCs w:val="21"/>
        </w:rPr>
        <w:t>非标准化债权类资产：融资人为湖州吴兴城市投资发展集团有限公司。融资人经营正常，是依法设立的国有公司，主要股东为湖州吴兴国控投资运营发展集团有限公司，实际控制人为湖州市吴兴区财政局。</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22）</w:t>
      </w:r>
      <w:r>
        <w:rPr>
          <w:rFonts w:hint="eastAsia" w:ascii="楷体" w:hAnsi="楷体" w:eastAsia="楷体"/>
          <w:color w:val="auto"/>
          <w:sz w:val="21"/>
          <w:szCs w:val="21"/>
        </w:rPr>
        <w:t>非标准化债权类资产：融资人为宁波前湾控股集团有限公司。融资人经营正常，是依法设立的国有公司，主要股东为宁波前湾新区管理委员会(中意宁波生态园管理委员会、宁波杭州湾经济技术开发区管理委员会、宁波前湾综合保税区管理委员会)，实际控制人为宁波前湾新区管理委员会(中意宁波生态园管理委员会、宁波杭州湾经济技术开发区管理委员会、宁波前湾综合保税区管理委员会)。</w:t>
      </w:r>
    </w:p>
    <w:p>
      <w:pPr>
        <w:numPr>
          <w:ilvl w:val="-1"/>
          <w:numId w:val="0"/>
        </w:numPr>
        <w:ind w:firstLine="558" w:firstLineChars="266"/>
        <w:rPr>
          <w:rFonts w:hint="eastAsia" w:ascii="楷体" w:hAnsi="楷体" w:eastAsia="楷体"/>
          <w:sz w:val="21"/>
          <w:szCs w:val="21"/>
        </w:rPr>
      </w:pPr>
      <w:r>
        <w:rPr>
          <w:rFonts w:hint="eastAsia" w:ascii="楷体" w:hAnsi="楷体" w:eastAsia="楷体"/>
          <w:sz w:val="21"/>
          <w:szCs w:val="21"/>
          <w:lang w:eastAsia="zh-CN"/>
        </w:rPr>
        <w:t>（</w:t>
      </w:r>
      <w:r>
        <w:rPr>
          <w:rFonts w:hint="eastAsia" w:ascii="楷体" w:hAnsi="楷体" w:eastAsia="楷体"/>
          <w:sz w:val="21"/>
          <w:szCs w:val="21"/>
          <w:lang w:val="en-US" w:eastAsia="zh-CN"/>
        </w:rPr>
        <w:t>1）-（2）各</w:t>
      </w:r>
      <w:r>
        <w:rPr>
          <w:rFonts w:hint="eastAsia" w:ascii="楷体" w:hAnsi="楷体" w:eastAsia="楷体" w:cs="楷体"/>
          <w:kern w:val="2"/>
          <w:sz w:val="21"/>
          <w:szCs w:val="21"/>
          <w:highlight w:val="none"/>
          <w:lang w:val="en-US" w:eastAsia="zh-CN" w:bidi="ar-SA"/>
        </w:rPr>
        <w:t>资产到期日不超过理财产品投资周期终止日，循环期不还本、摊还期过手摊还本息；</w:t>
      </w:r>
      <w:r>
        <w:rPr>
          <w:rFonts w:hint="eastAsia" w:ascii="楷体" w:hAnsi="楷体" w:eastAsia="楷体"/>
          <w:sz w:val="21"/>
          <w:szCs w:val="21"/>
          <w:lang w:eastAsia="zh-CN"/>
        </w:rPr>
        <w:t>（</w:t>
      </w:r>
      <w:r>
        <w:rPr>
          <w:rFonts w:hint="eastAsia" w:ascii="楷体" w:hAnsi="楷体" w:eastAsia="楷体"/>
          <w:sz w:val="21"/>
          <w:szCs w:val="21"/>
          <w:lang w:val="en-US" w:eastAsia="zh-CN"/>
        </w:rPr>
        <w:t>3）-（22）各</w:t>
      </w:r>
      <w:r>
        <w:rPr>
          <w:rFonts w:hint="eastAsia" w:ascii="楷体" w:hAnsi="楷体" w:eastAsia="楷体"/>
          <w:sz w:val="21"/>
          <w:szCs w:val="21"/>
          <w:lang w:eastAsia="zh-CN"/>
        </w:rPr>
        <w:t>资产到期日不超过理财产品投资周期终止日，定期付息、到期一次性还本。</w:t>
      </w:r>
    </w:p>
    <w:p>
      <w:pPr>
        <w:ind w:firstLine="420" w:firstLineChars="200"/>
        <w:rPr>
          <w:rFonts w:hint="eastAsia" w:ascii="楷体" w:hAnsi="楷体" w:eastAsia="楷体"/>
          <w:sz w:val="21"/>
          <w:szCs w:val="21"/>
        </w:rPr>
      </w:pPr>
      <w:r>
        <w:rPr>
          <w:rFonts w:hint="eastAsia" w:ascii="楷体" w:hAnsi="楷体" w:eastAsia="楷体"/>
          <w:sz w:val="21"/>
          <w:szCs w:val="21"/>
        </w:rPr>
        <w:t>产品存续期内若本理财产品投资的</w:t>
      </w:r>
      <w:r>
        <w:rPr>
          <w:rFonts w:hint="eastAsia" w:ascii="楷体" w:hAnsi="楷体" w:eastAsia="楷体" w:cs="楷体"/>
          <w:kern w:val="2"/>
          <w:sz w:val="21"/>
          <w:szCs w:val="21"/>
          <w:highlight w:val="none"/>
          <w:lang w:val="en-US" w:eastAsia="zh-CN" w:bidi="ar-SA"/>
        </w:rPr>
        <w:t>个人贷款债权</w:t>
      </w:r>
      <w:r>
        <w:rPr>
          <w:rFonts w:hint="eastAsia" w:ascii="楷体" w:hAnsi="楷体" w:eastAsia="楷体"/>
          <w:sz w:val="21"/>
          <w:szCs w:val="21"/>
          <w:highlight w:val="none"/>
        </w:rPr>
        <w:t>资产</w:t>
      </w:r>
      <w:r>
        <w:rPr>
          <w:rFonts w:hint="eastAsia" w:ascii="楷体" w:hAnsi="楷体" w:eastAsia="楷体"/>
          <w:sz w:val="21"/>
          <w:szCs w:val="21"/>
        </w:rPr>
        <w:t>有所调整，管理人将选择优质企业作为融资人，且融资项目已履行管理人内部审批流程，融资人业务经营正常，融资项目还款来源明确，并在本理财产品的定期报告中披露。</w:t>
      </w:r>
    </w:p>
    <w:p>
      <w:pPr>
        <w:ind w:firstLine="420" w:firstLineChars="200"/>
        <w:rPr>
          <w:rFonts w:hint="eastAsia" w:ascii="楷体" w:hAnsi="楷体" w:eastAsia="楷体"/>
          <w:sz w:val="24"/>
          <w:szCs w:val="24"/>
        </w:rPr>
      </w:pPr>
      <w:r>
        <w:rPr>
          <w:rFonts w:hint="eastAsia" w:ascii="楷体" w:hAnsi="楷体" w:eastAsia="楷体"/>
          <w:sz w:val="21"/>
          <w:szCs w:val="21"/>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投资策略</w:t>
      </w:r>
    </w:p>
    <w:p>
      <w:pPr>
        <w:ind w:firstLine="420" w:firstLineChars="200"/>
        <w:rPr>
          <w:rFonts w:hint="default" w:ascii="楷体" w:hAnsi="楷体" w:eastAsia="楷体"/>
          <w:sz w:val="21"/>
          <w:szCs w:val="21"/>
          <w:lang w:val="en-US" w:eastAsia="zh-CN"/>
        </w:rPr>
      </w:pPr>
      <w:r>
        <w:rPr>
          <w:rFonts w:hint="default" w:ascii="楷体" w:hAnsi="楷体" w:eastAsia="楷体"/>
          <w:sz w:val="21"/>
          <w:szCs w:val="21"/>
          <w:lang w:val="en-US" w:eastAsia="zh-CN"/>
        </w:rPr>
        <w:t>本理财产品计划通过债券、非标准化债权类资产的配置获取稳健收益，同时适时适量配置银行存款，包括同业存放、结构性存款等。其中，拟开展的结构性存款主要为信用挂钩型结构性存款，该产品本质是内嵌收益互换合约的存款，挂钩标的包括优质同业存单、高评级信用债等资产，相关挂钩主体均需严格通过我司风险评估，在严控信用风险的前提下实现产品收益增厚的目标。</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投资集中度限制</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本产品持有单只证券或者单只公募证券投资基金的市值不得超过产品净资产的</w:t>
      </w:r>
      <w:r>
        <w:rPr>
          <w:rFonts w:ascii="楷体" w:hAnsi="楷体" w:eastAsia="楷体" w:cs="Calibri"/>
          <w:sz w:val="21"/>
          <w:szCs w:val="21"/>
        </w:rPr>
        <w:t>10%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rPr>
      </w:pPr>
      <w:r>
        <w:rPr>
          <w:rFonts w:hint="eastAsia" w:ascii="楷体" w:hAnsi="楷体" w:eastAsia="楷体" w:cs="Calibri"/>
          <w:sz w:val="21"/>
          <w:szCs w:val="21"/>
        </w:rPr>
        <w:t>管理人全部公募产品持有单只证券或单只公募证券投资基金的市值，不得超过该证券市值或该公募证券投资基金市值的</w:t>
      </w:r>
      <w:r>
        <w:rPr>
          <w:rFonts w:ascii="楷体" w:hAnsi="楷体" w:eastAsia="楷体" w:cs="Calibri"/>
          <w:sz w:val="21"/>
          <w:szCs w:val="21"/>
        </w:rPr>
        <w:t>30%</w:t>
      </w:r>
      <w:r>
        <w:rPr>
          <w:rFonts w:hint="eastAsia" w:ascii="楷体" w:hAnsi="楷体" w:eastAsia="楷体" w:cs="Calibri"/>
          <w:sz w:val="21"/>
          <w:szCs w:val="21"/>
        </w:rPr>
        <w:t>。</w:t>
      </w:r>
    </w:p>
    <w:p>
      <w:pPr>
        <w:numPr>
          <w:ilvl w:val="0"/>
          <w:numId w:val="9"/>
        </w:numPr>
        <w:tabs>
          <w:tab w:val="left" w:pos="728"/>
        </w:tabs>
        <w:ind w:left="0" w:firstLine="420" w:firstLineChars="200"/>
        <w:rPr>
          <w:rFonts w:ascii="楷体" w:hAnsi="楷体" w:eastAsia="楷体" w:cs="Calibri"/>
          <w:sz w:val="21"/>
          <w:szCs w:val="21"/>
          <w:highlight w:val="none"/>
        </w:rPr>
      </w:pPr>
      <w:r>
        <w:rPr>
          <w:rFonts w:hint="eastAsia" w:ascii="楷体" w:hAnsi="楷体" w:eastAsia="楷体" w:cs="Calibri"/>
          <w:sz w:val="21"/>
          <w:szCs w:val="21"/>
          <w:highlight w:val="none"/>
        </w:rPr>
        <w:t>管理人全部产品持有单一上市公司发行的股票，不得超过该上市公司可流通股票的30%。</w:t>
      </w:r>
    </w:p>
    <w:p>
      <w:pPr>
        <w:ind w:firstLine="420" w:firstLineChars="200"/>
        <w:rPr>
          <w:rFonts w:hint="eastAsia" w:ascii="楷体" w:hAnsi="楷体" w:eastAsia="楷体"/>
          <w:sz w:val="21"/>
          <w:szCs w:val="21"/>
        </w:rPr>
      </w:pPr>
      <w:r>
        <w:rPr>
          <w:rFonts w:hint="eastAsia" w:ascii="楷体" w:hAnsi="楷体" w:eastAsia="楷体"/>
          <w:sz w:val="21"/>
          <w:szCs w:val="21"/>
        </w:rPr>
        <w:t>金融监督管理部门另有规定的除外。</w:t>
      </w:r>
    </w:p>
    <w:p>
      <w:pPr>
        <w:ind w:firstLine="420" w:firstLineChars="200"/>
        <w:rPr>
          <w:rFonts w:hint="eastAsia" w:ascii="楷体" w:hAnsi="楷体" w:eastAsia="楷体"/>
          <w:sz w:val="21"/>
          <w:szCs w:val="21"/>
        </w:rPr>
      </w:pPr>
      <w:r>
        <w:rPr>
          <w:rFonts w:hint="eastAsia" w:ascii="楷体" w:hAnsi="楷体" w:eastAsia="楷体"/>
          <w:sz w:val="21"/>
          <w:szCs w:val="21"/>
        </w:rPr>
        <w:t>非因管理人主观因素导致突破上述比例限制的，产品管理人在流动性受限资产可出售、可转让或者恢复交易的</w:t>
      </w:r>
      <w:r>
        <w:rPr>
          <w:rFonts w:ascii="楷体" w:hAnsi="楷体" w:eastAsia="楷体"/>
          <w:sz w:val="21"/>
          <w:szCs w:val="21"/>
        </w:rPr>
        <w:t>1</w:t>
      </w:r>
      <w:r>
        <w:rPr>
          <w:rFonts w:hint="eastAsia" w:ascii="楷体" w:hAnsi="楷体" w:eastAsia="楷体"/>
          <w:sz w:val="21"/>
          <w:szCs w:val="21"/>
        </w:rPr>
        <w:t>0个交易日内调整至符合要求。</w:t>
      </w:r>
    </w:p>
    <w:p>
      <w:pPr>
        <w:numPr>
          <w:ilvl w:val="0"/>
          <w:numId w:val="7"/>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杠杆水平限制</w:t>
      </w:r>
    </w:p>
    <w:p>
      <w:pPr>
        <w:ind w:firstLine="420" w:firstLineChars="200"/>
        <w:rPr>
          <w:rFonts w:hint="eastAsia" w:ascii="楷体" w:hAnsi="楷体" w:eastAsia="楷体"/>
          <w:sz w:val="21"/>
          <w:szCs w:val="21"/>
        </w:rPr>
      </w:pPr>
      <w:r>
        <w:rPr>
          <w:rFonts w:hint="eastAsia" w:ascii="楷体" w:hAnsi="楷体" w:eastAsia="楷体"/>
          <w:sz w:val="21"/>
          <w:szCs w:val="21"/>
        </w:rPr>
        <w:t>本理财产品资产总值/理财产品资产净值不超过140%（如监管有最新规定的参照监管规定调整）。</w:t>
      </w:r>
    </w:p>
    <w:p>
      <w:pPr>
        <w:numPr>
          <w:ilvl w:val="0"/>
          <w:numId w:val="7"/>
        </w:numPr>
        <w:tabs>
          <w:tab w:val="left" w:pos="993"/>
        </w:tabs>
        <w:ind w:left="0" w:firstLine="422" w:firstLineChars="200"/>
        <w:outlineLvl w:val="2"/>
        <w:rPr>
          <w:rFonts w:ascii="楷体" w:hAnsi="楷体" w:eastAsia="楷体" w:cs="Calibri"/>
          <w:b/>
          <w:sz w:val="21"/>
          <w:szCs w:val="21"/>
        </w:rPr>
      </w:pPr>
      <w:r>
        <w:rPr>
          <w:rFonts w:hint="eastAsia" w:ascii="楷体" w:hAnsi="楷体" w:eastAsia="楷体" w:cs="Calibri"/>
          <w:b/>
          <w:sz w:val="21"/>
          <w:szCs w:val="21"/>
        </w:rPr>
        <w:t>投资范围调整</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若法律法规、国家监管政策或市场情况发生变化，苏银理财在不改变产品类型的情况下，可对本说明书中已约定的投资范围、投资品种、投资比例以及收费项目、条件、标准和方式进行调整，产品管理人将于调整事项生效前2个工作日通过短信及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numPr>
          <w:ilvl w:val="0"/>
          <w:numId w:val="7"/>
        </w:numPr>
        <w:tabs>
          <w:tab w:val="left" w:pos="993"/>
        </w:tabs>
        <w:ind w:left="0" w:firstLine="422" w:firstLineChars="200"/>
        <w:outlineLvl w:val="2"/>
        <w:rPr>
          <w:rFonts w:hint="eastAsia" w:ascii="楷体" w:hAnsi="楷体" w:eastAsia="楷体" w:cs="Calibri"/>
          <w:b/>
          <w:sz w:val="21"/>
          <w:szCs w:val="21"/>
          <w:lang w:val="en-US" w:eastAsia="zh-CN"/>
        </w:rPr>
      </w:pPr>
      <w:r>
        <w:rPr>
          <w:rFonts w:hint="eastAsia" w:ascii="楷体" w:hAnsi="楷体" w:eastAsia="楷体" w:cs="Calibri"/>
          <w:b/>
          <w:sz w:val="21"/>
          <w:szCs w:val="21"/>
          <w:lang w:val="en-US" w:eastAsia="zh-CN"/>
        </w:rPr>
        <w:t>投资合作机构</w:t>
      </w:r>
    </w:p>
    <w:p>
      <w:pPr>
        <w:ind w:firstLine="420" w:firstLineChars="200"/>
        <w:rPr>
          <w:rFonts w:hint="eastAsia" w:ascii="楷体" w:hAnsi="楷体" w:eastAsia="楷体"/>
          <w:sz w:val="21"/>
          <w:szCs w:val="21"/>
        </w:rPr>
      </w:pPr>
      <w:r>
        <w:rPr>
          <w:rFonts w:hint="eastAsia" w:ascii="楷体" w:hAnsi="楷体" w:eastAsia="楷体"/>
          <w:sz w:val="21"/>
          <w:szCs w:val="21"/>
        </w:rPr>
        <w:t>投资合作机构主要职责是对理财产品受托资金进行投资管理，苏银理财已按投资决策流程对投资合作机构进行了准入，并持续开展投资合作机构的存续期管理。本产品投资合作机构</w:t>
      </w:r>
      <w:r>
        <w:rPr>
          <w:rFonts w:hint="eastAsia" w:ascii="楷体" w:hAnsi="楷体" w:eastAsia="楷体"/>
          <w:sz w:val="21"/>
          <w:szCs w:val="21"/>
          <w:lang w:val="en-US" w:eastAsia="zh-CN"/>
        </w:rPr>
        <w:t>如下</w:t>
      </w:r>
      <w:r>
        <w:rPr>
          <w:rFonts w:hint="eastAsia" w:ascii="楷体" w:hAnsi="楷体" w:eastAsia="楷体"/>
          <w:sz w:val="21"/>
          <w:szCs w:val="21"/>
        </w:rPr>
        <w:t>：</w:t>
      </w:r>
    </w:p>
    <w:p>
      <w:pPr>
        <w:ind w:firstLine="420" w:firstLineChars="200"/>
        <w:rPr>
          <w:rFonts w:hint="eastAsia" w:ascii="楷体" w:hAnsi="楷体" w:eastAsia="楷体"/>
          <w:b w:val="0"/>
          <w:bCs w:val="0"/>
          <w:sz w:val="21"/>
          <w:szCs w:val="21"/>
          <w:lang w:val="en-US" w:eastAsia="zh-CN"/>
        </w:rPr>
      </w:pP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1 \* GB3 \* MERGEFORMAT </w:instrText>
      </w:r>
      <w:r>
        <w:rPr>
          <w:rFonts w:hint="default" w:ascii="Calibri" w:hAnsi="Calibri" w:eastAsia="楷体" w:cs="Calibri"/>
          <w:b w:val="0"/>
          <w:bCs w:val="0"/>
          <w:sz w:val="21"/>
          <w:szCs w:val="21"/>
        </w:rPr>
        <w:fldChar w:fldCharType="separate"/>
      </w:r>
      <w:r>
        <w:t>①</w:t>
      </w:r>
      <w:r>
        <w:rPr>
          <w:rFonts w:hint="default" w:ascii="Calibri" w:hAnsi="Calibri" w:eastAsia="楷体" w:cs="Calibri"/>
          <w:b w:val="0"/>
          <w:bCs w:val="0"/>
          <w:sz w:val="21"/>
          <w:szCs w:val="21"/>
        </w:rPr>
        <w:fldChar w:fldCharType="end"/>
      </w:r>
      <w:r>
        <w:rPr>
          <w:rFonts w:hint="default" w:ascii="Calibri" w:hAnsi="Calibri" w:eastAsia="楷体" w:cs="Calibri"/>
          <w:b w:val="0"/>
          <w:bCs w:val="0"/>
          <w:sz w:val="21"/>
          <w:szCs w:val="21"/>
        </w:rPr>
        <w:t>苏豪</w:t>
      </w:r>
      <w:r>
        <w:rPr>
          <w:rFonts w:hint="eastAsia" w:ascii="楷体" w:hAnsi="楷体" w:eastAsia="楷体"/>
          <w:b w:val="0"/>
          <w:bCs w:val="0"/>
          <w:sz w:val="21"/>
          <w:szCs w:val="21"/>
        </w:rPr>
        <w:t>弘业期货股份有限公司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苏豪弘业期货股份有限公司（简称弘业期货）成立于1995年，注册资本1,007,777,778元人民币，隶属于江苏省国资委全资拥有的国有企业江苏省苏豪控股集团有限公司。公司经营范围涵盖商品期货经纪、金融期货经纪、期货投资咨询、资产管理、基金销售业务。在北、上、广等国内主要金融中心和重点城市设立35家分支机构，数量位居全国前列，并在行业内率先建立国家级博士后工作站。</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2 \* GB3 \* MERGEFORMAT </w:instrText>
      </w:r>
      <w:r>
        <w:rPr>
          <w:rFonts w:hint="default" w:ascii="Calibri" w:hAnsi="Calibri" w:eastAsia="楷体" w:cs="Calibri"/>
          <w:b w:val="0"/>
          <w:bCs w:val="0"/>
          <w:sz w:val="21"/>
          <w:szCs w:val="21"/>
        </w:rPr>
        <w:fldChar w:fldCharType="separate"/>
      </w:r>
      <w:r>
        <w:t>②</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江苏省国际信托有限责任公司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3 \* GB3 \* MERGEFORMAT </w:instrText>
      </w:r>
      <w:r>
        <w:rPr>
          <w:rFonts w:hint="default" w:ascii="Calibri" w:hAnsi="Calibri" w:eastAsia="楷体" w:cs="Calibri"/>
          <w:b w:val="0"/>
          <w:bCs w:val="0"/>
          <w:sz w:val="21"/>
          <w:szCs w:val="21"/>
        </w:rPr>
        <w:fldChar w:fldCharType="separate"/>
      </w:r>
      <w:r>
        <w:t>③</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创金合信基金管理有限公司</w:t>
      </w:r>
      <w:r>
        <w:rPr>
          <w:rFonts w:hint="eastAsia" w:ascii="楷体" w:hAnsi="楷体" w:eastAsia="楷体"/>
          <w:b w:val="0"/>
          <w:bCs w:val="0"/>
          <w:sz w:val="21"/>
          <w:szCs w:val="21"/>
          <w:lang w:eastAsia="zh-CN"/>
        </w:rPr>
        <w:t>：</w:t>
      </w:r>
      <w:r>
        <w:rPr>
          <w:rFonts w:ascii="楷体" w:hAnsi="楷体" w:eastAsia="楷体"/>
          <w:b w:val="0"/>
          <w:bCs w:val="0"/>
          <w:sz w:val="21"/>
          <w:szCs w:val="21"/>
        </w:rPr>
        <w:t>创金合信基金管理有限公司成立于2014年7月9日，由第一创业证券股份有限公司、深圳市金合信投资合伙企业（有限合伙）共同发起设立，注册地为深圳。</w:t>
      </w:r>
      <w:r>
        <w:rPr>
          <w:rFonts w:ascii="楷体" w:hAnsi="楷体" w:eastAsia="楷体"/>
          <w:b w:val="0"/>
          <w:bCs w:val="0"/>
          <w:sz w:val="21"/>
          <w:szCs w:val="21"/>
        </w:rPr>
        <w:fldChar w:fldCharType="begin"/>
      </w:r>
      <w:r>
        <w:rPr>
          <w:rFonts w:ascii="楷体" w:hAnsi="楷体" w:eastAsia="楷体"/>
          <w:b w:val="0"/>
          <w:bCs w:val="0"/>
          <w:sz w:val="21"/>
          <w:szCs w:val="21"/>
        </w:rPr>
        <w:instrText xml:space="preserve"> = 4 \* GB3 \* MERGEFORMAT </w:instrText>
      </w:r>
      <w:r>
        <w:rPr>
          <w:rFonts w:ascii="楷体" w:hAnsi="楷体" w:eastAsia="楷体"/>
          <w:b w:val="0"/>
          <w:bCs w:val="0"/>
          <w:sz w:val="21"/>
          <w:szCs w:val="21"/>
        </w:rPr>
        <w:fldChar w:fldCharType="separate"/>
      </w:r>
      <w:r>
        <w:t>④</w:t>
      </w:r>
      <w:r>
        <w:rPr>
          <w:rFonts w:ascii="楷体" w:hAnsi="楷体" w:eastAsia="楷体"/>
          <w:b w:val="0"/>
          <w:bCs w:val="0"/>
          <w:sz w:val="21"/>
          <w:szCs w:val="21"/>
        </w:rPr>
        <w:fldChar w:fldCharType="end"/>
      </w:r>
      <w:r>
        <w:rPr>
          <w:rFonts w:hint="eastAsia" w:ascii="楷体" w:hAnsi="楷体" w:eastAsia="楷体"/>
          <w:b w:val="0"/>
          <w:bCs w:val="0"/>
          <w:sz w:val="21"/>
          <w:szCs w:val="21"/>
          <w:lang w:val="en-US" w:eastAsia="zh-CN"/>
        </w:rPr>
        <w:t>华鑫国际信托有限公司：华鑫国际信托有限公司于2010年2月获得中国银行业监督管理委员会批准重新登记，并于同年3月正式挂牌开业，实际控制人为中国华电集团有限公司，注册资本73.95亿元。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5 \* GB3 \* MERGEFORMAT </w:instrText>
      </w:r>
      <w:r>
        <w:rPr>
          <w:rFonts w:hint="eastAsia" w:ascii="楷体" w:hAnsi="楷体" w:eastAsia="楷体"/>
          <w:b w:val="0"/>
          <w:bCs w:val="0"/>
          <w:sz w:val="21"/>
          <w:szCs w:val="21"/>
          <w:lang w:val="en-US" w:eastAsia="zh-CN"/>
        </w:rPr>
        <w:fldChar w:fldCharType="separate"/>
      </w:r>
      <w:r>
        <w:t>⑤</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中国国际金融股份有限公司：中国国际金融股份有限公司于1995年7月31日成立，实际控制人为中央汇金投资有限责任公司，注册资本4,827,256,868元。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6 \* GB3 \* MERGEFORMAT </w:instrText>
      </w:r>
      <w:r>
        <w:rPr>
          <w:rFonts w:hint="eastAsia" w:ascii="楷体" w:hAnsi="楷体" w:eastAsia="楷体"/>
          <w:b w:val="0"/>
          <w:bCs w:val="0"/>
          <w:sz w:val="21"/>
          <w:szCs w:val="21"/>
          <w:lang w:val="en-US" w:eastAsia="zh-CN"/>
        </w:rPr>
        <w:fldChar w:fldCharType="separate"/>
      </w:r>
      <w:r>
        <w:t>⑥</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粮信托有限责任公司：中粮信托有限责任公司成立于2009年7月27日，是中国银行保险监督管理委员会核准的国有控股金融机构，注册资本28.3095亿元，前三大股东分别为中粮资本投资有限公司、蒙特利尔银行、中粮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7 \* GB3 \* MERGEFORMAT </w:instrText>
      </w:r>
      <w:r>
        <w:rPr>
          <w:rFonts w:hint="eastAsia" w:ascii="楷体" w:hAnsi="楷体" w:eastAsia="楷体"/>
          <w:b w:val="0"/>
          <w:bCs w:val="0"/>
          <w:sz w:val="21"/>
          <w:szCs w:val="21"/>
          <w:lang w:val="en-US" w:eastAsia="zh-CN"/>
        </w:rPr>
        <w:fldChar w:fldCharType="separate"/>
      </w:r>
      <w:r>
        <w:t>⑦</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对外经济贸易信托有限公司：中国对外经济贸易信托有限公司成立于1987年9月30日，是中国银行保险监督管理委员会核准的国有控股金融机构，注册资本80亿元，股东为中化资本有限公司和中化集团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8 \* GB3 \* MERGEFORMAT </w:instrText>
      </w:r>
      <w:r>
        <w:rPr>
          <w:rFonts w:hint="eastAsia" w:ascii="楷体" w:hAnsi="楷体" w:eastAsia="楷体"/>
          <w:b w:val="0"/>
          <w:bCs w:val="0"/>
          <w:sz w:val="21"/>
          <w:szCs w:val="21"/>
          <w:lang w:val="en-US" w:eastAsia="zh-CN"/>
        </w:rPr>
        <w:fldChar w:fldCharType="separate"/>
      </w:r>
      <w:r>
        <w:t>⑧</w:t>
      </w:r>
      <w:r>
        <w:rPr>
          <w:rFonts w:hint="eastAsia" w:ascii="楷体" w:hAnsi="楷体" w:eastAsia="楷体"/>
          <w:b w:val="0"/>
          <w:bCs w:val="0"/>
          <w:sz w:val="21"/>
          <w:szCs w:val="21"/>
          <w:lang w:val="en-US" w:eastAsia="zh-CN"/>
        </w:rPr>
        <w:fldChar w:fldCharType="end"/>
      </w:r>
      <w:r>
        <w:rPr>
          <w:rFonts w:hint="default" w:ascii="楷体" w:hAnsi="楷体" w:eastAsia="楷体"/>
          <w:b w:val="0"/>
          <w:bCs w:val="0"/>
          <w:sz w:val="21"/>
          <w:szCs w:val="21"/>
          <w:lang w:val="en-US" w:eastAsia="zh-CN"/>
        </w:rPr>
        <w:t>南方资本管理有限公司</w:t>
      </w:r>
      <w:r>
        <w:rPr>
          <w:rFonts w:hint="eastAsia" w:ascii="楷体" w:hAnsi="楷体" w:eastAsia="楷体"/>
          <w:b w:val="0"/>
          <w:bCs w:val="0"/>
          <w:sz w:val="21"/>
          <w:szCs w:val="21"/>
          <w:lang w:val="en-US" w:eastAsia="zh-CN"/>
        </w:rPr>
        <w:t>：</w:t>
      </w:r>
      <w:r>
        <w:rPr>
          <w:rFonts w:hint="default" w:ascii="楷体" w:hAnsi="楷体" w:eastAsia="楷体"/>
          <w:b w:val="0"/>
          <w:bCs w:val="0"/>
          <w:sz w:val="21"/>
          <w:szCs w:val="21"/>
          <w:lang w:val="en-US" w:eastAsia="zh-CN"/>
        </w:rPr>
        <w:t>南方资本管理有限公司成立于2013年11月14日，注册资本5.42亿元人民币，注册地为深圳前海。经中国证监会核准，南方资本业务范围为特定客户资产管理业务以及中国证监会许可的其他业务。公司股东为南方基金管理股份有限公司（100%）。</w:t>
      </w:r>
    </w:p>
    <w:p>
      <w:pPr>
        <w:ind w:firstLine="420" w:firstLineChars="200"/>
        <w:rPr>
          <w:sz w:val="21"/>
          <w:szCs w:val="21"/>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变化，管理人将按照监管规定和内部管理制度要求对合作机构进行准入，签署相关协议后，披露新增的投资合作机构。</w:t>
      </w:r>
    </w:p>
    <w:p>
      <w:pPr>
        <w:numPr>
          <w:ilvl w:val="0"/>
          <w:numId w:val="2"/>
        </w:numPr>
        <w:tabs>
          <w:tab w:val="left" w:pos="1134"/>
        </w:tabs>
        <w:ind w:firstLine="422" w:firstLineChars="200"/>
        <w:outlineLvl w:val="1"/>
        <w:rPr>
          <w:rFonts w:ascii="楷体" w:hAnsi="楷体" w:eastAsia="楷体"/>
          <w:b/>
          <w:sz w:val="21"/>
          <w:szCs w:val="21"/>
        </w:rPr>
      </w:pPr>
      <w:r>
        <w:rPr>
          <w:rFonts w:hint="eastAsia" w:ascii="楷体" w:hAnsi="楷体" w:eastAsia="楷体"/>
          <w:b/>
          <w:sz w:val="21"/>
          <w:szCs w:val="21"/>
        </w:rPr>
        <w:t>产品认购</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以及认购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10"/>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numPr>
          <w:ilvl w:val="-1"/>
          <w:numId w:val="0"/>
        </w:numPr>
        <w:ind w:left="0"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lang w:val="en-US" w:eastAsia="zh-CN"/>
        </w:rPr>
        <w:t>认购份额=认购金额/产品份额面值，认购份额以四舍五入的方法保留到小数点后两位。</w:t>
      </w:r>
    </w:p>
    <w:p>
      <w:pPr>
        <w:numPr>
          <w:ilvl w:val="0"/>
          <w:numId w:val="2"/>
        </w:numPr>
        <w:tabs>
          <w:tab w:val="left" w:pos="1134"/>
        </w:tabs>
        <w:ind w:firstLine="422" w:firstLineChars="200"/>
        <w:outlineLvl w:val="1"/>
        <w:rPr>
          <w:rFonts w:hint="eastAsia"/>
          <w:sz w:val="21"/>
          <w:szCs w:val="21"/>
        </w:rPr>
      </w:pPr>
      <w:r>
        <w:rPr>
          <w:rFonts w:hint="eastAsia" w:ascii="楷体" w:hAnsi="楷体" w:eastAsia="楷体"/>
          <w:b/>
          <w:sz w:val="21"/>
          <w:szCs w:val="21"/>
          <w:highlight w:val="none"/>
        </w:rPr>
        <w:t>产品申购、赎回</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投资周期、开放计划</w:t>
      </w:r>
    </w:p>
    <w:p>
      <w:pPr>
        <w:ind w:firstLine="420" w:firstLineChars="200"/>
        <w:rPr>
          <w:rFonts w:hint="eastAsia" w:ascii="楷体" w:hAnsi="楷体" w:eastAsia="楷体"/>
          <w:sz w:val="21"/>
          <w:szCs w:val="21"/>
        </w:rPr>
      </w:pPr>
      <w:r>
        <w:rPr>
          <w:rFonts w:hint="eastAsia" w:ascii="楷体" w:hAnsi="楷体" w:eastAsia="楷体"/>
          <w:sz w:val="21"/>
          <w:szCs w:val="21"/>
        </w:rPr>
        <w:t>本产品在每个投资周期结束前设置开放计划，时间为投资周期终止日前7</w:t>
      </w:r>
      <w:r>
        <w:rPr>
          <w:rFonts w:hint="eastAsia" w:ascii="楷体" w:hAnsi="楷体" w:eastAsia="楷体"/>
          <w:sz w:val="21"/>
          <w:szCs w:val="21"/>
          <w:lang w:val="en-US" w:eastAsia="zh-CN"/>
        </w:rPr>
        <w:t>个工作</w:t>
      </w:r>
      <w:r>
        <w:rPr>
          <w:rFonts w:hint="eastAsia" w:ascii="楷体" w:hAnsi="楷体" w:eastAsia="楷体"/>
          <w:sz w:val="21"/>
          <w:szCs w:val="21"/>
        </w:rPr>
        <w:t>日（含投资周期终止日），开放计划最后一日（即投资周期终止日）为开放日。投资者可在开放计划时间内通过销售机构提出申购/赎回申请（以各销售机构设置的开放时间为准），</w:t>
      </w:r>
      <w:r>
        <w:rPr>
          <w:rFonts w:hint="eastAsia" w:ascii="楷体" w:hAnsi="楷体" w:eastAsia="楷体"/>
          <w:b/>
          <w:sz w:val="21"/>
          <w:szCs w:val="21"/>
          <w:u w:val="single"/>
        </w:rPr>
        <w:t>除开放计划外的其他时间，管理人不接受投资者申购、赎回申请。</w:t>
      </w:r>
      <w:r>
        <w:rPr>
          <w:rFonts w:hint="eastAsia" w:ascii="楷体" w:hAnsi="楷体" w:eastAsia="楷体" w:cs="Calibri"/>
          <w:sz w:val="21"/>
          <w:szCs w:val="21"/>
        </w:rPr>
        <w:t>后续投资周期及开放计划受资产运作情况、节假日安排等要素限制，管理人将在每个投资周期结束前通过本理财产品说明书约定的方式披露下一周期开放计划。</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申购、赎回的规则</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申购、赎回的原则：投资者必须在产品开放计划内提出申购、赎回申请</w:t>
      </w:r>
      <w:r>
        <w:rPr>
          <w:rFonts w:hint="eastAsia" w:ascii="楷体" w:hAnsi="楷体" w:eastAsia="楷体" w:cs="Calibri"/>
          <w:sz w:val="21"/>
          <w:szCs w:val="21"/>
          <w:lang w:eastAsia="zh-CN"/>
        </w:rPr>
        <w:t>，</w:t>
      </w:r>
      <w:r>
        <w:rPr>
          <w:rFonts w:hint="eastAsia" w:ascii="楷体" w:hAnsi="楷体" w:eastAsia="楷体" w:cs="Calibri"/>
          <w:sz w:val="21"/>
          <w:szCs w:val="21"/>
        </w:rPr>
        <w:t>采用金额申购、份额赎回的原则，即申购以金额申请，赎回以份额申请。投资者提出申购申请时，须备足购买资金</w:t>
      </w:r>
      <w:r>
        <w:rPr>
          <w:rFonts w:hint="eastAsia" w:ascii="楷体" w:hAnsi="楷体" w:eastAsia="楷体" w:cs="Calibri"/>
          <w:sz w:val="21"/>
          <w:szCs w:val="21"/>
          <w:lang w:val="en-US" w:eastAsia="zh-CN"/>
        </w:rPr>
        <w:t>；</w:t>
      </w:r>
      <w:r>
        <w:rPr>
          <w:rFonts w:hint="eastAsia" w:ascii="楷体" w:hAnsi="楷体" w:eastAsia="楷体" w:cs="Calibri"/>
          <w:sz w:val="21"/>
          <w:szCs w:val="21"/>
        </w:rPr>
        <w:t>投资者提出赎回申请时，须有足够的理财产品份额余额。在开放计划内提交的申购/赎回申请可以在产品开放日</w:t>
      </w:r>
      <w:r>
        <w:rPr>
          <w:rFonts w:hint="eastAsia" w:ascii="楷体" w:hAnsi="楷体" w:eastAsia="楷体" w:cs="Calibri"/>
          <w:sz w:val="21"/>
          <w:szCs w:val="21"/>
          <w:lang w:val="en-US" w:eastAsia="zh-CN"/>
        </w:rPr>
        <w:t>闭市</w:t>
      </w:r>
      <w:r>
        <w:rPr>
          <w:rFonts w:hint="eastAsia" w:ascii="楷体" w:hAnsi="楷体" w:eastAsia="楷体" w:cs="Calibri"/>
          <w:sz w:val="21"/>
          <w:szCs w:val="21"/>
        </w:rPr>
        <w:t>前撤销，之后不得撤销。</w:t>
      </w:r>
      <w:r>
        <w:rPr>
          <w:rFonts w:hint="eastAsia" w:ascii="楷体" w:hAnsi="楷体" w:eastAsia="楷体"/>
          <w:sz w:val="21"/>
          <w:szCs w:val="21"/>
        </w:rPr>
        <w:t>（</w:t>
      </w:r>
      <w:r>
        <w:rPr>
          <w:rFonts w:hint="eastAsia" w:ascii="楷体" w:hAnsi="楷体" w:eastAsia="楷体" w:cs="Calibri"/>
          <w:sz w:val="21"/>
          <w:szCs w:val="21"/>
          <w:lang w:val="en-US" w:eastAsia="zh-CN"/>
        </w:rPr>
        <w:t>闭市时间</w:t>
      </w:r>
      <w:r>
        <w:rPr>
          <w:rFonts w:hint="eastAsia" w:ascii="楷体" w:hAnsi="楷体" w:eastAsia="楷体"/>
          <w:sz w:val="21"/>
          <w:szCs w:val="21"/>
        </w:rPr>
        <w:t>以各销售机构设置为准）</w:t>
      </w:r>
    </w:p>
    <w:p>
      <w:pPr>
        <w:numPr>
          <w:ilvl w:val="0"/>
          <w:numId w:val="12"/>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确认：投资者申购/赎回本产品时采用“未知价”原则，投资者在开放计划时间内通过销售机构提出的申购/赎回申请，管理人于开放日后1个工作日按开放日单位净值对申购/赎回申请予以统一确认，未赎回的份额自动进入下一个投资周期。</w:t>
      </w:r>
    </w:p>
    <w:p>
      <w:pPr>
        <w:ind w:firstLine="420" w:firstLineChars="200"/>
        <w:rPr>
          <w:rFonts w:hint="eastAsia" w:ascii="楷体" w:hAnsi="楷体" w:eastAsia="楷体"/>
          <w:sz w:val="21"/>
          <w:szCs w:val="21"/>
          <w:highlight w:val="none"/>
        </w:rPr>
      </w:pPr>
      <w:r>
        <w:rPr>
          <w:rFonts w:hint="eastAsia" w:ascii="楷体" w:hAnsi="楷体" w:eastAsia="楷体" w:cs="Calibri"/>
          <w:sz w:val="21"/>
          <w:szCs w:val="21"/>
          <w:highlight w:val="none"/>
          <w:lang w:val="en-US" w:eastAsia="zh-CN"/>
        </w:rPr>
        <w:t>管理人在份额登记日对投资者的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申请登记成功后并收到投资者全额交付的款项，视为投资者的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申请生效。投资者应在</w:t>
      </w:r>
      <w:r>
        <w:rPr>
          <w:rFonts w:hint="eastAsia" w:ascii="楷体" w:hAnsi="楷体" w:eastAsia="楷体"/>
          <w:sz w:val="21"/>
          <w:szCs w:val="21"/>
          <w:highlight w:val="none"/>
        </w:rPr>
        <w:t>开放日后</w:t>
      </w:r>
      <w:r>
        <w:rPr>
          <w:rFonts w:hint="eastAsia" w:ascii="楷体" w:hAnsi="楷体" w:eastAsia="楷体" w:cs="Calibri"/>
          <w:sz w:val="21"/>
          <w:szCs w:val="21"/>
          <w:highlight w:val="none"/>
          <w:lang w:val="en-US" w:eastAsia="zh-CN"/>
        </w:rPr>
        <w:t>及时查询最终的成交情况以及</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和销售机构的事由出现，造成申购</w:t>
      </w:r>
      <w:r>
        <w:rPr>
          <w:rFonts w:hint="eastAsia" w:ascii="楷体" w:hAnsi="楷体" w:eastAsia="楷体" w:cs="Calibri"/>
          <w:sz w:val="21"/>
          <w:szCs w:val="21"/>
          <w:highlight w:val="none"/>
          <w:lang w:val="en-US" w:eastAsia="zh-CN"/>
        </w:rPr>
        <w:t>申请</w:t>
      </w:r>
      <w:r>
        <w:rPr>
          <w:rFonts w:hint="eastAsia" w:ascii="楷体" w:hAnsi="楷体" w:eastAsia="楷体"/>
          <w:sz w:val="21"/>
          <w:szCs w:val="21"/>
          <w:highlight w:val="none"/>
        </w:rPr>
        <w:t>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投资者赎回资金将在确认日后2个工作日内到达投资者资金账户。</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申购份额的计算</w:t>
      </w:r>
    </w:p>
    <w:p>
      <w:pPr>
        <w:ind w:firstLine="420" w:firstLineChars="200"/>
        <w:rPr>
          <w:rFonts w:hint="eastAsia" w:ascii="楷体" w:hAnsi="楷体" w:eastAsia="楷体"/>
          <w:sz w:val="21"/>
          <w:szCs w:val="21"/>
        </w:rPr>
      </w:pPr>
      <w:r>
        <w:rPr>
          <w:rFonts w:hint="eastAsia" w:ascii="楷体" w:hAnsi="楷体" w:eastAsia="楷体"/>
          <w:sz w:val="21"/>
          <w:szCs w:val="21"/>
        </w:rPr>
        <w:t>申购份额=申购金额/开放日产品单位净值</w:t>
      </w:r>
      <w:r>
        <w:rPr>
          <w:rFonts w:hint="eastAsia" w:ascii="楷体" w:hAnsi="楷体" w:eastAsia="楷体"/>
          <w:sz w:val="21"/>
          <w:szCs w:val="21"/>
          <w:lang w:eastAsia="zh-CN"/>
        </w:rPr>
        <w:t>，</w:t>
      </w:r>
      <w:r>
        <w:rPr>
          <w:rFonts w:hint="eastAsia" w:ascii="楷体" w:hAnsi="楷体" w:eastAsia="楷体"/>
          <w:sz w:val="21"/>
          <w:szCs w:val="21"/>
        </w:rPr>
        <w:t>申购份额以四舍五入的方法保留到小数点后两位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赎回金额的计算</w:t>
      </w:r>
    </w:p>
    <w:p>
      <w:pPr>
        <w:ind w:firstLine="420" w:firstLineChars="200"/>
        <w:rPr>
          <w:rFonts w:hint="eastAsia" w:ascii="楷体" w:hAnsi="楷体" w:eastAsia="楷体"/>
          <w:sz w:val="21"/>
          <w:szCs w:val="21"/>
        </w:rPr>
      </w:pPr>
      <w:r>
        <w:rPr>
          <w:rFonts w:hint="eastAsia" w:ascii="楷体" w:hAnsi="楷体" w:eastAsia="楷体"/>
          <w:sz w:val="21"/>
          <w:szCs w:val="21"/>
        </w:rPr>
        <w:t>赎回金额=赎回份额*开放日产品单位净值</w:t>
      </w:r>
      <w:r>
        <w:rPr>
          <w:rFonts w:hint="eastAsia" w:ascii="楷体" w:hAnsi="楷体" w:eastAsia="楷体"/>
          <w:sz w:val="21"/>
          <w:szCs w:val="21"/>
          <w:lang w:eastAsia="zh-CN"/>
        </w:rPr>
        <w:t>，</w:t>
      </w:r>
      <w:r>
        <w:rPr>
          <w:rFonts w:hint="eastAsia" w:ascii="楷体" w:hAnsi="楷体" w:eastAsia="楷体"/>
          <w:sz w:val="21"/>
          <w:szCs w:val="21"/>
        </w:rPr>
        <w:t>赎回金额以四舍五入的方法保留到小数点后两位</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巨额赎回</w:t>
      </w:r>
      <w:r>
        <w:rPr>
          <w:rFonts w:hint="eastAsia" w:ascii="楷体" w:hAnsi="楷体" w:eastAsia="楷体" w:cs="Calibri"/>
          <w:b/>
          <w:sz w:val="21"/>
          <w:szCs w:val="21"/>
          <w:lang w:eastAsia="zh-CN"/>
        </w:rPr>
        <w:t>：</w:t>
      </w:r>
      <w:r>
        <w:rPr>
          <w:rFonts w:hint="eastAsia" w:ascii="楷体" w:hAnsi="楷体" w:eastAsia="楷体" w:cs="Calibri"/>
          <w:b/>
          <w:sz w:val="21"/>
          <w:szCs w:val="21"/>
          <w:lang w:val="en-US" w:eastAsia="zh-CN"/>
        </w:rPr>
        <w:t>详见“产品要素”</w:t>
      </w:r>
    </w:p>
    <w:p>
      <w:pPr>
        <w:numPr>
          <w:ilvl w:val="0"/>
          <w:numId w:val="11"/>
        </w:numPr>
        <w:tabs>
          <w:tab w:val="left" w:pos="993"/>
        </w:tabs>
        <w:ind w:left="0" w:firstLine="422" w:firstLineChars="200"/>
        <w:outlineLvl w:val="2"/>
        <w:rPr>
          <w:rFonts w:hint="eastAsia" w:ascii="楷体" w:hAnsi="楷体" w:eastAsia="楷体" w:cs="Calibri"/>
          <w:b/>
          <w:sz w:val="21"/>
          <w:szCs w:val="21"/>
        </w:rPr>
      </w:pPr>
      <w:r>
        <w:rPr>
          <w:rFonts w:hint="eastAsia" w:ascii="楷体" w:hAnsi="楷体" w:eastAsia="楷体" w:cs="Calibri"/>
          <w:b/>
          <w:sz w:val="21"/>
          <w:szCs w:val="21"/>
        </w:rPr>
        <w:t>特殊情形及处理</w:t>
      </w:r>
    </w:p>
    <w:p>
      <w:pPr>
        <w:ind w:firstLine="422" w:firstLineChars="200"/>
        <w:rPr>
          <w:rFonts w:ascii="楷体" w:hAnsi="楷体" w:eastAsia="楷体"/>
          <w:b/>
          <w:bCs/>
          <w:sz w:val="21"/>
          <w:szCs w:val="21"/>
        </w:rPr>
      </w:pPr>
      <w:r>
        <w:rPr>
          <w:rFonts w:ascii="楷体" w:hAnsi="楷体" w:eastAsia="楷体"/>
          <w:b/>
          <w:bCs/>
          <w:sz w:val="21"/>
          <w:szCs w:val="21"/>
        </w:rPr>
        <w:t>1.</w:t>
      </w:r>
      <w:r>
        <w:rPr>
          <w:rFonts w:hint="eastAsia" w:ascii="楷体" w:hAnsi="楷体" w:eastAsia="楷体"/>
          <w:b/>
          <w:bCs/>
          <w:sz w:val="21"/>
          <w:szCs w:val="21"/>
        </w:rPr>
        <w:t>除以下情形外，管理人不得拒绝接受或暂停接受投资者的申购申请：</w:t>
      </w:r>
    </w:p>
    <w:p>
      <w:pPr>
        <w:numPr>
          <w:ilvl w:val="0"/>
          <w:numId w:val="0"/>
        </w:numPr>
        <w:tabs>
          <w:tab w:val="left" w:pos="728"/>
        </w:tabs>
        <w:ind w:left="0" w:leftChars="0" w:firstLine="420" w:firstLineChars="200"/>
        <w:rPr>
          <w:rFonts w:ascii="楷体" w:hAnsi="楷体" w:eastAsia="楷体" w:cs="Calibri"/>
          <w:sz w:val="21"/>
          <w:szCs w:val="21"/>
        </w:rPr>
      </w:pPr>
      <w:r>
        <w:rPr>
          <w:rFonts w:hint="eastAsia" w:ascii="楷体" w:hAnsi="楷体" w:eastAsia="楷体" w:cs="Calibri"/>
          <w:sz w:val="21"/>
          <w:szCs w:val="21"/>
        </w:rPr>
        <w:t>（1）不可抗力的原因导致产品无法正常运作</w:t>
      </w:r>
      <w:r>
        <w:rPr>
          <w:rFonts w:hint="eastAsia" w:ascii="楷体" w:hAnsi="楷体" w:eastAsia="楷体" w:cs="Calibri"/>
          <w:sz w:val="21"/>
          <w:szCs w:val="21"/>
          <w:lang w:eastAsia="zh-CN"/>
        </w:rPr>
        <w:t>；</w:t>
      </w:r>
      <w:r>
        <w:rPr>
          <w:rFonts w:hint="eastAsia" w:ascii="楷体" w:hAnsi="楷体" w:eastAsia="楷体" w:cs="Calibri"/>
          <w:sz w:val="21"/>
          <w:szCs w:val="21"/>
        </w:rPr>
        <w:t>（2）超出产品单一投资者持有上限</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3</w:t>
      </w:r>
      <w:r>
        <w:rPr>
          <w:rFonts w:hint="eastAsia" w:ascii="楷体" w:hAnsi="楷体" w:eastAsia="楷体" w:cs="Calibri"/>
          <w:sz w:val="21"/>
          <w:szCs w:val="21"/>
        </w:rPr>
        <w:t>）发生《理财产品说明书》约定的暂停估值的情形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4</w:t>
      </w:r>
      <w:r>
        <w:rPr>
          <w:rFonts w:hint="eastAsia" w:ascii="楷体" w:hAnsi="楷体" w:eastAsia="楷体" w:cs="Calibri"/>
          <w:sz w:val="21"/>
          <w:szCs w:val="21"/>
        </w:rPr>
        <w:t>）管理人接受某笔或者某些申购申请有可能导致单一投资者持有理财计划份额的比例达到或者超过50%的情形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5</w:t>
      </w:r>
      <w:r>
        <w:rPr>
          <w:rFonts w:hint="eastAsia" w:ascii="楷体" w:hAnsi="楷体" w:eastAsia="楷体" w:cs="Calibri"/>
          <w:sz w:val="21"/>
          <w:szCs w:val="21"/>
        </w:rPr>
        <w:t>）当接受某笔或某些申购申请可能对存量理财计划份额持有人利益构成潜在重大不利影响时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6</w:t>
      </w:r>
      <w:r>
        <w:rPr>
          <w:rFonts w:hint="eastAsia" w:ascii="楷体" w:hAnsi="楷体" w:eastAsia="楷体" w:cs="Calibri"/>
          <w:sz w:val="21"/>
          <w:szCs w:val="21"/>
        </w:rPr>
        <w:t>）法律、法规规定认定的其他情形。</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管理人不承担申购款项在该期间所产生的利息等损失。在上述暂停或拒绝申购的情况消除后，管理人将及时恢复申购业务的办理。</w:t>
      </w:r>
    </w:p>
    <w:p>
      <w:pPr>
        <w:ind w:firstLine="422" w:firstLineChars="200"/>
        <w:rPr>
          <w:rFonts w:ascii="楷体" w:hAnsi="楷体" w:eastAsia="楷体"/>
          <w:b/>
          <w:bCs/>
          <w:sz w:val="21"/>
          <w:szCs w:val="21"/>
        </w:rPr>
      </w:pPr>
      <w:r>
        <w:rPr>
          <w:rFonts w:ascii="楷体" w:hAnsi="楷体" w:eastAsia="楷体"/>
          <w:b/>
          <w:bCs/>
          <w:sz w:val="21"/>
          <w:szCs w:val="21"/>
        </w:rPr>
        <w:t>2.</w:t>
      </w:r>
      <w:r>
        <w:rPr>
          <w:rFonts w:hint="eastAsia" w:ascii="楷体" w:hAnsi="楷体" w:eastAsia="楷体"/>
          <w:b/>
          <w:bCs/>
          <w:sz w:val="21"/>
          <w:szCs w:val="21"/>
        </w:rPr>
        <w:t>除以下情形外，管理人不得暂停接受投资者的赎回申请或延缓支付赎回款项：</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（1）不可抗力的原因导致管理人不能支付赎回款项</w:t>
      </w:r>
      <w:r>
        <w:rPr>
          <w:rFonts w:hint="eastAsia" w:ascii="楷体" w:hAnsi="楷体" w:eastAsia="楷体" w:cs="Calibri"/>
          <w:sz w:val="21"/>
          <w:szCs w:val="21"/>
          <w:lang w:eastAsia="zh-CN"/>
        </w:rPr>
        <w:t>；</w:t>
      </w:r>
      <w:r>
        <w:rPr>
          <w:rFonts w:hint="eastAsia" w:ascii="楷体" w:hAnsi="楷体" w:eastAsia="楷体" w:cs="Calibri"/>
          <w:sz w:val="21"/>
          <w:szCs w:val="21"/>
        </w:rPr>
        <w:t>（2）触发巨额赎回条款</w:t>
      </w:r>
      <w:r>
        <w:rPr>
          <w:rFonts w:hint="eastAsia" w:ascii="楷体" w:hAnsi="楷体" w:eastAsia="楷体" w:cs="Calibri"/>
          <w:sz w:val="21"/>
          <w:szCs w:val="21"/>
          <w:lang w:eastAsia="zh-CN"/>
        </w:rPr>
        <w:t>；</w:t>
      </w:r>
      <w:r>
        <w:rPr>
          <w:rFonts w:hint="eastAsia" w:ascii="楷体" w:hAnsi="楷体" w:eastAsia="楷体" w:cs="Calibri"/>
          <w:sz w:val="21"/>
          <w:szCs w:val="21"/>
        </w:rPr>
        <w:t>（3）发生《理财产品说明书》约定的暂停估值的情形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（4）当接受某笔或某些赎回申请可能对存量理财计划份额持有人利益构成潜在重大不利影响时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（5）发生单个投资者单个开放日申请赎回理财计划份额超过理财产品总份额10%的情形</w:t>
      </w:r>
      <w:r>
        <w:rPr>
          <w:rFonts w:hint="eastAsia" w:ascii="楷体" w:hAnsi="楷体" w:eastAsia="楷体" w:cs="Calibri"/>
          <w:sz w:val="21"/>
          <w:szCs w:val="21"/>
          <w:lang w:eastAsia="zh-CN"/>
        </w:rPr>
        <w:t>；</w:t>
      </w:r>
      <w:r>
        <w:rPr>
          <w:rFonts w:hint="eastAsia" w:ascii="楷体" w:hAnsi="楷体" w:eastAsia="楷体" w:cs="Calibri"/>
          <w:sz w:val="21"/>
          <w:szCs w:val="21"/>
        </w:rPr>
        <w:t>（6）法律、法规规定认定的其他情形。</w:t>
      </w:r>
    </w:p>
    <w:p>
      <w:pPr>
        <w:numPr>
          <w:ilvl w:val="0"/>
          <w:numId w:val="0"/>
        </w:numPr>
        <w:tabs>
          <w:tab w:val="left" w:pos="728"/>
        </w:tabs>
        <w:ind w:firstLine="420" w:firstLineChars="200"/>
        <w:rPr>
          <w:rFonts w:hint="eastAsia" w:ascii="楷体" w:hAnsi="楷体" w:eastAsia="楷体" w:cs="Calibri"/>
          <w:sz w:val="21"/>
          <w:szCs w:val="21"/>
        </w:rPr>
      </w:pPr>
      <w:r>
        <w:rPr>
          <w:rFonts w:hint="eastAsia" w:ascii="楷体" w:hAnsi="楷体" w:eastAsia="楷体" w:cs="Calibri"/>
          <w:sz w:val="21"/>
          <w:szCs w:val="21"/>
        </w:rPr>
        <w:t>若管理人决定</w:t>
      </w:r>
      <w:r>
        <w:rPr>
          <w:rFonts w:hint="eastAsia" w:ascii="楷体" w:hAnsi="楷体" w:eastAsia="楷体"/>
          <w:sz w:val="21"/>
          <w:szCs w:val="21"/>
        </w:rPr>
        <w:t>暂停接受投资者的赎回申请或延缓支付赎回款项</w:t>
      </w:r>
      <w:r>
        <w:rPr>
          <w:rFonts w:hint="eastAsia" w:ascii="楷体" w:hAnsi="楷体" w:eastAsia="楷体" w:cs="Calibri"/>
          <w:sz w:val="21"/>
          <w:szCs w:val="21"/>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1"/>
          <w:szCs w:val="21"/>
        </w:rPr>
        <w:t>暂停接受投资者的赎回申请或延缓支付赎回款项的情况消除后</w:t>
      </w:r>
      <w:r>
        <w:rPr>
          <w:rFonts w:hint="eastAsia" w:ascii="楷体" w:hAnsi="楷体" w:eastAsia="楷体" w:cs="Calibri"/>
          <w:sz w:val="21"/>
          <w:szCs w:val="21"/>
        </w:rPr>
        <w:t>，管理人将及时恢复申购业务的办理。</w:t>
      </w:r>
    </w:p>
    <w:p>
      <w:pPr>
        <w:numPr>
          <w:ilvl w:val="0"/>
          <w:numId w:val="2"/>
        </w:numPr>
        <w:tabs>
          <w:tab w:val="left" w:pos="1134"/>
        </w:tabs>
        <w:ind w:firstLine="422" w:firstLineChars="200"/>
        <w:outlineLvl w:val="1"/>
        <w:rPr>
          <w:rFonts w:hint="eastAsia" w:ascii="楷体" w:hAnsi="楷体" w:eastAsia="楷体"/>
          <w:b/>
          <w:sz w:val="21"/>
          <w:szCs w:val="21"/>
          <w:highlight w:val="none"/>
        </w:rPr>
      </w:pPr>
      <w:r>
        <w:rPr>
          <w:rFonts w:hint="eastAsia" w:ascii="楷体" w:hAnsi="楷体" w:eastAsia="楷体"/>
          <w:b/>
          <w:sz w:val="21"/>
          <w:szCs w:val="21"/>
          <w:highlight w:val="none"/>
        </w:rPr>
        <w:t>收益分配</w:t>
      </w:r>
    </w:p>
    <w:p>
      <w:pPr>
        <w:ind w:firstLine="420" w:firstLineChars="200"/>
        <w:rPr>
          <w:rFonts w:hint="eastAsia" w:ascii="楷体" w:hAnsi="楷体" w:eastAsia="楷体"/>
          <w:sz w:val="21"/>
          <w:szCs w:val="21"/>
        </w:rPr>
      </w:pPr>
      <w:r>
        <w:rPr>
          <w:rFonts w:hint="eastAsia" w:ascii="楷体" w:hAnsi="楷体" w:eastAsia="楷体"/>
          <w:sz w:val="21"/>
          <w:szCs w:val="21"/>
        </w:rPr>
        <w:t>本产品</w:t>
      </w:r>
      <w:r>
        <w:rPr>
          <w:rFonts w:hint="eastAsia" w:ascii="楷体" w:hAnsi="楷体" w:eastAsia="楷体"/>
          <w:sz w:val="21"/>
          <w:szCs w:val="21"/>
          <w:lang w:val="en-US" w:eastAsia="zh-CN"/>
        </w:rPr>
        <w:t>计划</w:t>
      </w:r>
      <w:r>
        <w:rPr>
          <w:rFonts w:hint="eastAsia" w:ascii="楷体" w:hAnsi="楷体" w:eastAsia="楷体"/>
          <w:sz w:val="21"/>
          <w:szCs w:val="21"/>
        </w:rPr>
        <w:t>按投资周期进行现金分红。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将于投资周期终止日后2个工作日内分配至投资者资金账户。</w:t>
      </w:r>
    </w:p>
    <w:p>
      <w:pPr>
        <w:ind w:firstLine="422" w:firstLineChars="200"/>
        <w:rPr>
          <w:rFonts w:hint="eastAsia" w:ascii="楷体" w:hAnsi="楷体" w:eastAsia="楷体"/>
          <w:sz w:val="21"/>
          <w:szCs w:val="21"/>
          <w:lang w:eastAsia="zh-CN"/>
        </w:rPr>
      </w:pPr>
      <w:r>
        <w:rPr>
          <w:rFonts w:hint="eastAsia" w:ascii="楷体" w:hAnsi="楷体" w:eastAsia="楷体"/>
          <w:b/>
          <w:sz w:val="21"/>
          <w:szCs w:val="21"/>
          <w:u w:val="single"/>
        </w:rPr>
        <w:t>以下示例均为假设情况，不代表本产品实际投资业绩</w:t>
      </w:r>
      <w:r>
        <w:rPr>
          <w:rFonts w:hint="eastAsia" w:ascii="楷体" w:hAnsi="楷体" w:eastAsia="楷体"/>
          <w:b/>
          <w:sz w:val="21"/>
          <w:szCs w:val="21"/>
          <w:u w:val="single"/>
          <w:lang w:eastAsia="zh-CN"/>
        </w:rPr>
        <w:t>。</w:t>
      </w:r>
    </w:p>
    <w:p>
      <w:pPr>
        <w:ind w:firstLine="420" w:firstLineChars="200"/>
        <w:rPr>
          <w:rFonts w:hint="eastAsia" w:ascii="楷体" w:hAnsi="楷体" w:eastAsia="楷体"/>
          <w:sz w:val="21"/>
          <w:szCs w:val="21"/>
        </w:rPr>
      </w:pPr>
      <w:r>
        <w:rPr>
          <w:rFonts w:hint="eastAsia" w:ascii="楷体" w:hAnsi="楷体" w:eastAsia="楷体"/>
          <w:sz w:val="21"/>
          <w:szCs w:val="21"/>
        </w:rPr>
        <w:t>1.情景一</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假定投资者在该投资周期持有该产品的份额为10,000.00份，该投资周期扣除固定费用（包括托管费、销售服务费、投资管理费）、运作产品所必须缴纳的税费、提取业绩报酬（如有）后，产品单位净值为1.0</w:t>
      </w:r>
      <w:r>
        <w:rPr>
          <w:rFonts w:hint="eastAsia" w:ascii="楷体" w:hAnsi="楷体" w:eastAsia="楷体"/>
          <w:sz w:val="21"/>
          <w:szCs w:val="21"/>
          <w:lang w:val="en-US" w:eastAsia="zh-CN"/>
        </w:rPr>
        <w:t>2</w:t>
      </w:r>
      <w:r>
        <w:rPr>
          <w:rFonts w:hint="eastAsia" w:ascii="楷体" w:hAnsi="楷体" w:eastAsia="楷体"/>
          <w:sz w:val="21"/>
          <w:szCs w:val="21"/>
        </w:rPr>
        <w:t>20。理财产品单位净值大于面值，管理人可进行现金分红，每份额可获得的现金分红为0.0</w:t>
      </w:r>
      <w:r>
        <w:rPr>
          <w:rFonts w:hint="eastAsia" w:ascii="楷体" w:hAnsi="楷体" w:eastAsia="楷体"/>
          <w:sz w:val="21"/>
          <w:szCs w:val="21"/>
          <w:lang w:val="en-US" w:eastAsia="zh-CN"/>
        </w:rPr>
        <w:t>2</w:t>
      </w:r>
      <w:r>
        <w:rPr>
          <w:rFonts w:hint="eastAsia" w:ascii="楷体" w:hAnsi="楷体" w:eastAsia="楷体"/>
          <w:sz w:val="21"/>
          <w:szCs w:val="21"/>
        </w:rPr>
        <w:t>20。</w:t>
      </w:r>
    </w:p>
    <w:p>
      <w:pPr>
        <w:ind w:firstLine="420" w:firstLineChars="200"/>
        <w:rPr>
          <w:rFonts w:hint="eastAsia" w:ascii="楷体" w:hAnsi="楷体" w:eastAsia="楷体"/>
          <w:sz w:val="21"/>
          <w:szCs w:val="21"/>
        </w:rPr>
      </w:pPr>
      <w:r>
        <w:rPr>
          <w:rFonts w:hint="eastAsia" w:ascii="楷体" w:hAnsi="楷体" w:eastAsia="楷体"/>
          <w:sz w:val="21"/>
          <w:szCs w:val="21"/>
        </w:rPr>
        <w:t>该投资周期投资者可得分红=10,000.00×0.0</w:t>
      </w:r>
      <w:r>
        <w:rPr>
          <w:rFonts w:hint="eastAsia" w:ascii="楷体" w:hAnsi="楷体" w:eastAsia="楷体"/>
          <w:sz w:val="21"/>
          <w:szCs w:val="21"/>
          <w:lang w:val="en-US" w:eastAsia="zh-CN"/>
        </w:rPr>
        <w:t>2</w:t>
      </w:r>
      <w:r>
        <w:rPr>
          <w:rFonts w:hint="eastAsia" w:ascii="楷体" w:hAnsi="楷体" w:eastAsia="楷体"/>
          <w:sz w:val="21"/>
          <w:szCs w:val="21"/>
        </w:rPr>
        <w:t>20=</w:t>
      </w:r>
      <w:r>
        <w:rPr>
          <w:rFonts w:hint="eastAsia" w:ascii="楷体" w:hAnsi="楷体" w:eastAsia="楷体"/>
          <w:sz w:val="21"/>
          <w:szCs w:val="21"/>
          <w:lang w:val="en-US" w:eastAsia="zh-CN"/>
        </w:rPr>
        <w:t>2</w:t>
      </w:r>
      <w:r>
        <w:rPr>
          <w:rFonts w:hint="eastAsia" w:ascii="楷体" w:hAnsi="楷体" w:eastAsia="楷体"/>
          <w:sz w:val="21"/>
          <w:szCs w:val="21"/>
        </w:rPr>
        <w:t>20.00（元）</w:t>
      </w:r>
    </w:p>
    <w:p>
      <w:pPr>
        <w:ind w:firstLine="420" w:firstLineChars="200"/>
        <w:rPr>
          <w:rFonts w:hint="eastAsia" w:ascii="楷体" w:hAnsi="楷体" w:eastAsia="楷体"/>
          <w:sz w:val="21"/>
          <w:szCs w:val="21"/>
        </w:rPr>
      </w:pPr>
      <w:r>
        <w:rPr>
          <w:rFonts w:hint="eastAsia" w:ascii="楷体" w:hAnsi="楷体" w:eastAsia="楷体"/>
          <w:sz w:val="21"/>
          <w:szCs w:val="21"/>
        </w:rPr>
        <w:t>2.情景二</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0.9975。理财产品单位净值小于面值，该投资周期无现金分红。</w:t>
      </w:r>
    </w:p>
    <w:p>
      <w:pPr>
        <w:ind w:firstLine="422" w:firstLineChars="200"/>
        <w:rPr>
          <w:rFonts w:hint="eastAsia"/>
          <w:sz w:val="21"/>
          <w:szCs w:val="21"/>
        </w:rPr>
      </w:pPr>
      <w:r>
        <w:rPr>
          <w:rFonts w:hint="eastAsia" w:ascii="楷体" w:hAnsi="楷体" w:eastAsia="楷体"/>
          <w:b/>
          <w:sz w:val="21"/>
          <w:szCs w:val="21"/>
          <w:u w:val="single"/>
        </w:rPr>
        <w:t>上述情况假设仅用于向投资者示例现金分红计算方法之用，并不代表管理人对实际分红情况的预期判断，也不代表以上所有情形或某一情形一定会发生，或管理人认为发生的可能性很大。投资者获得的最终</w:t>
      </w:r>
      <w:r>
        <w:rPr>
          <w:rFonts w:hint="eastAsia" w:ascii="楷体" w:hAnsi="楷体" w:eastAsia="楷体"/>
          <w:b/>
          <w:sz w:val="21"/>
          <w:szCs w:val="21"/>
          <w:u w:val="single"/>
          <w:lang w:val="en-US" w:eastAsia="zh-CN"/>
        </w:rPr>
        <w:t>收益</w:t>
      </w:r>
      <w:r>
        <w:rPr>
          <w:rFonts w:hint="eastAsia" w:ascii="楷体" w:hAnsi="楷体" w:eastAsia="楷体"/>
          <w:b/>
          <w:sz w:val="21"/>
          <w:szCs w:val="21"/>
          <w:u w:val="single"/>
        </w:rPr>
        <w:t>以产品实际运作表现及管理人实际支付为准。</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产品终止</w:t>
      </w:r>
    </w:p>
    <w:p>
      <w:pPr>
        <w:numPr>
          <w:ilvl w:val="0"/>
          <w:numId w:val="0"/>
        </w:numPr>
        <w:tabs>
          <w:tab w:val="left" w:pos="728"/>
        </w:tabs>
        <w:ind w:leftChars="200"/>
        <w:rPr>
          <w:rFonts w:hint="eastAsia" w:ascii="楷体" w:hAnsi="楷体" w:eastAsia="楷体" w:cs="Calibri"/>
          <w:sz w:val="21"/>
          <w:szCs w:val="21"/>
        </w:rPr>
      </w:pPr>
      <w:r>
        <w:rPr>
          <w:rFonts w:hint="eastAsia" w:ascii="楷体" w:hAnsi="楷体" w:eastAsia="楷体" w:cs="Calibri"/>
          <w:sz w:val="21"/>
          <w:szCs w:val="21"/>
          <w:lang w:eastAsia="zh-CN"/>
        </w:rPr>
        <w:t>（</w:t>
      </w:r>
      <w:r>
        <w:rPr>
          <w:rFonts w:hint="eastAsia" w:ascii="楷体" w:hAnsi="楷体" w:eastAsia="楷体" w:cs="Calibri"/>
          <w:sz w:val="21"/>
          <w:szCs w:val="21"/>
          <w:lang w:val="en-US" w:eastAsia="zh-CN"/>
        </w:rPr>
        <w:t>一）</w:t>
      </w:r>
      <w:r>
        <w:rPr>
          <w:rFonts w:hint="eastAsia" w:ascii="楷体" w:hAnsi="楷体" w:eastAsia="楷体" w:cs="Calibri"/>
          <w:sz w:val="21"/>
          <w:szCs w:val="21"/>
        </w:rPr>
        <w:t>提前终止</w:t>
      </w:r>
    </w:p>
    <w:p>
      <w:pPr>
        <w:numPr>
          <w:ilvl w:val="-1"/>
          <w:numId w:val="0"/>
        </w:numPr>
        <w:ind w:left="0" w:firstLine="420" w:firstLineChars="200"/>
        <w:rPr>
          <w:rFonts w:ascii="楷体" w:hAnsi="楷体" w:eastAsia="楷体" w:cs="Calibri"/>
          <w:sz w:val="21"/>
          <w:szCs w:val="21"/>
        </w:rPr>
      </w:pPr>
      <w:r>
        <w:rPr>
          <w:rFonts w:hint="eastAsia" w:ascii="楷体" w:hAnsi="楷体" w:eastAsia="楷体"/>
          <w:color w:val="auto"/>
          <w:sz w:val="21"/>
          <w:szCs w:val="21"/>
        </w:rPr>
        <w:t>在理财产品投资运作期间内，投资者无权要求提前终止该理财产品。在理财产品投资运作期间内，当出现下列情形之一时，产品管理人有权部分或全部终止本产品：</w:t>
      </w:r>
      <w:r>
        <w:rPr>
          <w:rFonts w:hint="eastAsia" w:ascii="楷体" w:hAnsi="楷体" w:eastAsia="楷体" w:cs="Calibri"/>
          <w:color w:val="auto"/>
          <w:sz w:val="21"/>
          <w:szCs w:val="21"/>
        </w:rPr>
        <w:t>因不可抗力原因导致理财产品无法继续运作</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因法律法规变化或国家金融政策调整、紧急措施出台影响产品继续正常运作</w:t>
      </w:r>
      <w:r>
        <w:rPr>
          <w:rFonts w:hint="eastAsia" w:ascii="楷体" w:hAnsi="楷体" w:eastAsia="楷体" w:cs="Calibri"/>
          <w:color w:val="auto"/>
          <w:sz w:val="21"/>
          <w:szCs w:val="21"/>
          <w:lang w:eastAsia="zh-CN"/>
        </w:rPr>
        <w:t>；</w:t>
      </w:r>
      <w:r>
        <w:rPr>
          <w:rFonts w:hint="eastAsia" w:ascii="楷体" w:hAnsi="楷体" w:eastAsia="楷体" w:cs="Calibri"/>
          <w:sz w:val="21"/>
          <w:szCs w:val="21"/>
          <w:lang w:val="en-US" w:eastAsia="zh-CN"/>
        </w:rPr>
        <w:t>理财产品所投资产提前到期；</w:t>
      </w:r>
      <w:r>
        <w:rPr>
          <w:rFonts w:hint="eastAsia" w:ascii="楷体" w:hAnsi="楷体" w:eastAsia="楷体" w:cs="Calibri"/>
          <w:color w:val="auto"/>
          <w:sz w:val="21"/>
          <w:szCs w:val="21"/>
        </w:rPr>
        <w:t>提前终止产品比维持产品运作更有利于保护投资者权益</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rPr>
        <w:t>法律法规规定或监管部门认定的其他情形</w:t>
      </w:r>
      <w:r>
        <w:rPr>
          <w:rFonts w:hint="eastAsia" w:ascii="楷体" w:hAnsi="楷体" w:eastAsia="楷体" w:cs="Calibri"/>
          <w:sz w:val="21"/>
          <w:szCs w:val="21"/>
          <w:lang w:val="en-US" w:eastAsia="zh-CN"/>
        </w:rPr>
        <w:t>，以及管理人有合理理由认为影响本理财产品正常运作的其他情形</w:t>
      </w:r>
      <w:r>
        <w:rPr>
          <w:rFonts w:hint="eastAsia" w:ascii="楷体" w:hAnsi="楷体" w:eastAsia="楷体" w:cs="Calibri"/>
          <w:sz w:val="21"/>
          <w:szCs w:val="21"/>
        </w:rPr>
        <w:t>。</w:t>
      </w:r>
    </w:p>
    <w:p>
      <w:pPr>
        <w:ind w:firstLine="420" w:firstLineChars="200"/>
        <w:rPr>
          <w:rFonts w:hint="eastAsia" w:ascii="楷体" w:hAnsi="楷体" w:eastAsia="楷体"/>
          <w:sz w:val="21"/>
          <w:szCs w:val="21"/>
          <w:highlight w:val="none"/>
        </w:rPr>
      </w:pPr>
      <w:r>
        <w:rPr>
          <w:rFonts w:hint="eastAsia" w:ascii="楷体" w:hAnsi="楷体" w:eastAsia="楷体"/>
          <w:color w:val="auto"/>
          <w:sz w:val="21"/>
          <w:szCs w:val="21"/>
        </w:rPr>
        <w:t>如管理人提前终止本理财产品，将至少提前2个工作日（含）按说明书约定的信息披露方式予以披露</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明确</w:t>
      </w:r>
      <w:r>
        <w:rPr>
          <w:rFonts w:hint="eastAsia" w:ascii="楷体" w:hAnsi="楷体" w:eastAsia="楷体" w:cs="Times New Roman"/>
          <w:color w:val="auto"/>
          <w:sz w:val="21"/>
          <w:szCs w:val="21"/>
        </w:rPr>
        <w:t>提前终止日</w:t>
      </w:r>
      <w:r>
        <w:rPr>
          <w:rFonts w:hint="eastAsia" w:ascii="楷体" w:hAnsi="楷体" w:eastAsia="楷体"/>
          <w:color w:val="auto"/>
          <w:sz w:val="21"/>
          <w:szCs w:val="21"/>
        </w:rPr>
        <w:t>。</w:t>
      </w:r>
      <w:r>
        <w:rPr>
          <w:rFonts w:hint="eastAsia" w:ascii="楷体" w:hAnsi="楷体" w:eastAsia="楷体"/>
          <w:sz w:val="21"/>
          <w:szCs w:val="21"/>
          <w:lang w:val="en-US" w:eastAsia="zh-CN"/>
        </w:rPr>
        <w:t>投资者的投资本金和收益（如有）将于</w:t>
      </w:r>
      <w:r>
        <w:rPr>
          <w:rFonts w:hint="eastAsia" w:ascii="楷体" w:hAnsi="楷体" w:eastAsia="楷体" w:cs="Times New Roman"/>
          <w:color w:val="auto"/>
          <w:sz w:val="21"/>
          <w:szCs w:val="21"/>
        </w:rPr>
        <w:t>提前终止日</w:t>
      </w:r>
      <w:r>
        <w:rPr>
          <w:rFonts w:hint="eastAsia" w:ascii="楷体" w:hAnsi="楷体" w:eastAsia="楷体"/>
          <w:sz w:val="21"/>
          <w:szCs w:val="21"/>
          <w:lang w:val="en-US" w:eastAsia="zh-CN"/>
        </w:rPr>
        <w:t>后5个工作日以内划至投资者指定账户，如遇法定节假日则相应顺延。</w:t>
      </w:r>
      <w:r>
        <w:rPr>
          <w:rFonts w:hint="eastAsia" w:ascii="楷体" w:hAnsi="楷体" w:eastAsia="楷体"/>
          <w:color w:val="auto"/>
          <w:sz w:val="21"/>
          <w:szCs w:val="21"/>
        </w:rPr>
        <w:t>理财产品提前终止日（含当日）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rPr>
        <w:t>。</w:t>
      </w:r>
    </w:p>
    <w:p>
      <w:pPr>
        <w:numPr>
          <w:ilvl w:val="0"/>
          <w:numId w:val="0"/>
        </w:numPr>
        <w:tabs>
          <w:tab w:val="left" w:pos="993"/>
        </w:tabs>
        <w:ind w:leftChars="200"/>
        <w:rPr>
          <w:rFonts w:hint="eastAsia" w:ascii="楷体" w:hAnsi="楷体" w:eastAsia="楷体" w:cs="Calibri"/>
          <w:b w:val="0"/>
          <w:color w:val="auto"/>
          <w:sz w:val="21"/>
          <w:szCs w:val="21"/>
        </w:rPr>
      </w:pPr>
      <w:r>
        <w:rPr>
          <w:rFonts w:hint="eastAsia" w:ascii="楷体" w:hAnsi="楷体" w:eastAsia="楷体" w:cs="Calibri"/>
          <w:b w:val="0"/>
          <w:color w:val="auto"/>
          <w:sz w:val="21"/>
          <w:szCs w:val="21"/>
          <w:lang w:val="en-US" w:eastAsia="zh-CN"/>
        </w:rPr>
        <w:t>（二）正常终止</w:t>
      </w:r>
    </w:p>
    <w:p>
      <w:pPr>
        <w:ind w:firstLine="420" w:firstLineChars="200"/>
        <w:rPr>
          <w:rFonts w:hint="eastAsia" w:ascii="楷体" w:hAnsi="楷体" w:eastAsia="楷体"/>
          <w:sz w:val="21"/>
          <w:szCs w:val="21"/>
          <w:highlight w:val="none"/>
        </w:rPr>
      </w:pPr>
      <w:r>
        <w:rPr>
          <w:rFonts w:hint="eastAsia" w:ascii="楷体" w:hAnsi="楷体" w:eastAsia="楷体"/>
          <w:sz w:val="21"/>
          <w:szCs w:val="21"/>
          <w:lang w:val="en-US" w:eastAsia="zh-CN"/>
        </w:rPr>
        <w:t>投资者持有本理财产品至产品到期日，投资者的投资本金和收益（如有）将在产品到期后一次性支付。理财产品正常终止的，投资者的投资本金和收益（如有）将于产品到期日后5个工作日以内划至投资者指定账户，如遇法定节假日则相应顺延。</w:t>
      </w:r>
      <w:r>
        <w:rPr>
          <w:rFonts w:hint="eastAsia" w:ascii="楷体" w:hAnsi="楷体" w:eastAsia="楷体" w:cs="Calibri"/>
          <w:sz w:val="21"/>
          <w:szCs w:val="21"/>
        </w:rPr>
        <w:t>超过5个工作日的，将依约定进行公告</w:t>
      </w:r>
      <w:r>
        <w:rPr>
          <w:rFonts w:hint="eastAsia" w:ascii="楷体" w:hAnsi="楷体" w:eastAsia="楷体" w:cs="Calibri"/>
          <w:sz w:val="21"/>
          <w:szCs w:val="21"/>
          <w:lang w:eastAsia="zh-CN"/>
        </w:rPr>
        <w:t>。</w:t>
      </w:r>
      <w:r>
        <w:rPr>
          <w:rFonts w:hint="eastAsia" w:ascii="楷体" w:hAnsi="楷体" w:eastAsia="楷体"/>
          <w:sz w:val="21"/>
          <w:szCs w:val="21"/>
          <w:lang w:val="en-US" w:eastAsia="zh-CN"/>
        </w:rPr>
        <w:t>产品到期日</w:t>
      </w:r>
      <w:r>
        <w:rPr>
          <w:rFonts w:hint="eastAsia" w:ascii="楷体" w:hAnsi="楷体" w:eastAsia="楷体"/>
          <w:color w:val="auto"/>
          <w:sz w:val="21"/>
          <w:szCs w:val="21"/>
        </w:rPr>
        <w:t>（含当日）</w:t>
      </w:r>
      <w:r>
        <w:rPr>
          <w:rFonts w:hint="eastAsia" w:ascii="楷体" w:hAnsi="楷体" w:eastAsia="楷体"/>
          <w:sz w:val="21"/>
          <w:szCs w:val="21"/>
          <w:lang w:val="en-US" w:eastAsia="zh-CN"/>
        </w:rPr>
        <w:t>至资金实际到账日之间，投资者资金不计息</w:t>
      </w:r>
      <w:r>
        <w:rPr>
          <w:rFonts w:hint="eastAsia" w:ascii="楷体" w:hAnsi="楷体" w:eastAsia="楷体"/>
          <w:sz w:val="21"/>
          <w:szCs w:val="21"/>
          <w:highlight w:val="none"/>
          <w:lang w:val="en-US" w:eastAsia="zh-CN"/>
        </w:rPr>
        <w:t>。</w:t>
      </w:r>
    </w:p>
    <w:p>
      <w:pPr>
        <w:numPr>
          <w:ilvl w:val="0"/>
          <w:numId w:val="13"/>
        </w:numPr>
        <w:ind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rPr>
        <w:t>延期</w:t>
      </w:r>
      <w:r>
        <w:rPr>
          <w:rFonts w:hint="eastAsia" w:ascii="楷体" w:hAnsi="楷体" w:eastAsia="楷体" w:cs="Calibri"/>
          <w:color w:val="auto"/>
          <w:sz w:val="21"/>
          <w:szCs w:val="21"/>
          <w:lang w:val="en-US" w:eastAsia="zh-CN"/>
        </w:rPr>
        <w:t>终止</w:t>
      </w:r>
    </w:p>
    <w:p>
      <w:pPr>
        <w:numPr>
          <w:ilvl w:val="-1"/>
          <w:numId w:val="0"/>
        </w:numPr>
        <w:tabs>
          <w:tab w:val="left" w:pos="0"/>
        </w:tabs>
        <w:ind w:left="0" w:leftChars="0" w:firstLine="420" w:firstLineChars="200"/>
        <w:rPr>
          <w:rFonts w:hint="eastAsia" w:ascii="楷体" w:hAnsi="楷体" w:eastAsia="楷体" w:cs="Calibri"/>
          <w:color w:val="auto"/>
          <w:sz w:val="21"/>
          <w:szCs w:val="21"/>
          <w:lang w:eastAsia="zh-CN"/>
        </w:rPr>
      </w:pPr>
      <w:r>
        <w:rPr>
          <w:rFonts w:hint="eastAsia" w:ascii="楷体" w:hAnsi="楷体" w:eastAsia="楷体"/>
          <w:color w:val="auto"/>
          <w:sz w:val="21"/>
          <w:szCs w:val="21"/>
        </w:rPr>
        <w:t>出现以下情况，产品管理人有权延长本理财产品</w:t>
      </w:r>
      <w:r>
        <w:rPr>
          <w:rFonts w:hint="eastAsia" w:ascii="楷体" w:hAnsi="楷体" w:eastAsia="楷体"/>
          <w:color w:val="auto"/>
          <w:sz w:val="21"/>
          <w:szCs w:val="21"/>
          <w:lang w:val="en-US" w:eastAsia="zh-CN"/>
        </w:rPr>
        <w:t>的到期</w:t>
      </w:r>
      <w:r>
        <w:rPr>
          <w:rFonts w:hint="eastAsia" w:ascii="楷体" w:hAnsi="楷体" w:eastAsia="楷体"/>
          <w:color w:val="auto"/>
          <w:sz w:val="21"/>
          <w:szCs w:val="21"/>
        </w:rPr>
        <w:t>日：</w:t>
      </w:r>
      <w:r>
        <w:rPr>
          <w:rFonts w:hint="eastAsia" w:ascii="楷体" w:hAnsi="楷体" w:eastAsia="楷体" w:cs="Calibri"/>
          <w:color w:val="auto"/>
          <w:sz w:val="21"/>
          <w:szCs w:val="21"/>
        </w:rPr>
        <w:t>产品终止日遇非工作日则顺延至下一工作日，投资者资金到账日将相应调整；因市场成交量不足、资产限制赎回、暂停交易、缺乏意愿交易对手</w:t>
      </w:r>
      <w:r>
        <w:rPr>
          <w:rFonts w:hint="eastAsia" w:ascii="楷体" w:hAnsi="楷体" w:eastAsia="楷体" w:cs="Calibri"/>
          <w:sz w:val="21"/>
          <w:szCs w:val="21"/>
          <w:highlight w:val="none"/>
          <w:lang w:eastAsia="zh-CN"/>
        </w:rPr>
        <w:t>、底层资产违约</w:t>
      </w:r>
      <w:r>
        <w:rPr>
          <w:rFonts w:hint="eastAsia" w:ascii="楷体" w:hAnsi="楷体" w:eastAsia="楷体" w:cs="Calibri"/>
          <w:color w:val="auto"/>
          <w:sz w:val="21"/>
          <w:szCs w:val="21"/>
        </w:rPr>
        <w:t>等原因，导致产品项下对应的投资标的无法及时变现；因资金在途等原因，导致未能及时收回资金；其他产品管理人认为需要延期兑付的情形</w:t>
      </w:r>
      <w:r>
        <w:rPr>
          <w:rFonts w:hint="eastAsia" w:ascii="楷体" w:hAnsi="楷体" w:eastAsia="楷体" w:cs="Calibri"/>
          <w:color w:val="auto"/>
          <w:sz w:val="21"/>
          <w:szCs w:val="21"/>
          <w:lang w:eastAsia="zh-CN"/>
        </w:rPr>
        <w:t>。</w:t>
      </w:r>
    </w:p>
    <w:p>
      <w:pPr>
        <w:numPr>
          <w:ilvl w:val="-1"/>
          <w:numId w:val="0"/>
        </w:numPr>
        <w:tabs>
          <w:tab w:val="left" w:pos="0"/>
        </w:tabs>
        <w:ind w:left="0" w:leftChars="0" w:firstLine="420" w:firstLineChars="200"/>
        <w:rPr>
          <w:rFonts w:hint="eastAsia" w:ascii="楷体" w:hAnsi="楷体" w:eastAsia="楷体"/>
          <w:color w:val="auto"/>
          <w:sz w:val="21"/>
          <w:szCs w:val="21"/>
        </w:rPr>
      </w:pPr>
      <w:r>
        <w:rPr>
          <w:rFonts w:hint="eastAsia" w:ascii="楷体" w:hAnsi="楷体" w:eastAsia="楷体"/>
          <w:color w:val="auto"/>
          <w:sz w:val="21"/>
          <w:szCs w:val="21"/>
        </w:rPr>
        <w:t>产品管理人决定延期兑付的，将至少提前</w:t>
      </w:r>
      <w:r>
        <w:rPr>
          <w:rFonts w:ascii="楷体" w:hAnsi="楷体" w:eastAsia="楷体"/>
          <w:color w:val="auto"/>
          <w:sz w:val="21"/>
          <w:szCs w:val="21"/>
        </w:rPr>
        <w:t>2</w:t>
      </w:r>
      <w:r>
        <w:rPr>
          <w:rFonts w:hint="eastAsia" w:ascii="楷体" w:hAnsi="楷体" w:eastAsia="楷体"/>
          <w:color w:val="auto"/>
          <w:sz w:val="21"/>
          <w:szCs w:val="21"/>
        </w:rPr>
        <w:t>个工作日（含）按说明书约定的信息披露方式予以披露。</w:t>
      </w:r>
    </w:p>
    <w:p>
      <w:pPr>
        <w:numPr>
          <w:ilvl w:val="0"/>
          <w:numId w:val="0"/>
        </w:numPr>
        <w:tabs>
          <w:tab w:val="left" w:pos="993"/>
        </w:tabs>
        <w:ind w:leftChars="200"/>
        <w:rPr>
          <w:rFonts w:hint="eastAsia" w:ascii="楷体" w:hAnsi="楷体" w:eastAsia="楷体" w:cs="Calibri"/>
          <w:color w:val="auto"/>
          <w:sz w:val="21"/>
          <w:szCs w:val="21"/>
        </w:rPr>
      </w:pP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四）</w:t>
      </w:r>
      <w:r>
        <w:rPr>
          <w:rFonts w:hint="eastAsia" w:ascii="楷体" w:hAnsi="楷体" w:eastAsia="楷体" w:cs="Calibri"/>
          <w:color w:val="auto"/>
          <w:sz w:val="21"/>
          <w:szCs w:val="21"/>
        </w:rPr>
        <w:t>投资者可得资金计算</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投资者可得资金=投资者持有份额×产品到期时单位净值</w:t>
      </w:r>
      <w:r>
        <w:rPr>
          <w:rFonts w:hint="eastAsia" w:ascii="楷体" w:hAnsi="楷体" w:eastAsia="楷体"/>
          <w:color w:val="auto"/>
          <w:sz w:val="21"/>
          <w:szCs w:val="21"/>
          <w:lang w:eastAsia="zh-CN"/>
        </w:rPr>
        <w:t>，</w:t>
      </w:r>
      <w:r>
        <w:rPr>
          <w:rFonts w:hint="eastAsia" w:ascii="楷体" w:hAnsi="楷体" w:eastAsia="楷体"/>
          <w:color w:val="auto"/>
          <w:sz w:val="21"/>
          <w:szCs w:val="21"/>
        </w:rPr>
        <w:t>投资者可得资金以四舍五入的方法保留到小数点后两位。</w:t>
      </w:r>
    </w:p>
    <w:p>
      <w:pPr>
        <w:numPr>
          <w:ilvl w:val="0"/>
          <w:numId w:val="0"/>
        </w:numPr>
        <w:tabs>
          <w:tab w:val="left" w:pos="993"/>
        </w:tabs>
        <w:ind w:left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（五）终止清算</w:t>
      </w:r>
    </w:p>
    <w:p>
      <w:pPr>
        <w:numPr>
          <w:ilvl w:val="0"/>
          <w:numId w:val="0"/>
        </w:numPr>
        <w:tabs>
          <w:tab w:val="left" w:pos="993"/>
        </w:tabs>
        <w:ind w:firstLine="420" w:firstLineChars="200"/>
        <w:rPr>
          <w:rFonts w:hint="eastAsia" w:ascii="楷体" w:hAnsi="楷体" w:eastAsia="楷体" w:cs="Calibri"/>
          <w:color w:val="auto"/>
          <w:sz w:val="21"/>
          <w:szCs w:val="21"/>
          <w:lang w:eastAsia="zh-CN"/>
        </w:rPr>
      </w:pPr>
      <w:r>
        <w:rPr>
          <w:rFonts w:hint="eastAsia" w:ascii="楷体" w:hAnsi="楷体" w:eastAsia="楷体" w:cs="Calibri"/>
          <w:color w:val="auto"/>
          <w:sz w:val="21"/>
          <w:szCs w:val="21"/>
          <w:lang w:eastAsia="zh-CN"/>
        </w:rPr>
        <w:t>投资者的投资本金和收益（如有）将于产品到期日（产品终止日）后 5 个工作日以内划至投资者指定账户，如遇法定节假日或公休日则相应顺延。产品到期日（产品终止日）至资金实际到账日之间，投资者资金不计息。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lang w:val="en-US" w:eastAsia="zh-CN"/>
        </w:rPr>
        <w:t>情景示例</w:t>
      </w:r>
      <w:r>
        <w:rPr>
          <w:rFonts w:hint="eastAsia" w:ascii="楷体" w:hAnsi="楷体" w:eastAsia="楷体"/>
          <w:b/>
          <w:sz w:val="21"/>
          <w:szCs w:val="21"/>
          <w:lang w:eastAsia="zh-CN"/>
        </w:rPr>
        <w:t>：</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30503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305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客户赎回/</w:t>
      </w:r>
      <w:r>
        <w:rPr>
          <w:rFonts w:hint="eastAsia" w:ascii="楷体" w:hAnsi="楷体" w:eastAsia="楷体"/>
          <w:color w:val="auto"/>
          <w:sz w:val="21"/>
          <w:szCs w:val="21"/>
        </w:rPr>
        <w:t>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ind w:left="0" w:leftChars="0" w:firstLine="422" w:firstLineChars="200"/>
      </w:pPr>
      <w:r>
        <w:rPr>
          <w:rFonts w:hint="eastAsia" w:ascii="楷体" w:hAnsi="楷体" w:eastAsia="楷体"/>
          <w:b/>
          <w:color w:val="auto"/>
          <w:sz w:val="21"/>
          <w:szCs w:val="21"/>
          <w:u w:val="single"/>
        </w:rPr>
        <w:t>上述情况假设仅用于向投资者示例收益计算方法之用，并不代表管理人对实际投资情况的预期判断，</w:t>
      </w:r>
      <w:r>
        <w:rPr>
          <w:rFonts w:hint="eastAsia" w:ascii="楷体" w:hAnsi="楷体" w:eastAsia="楷体"/>
          <w:b/>
          <w:color w:val="auto"/>
          <w:sz w:val="21"/>
          <w:szCs w:val="21"/>
          <w:u w:val="single"/>
          <w:lang w:val="en-US" w:eastAsia="zh-CN"/>
        </w:rPr>
        <w:t>也不代表</w:t>
      </w:r>
      <w:r>
        <w:rPr>
          <w:rFonts w:hint="eastAsia" w:ascii="楷体" w:hAnsi="楷体" w:eastAsia="楷体"/>
          <w:b/>
          <w:color w:val="auto"/>
          <w:sz w:val="21"/>
          <w:szCs w:val="21"/>
          <w:u w:val="single"/>
        </w:rPr>
        <w:t>以上所有情形或某一情形一定会发生，或管理人认为发生的可能性很大。投资者获得的最终收益以产品实际运作表现及管理人实际支付为准。</w:t>
      </w:r>
    </w:p>
    <w:p>
      <w:pPr>
        <w:numPr>
          <w:ilvl w:val="0"/>
          <w:numId w:val="2"/>
        </w:numPr>
        <w:tabs>
          <w:tab w:val="left" w:pos="1428"/>
        </w:tabs>
        <w:ind w:firstLine="422" w:firstLineChars="200"/>
        <w:outlineLvl w:val="1"/>
        <w:rPr>
          <w:rFonts w:ascii="楷体" w:hAnsi="楷体" w:eastAsia="楷体" w:cs="Calibri"/>
          <w:b w:val="0"/>
          <w:bCs/>
          <w:sz w:val="21"/>
          <w:szCs w:val="21"/>
        </w:rPr>
      </w:pPr>
      <w:r>
        <w:rPr>
          <w:rFonts w:hint="eastAsia" w:ascii="楷体" w:hAnsi="楷体" w:eastAsia="楷体"/>
          <w:b/>
          <w:sz w:val="21"/>
          <w:szCs w:val="21"/>
        </w:rPr>
        <w:t>产品费用</w:t>
      </w:r>
    </w:p>
    <w:p>
      <w:pPr>
        <w:ind w:firstLine="420" w:firstLineChars="200"/>
        <w:rPr>
          <w:rFonts w:hint="default" w:ascii="楷体" w:hAnsi="楷体" w:eastAsia="楷体" w:cs="Calibri"/>
          <w:b w:val="0"/>
          <w:bCs/>
          <w:sz w:val="21"/>
          <w:szCs w:val="21"/>
          <w:lang w:val="en-US" w:eastAsia="zh-CN"/>
        </w:rPr>
      </w:pPr>
      <w:r>
        <w:rPr>
          <w:rFonts w:hint="eastAsia" w:ascii="楷体" w:hAnsi="楷体" w:eastAsia="楷体"/>
          <w:b w:val="0"/>
          <w:bCs/>
          <w:sz w:val="21"/>
          <w:szCs w:val="21"/>
        </w:rPr>
        <w:t>本产品费用包括托管费、销售服务费、投资管理费、超额业绩报酬（如有）以及产品运作和清算中产生的其他费用等。</w:t>
      </w:r>
      <w:r>
        <w:rPr>
          <w:rFonts w:hint="eastAsia" w:ascii="楷体" w:hAnsi="楷体" w:eastAsia="楷体" w:cs="Calibri"/>
          <w:b w:val="0"/>
          <w:bCs/>
          <w:sz w:val="21"/>
          <w:szCs w:val="21"/>
        </w:rPr>
        <w:t>计提方法、计提标准和支付方式</w:t>
      </w:r>
      <w:r>
        <w:rPr>
          <w:rFonts w:hint="eastAsia" w:ascii="楷体" w:hAnsi="楷体" w:eastAsia="楷体" w:cs="Calibri"/>
          <w:b w:val="0"/>
          <w:bCs/>
          <w:sz w:val="21"/>
          <w:szCs w:val="21"/>
          <w:lang w:val="en-US" w:eastAsia="zh-CN"/>
        </w:rPr>
        <w:t>如下：</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托管费：本产品的托管费每日计提，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支付，由托管行收取。计算方法如下：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每日应计提的托管费＝前一日的产品资产净值×托管费率÷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销售服务费：本产品的销售服务费每日计提，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支付，由销售机构收取。计算方法如下：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每日应计提的销售服务费＝前一日的产品资产净值×销售服务费率÷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投资管理费：本产品的投资管理费每日计提，</w:t>
      </w:r>
      <w:r>
        <w:rPr>
          <w:rFonts w:hint="eastAsia" w:ascii="楷体" w:hAnsi="楷体" w:eastAsia="楷体" w:cs="Calibri"/>
          <w:sz w:val="21"/>
          <w:szCs w:val="21"/>
          <w:lang w:val="en-US" w:eastAsia="zh-CN"/>
        </w:rPr>
        <w:t>定期</w:t>
      </w:r>
      <w:r>
        <w:rPr>
          <w:rFonts w:hint="eastAsia" w:ascii="楷体" w:hAnsi="楷体" w:eastAsia="楷体" w:cs="Calibri"/>
          <w:sz w:val="21"/>
          <w:szCs w:val="21"/>
        </w:rPr>
        <w:t>支付，由管理人收取。计算方法如下：</w:t>
      </w:r>
    </w:p>
    <w:p>
      <w:pPr>
        <w:ind w:firstLine="420" w:firstLineChars="200"/>
        <w:rPr>
          <w:rFonts w:hint="eastAsia" w:ascii="楷体" w:hAnsi="楷体" w:eastAsia="楷体"/>
          <w:sz w:val="21"/>
          <w:szCs w:val="21"/>
        </w:rPr>
      </w:pPr>
      <w:r>
        <w:rPr>
          <w:rFonts w:hint="eastAsia" w:ascii="楷体" w:hAnsi="楷体" w:eastAsia="楷体"/>
          <w:sz w:val="21"/>
          <w:szCs w:val="21"/>
        </w:rPr>
        <w:t>每日应计提的投资管理费＝前一日的产品资产净值×投资管理费率÷</w:t>
      </w:r>
      <w:r>
        <w:rPr>
          <w:rFonts w:ascii="楷体" w:hAnsi="楷体" w:eastAsia="楷体"/>
          <w:sz w:val="21"/>
          <w:szCs w:val="21"/>
        </w:rPr>
        <w:t>365</w:t>
      </w:r>
    </w:p>
    <w:p>
      <w:pPr>
        <w:numPr>
          <w:ilvl w:val="0"/>
          <w:numId w:val="14"/>
        </w:numPr>
        <w:tabs>
          <w:tab w:val="left" w:pos="728"/>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rPr>
        <w:t>超额业绩报酬：管理人按投资周期收取超额业绩报酬</w:t>
      </w:r>
      <w:r>
        <w:rPr>
          <w:rFonts w:hint="eastAsia" w:ascii="楷体" w:hAnsi="楷体" w:eastAsia="楷体" w:cs="Calibri"/>
          <w:sz w:val="21"/>
          <w:szCs w:val="21"/>
          <w:highlight w:val="none"/>
          <w:lang w:eastAsia="zh-CN"/>
        </w:rPr>
        <w:t>，</w:t>
      </w:r>
      <w:r>
        <w:rPr>
          <w:rFonts w:hint="eastAsia" w:ascii="楷体" w:hAnsi="楷体" w:eastAsia="楷体" w:cs="Calibri"/>
          <w:sz w:val="21"/>
          <w:szCs w:val="21"/>
          <w:highlight w:val="none"/>
          <w:lang w:val="en-US" w:eastAsia="zh-CN"/>
        </w:rPr>
        <w:t>超额业绩报酬计算详见“产品要素”。</w:t>
      </w:r>
    </w:p>
    <w:p>
      <w:pPr>
        <w:numPr>
          <w:ilvl w:val="0"/>
          <w:numId w:val="14"/>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产品运作和清算中产生的交易手续费、注册登记费、账户服务费、审计费、及其他应由本产品承担的费用从产品中列支。</w:t>
      </w:r>
    </w:p>
    <w:p>
      <w:pPr>
        <w:numPr>
          <w:ilvl w:val="0"/>
          <w:numId w:val="14"/>
        </w:numPr>
        <w:tabs>
          <w:tab w:val="left" w:pos="728"/>
        </w:tabs>
        <w:ind w:left="0" w:firstLine="420" w:firstLineChars="200"/>
        <w:rPr>
          <w:rFonts w:hint="eastAsia"/>
        </w:rPr>
      </w:pPr>
      <w:r>
        <w:rPr>
          <w:rFonts w:hint="eastAsia" w:ascii="楷体" w:hAnsi="楷体" w:eastAsia="楷体" w:cs="Calibri"/>
          <w:color w:val="auto"/>
          <w:sz w:val="21"/>
          <w:szCs w:val="21"/>
          <w:lang w:val="en-US" w:eastAsia="zh-CN"/>
        </w:rPr>
        <w:t>费用计算</w:t>
      </w:r>
      <w:r>
        <w:rPr>
          <w:rFonts w:hint="eastAsia" w:ascii="楷体" w:hAnsi="楷体" w:eastAsia="楷体" w:cs="Calibri"/>
          <w:color w:val="auto"/>
          <w:sz w:val="21"/>
          <w:szCs w:val="21"/>
        </w:rPr>
        <w:t>四舍五入保留至小数点后两位</w:t>
      </w:r>
      <w:r>
        <w:rPr>
          <w:rFonts w:hint="eastAsia" w:ascii="楷体" w:hAnsi="楷体" w:eastAsia="楷体" w:cs="Calibri"/>
          <w:color w:val="auto"/>
          <w:sz w:val="21"/>
          <w:szCs w:val="21"/>
          <w:lang w:eastAsia="zh-CN"/>
        </w:rPr>
        <w:t>。</w:t>
      </w:r>
    </w:p>
    <w:p>
      <w:pPr>
        <w:numPr>
          <w:ilvl w:val="0"/>
          <w:numId w:val="14"/>
        </w:numPr>
        <w:tabs>
          <w:tab w:val="left" w:pos="728"/>
        </w:tabs>
        <w:ind w:left="0" w:firstLine="420" w:firstLineChars="200"/>
        <w:rPr>
          <w:rFonts w:hint="eastAsia"/>
        </w:rPr>
      </w:pPr>
      <w:r>
        <w:rPr>
          <w:rFonts w:hint="eastAsia" w:ascii="楷体" w:hAnsi="楷体" w:eastAsia="楷体" w:cs="Calibri"/>
          <w:color w:val="auto"/>
          <w:szCs w:val="21"/>
        </w:rPr>
        <w:t>本产品不收取认购费用、申购费用、赎回费用。</w:t>
      </w:r>
    </w:p>
    <w:p>
      <w:pPr>
        <w:ind w:firstLine="420" w:firstLineChars="200"/>
        <w:rPr>
          <w:rFonts w:hint="default" w:eastAsia="楷体"/>
          <w:sz w:val="21"/>
          <w:szCs w:val="21"/>
          <w:lang w:val="en-US" w:eastAsia="zh-CN"/>
        </w:rPr>
      </w:pPr>
      <w:r>
        <w:rPr>
          <w:rFonts w:hint="eastAsia" w:ascii="楷体" w:hAnsi="楷体" w:eastAsia="楷体"/>
          <w:sz w:val="21"/>
          <w:szCs w:val="21"/>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将可能开放赎回，具体以届时产品管理人公告为准；如投资者未赎回本产品，则视为本理财产品投资者接受相关调整且同意在调整后继续持有本理财产品。</w:t>
      </w:r>
      <w:r>
        <w:rPr>
          <w:rFonts w:hint="eastAsia" w:ascii="楷体" w:hAnsi="楷体" w:eastAsia="楷体"/>
          <w:sz w:val="21"/>
          <w:szCs w:val="21"/>
          <w:lang w:val="en-US" w:eastAsia="zh-CN"/>
        </w:rPr>
        <w:t>产品存续期内管理人有权根据产品运行情况制定费率优惠措施，优惠后实际执行的费率以管理人公告为准。</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产品估值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hint="eastAsia" w:ascii="楷体" w:hAnsi="楷体" w:eastAsia="楷体" w:cs="Calibri"/>
          <w:b/>
          <w:sz w:val="21"/>
          <w:szCs w:val="21"/>
        </w:rPr>
      </w:pPr>
      <w:r>
        <w:rPr>
          <w:rFonts w:hint="eastAsia" w:ascii="楷体" w:hAnsi="楷体" w:eastAsia="楷体" w:cs="Calibri"/>
          <w:b/>
          <w:sz w:val="21"/>
          <w:szCs w:val="21"/>
        </w:rPr>
        <w:t>估值对象</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本产品所拥有的各类证券、银行存款、应收款项及其它资产及负债。</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估值要求</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本产品资产估值的目的是客观、准确的反映资产净值，确定理财产品资产净值，并为理财产品的</w:t>
      </w:r>
      <w:r>
        <w:rPr>
          <w:rFonts w:hint="eastAsia" w:ascii="楷体" w:hAnsi="楷体" w:eastAsia="楷体" w:cs="Calibri"/>
          <w:sz w:val="21"/>
          <w:szCs w:val="21"/>
          <w:lang w:val="en-US" w:eastAsia="zh-CN"/>
        </w:rPr>
        <w:t>申购、赎回和</w:t>
      </w:r>
      <w:r>
        <w:rPr>
          <w:rFonts w:hint="eastAsia" w:ascii="楷体" w:hAnsi="楷体" w:eastAsia="楷体" w:cs="Calibri"/>
          <w:sz w:val="21"/>
          <w:szCs w:val="21"/>
        </w:rPr>
        <w:t>兑付提供计价依据。</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本产品单位净值精确到小数点后</w:t>
      </w:r>
      <w:r>
        <w:rPr>
          <w:rFonts w:hint="eastAsia" w:ascii="楷体" w:hAnsi="楷体" w:eastAsia="楷体" w:cs="Calibri"/>
          <w:sz w:val="21"/>
          <w:szCs w:val="21"/>
          <w:lang w:val="en-US" w:eastAsia="zh-CN"/>
        </w:rPr>
        <w:t>6</w:t>
      </w:r>
      <w:r>
        <w:rPr>
          <w:rFonts w:hint="eastAsia" w:ascii="楷体" w:hAnsi="楷体" w:eastAsia="楷体" w:cs="Calibri"/>
          <w:sz w:val="21"/>
          <w:szCs w:val="21"/>
        </w:rPr>
        <w:t>位，小数点</w:t>
      </w:r>
      <w:r>
        <w:rPr>
          <w:rFonts w:hint="eastAsia" w:ascii="楷体" w:hAnsi="楷体" w:eastAsia="楷体" w:cs="Calibri"/>
          <w:sz w:val="21"/>
          <w:szCs w:val="21"/>
          <w:lang w:val="en-US" w:eastAsia="zh-CN"/>
        </w:rPr>
        <w:t>6</w:t>
      </w:r>
      <w:r>
        <w:rPr>
          <w:rFonts w:hint="eastAsia" w:ascii="楷体" w:hAnsi="楷体" w:eastAsia="楷体" w:cs="Calibri"/>
          <w:sz w:val="21"/>
          <w:szCs w:val="21"/>
        </w:rPr>
        <w:t>位后截位。</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本产品每日估值，存续期内每周按说明书约定方式披露单位净值，每个开放日结束后2个工作日内通过本理财产品说明书约定方式披露上一投资周期终止日的单位净值、份额累计净值、</w:t>
      </w:r>
      <w:r>
        <w:rPr>
          <w:rFonts w:hint="eastAsia" w:ascii="楷体" w:hAnsi="楷体" w:eastAsia="楷体" w:cs="Calibri"/>
          <w:sz w:val="21"/>
          <w:szCs w:val="21"/>
          <w:lang w:eastAsia="zh-CN"/>
        </w:rPr>
        <w:t>认/申购价格</w:t>
      </w:r>
      <w:r>
        <w:rPr>
          <w:rFonts w:hint="eastAsia" w:ascii="楷体" w:hAnsi="楷体" w:eastAsia="楷体" w:cs="Calibri"/>
          <w:sz w:val="21"/>
          <w:szCs w:val="21"/>
        </w:rPr>
        <w:t>和赎回价格。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估值方法</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存款类资产、货币市场工具：以本金列示，逐日计提利息。</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货币市场基金：以估值截止时间点能够取得的最新每万份收益进行估值。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债券类资产：按公允价值进行估值，采用市价、第三方估值机构提供的估值价格、合理的估值技术或监管机构认可的其他估值方法进行估值。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债权类资产：按公允价值进行估值，采用合理的估值技术或监管机构认可的估值方法进行估值。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证券、基金、保险等资产管理计划和信托计划等资产（不含货币市场基金）：按照证券、基金、保险等资产管理计划和信托计划的管理人和托管人共同确认的最新净值或投资收益进行估值。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商品及衍生品类资产：按公允价值进行估值，采用市价、第三方估值机构提供的估值价格、合理的估值技术或监管机构认可的其他估值方法进行估值。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7"/>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其他资产：按公允价值进行估值，采用合理的估值技术或监管机构认可的估值方法进行估值。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如有新增事项或变更事项，按国家最新规定或管理人最新约定进行估值。</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估值错误的处理</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资管计划管理人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keepNext w:val="0"/>
        <w:keepLines w:val="0"/>
        <w:pageBreakBefore w:val="0"/>
        <w:widowControl w:val="0"/>
        <w:numPr>
          <w:ilvl w:val="0"/>
          <w:numId w:val="15"/>
        </w:numPr>
        <w:tabs>
          <w:tab w:val="left" w:pos="993"/>
        </w:tabs>
        <w:kinsoku/>
        <w:wordWrap/>
        <w:overflowPunct/>
        <w:topLinePunct w:val="0"/>
        <w:bidi w:val="0"/>
        <w:snapToGrid/>
        <w:ind w:left="0" w:firstLine="422" w:firstLineChars="200"/>
        <w:textAlignment w:val="auto"/>
        <w:outlineLvl w:val="2"/>
        <w:rPr>
          <w:rFonts w:ascii="楷体" w:hAnsi="楷体" w:eastAsia="楷体" w:cs="Calibri"/>
          <w:b/>
          <w:sz w:val="21"/>
          <w:szCs w:val="21"/>
        </w:rPr>
      </w:pPr>
      <w:r>
        <w:rPr>
          <w:rFonts w:hint="eastAsia" w:ascii="楷体" w:hAnsi="楷体" w:eastAsia="楷体" w:cs="Calibri"/>
          <w:b/>
          <w:sz w:val="21"/>
          <w:szCs w:val="21"/>
        </w:rPr>
        <w:t>暂停估值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理财产品投资所涉及的证券交易所遇法定节假日或其他原因暂停营业时，或因任何不可抗力致使无法准确评估资产价值时，可暂停估值。但估值条件恢复时，将按规定完成估值工作。</w:t>
      </w:r>
    </w:p>
    <w:p>
      <w:pPr>
        <w:numPr>
          <w:ilvl w:val="0"/>
          <w:numId w:val="2"/>
        </w:numPr>
        <w:tabs>
          <w:tab w:val="left" w:pos="1428"/>
        </w:tabs>
        <w:ind w:firstLine="422" w:firstLineChars="200"/>
        <w:outlineLvl w:val="1"/>
        <w:rPr>
          <w:rFonts w:ascii="楷体" w:hAnsi="楷体" w:eastAsia="楷体"/>
          <w:b/>
          <w:sz w:val="21"/>
          <w:szCs w:val="21"/>
        </w:rPr>
      </w:pPr>
      <w:r>
        <w:rPr>
          <w:rFonts w:hint="eastAsia" w:ascii="楷体" w:hAnsi="楷体" w:eastAsia="楷体"/>
          <w:b/>
          <w:sz w:val="21"/>
          <w:szCs w:val="21"/>
        </w:rPr>
        <w:t>信息披露</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8"/>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产品净值：每周向投资者披露一次产品的资产净值和份额净值。</w:t>
      </w:r>
    </w:p>
    <w:p>
      <w:pPr>
        <w:numPr>
          <w:ilvl w:val="0"/>
          <w:numId w:val="20"/>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20"/>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20"/>
        </w:numPr>
        <w:tabs>
          <w:tab w:val="left" w:pos="728"/>
        </w:tabs>
        <w:ind w:left="0" w:firstLine="420" w:firstLineChars="200"/>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numPr>
          <w:ilvl w:val="0"/>
          <w:numId w:val="2"/>
        </w:numPr>
        <w:tabs>
          <w:tab w:val="left" w:pos="1428"/>
        </w:tabs>
        <w:ind w:firstLine="422" w:firstLineChars="200"/>
        <w:outlineLvl w:val="1"/>
        <w:rPr>
          <w:rFonts w:hint="eastAsia" w:ascii="楷体" w:hAnsi="楷体" w:eastAsia="楷体"/>
          <w:b/>
          <w:sz w:val="21"/>
          <w:szCs w:val="21"/>
        </w:rPr>
      </w:pPr>
      <w:r>
        <w:rPr>
          <w:rFonts w:hint="eastAsia" w:ascii="楷体" w:hAnsi="楷体" w:eastAsia="楷体"/>
          <w:b/>
          <w:sz w:val="21"/>
          <w:szCs w:val="21"/>
        </w:rPr>
        <w:t>其他</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1"/>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ascii="楷体" w:hAnsi="楷体" w:eastAsia="楷体"/>
          <w:color w:val="auto"/>
          <w:sz w:val="21"/>
          <w:szCs w:val="21"/>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有关的任何争议，应当首先通过双方之间的友好协商解决；协商不成的，双方均有权提交产品管理人所在地有管辖权的人民法院诉讼解决。</w:t>
      </w:r>
    </w:p>
    <w:p>
      <w:pPr>
        <w:pStyle w:val="2"/>
        <w:rPr>
          <w:rFonts w:hint="eastAsia"/>
        </w:rPr>
      </w:pPr>
    </w:p>
    <w:sectPr>
      <w:headerReference r:id="rId5" w:type="first"/>
      <w:headerReference r:id="rId3" w:type="default"/>
      <w:footerReference r:id="rId6" w:type="default"/>
      <w:headerReference r:id="rId4" w:type="even"/>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8"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68638"/>
    <w:multiLevelType w:val="singleLevel"/>
    <w:tmpl w:val="A9D68638"/>
    <w:lvl w:ilvl="0" w:tentative="0">
      <w:start w:val="3"/>
      <w:numFmt w:val="chineseCounting"/>
      <w:suff w:val="nothing"/>
      <w:lvlText w:val="（%1）"/>
      <w:lvlJc w:val="left"/>
      <w:rPr>
        <w:rFonts w:hint="eastAsia"/>
      </w:r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A52050"/>
    <w:multiLevelType w:val="multilevel"/>
    <w:tmpl w:val="1CA52050"/>
    <w:lvl w:ilvl="0" w:tentative="0">
      <w:start w:val="1"/>
      <w:numFmt w:val="chineseCountingThousand"/>
      <w:lvlText w:val="%1、"/>
      <w:lvlJc w:val="left"/>
      <w:pPr>
        <w:ind w:left="0" w:firstLine="0"/>
      </w:pPr>
      <w:rPr>
        <w:rFonts w:hint="eastAsia" w:ascii="楷体" w:hAnsi="楷体" w:eastAsia="楷体" w:cs="楷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5714B71"/>
    <w:multiLevelType w:val="multilevel"/>
    <w:tmpl w:val="45714B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B1D2B3D"/>
    <w:multiLevelType w:val="multilevel"/>
    <w:tmpl w:val="5B1D2B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541B78"/>
    <w:multiLevelType w:val="singleLevel"/>
    <w:tmpl w:val="78541B78"/>
    <w:lvl w:ilvl="0" w:tentative="0">
      <w:start w:val="1"/>
      <w:numFmt w:val="decimal"/>
      <w:suff w:val="nothing"/>
      <w:lvlText w:val="（%1）"/>
      <w:lvlJc w:val="left"/>
    </w:lvl>
  </w:abstractNum>
  <w:abstractNum w:abstractNumId="19">
    <w:nsid w:val="790DC278"/>
    <w:multiLevelType w:val="singleLevel"/>
    <w:tmpl w:val="790DC278"/>
    <w:lvl w:ilvl="0" w:tentative="0">
      <w:start w:val="2"/>
      <w:numFmt w:val="decimal"/>
      <w:lvlText w:val="%1."/>
      <w:lvlJc w:val="left"/>
      <w:pPr>
        <w:tabs>
          <w:tab w:val="left" w:pos="312"/>
        </w:tabs>
      </w:pPr>
    </w:lvl>
  </w:abstractNum>
  <w:abstractNum w:abstractNumId="20">
    <w:nsid w:val="7DB725C8"/>
    <w:multiLevelType w:val="multilevel"/>
    <w:tmpl w:val="7DB725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19"/>
  </w:num>
  <w:num w:numId="4">
    <w:abstractNumId w:val="14"/>
  </w:num>
  <w:num w:numId="5">
    <w:abstractNumId w:val="15"/>
  </w:num>
  <w:num w:numId="6">
    <w:abstractNumId w:val="5"/>
  </w:num>
  <w:num w:numId="7">
    <w:abstractNumId w:val="17"/>
  </w:num>
  <w:num w:numId="8">
    <w:abstractNumId w:val="18"/>
  </w:num>
  <w:num w:numId="9">
    <w:abstractNumId w:val="13"/>
  </w:num>
  <w:num w:numId="10">
    <w:abstractNumId w:val="9"/>
  </w:num>
  <w:num w:numId="11">
    <w:abstractNumId w:val="6"/>
  </w:num>
  <w:num w:numId="12">
    <w:abstractNumId w:val="3"/>
  </w:num>
  <w:num w:numId="13">
    <w:abstractNumId w:val="0"/>
  </w:num>
  <w:num w:numId="14">
    <w:abstractNumId w:val="20"/>
  </w:num>
  <w:num w:numId="15">
    <w:abstractNumId w:val="12"/>
  </w:num>
  <w:num w:numId="16">
    <w:abstractNumId w:val="10"/>
  </w:num>
  <w:num w:numId="17">
    <w:abstractNumId w:val="2"/>
  </w:num>
  <w:num w:numId="18">
    <w:abstractNumId w:val="11"/>
  </w:num>
  <w:num w:numId="19">
    <w:abstractNumId w:val="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46353"/>
    <w:rsid w:val="00061CBB"/>
    <w:rsid w:val="00276FCD"/>
    <w:rsid w:val="00B73039"/>
    <w:rsid w:val="01C11F94"/>
    <w:rsid w:val="01DC00D2"/>
    <w:rsid w:val="02394C4E"/>
    <w:rsid w:val="05120775"/>
    <w:rsid w:val="052D480C"/>
    <w:rsid w:val="05741815"/>
    <w:rsid w:val="05C22B02"/>
    <w:rsid w:val="06A93A70"/>
    <w:rsid w:val="08494B4C"/>
    <w:rsid w:val="087E378B"/>
    <w:rsid w:val="08C87576"/>
    <w:rsid w:val="0AA20035"/>
    <w:rsid w:val="0B7873E7"/>
    <w:rsid w:val="0D460355"/>
    <w:rsid w:val="0DC578C3"/>
    <w:rsid w:val="0DDD75CE"/>
    <w:rsid w:val="0DE45E8B"/>
    <w:rsid w:val="0F2D7FC5"/>
    <w:rsid w:val="0FA551A3"/>
    <w:rsid w:val="0FD41768"/>
    <w:rsid w:val="119672A7"/>
    <w:rsid w:val="11C449B6"/>
    <w:rsid w:val="12136ABA"/>
    <w:rsid w:val="12176F28"/>
    <w:rsid w:val="12627D38"/>
    <w:rsid w:val="132C05F4"/>
    <w:rsid w:val="133603BC"/>
    <w:rsid w:val="14EA3140"/>
    <w:rsid w:val="15007097"/>
    <w:rsid w:val="15C23F41"/>
    <w:rsid w:val="18766114"/>
    <w:rsid w:val="18B5181D"/>
    <w:rsid w:val="19DA1846"/>
    <w:rsid w:val="19DF46F8"/>
    <w:rsid w:val="19E8300C"/>
    <w:rsid w:val="1A74679E"/>
    <w:rsid w:val="1B2B7A2C"/>
    <w:rsid w:val="1BB6506B"/>
    <w:rsid w:val="1C122A70"/>
    <w:rsid w:val="1C1B3B29"/>
    <w:rsid w:val="1FBB7F9F"/>
    <w:rsid w:val="20862AD5"/>
    <w:rsid w:val="208D0A85"/>
    <w:rsid w:val="20D359FB"/>
    <w:rsid w:val="21361C5E"/>
    <w:rsid w:val="215A5298"/>
    <w:rsid w:val="216C322D"/>
    <w:rsid w:val="21893A13"/>
    <w:rsid w:val="22DC376E"/>
    <w:rsid w:val="26E90667"/>
    <w:rsid w:val="272D4E16"/>
    <w:rsid w:val="274A0B5C"/>
    <w:rsid w:val="27FA7E2E"/>
    <w:rsid w:val="28427D32"/>
    <w:rsid w:val="28F60FCD"/>
    <w:rsid w:val="29855A2C"/>
    <w:rsid w:val="2ADA6AE2"/>
    <w:rsid w:val="2B221E6C"/>
    <w:rsid w:val="2B3631F4"/>
    <w:rsid w:val="2B797161"/>
    <w:rsid w:val="2CE341B5"/>
    <w:rsid w:val="2E9559D9"/>
    <w:rsid w:val="2F3015A3"/>
    <w:rsid w:val="30F231D2"/>
    <w:rsid w:val="31097378"/>
    <w:rsid w:val="311D7D22"/>
    <w:rsid w:val="31376781"/>
    <w:rsid w:val="32035262"/>
    <w:rsid w:val="32544E43"/>
    <w:rsid w:val="331B4ED5"/>
    <w:rsid w:val="33C259F7"/>
    <w:rsid w:val="34C51A78"/>
    <w:rsid w:val="34E0563C"/>
    <w:rsid w:val="35F40894"/>
    <w:rsid w:val="37396667"/>
    <w:rsid w:val="375223CF"/>
    <w:rsid w:val="375F35B5"/>
    <w:rsid w:val="37F6376B"/>
    <w:rsid w:val="38005C99"/>
    <w:rsid w:val="3806789C"/>
    <w:rsid w:val="398C207A"/>
    <w:rsid w:val="399F1ACD"/>
    <w:rsid w:val="3B316DAA"/>
    <w:rsid w:val="3DC06319"/>
    <w:rsid w:val="3FBD5D22"/>
    <w:rsid w:val="3FED70CF"/>
    <w:rsid w:val="3FFF7279"/>
    <w:rsid w:val="40245373"/>
    <w:rsid w:val="407A2131"/>
    <w:rsid w:val="40BB01C3"/>
    <w:rsid w:val="40E74809"/>
    <w:rsid w:val="4125361C"/>
    <w:rsid w:val="427B00CF"/>
    <w:rsid w:val="43076EE2"/>
    <w:rsid w:val="43A60B8B"/>
    <w:rsid w:val="43CA7AC6"/>
    <w:rsid w:val="44255F9B"/>
    <w:rsid w:val="44A14314"/>
    <w:rsid w:val="456926CF"/>
    <w:rsid w:val="45A31E9F"/>
    <w:rsid w:val="45D90EDA"/>
    <w:rsid w:val="46F648FA"/>
    <w:rsid w:val="48683357"/>
    <w:rsid w:val="49287F12"/>
    <w:rsid w:val="49582C60"/>
    <w:rsid w:val="495D6DB6"/>
    <w:rsid w:val="4C4F3FC2"/>
    <w:rsid w:val="4D077EEE"/>
    <w:rsid w:val="4D0E0101"/>
    <w:rsid w:val="4DBC05B9"/>
    <w:rsid w:val="4F833B49"/>
    <w:rsid w:val="50AC6DEA"/>
    <w:rsid w:val="511F6784"/>
    <w:rsid w:val="514805FC"/>
    <w:rsid w:val="5219373E"/>
    <w:rsid w:val="524C0A95"/>
    <w:rsid w:val="52F50359"/>
    <w:rsid w:val="566B4A32"/>
    <w:rsid w:val="56CA5659"/>
    <w:rsid w:val="575431DF"/>
    <w:rsid w:val="576079D6"/>
    <w:rsid w:val="581A432A"/>
    <w:rsid w:val="59205884"/>
    <w:rsid w:val="598A3524"/>
    <w:rsid w:val="5A093EC3"/>
    <w:rsid w:val="5AA94CCB"/>
    <w:rsid w:val="5AE617EC"/>
    <w:rsid w:val="5C7662C6"/>
    <w:rsid w:val="5C882FDD"/>
    <w:rsid w:val="5CB22E1D"/>
    <w:rsid w:val="5D2C6491"/>
    <w:rsid w:val="5EB35D09"/>
    <w:rsid w:val="5F20411D"/>
    <w:rsid w:val="60B91793"/>
    <w:rsid w:val="60CC4D75"/>
    <w:rsid w:val="60E67AA7"/>
    <w:rsid w:val="619E0AB7"/>
    <w:rsid w:val="61B16453"/>
    <w:rsid w:val="627E6257"/>
    <w:rsid w:val="630832B1"/>
    <w:rsid w:val="63DD04FD"/>
    <w:rsid w:val="63F6448F"/>
    <w:rsid w:val="64133A3F"/>
    <w:rsid w:val="643E4883"/>
    <w:rsid w:val="64E02039"/>
    <w:rsid w:val="655A3D56"/>
    <w:rsid w:val="65A137B1"/>
    <w:rsid w:val="65CD5630"/>
    <w:rsid w:val="65FC7340"/>
    <w:rsid w:val="66A717F9"/>
    <w:rsid w:val="66A9578C"/>
    <w:rsid w:val="66E50D80"/>
    <w:rsid w:val="67057615"/>
    <w:rsid w:val="670F02C0"/>
    <w:rsid w:val="67AA451F"/>
    <w:rsid w:val="67FA4DDD"/>
    <w:rsid w:val="68340A60"/>
    <w:rsid w:val="685657A1"/>
    <w:rsid w:val="688556A7"/>
    <w:rsid w:val="6895189D"/>
    <w:rsid w:val="69473E9F"/>
    <w:rsid w:val="69AC4F69"/>
    <w:rsid w:val="69D72936"/>
    <w:rsid w:val="6A6F11CC"/>
    <w:rsid w:val="6B7460C1"/>
    <w:rsid w:val="6C035B7A"/>
    <w:rsid w:val="6C303D8F"/>
    <w:rsid w:val="6C56268E"/>
    <w:rsid w:val="6D9A555F"/>
    <w:rsid w:val="6E046353"/>
    <w:rsid w:val="6E3034D4"/>
    <w:rsid w:val="6E430F2A"/>
    <w:rsid w:val="6F5161E8"/>
    <w:rsid w:val="6FF51B3B"/>
    <w:rsid w:val="6FFC72C8"/>
    <w:rsid w:val="709561C1"/>
    <w:rsid w:val="709642CC"/>
    <w:rsid w:val="70F85622"/>
    <w:rsid w:val="717E0546"/>
    <w:rsid w:val="719B567C"/>
    <w:rsid w:val="728C7F4A"/>
    <w:rsid w:val="72CE224D"/>
    <w:rsid w:val="72E91E80"/>
    <w:rsid w:val="7684397E"/>
    <w:rsid w:val="781D7834"/>
    <w:rsid w:val="782352CE"/>
    <w:rsid w:val="785E0C86"/>
    <w:rsid w:val="786A5D9D"/>
    <w:rsid w:val="787F629A"/>
    <w:rsid w:val="78DC7260"/>
    <w:rsid w:val="7900411B"/>
    <w:rsid w:val="790D0E29"/>
    <w:rsid w:val="79395171"/>
    <w:rsid w:val="79B85C40"/>
    <w:rsid w:val="7A385137"/>
    <w:rsid w:val="7B4A194A"/>
    <w:rsid w:val="7B7E0491"/>
    <w:rsid w:val="7BBF3DB1"/>
    <w:rsid w:val="7D466F15"/>
    <w:rsid w:val="7D805BC0"/>
    <w:rsid w:val="7D9A0522"/>
    <w:rsid w:val="7FD3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42"/>
    <w:unhideWhenUsed/>
    <w:qFormat/>
    <w:uiPriority w:val="99"/>
    <w:pPr>
      <w:jc w:val="left"/>
    </w:pPr>
  </w:style>
  <w:style w:type="paragraph" w:styleId="7">
    <w:name w:val="Date"/>
    <w:basedOn w:val="1"/>
    <w:next w:val="1"/>
    <w:link w:val="44"/>
    <w:unhideWhenUsed/>
    <w:qFormat/>
    <w:uiPriority w:val="99"/>
    <w:pPr>
      <w:ind w:left="100" w:leftChars="2500"/>
    </w:pPr>
  </w:style>
  <w:style w:type="paragraph" w:styleId="8">
    <w:name w:val="Balloon Text"/>
    <w:basedOn w:val="1"/>
    <w:link w:val="45"/>
    <w:unhideWhenUsed/>
    <w:qFormat/>
    <w:uiPriority w:val="99"/>
    <w:rPr>
      <w:kern w:val="0"/>
      <w:sz w:val="18"/>
      <w:szCs w:val="18"/>
    </w:rPr>
  </w:style>
  <w:style w:type="paragraph" w:styleId="9">
    <w:name w:val="footer"/>
    <w:basedOn w:val="1"/>
    <w:link w:val="46"/>
    <w:unhideWhenUsed/>
    <w:qFormat/>
    <w:uiPriority w:val="99"/>
    <w:pPr>
      <w:tabs>
        <w:tab w:val="center" w:pos="4153"/>
        <w:tab w:val="right" w:pos="8306"/>
      </w:tabs>
      <w:snapToGrid w:val="0"/>
      <w:jc w:val="left"/>
    </w:pPr>
    <w:rPr>
      <w:kern w:val="0"/>
      <w:sz w:val="18"/>
      <w:szCs w:val="18"/>
    </w:rPr>
  </w:style>
  <w:style w:type="paragraph" w:styleId="1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正文文本 字符"/>
    <w:link w:val="2"/>
    <w:qFormat/>
    <w:uiPriority w:val="1"/>
    <w:rPr>
      <w:rFonts w:ascii="宋体" w:hAnsi="Times New Roman" w:eastAsia="宋体" w:cs="Times New Roman"/>
      <w:kern w:val="0"/>
      <w:sz w:val="20"/>
      <w:szCs w:val="21"/>
    </w:rPr>
  </w:style>
  <w:style w:type="character" w:customStyle="1" w:styleId="23">
    <w:name w:val="标题 1 字符"/>
    <w:link w:val="3"/>
    <w:qFormat/>
    <w:uiPriority w:val="1"/>
    <w:rPr>
      <w:rFonts w:ascii="黑体" w:hAnsi="Times New Roman" w:eastAsia="黑体" w:cs="Times New Roman"/>
      <w:b/>
      <w:bCs/>
      <w:kern w:val="0"/>
      <w:sz w:val="36"/>
      <w:szCs w:val="36"/>
    </w:rPr>
  </w:style>
  <w:style w:type="character" w:customStyle="1" w:styleId="24">
    <w:name w:val="标题 2 字符"/>
    <w:link w:val="4"/>
    <w:qFormat/>
    <w:uiPriority w:val="9"/>
    <w:rPr>
      <w:rFonts w:ascii="Cambria" w:hAnsi="Cambria" w:eastAsia="宋体" w:cs="Times New Roman"/>
      <w:b/>
      <w:bCs/>
      <w:kern w:val="0"/>
      <w:sz w:val="32"/>
      <w:szCs w:val="32"/>
    </w:rPr>
  </w:style>
  <w:style w:type="character" w:customStyle="1" w:styleId="25">
    <w:name w:val="标题 3 字符"/>
    <w:link w:val="5"/>
    <w:qFormat/>
    <w:uiPriority w:val="1"/>
    <w:rPr>
      <w:rFonts w:ascii="宋体" w:hAnsi="Times New Roman" w:eastAsia="宋体" w:cs="Times New Roman"/>
      <w:b/>
      <w:bCs/>
      <w:kern w:val="0"/>
      <w:sz w:val="20"/>
      <w:szCs w:val="21"/>
    </w:rPr>
  </w:style>
  <w:style w:type="character" w:customStyle="1" w:styleId="26">
    <w:name w:val="批注文字 字符"/>
    <w:link w:val="6"/>
    <w:qFormat/>
    <w:uiPriority w:val="99"/>
    <w:rPr>
      <w:rFonts w:ascii="Times New Roman" w:hAnsi="Times New Roman" w:eastAsia="宋体" w:cs="Times New Roman"/>
    </w:rPr>
  </w:style>
  <w:style w:type="character" w:customStyle="1" w:styleId="27">
    <w:name w:val="日期 字符"/>
    <w:basedOn w:val="17"/>
    <w:link w:val="7"/>
    <w:semiHidden/>
    <w:qFormat/>
    <w:uiPriority w:val="99"/>
    <w:rPr>
      <w:rFonts w:ascii="Times New Roman" w:hAnsi="Times New Roman" w:eastAsia="宋体" w:cs="Times New Roman"/>
    </w:rPr>
  </w:style>
  <w:style w:type="character" w:customStyle="1" w:styleId="28">
    <w:name w:val="批注框文本 字符"/>
    <w:link w:val="8"/>
    <w:semiHidden/>
    <w:qFormat/>
    <w:uiPriority w:val="99"/>
    <w:rPr>
      <w:rFonts w:ascii="Times New Roman" w:hAnsi="Times New Roman" w:eastAsia="宋体" w:cs="Times New Roman"/>
      <w:kern w:val="0"/>
      <w:sz w:val="18"/>
      <w:szCs w:val="18"/>
    </w:rPr>
  </w:style>
  <w:style w:type="character" w:customStyle="1" w:styleId="29">
    <w:name w:val="页脚 字符"/>
    <w:link w:val="9"/>
    <w:qFormat/>
    <w:uiPriority w:val="99"/>
    <w:rPr>
      <w:rFonts w:ascii="Times New Roman" w:hAnsi="Times New Roman" w:eastAsia="宋体" w:cs="Times New Roman"/>
      <w:kern w:val="0"/>
      <w:sz w:val="18"/>
      <w:szCs w:val="18"/>
    </w:rPr>
  </w:style>
  <w:style w:type="character" w:customStyle="1" w:styleId="30">
    <w:name w:val="页眉 字符"/>
    <w:link w:val="10"/>
    <w:qFormat/>
    <w:uiPriority w:val="99"/>
    <w:rPr>
      <w:rFonts w:ascii="Times New Roman" w:hAnsi="Times New Roman" w:eastAsia="宋体" w:cs="Times New Roman"/>
      <w:kern w:val="0"/>
      <w:sz w:val="18"/>
      <w:szCs w:val="18"/>
    </w:rPr>
  </w:style>
  <w:style w:type="character" w:customStyle="1" w:styleId="31">
    <w:name w:val="脚注文本 字符1"/>
    <w:link w:val="11"/>
    <w:qFormat/>
    <w:uiPriority w:val="99"/>
    <w:rPr>
      <w:rFonts w:ascii="Times New Roman" w:hAnsi="Times New Roman" w:eastAsia="宋体" w:cs="Times New Roman"/>
      <w:sz w:val="18"/>
      <w:szCs w:val="18"/>
    </w:rPr>
  </w:style>
  <w:style w:type="character" w:customStyle="1" w:styleId="32">
    <w:name w:val="批注主题 字符"/>
    <w:link w:val="14"/>
    <w:semiHidden/>
    <w:qFormat/>
    <w:uiPriority w:val="99"/>
    <w:rPr>
      <w:rFonts w:ascii="Times New Roman" w:hAnsi="Times New Roman" w:eastAsia="宋体" w:cs="Times New Roman"/>
      <w:b/>
      <w:bCs/>
    </w:rPr>
  </w:style>
  <w:style w:type="character" w:customStyle="1" w:styleId="33">
    <w:name w:val="脚注文本 字符"/>
    <w:semiHidden/>
    <w:qFormat/>
    <w:uiPriority w:val="99"/>
    <w:rPr>
      <w:rFonts w:ascii="Times New Roman" w:hAnsi="Times New Roman" w:eastAsia="宋体" w:cs="Times New Roman"/>
      <w:kern w:val="2"/>
      <w:sz w:val="18"/>
      <w:szCs w:val="18"/>
    </w:rPr>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35">
    <w:name w:val="List Paragraph"/>
    <w:basedOn w:val="1"/>
    <w:qFormat/>
    <w:uiPriority w:val="72"/>
    <w:pPr>
      <w:ind w:firstLine="420" w:firstLineChars="200"/>
    </w:p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7">
    <w:name w:val="_Style 35"/>
    <w:semiHidden/>
    <w:qFormat/>
    <w:uiPriority w:val="99"/>
    <w:rPr>
      <w:rFonts w:ascii="Times New Roman" w:hAnsi="Times New Roman" w:eastAsia="宋体" w:cs="Times New Roman"/>
      <w:kern w:val="2"/>
      <w:sz w:val="21"/>
      <w:szCs w:val="22"/>
      <w:lang w:val="en-US" w:eastAsia="zh-CN" w:bidi="ar-SA"/>
    </w:rPr>
  </w:style>
  <w:style w:type="paragraph" w:customStyle="1" w:styleId="38">
    <w:name w:val="_Style 33"/>
    <w:semiHidden/>
    <w:qFormat/>
    <w:uiPriority w:val="99"/>
    <w:rPr>
      <w:rFonts w:ascii="Times New Roman" w:hAnsi="Times New Roman" w:eastAsia="宋体" w:cs="Times New Roman"/>
      <w:kern w:val="2"/>
      <w:sz w:val="21"/>
      <w:szCs w:val="22"/>
      <w:lang w:val="en-US" w:eastAsia="zh-CN" w:bidi="ar-SA"/>
    </w:rPr>
  </w:style>
  <w:style w:type="character" w:customStyle="1" w:styleId="39">
    <w:name w:val="标题 1 Char"/>
    <w:link w:val="3"/>
    <w:qFormat/>
    <w:uiPriority w:val="1"/>
    <w:rPr>
      <w:rFonts w:ascii="黑体" w:hAnsi="Times New Roman" w:eastAsia="黑体" w:cs="黑体"/>
      <w:b/>
      <w:bCs/>
      <w:kern w:val="0"/>
      <w:sz w:val="36"/>
      <w:szCs w:val="36"/>
    </w:rPr>
  </w:style>
  <w:style w:type="character" w:customStyle="1" w:styleId="40">
    <w:name w:val="标题 2 Char"/>
    <w:link w:val="4"/>
    <w:qFormat/>
    <w:uiPriority w:val="9"/>
    <w:rPr>
      <w:rFonts w:ascii="Cambria" w:hAnsi="Cambria" w:eastAsia="宋体" w:cs="Times New Roman"/>
      <w:b/>
      <w:bCs/>
      <w:sz w:val="32"/>
      <w:szCs w:val="32"/>
    </w:rPr>
  </w:style>
  <w:style w:type="character" w:customStyle="1" w:styleId="41">
    <w:name w:val="标题 3 Char"/>
    <w:link w:val="5"/>
    <w:qFormat/>
    <w:uiPriority w:val="1"/>
    <w:rPr>
      <w:rFonts w:ascii="宋体" w:hAnsi="Times New Roman" w:eastAsia="宋体" w:cs="宋体"/>
      <w:b/>
      <w:bCs/>
      <w:kern w:val="0"/>
      <w:szCs w:val="21"/>
    </w:rPr>
  </w:style>
  <w:style w:type="character" w:customStyle="1" w:styleId="42">
    <w:name w:val="批注文字 Char"/>
    <w:link w:val="6"/>
    <w:qFormat/>
    <w:uiPriority w:val="99"/>
    <w:rPr>
      <w:rFonts w:ascii="Times New Roman" w:hAnsi="Times New Roman" w:eastAsia="宋体" w:cs="Times New Roman"/>
      <w:kern w:val="2"/>
      <w:sz w:val="21"/>
      <w:szCs w:val="22"/>
    </w:rPr>
  </w:style>
  <w:style w:type="character" w:customStyle="1" w:styleId="43">
    <w:name w:val="正文文本 Char"/>
    <w:link w:val="2"/>
    <w:qFormat/>
    <w:uiPriority w:val="1"/>
    <w:rPr>
      <w:rFonts w:ascii="宋体" w:hAnsi="Times New Roman" w:eastAsia="宋体" w:cs="宋体"/>
      <w:kern w:val="0"/>
      <w:szCs w:val="21"/>
    </w:rPr>
  </w:style>
  <w:style w:type="character" w:customStyle="1" w:styleId="44">
    <w:name w:val="日期 Char"/>
    <w:basedOn w:val="17"/>
    <w:link w:val="7"/>
    <w:semiHidden/>
    <w:qFormat/>
    <w:uiPriority w:val="99"/>
    <w:rPr>
      <w:rFonts w:ascii="Times New Roman" w:hAnsi="Times New Roman" w:eastAsia="宋体" w:cs="Times New Roman"/>
    </w:rPr>
  </w:style>
  <w:style w:type="character" w:customStyle="1" w:styleId="45">
    <w:name w:val="批注框文本 Char"/>
    <w:link w:val="8"/>
    <w:semiHidden/>
    <w:qFormat/>
    <w:uiPriority w:val="99"/>
    <w:rPr>
      <w:rFonts w:ascii="Times New Roman" w:hAnsi="Times New Roman" w:eastAsia="宋体" w:cs="Times New Roman"/>
      <w:sz w:val="18"/>
      <w:szCs w:val="18"/>
    </w:rPr>
  </w:style>
  <w:style w:type="character" w:customStyle="1" w:styleId="46">
    <w:name w:val="页脚 Char"/>
    <w:link w:val="9"/>
    <w:qFormat/>
    <w:uiPriority w:val="99"/>
    <w:rPr>
      <w:rFonts w:ascii="Times New Roman" w:hAnsi="Times New Roman" w:eastAsia="宋体" w:cs="Times New Roman"/>
      <w:sz w:val="18"/>
      <w:szCs w:val="18"/>
    </w:rPr>
  </w:style>
  <w:style w:type="character" w:customStyle="1" w:styleId="47">
    <w:name w:val="页眉 Char"/>
    <w:link w:val="10"/>
    <w:qFormat/>
    <w:uiPriority w:val="99"/>
    <w:rPr>
      <w:rFonts w:ascii="Times New Roman" w:hAnsi="Times New Roman" w:eastAsia="宋体" w:cs="Times New Roman"/>
      <w:sz w:val="18"/>
      <w:szCs w:val="18"/>
    </w:rPr>
  </w:style>
  <w:style w:type="character" w:customStyle="1" w:styleId="48">
    <w:name w:val="批注主题 Char"/>
    <w:link w:val="14"/>
    <w:semiHidden/>
    <w:qFormat/>
    <w:uiPriority w:val="99"/>
    <w:rPr>
      <w:rFonts w:ascii="Times New Roman" w:hAnsi="Times New Roman" w:eastAsia="宋体" w:cs="Times New Roman"/>
      <w:b/>
      <w:bCs/>
      <w:kern w:val="2"/>
      <w:sz w:val="21"/>
      <w:szCs w:val="22"/>
    </w:rPr>
  </w:style>
  <w:style w:type="paragraph" w:customStyle="1" w:styleId="49">
    <w:name w:val="_Style 27"/>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21797</Words>
  <Characters>23066</Characters>
  <Lines>37</Lines>
  <Paragraphs>10</Paragraphs>
  <TotalTime>5</TotalTime>
  <ScaleCrop>false</ScaleCrop>
  <LinksUpToDate>false</LinksUpToDate>
  <CharactersWithSpaces>23116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2021-07-01T12:12:00Z</cp:lastPrinted>
  <dcterms:modified xsi:type="dcterms:W3CDTF">2025-08-19T03:46:28Z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57DE483545F742868D80F7217A5BA398</vt:lpwstr>
  </property>
</Properties>
</file>