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915"/>
          <w:tab w:val="center" w:pos="5273"/>
        </w:tabs>
        <w:spacing w:before="50"/>
        <w:jc w:val="center"/>
        <w:rPr>
          <w:rFonts w:hint="eastAsia" w:ascii="黑体" w:eastAsia="黑体"/>
          <w:b/>
          <w:bCs/>
          <w:color w:val="000000"/>
          <w:sz w:val="30"/>
          <w:szCs w:val="30"/>
          <w:highlight w:val="none"/>
          <w:lang w:eastAsia="zh-CN"/>
        </w:rPr>
      </w:pPr>
      <w:r>
        <w:rPr>
          <w:rFonts w:hint="eastAsia" w:ascii="黑体" w:eastAsia="黑体"/>
          <w:b/>
          <w:bCs/>
          <w:color w:val="000000"/>
          <w:sz w:val="30"/>
          <w:szCs w:val="30"/>
          <w:highlight w:val="none"/>
          <w:lang w:eastAsia="zh-CN"/>
        </w:rPr>
        <w:t>北银理财丰收系列京华远见春系列</w:t>
      </w:r>
    </w:p>
    <w:p>
      <w:pPr>
        <w:tabs>
          <w:tab w:val="left" w:pos="915"/>
          <w:tab w:val="center" w:pos="5273"/>
        </w:tabs>
        <w:spacing w:before="50"/>
        <w:jc w:val="center"/>
        <w:rPr>
          <w:rFonts w:hint="eastAsia" w:ascii="黑体" w:eastAsia="黑体"/>
          <w:b/>
          <w:bCs/>
          <w:color w:val="000000"/>
          <w:sz w:val="30"/>
          <w:szCs w:val="30"/>
          <w:highlight w:val="none"/>
          <w:lang w:eastAsia="zh-CN"/>
        </w:rPr>
      </w:pPr>
      <w:r>
        <w:rPr>
          <w:rFonts w:hint="eastAsia" w:ascii="黑体" w:eastAsia="黑体"/>
          <w:b/>
          <w:bCs/>
          <w:color w:val="000000"/>
          <w:sz w:val="30"/>
          <w:szCs w:val="30"/>
          <w:highlight w:val="none"/>
          <w:lang w:val="en-US" w:eastAsia="zh-CN"/>
        </w:rPr>
        <w:t>诚享</w:t>
      </w:r>
      <w:permStart w:id="0" w:edGrp="everyone"/>
      <w:r>
        <w:rPr>
          <w:rFonts w:hint="eastAsia" w:ascii="黑体" w:eastAsia="黑体"/>
          <w:b/>
          <w:bCs/>
          <w:color w:val="000000"/>
          <w:sz w:val="30"/>
          <w:szCs w:val="30"/>
          <w:highlight w:val="none"/>
          <w:lang w:val="en-US" w:eastAsia="zh-CN"/>
        </w:rPr>
        <w:t>7</w:t>
      </w:r>
      <w:permEnd w:id="0"/>
      <w:r>
        <w:rPr>
          <w:rFonts w:hint="eastAsia" w:ascii="黑体" w:eastAsia="黑体"/>
          <w:b/>
          <w:bCs/>
          <w:color w:val="000000"/>
          <w:sz w:val="30"/>
          <w:szCs w:val="30"/>
          <w:highlight w:val="none"/>
          <w:lang w:eastAsia="zh-CN"/>
        </w:rPr>
        <w:t>天持有期</w:t>
      </w:r>
      <w:permStart w:id="1" w:edGrp="everyone"/>
      <w:r>
        <w:rPr>
          <w:rFonts w:hint="eastAsia" w:ascii="黑体" w:eastAsia="黑体"/>
          <w:b/>
          <w:bCs/>
          <w:color w:val="000000"/>
          <w:sz w:val="30"/>
          <w:szCs w:val="30"/>
          <w:highlight w:val="none"/>
          <w:lang w:val="en-US" w:eastAsia="zh-CN"/>
        </w:rPr>
        <w:t>1</w:t>
      </w:r>
      <w:permEnd w:id="1"/>
      <w:r>
        <w:rPr>
          <w:rFonts w:hint="eastAsia" w:ascii="黑体" w:eastAsia="黑体"/>
          <w:b/>
          <w:bCs/>
          <w:color w:val="000000"/>
          <w:sz w:val="30"/>
          <w:szCs w:val="30"/>
          <w:highlight w:val="none"/>
          <w:lang w:eastAsia="zh-CN"/>
        </w:rPr>
        <w:t>号理财产品</w:t>
      </w:r>
    </w:p>
    <w:p>
      <w:pPr>
        <w:tabs>
          <w:tab w:val="left" w:pos="915"/>
          <w:tab w:val="center" w:pos="5273"/>
        </w:tabs>
        <w:spacing w:before="50"/>
        <w:jc w:val="center"/>
        <w:rPr>
          <w:rFonts w:ascii="黑体" w:eastAsia="黑体"/>
          <w:b/>
          <w:bCs/>
          <w:color w:val="000000"/>
          <w:sz w:val="30"/>
          <w:szCs w:val="30"/>
          <w:highlight w:val="none"/>
        </w:rPr>
      </w:pPr>
      <w:r>
        <w:rPr>
          <w:rFonts w:hint="eastAsia" w:ascii="黑体" w:eastAsia="黑体"/>
          <w:b/>
          <w:bCs/>
          <w:color w:val="000000"/>
          <w:sz w:val="30"/>
          <w:szCs w:val="30"/>
          <w:highlight w:val="none"/>
          <w:lang w:val="en-US" w:eastAsia="zh-CN"/>
        </w:rPr>
        <w:t>理财</w:t>
      </w:r>
      <w:r>
        <w:rPr>
          <w:rFonts w:hint="eastAsia" w:ascii="黑体" w:eastAsia="黑体"/>
          <w:b/>
          <w:bCs/>
          <w:color w:val="000000"/>
          <w:sz w:val="30"/>
          <w:szCs w:val="30"/>
          <w:highlight w:val="none"/>
        </w:rPr>
        <w:t>产品</w:t>
      </w:r>
      <w:r>
        <w:rPr>
          <w:rFonts w:ascii="黑体" w:eastAsia="黑体"/>
          <w:b/>
          <w:bCs/>
          <w:color w:val="000000"/>
          <w:sz w:val="30"/>
          <w:szCs w:val="30"/>
          <w:highlight w:val="none"/>
        </w:rPr>
        <w:t>说明书</w:t>
      </w:r>
    </w:p>
    <w:p>
      <w:pPr>
        <w:pStyle w:val="3"/>
        <w:ind w:leftChars="0"/>
        <w:rPr>
          <w:rFonts w:ascii="楷体_GB2312" w:eastAsia="楷体_GB2312"/>
          <w:b/>
          <w:color w:val="000000"/>
          <w:sz w:val="24"/>
          <w:szCs w:val="24"/>
          <w:highlight w:val="none"/>
        </w:rPr>
      </w:pPr>
      <w:r>
        <w:rPr>
          <w:rFonts w:hint="eastAsia" w:ascii="楷体_GB2312" w:eastAsia="楷体_GB2312"/>
          <w:b/>
          <w:color w:val="000000"/>
          <w:sz w:val="24"/>
          <w:szCs w:val="24"/>
          <w:highlight w:val="none"/>
        </w:rPr>
        <w:t>★一、重要须知</w:t>
      </w:r>
    </w:p>
    <w:p>
      <w:pPr>
        <w:ind w:firstLine="482" w:firstLineChars="200"/>
        <w:rPr>
          <w:rFonts w:hint="eastAsia" w:ascii="楷体_GB2312" w:hAnsi="楷体" w:eastAsia="楷体_GB2312" w:cs="Times New Roman"/>
          <w:b/>
          <w:bCs/>
          <w:color w:val="auto"/>
          <w:sz w:val="24"/>
          <w:highlight w:val="none"/>
          <w:lang w:eastAsia="zh-CN"/>
        </w:rPr>
      </w:pPr>
      <w:r>
        <w:rPr>
          <w:rFonts w:ascii="楷体_GB2312" w:hAnsi="楷体" w:eastAsia="楷体_GB2312" w:cs="Times New Roman"/>
          <w:b/>
          <w:bCs/>
          <w:color w:val="auto"/>
          <w:sz w:val="24"/>
          <w:highlight w:val="none"/>
        </w:rPr>
        <w:t>本</w:t>
      </w:r>
      <w:r>
        <w:rPr>
          <w:rFonts w:hint="eastAsia" w:ascii="楷体_GB2312" w:hAnsi="楷体" w:eastAsia="楷体_GB2312" w:cs="Times New Roman"/>
          <w:b/>
          <w:bCs/>
          <w:color w:val="auto"/>
          <w:sz w:val="24"/>
          <w:highlight w:val="none"/>
          <w:lang w:val="en-US" w:eastAsia="zh-CN"/>
        </w:rPr>
        <w:t>理财产品</w:t>
      </w:r>
      <w:r>
        <w:rPr>
          <w:rFonts w:hint="eastAsia" w:ascii="楷体_GB2312" w:hAnsi="楷体" w:eastAsia="楷体_GB2312" w:cs="Times New Roman"/>
          <w:b/>
          <w:bCs/>
          <w:color w:val="auto"/>
          <w:sz w:val="24"/>
          <w:highlight w:val="none"/>
        </w:rPr>
        <w:t>销售文件</w:t>
      </w:r>
      <w:r>
        <w:rPr>
          <w:rFonts w:hint="eastAsia" w:ascii="楷体_GB2312" w:hAnsi="楷体" w:eastAsia="楷体_GB2312" w:cs="Times New Roman"/>
          <w:b/>
          <w:bCs/>
          <w:color w:val="auto"/>
          <w:sz w:val="24"/>
          <w:highlight w:val="none"/>
          <w:lang w:val="en-US" w:eastAsia="zh-CN"/>
        </w:rPr>
        <w:t>包括《</w:t>
      </w:r>
      <w:r>
        <w:rPr>
          <w:rFonts w:hint="eastAsia" w:ascii="楷体_GB2312" w:hAnsi="楷体" w:eastAsia="楷体_GB2312" w:cs="Times New Roman"/>
          <w:b/>
          <w:bCs/>
          <w:color w:val="auto"/>
          <w:sz w:val="24"/>
          <w:highlight w:val="none"/>
        </w:rPr>
        <w:t>理财产品投资协议书</w:t>
      </w:r>
      <w:r>
        <w:rPr>
          <w:rFonts w:hint="eastAsia" w:ascii="楷体_GB2312" w:hAnsi="楷体" w:eastAsia="楷体_GB2312" w:cs="Times New Roman"/>
          <w:b/>
          <w:bCs/>
          <w:color w:val="auto"/>
          <w:sz w:val="24"/>
          <w:highlight w:val="none"/>
          <w:lang w:eastAsia="zh-CN"/>
        </w:rPr>
        <w:t>》</w:t>
      </w:r>
      <w:r>
        <w:rPr>
          <w:rFonts w:hint="eastAsia" w:ascii="楷体_GB2312" w:hAnsi="楷体" w:eastAsia="楷体_GB2312" w:cs="Times New Roman"/>
          <w:b/>
          <w:bCs/>
          <w:color w:val="auto"/>
          <w:sz w:val="24"/>
          <w:highlight w:val="none"/>
        </w:rPr>
        <w:t>、</w:t>
      </w:r>
      <w:r>
        <w:rPr>
          <w:rFonts w:hint="eastAsia" w:ascii="楷体_GB2312" w:hAnsi="楷体" w:eastAsia="楷体_GB2312" w:cs="Times New Roman"/>
          <w:b/>
          <w:bCs/>
          <w:color w:val="auto"/>
          <w:sz w:val="24"/>
          <w:highlight w:val="none"/>
          <w:lang w:eastAsia="zh-CN"/>
        </w:rPr>
        <w:t>《</w:t>
      </w:r>
      <w:r>
        <w:rPr>
          <w:rFonts w:hint="eastAsia" w:ascii="楷体_GB2312" w:hAnsi="楷体" w:eastAsia="楷体_GB2312" w:cs="Times New Roman"/>
          <w:b/>
          <w:bCs/>
          <w:color w:val="auto"/>
          <w:sz w:val="24"/>
          <w:highlight w:val="none"/>
        </w:rPr>
        <w:t>理财产品说明书</w:t>
      </w:r>
      <w:r>
        <w:rPr>
          <w:rFonts w:hint="eastAsia" w:ascii="楷体_GB2312" w:hAnsi="楷体" w:eastAsia="楷体_GB2312" w:cs="Times New Roman"/>
          <w:b/>
          <w:bCs/>
          <w:color w:val="auto"/>
          <w:sz w:val="24"/>
          <w:highlight w:val="none"/>
          <w:lang w:eastAsia="zh-CN"/>
        </w:rPr>
        <w:t>》、《</w:t>
      </w:r>
      <w:r>
        <w:rPr>
          <w:rFonts w:hint="eastAsia" w:ascii="楷体_GB2312" w:hAnsi="楷体" w:eastAsia="楷体_GB2312" w:cs="Times New Roman"/>
          <w:b/>
          <w:bCs/>
          <w:color w:val="auto"/>
          <w:sz w:val="24"/>
          <w:highlight w:val="none"/>
        </w:rPr>
        <w:t>风险揭示书</w:t>
      </w:r>
      <w:r>
        <w:rPr>
          <w:rFonts w:hint="eastAsia" w:ascii="楷体_GB2312" w:hAnsi="楷体" w:eastAsia="楷体_GB2312" w:cs="Times New Roman"/>
          <w:b/>
          <w:bCs/>
          <w:color w:val="auto"/>
          <w:sz w:val="24"/>
          <w:highlight w:val="none"/>
          <w:lang w:eastAsia="zh-CN"/>
        </w:rPr>
        <w:t>》</w:t>
      </w:r>
      <w:r>
        <w:rPr>
          <w:rFonts w:hint="eastAsia" w:ascii="楷体_GB2312" w:hAnsi="楷体" w:eastAsia="楷体_GB2312" w:cs="Times New Roman"/>
          <w:b/>
          <w:bCs/>
          <w:color w:val="auto"/>
          <w:sz w:val="24"/>
          <w:highlight w:val="none"/>
          <w:lang w:val="en-US" w:eastAsia="zh-CN"/>
        </w:rPr>
        <w:t>、《</w:t>
      </w:r>
      <w:r>
        <w:rPr>
          <w:rFonts w:hint="eastAsia" w:ascii="楷体_GB2312" w:hAnsi="楷体" w:eastAsia="楷体_GB2312" w:cs="Times New Roman"/>
          <w:b/>
          <w:bCs/>
          <w:color w:val="auto"/>
          <w:sz w:val="24"/>
          <w:highlight w:val="none"/>
        </w:rPr>
        <w:t>投资者权益须知</w:t>
      </w:r>
      <w:r>
        <w:rPr>
          <w:rFonts w:hint="eastAsia" w:ascii="楷体_GB2312" w:hAnsi="楷体" w:eastAsia="楷体_GB2312" w:cs="Times New Roman"/>
          <w:b/>
          <w:bCs/>
          <w:color w:val="auto"/>
          <w:sz w:val="24"/>
          <w:highlight w:val="none"/>
          <w:lang w:eastAsia="zh-CN"/>
        </w:rPr>
        <w:t>》</w:t>
      </w:r>
      <w:r>
        <w:rPr>
          <w:rFonts w:hint="eastAsia" w:ascii="楷体_GB2312" w:hAnsi="楷体" w:eastAsia="楷体_GB2312" w:cs="Times New Roman"/>
          <w:b/>
          <w:bCs/>
          <w:color w:val="auto"/>
          <w:sz w:val="24"/>
          <w:highlight w:val="none"/>
          <w:lang w:val="en-US" w:eastAsia="zh-CN"/>
        </w:rPr>
        <w:t>和《代理销售</w:t>
      </w:r>
      <w:r>
        <w:rPr>
          <w:rFonts w:hint="eastAsia" w:ascii="楷体_GB2312" w:hAnsi="楷体" w:eastAsia="楷体_GB2312" w:cs="Times New Roman"/>
          <w:b/>
          <w:bCs/>
          <w:color w:val="auto"/>
          <w:sz w:val="24"/>
          <w:highlight w:val="none"/>
        </w:rPr>
        <w:t>协议书</w:t>
      </w:r>
      <w:r>
        <w:rPr>
          <w:rFonts w:hint="eastAsia" w:ascii="楷体_GB2312" w:hAnsi="楷体" w:eastAsia="楷体_GB2312" w:cs="Times New Roman"/>
          <w:b/>
          <w:bCs/>
          <w:color w:val="auto"/>
          <w:sz w:val="24"/>
          <w:highlight w:val="none"/>
          <w:lang w:eastAsia="zh-CN"/>
        </w:rPr>
        <w:t>》（</w:t>
      </w:r>
      <w:r>
        <w:rPr>
          <w:rFonts w:hint="eastAsia" w:ascii="楷体_GB2312" w:hAnsi="楷体" w:eastAsia="楷体_GB2312" w:cs="Times New Roman"/>
          <w:b/>
          <w:bCs/>
          <w:color w:val="auto"/>
          <w:sz w:val="24"/>
          <w:highlight w:val="none"/>
          <w:lang w:val="en-US" w:eastAsia="zh-CN"/>
        </w:rPr>
        <w:t>具体名称以代销机构为准</w:t>
      </w:r>
      <w:r>
        <w:rPr>
          <w:rFonts w:hint="eastAsia" w:ascii="楷体_GB2312" w:hAnsi="楷体" w:eastAsia="楷体_GB2312" w:cs="Times New Roman"/>
          <w:b/>
          <w:bCs/>
          <w:color w:val="auto"/>
          <w:sz w:val="24"/>
          <w:highlight w:val="none"/>
          <w:lang w:eastAsia="zh-CN"/>
        </w:rPr>
        <w:t>）。</w:t>
      </w:r>
      <w:r>
        <w:rPr>
          <w:rFonts w:ascii="楷体_GB2312" w:hAnsi="楷体" w:eastAsia="楷体_GB2312" w:cs="Times New Roman"/>
          <w:b/>
          <w:bCs/>
          <w:color w:val="auto"/>
          <w:sz w:val="24"/>
          <w:highlight w:val="none"/>
        </w:rPr>
        <w:t>在选择购买</w:t>
      </w:r>
      <w:r>
        <w:rPr>
          <w:rFonts w:hint="eastAsia" w:ascii="楷体_GB2312" w:hAnsi="楷体" w:eastAsia="楷体_GB2312" w:cs="Times New Roman"/>
          <w:b/>
          <w:bCs/>
          <w:color w:val="auto"/>
          <w:sz w:val="24"/>
          <w:highlight w:val="none"/>
          <w:lang w:val="en-US" w:eastAsia="zh-CN"/>
        </w:rPr>
        <w:t>本</w:t>
      </w:r>
      <w:r>
        <w:rPr>
          <w:rFonts w:ascii="楷体_GB2312" w:hAnsi="楷体" w:eastAsia="楷体_GB2312" w:cs="Times New Roman"/>
          <w:b/>
          <w:bCs/>
          <w:color w:val="auto"/>
          <w:sz w:val="24"/>
          <w:highlight w:val="none"/>
        </w:rPr>
        <w:t>理财产品前，请注意投资风险，仔细阅读本</w:t>
      </w:r>
      <w:r>
        <w:rPr>
          <w:rFonts w:hint="eastAsia" w:ascii="楷体_GB2312" w:hAnsi="楷体" w:eastAsia="楷体_GB2312" w:cs="Times New Roman"/>
          <w:b/>
          <w:bCs/>
          <w:color w:val="auto"/>
          <w:sz w:val="24"/>
          <w:highlight w:val="none"/>
          <w:lang w:val="en-US" w:eastAsia="zh-CN"/>
        </w:rPr>
        <w:t>理财产品</w:t>
      </w:r>
      <w:r>
        <w:rPr>
          <w:rFonts w:hint="eastAsia" w:ascii="楷体_GB2312" w:hAnsi="楷体" w:eastAsia="楷体_GB2312" w:cs="Times New Roman"/>
          <w:b/>
          <w:bCs/>
          <w:color w:val="auto"/>
          <w:sz w:val="24"/>
          <w:highlight w:val="none"/>
        </w:rPr>
        <w:t>销售文件</w:t>
      </w:r>
      <w:r>
        <w:rPr>
          <w:rFonts w:hint="eastAsia" w:ascii="楷体_GB2312" w:hAnsi="楷体" w:eastAsia="楷体_GB2312" w:cs="Times New Roman"/>
          <w:b/>
          <w:bCs/>
          <w:color w:val="auto"/>
          <w:sz w:val="24"/>
          <w:highlight w:val="none"/>
          <w:lang w:eastAsia="zh-CN"/>
        </w:rPr>
        <w:t>，</w:t>
      </w:r>
      <w:r>
        <w:rPr>
          <w:rFonts w:hint="eastAsia" w:ascii="楷体_GB2312" w:hAnsi="楷体" w:eastAsia="楷体_GB2312" w:cs="Times New Roman"/>
          <w:b/>
          <w:bCs/>
          <w:color w:val="auto"/>
          <w:sz w:val="24"/>
          <w:highlight w:val="none"/>
        </w:rPr>
        <w:t>特别是加黑及加“★”标识、以及有关责任或权利限制的条款</w:t>
      </w:r>
      <w:r>
        <w:rPr>
          <w:rFonts w:hint="eastAsia" w:ascii="楷体_GB2312" w:hAnsi="楷体" w:eastAsia="楷体_GB2312" w:cs="Times New Roman"/>
          <w:b/>
          <w:bCs/>
          <w:color w:val="auto"/>
          <w:sz w:val="24"/>
          <w:highlight w:val="none"/>
          <w:lang w:eastAsia="zh-CN"/>
        </w:rPr>
        <w:t>，</w:t>
      </w:r>
      <w:r>
        <w:rPr>
          <w:rFonts w:ascii="楷体_GB2312" w:hAnsi="宋体" w:eastAsia="楷体_GB2312"/>
          <w:b/>
          <w:bCs/>
          <w:color w:val="000000"/>
          <w:sz w:val="24"/>
          <w:highlight w:val="none"/>
        </w:rPr>
        <w:t>投资者若对本</w:t>
      </w:r>
      <w:r>
        <w:rPr>
          <w:rFonts w:hint="eastAsia" w:ascii="楷体_GB2312" w:hAnsi="宋体" w:eastAsia="楷体_GB2312"/>
          <w:b/>
          <w:bCs/>
          <w:color w:val="000000"/>
          <w:sz w:val="24"/>
          <w:highlight w:val="none"/>
        </w:rPr>
        <w:t>理财产品销售文件</w:t>
      </w:r>
      <w:r>
        <w:rPr>
          <w:rFonts w:ascii="楷体_GB2312" w:hAnsi="宋体" w:eastAsia="楷体_GB2312"/>
          <w:b/>
          <w:bCs/>
          <w:color w:val="000000"/>
          <w:sz w:val="24"/>
          <w:highlight w:val="none"/>
        </w:rPr>
        <w:t>的内容有任何疑问，请向</w:t>
      </w:r>
      <w:r>
        <w:rPr>
          <w:rFonts w:hint="eastAsia" w:ascii="楷体_GB2312" w:hAnsi="宋体" w:eastAsia="楷体_GB2312"/>
          <w:b/>
          <w:bCs/>
          <w:color w:val="000000"/>
          <w:sz w:val="24"/>
          <w:highlight w:val="none"/>
          <w:lang w:eastAsia="zh-CN"/>
        </w:rPr>
        <w:t>产品管理人</w:t>
      </w:r>
      <w:r>
        <w:rPr>
          <w:rFonts w:ascii="楷体_GB2312" w:hAnsi="宋体" w:eastAsia="楷体_GB2312"/>
          <w:b/>
          <w:bCs/>
          <w:color w:val="000000"/>
          <w:sz w:val="24"/>
          <w:highlight w:val="none"/>
        </w:rPr>
        <w:t>或向</w:t>
      </w:r>
      <w:r>
        <w:rPr>
          <w:rFonts w:hint="eastAsia" w:ascii="楷体_GB2312" w:hAnsi="楷体" w:eastAsia="楷体_GB2312"/>
          <w:b/>
          <w:bCs/>
          <w:sz w:val="24"/>
          <w:highlight w:val="none"/>
        </w:rPr>
        <w:t>代理销售机构</w:t>
      </w:r>
      <w:r>
        <w:rPr>
          <w:rFonts w:ascii="楷体_GB2312" w:hAnsi="宋体" w:eastAsia="楷体_GB2312"/>
          <w:b/>
          <w:bCs/>
          <w:color w:val="000000"/>
          <w:sz w:val="24"/>
          <w:highlight w:val="none"/>
        </w:rPr>
        <w:t>各营业网点咨询。</w:t>
      </w:r>
    </w:p>
    <w:p>
      <w:pPr>
        <w:ind w:firstLine="480" w:firstLineChars="200"/>
        <w:rPr>
          <w:rFonts w:hint="eastAsia" w:eastAsia="楷体_GB2312"/>
          <w:highlight w:val="none"/>
          <w:lang w:eastAsia="zh-CN"/>
        </w:rPr>
      </w:pPr>
      <w:r>
        <w:rPr>
          <w:rFonts w:ascii="楷体_GB2312" w:hAnsi="宋体" w:eastAsia="楷体_GB2312"/>
          <w:color w:val="000000"/>
          <w:sz w:val="24"/>
          <w:highlight w:val="none"/>
        </w:rPr>
        <w:t>本理财产品只根据</w:t>
      </w:r>
      <w:r>
        <w:rPr>
          <w:rFonts w:ascii="楷体_GB2312" w:hAnsi="楷体" w:eastAsia="楷体_GB2312" w:cs="Times New Roman"/>
          <w:b w:val="0"/>
          <w:bCs w:val="0"/>
          <w:color w:val="auto"/>
          <w:sz w:val="24"/>
          <w:highlight w:val="none"/>
        </w:rPr>
        <w:t>本</w:t>
      </w:r>
      <w:r>
        <w:rPr>
          <w:rFonts w:hint="eastAsia" w:ascii="楷体_GB2312" w:hAnsi="楷体" w:eastAsia="楷体_GB2312" w:cs="Times New Roman"/>
          <w:b w:val="0"/>
          <w:bCs w:val="0"/>
          <w:color w:val="auto"/>
          <w:sz w:val="24"/>
          <w:highlight w:val="none"/>
          <w:lang w:val="en-US" w:eastAsia="zh-CN"/>
        </w:rPr>
        <w:t>理财产品</w:t>
      </w:r>
      <w:r>
        <w:rPr>
          <w:rFonts w:hint="eastAsia" w:ascii="楷体_GB2312" w:hAnsi="楷体" w:eastAsia="楷体_GB2312" w:cs="Times New Roman"/>
          <w:b w:val="0"/>
          <w:bCs w:val="0"/>
          <w:color w:val="auto"/>
          <w:sz w:val="24"/>
          <w:highlight w:val="none"/>
        </w:rPr>
        <w:t>销售文件</w:t>
      </w:r>
      <w:r>
        <w:rPr>
          <w:rFonts w:ascii="楷体_GB2312" w:hAnsi="宋体" w:eastAsia="楷体_GB2312"/>
          <w:color w:val="000000"/>
          <w:sz w:val="24"/>
          <w:highlight w:val="none"/>
        </w:rPr>
        <w:t>所载的资料操作。</w:t>
      </w:r>
      <w:r>
        <w:rPr>
          <w:rFonts w:hint="eastAsia" w:ascii="楷体_GB2312" w:hAnsi="宋体" w:eastAsia="楷体_GB2312"/>
          <w:color w:val="000000"/>
          <w:sz w:val="24"/>
          <w:highlight w:val="none"/>
          <w:lang w:val="en-US" w:eastAsia="zh-CN"/>
        </w:rPr>
        <w:t>本</w:t>
      </w:r>
      <w:r>
        <w:rPr>
          <w:rFonts w:hint="eastAsia" w:ascii="楷体_GB2312" w:hAnsi="宋体" w:eastAsia="楷体_GB2312"/>
          <w:color w:val="000000"/>
          <w:sz w:val="24"/>
          <w:highlight w:val="none"/>
        </w:rPr>
        <w:t>《</w:t>
      </w:r>
      <w:r>
        <w:rPr>
          <w:rFonts w:hint="eastAsia" w:ascii="楷体_GB2312" w:hAnsi="宋体" w:eastAsia="楷体_GB2312"/>
          <w:color w:val="000000"/>
          <w:sz w:val="24"/>
          <w:highlight w:val="none"/>
          <w:lang w:val="en-US" w:eastAsia="zh-CN"/>
        </w:rPr>
        <w:t>理财</w:t>
      </w:r>
      <w:r>
        <w:rPr>
          <w:rFonts w:hint="eastAsia" w:ascii="楷体_GB2312" w:hAnsi="宋体" w:eastAsia="楷体_GB2312"/>
          <w:color w:val="000000"/>
          <w:sz w:val="24"/>
          <w:highlight w:val="none"/>
        </w:rPr>
        <w:t>产品说明书》以及对</w:t>
      </w:r>
      <w:r>
        <w:rPr>
          <w:rFonts w:hint="eastAsia" w:ascii="楷体_GB2312" w:hAnsi="宋体" w:eastAsia="楷体_GB2312"/>
          <w:color w:val="000000"/>
          <w:sz w:val="24"/>
          <w:highlight w:val="none"/>
          <w:lang w:val="en-US" w:eastAsia="zh-CN"/>
        </w:rPr>
        <w:t>本</w:t>
      </w:r>
      <w:r>
        <w:rPr>
          <w:rFonts w:hint="eastAsia" w:ascii="楷体_GB2312" w:hAnsi="宋体" w:eastAsia="楷体_GB2312"/>
          <w:color w:val="000000"/>
          <w:sz w:val="24"/>
          <w:highlight w:val="none"/>
        </w:rPr>
        <w:t>《</w:t>
      </w:r>
      <w:r>
        <w:rPr>
          <w:rFonts w:hint="eastAsia" w:ascii="楷体_GB2312" w:hAnsi="宋体" w:eastAsia="楷体_GB2312"/>
          <w:color w:val="000000"/>
          <w:sz w:val="24"/>
          <w:highlight w:val="none"/>
          <w:lang w:val="en-US" w:eastAsia="zh-CN"/>
        </w:rPr>
        <w:t>理财</w:t>
      </w:r>
      <w:r>
        <w:rPr>
          <w:rFonts w:hint="eastAsia" w:ascii="楷体_GB2312" w:hAnsi="宋体" w:eastAsia="楷体_GB2312"/>
          <w:color w:val="000000"/>
          <w:sz w:val="24"/>
          <w:highlight w:val="none"/>
        </w:rPr>
        <w:t>产品说明书》的有效修改或补充</w:t>
      </w:r>
      <w:r>
        <w:rPr>
          <w:rFonts w:hint="eastAsia" w:ascii="楷体_GB2312" w:hAnsi="楷体" w:eastAsia="楷体_GB2312" w:cs="Times New Roman"/>
          <w:sz w:val="24"/>
          <w:highlight w:val="none"/>
          <w:lang w:val="en-US" w:eastAsia="zh-CN"/>
        </w:rPr>
        <w:t>构成</w:t>
      </w:r>
      <w:r>
        <w:rPr>
          <w:rFonts w:hint="default" w:ascii="楷体_GB2312" w:hAnsi="楷体" w:eastAsia="楷体_GB2312" w:cs="Times New Roman"/>
          <w:sz w:val="24"/>
          <w:highlight w:val="none"/>
          <w:lang w:val="en-US" w:eastAsia="zh-CN"/>
        </w:rPr>
        <w:t>本</w:t>
      </w:r>
      <w:r>
        <w:rPr>
          <w:rFonts w:hint="eastAsia" w:ascii="楷体_GB2312" w:hAnsi="楷体" w:eastAsia="楷体_GB2312" w:cs="Times New Roman"/>
          <w:sz w:val="24"/>
          <w:highlight w:val="none"/>
        </w:rPr>
        <w:t>理财产品</w:t>
      </w:r>
      <w:r>
        <w:rPr>
          <w:rFonts w:hint="default" w:ascii="楷体_GB2312" w:hAnsi="楷体" w:eastAsia="楷体_GB2312" w:cs="Times New Roman"/>
          <w:sz w:val="24"/>
          <w:highlight w:val="none"/>
          <w:lang w:val="en-US" w:eastAsia="zh-CN"/>
        </w:rPr>
        <w:t>销售文件</w:t>
      </w:r>
      <w:r>
        <w:rPr>
          <w:rFonts w:ascii="楷体_GB2312" w:hAnsi="楷体" w:eastAsia="楷体_GB2312" w:cs="Times New Roman"/>
          <w:sz w:val="24"/>
          <w:highlight w:val="none"/>
        </w:rPr>
        <w:t>不可分割之组成部分</w:t>
      </w:r>
      <w:r>
        <w:rPr>
          <w:rFonts w:hint="eastAsia" w:ascii="楷体_GB2312" w:hAnsi="楷体" w:eastAsia="楷体_GB2312" w:cs="Times New Roman"/>
          <w:sz w:val="24"/>
          <w:highlight w:val="none"/>
          <w:lang w:eastAsia="zh-CN"/>
        </w:rPr>
        <w:t>。</w:t>
      </w:r>
    </w:p>
    <w:p>
      <w:pPr>
        <w:ind w:firstLine="480" w:firstLineChars="200"/>
        <w:rPr>
          <w:rFonts w:ascii="楷体_GB2312" w:hAnsi="宋体" w:eastAsia="楷体_GB2312"/>
          <w:color w:val="000000"/>
          <w:sz w:val="24"/>
          <w:highlight w:val="none"/>
        </w:rPr>
      </w:pPr>
      <w:r>
        <w:rPr>
          <w:rFonts w:ascii="楷体_GB2312" w:hAnsi="宋体" w:eastAsia="楷体_GB2312"/>
          <w:color w:val="000000"/>
          <w:sz w:val="24"/>
          <w:highlight w:val="none"/>
        </w:rPr>
        <w:t>本理财产品仅向依据中华人民共和国有关法律法规及监管规定可以购买本理财产品的投资者（以下简称投资者）发售。</w:t>
      </w:r>
      <w:r>
        <w:rPr>
          <w:rFonts w:hint="eastAsia" w:ascii="楷体_GB2312" w:hAnsi="宋体" w:eastAsia="楷体_GB2312"/>
          <w:color w:val="000000"/>
          <w:sz w:val="24"/>
          <w:highlight w:val="none"/>
          <w:lang w:eastAsia="zh-CN"/>
        </w:rPr>
        <w:t>本理财产品</w:t>
      </w:r>
      <w:r>
        <w:rPr>
          <w:rFonts w:ascii="楷体_GB2312" w:hAnsi="宋体" w:eastAsia="楷体_GB2312"/>
          <w:color w:val="000000"/>
          <w:sz w:val="24"/>
          <w:highlight w:val="none"/>
        </w:rPr>
        <w:t>为</w:t>
      </w:r>
      <w:r>
        <w:rPr>
          <w:rFonts w:hint="eastAsia" w:ascii="楷体_GB2312" w:hAnsi="楷体" w:eastAsia="楷体_GB2312"/>
          <w:sz w:val="24"/>
          <w:highlight w:val="none"/>
          <w:lang w:val="en-US" w:eastAsia="zh-CN"/>
        </w:rPr>
        <w:t>开放式净值型理财产品、公募理财产品、</w:t>
      </w:r>
      <w:r>
        <w:rPr>
          <w:rFonts w:hint="eastAsia" w:ascii="楷体_GB2312" w:hAnsi="楷体" w:eastAsia="楷体_GB2312"/>
          <w:b w:val="0"/>
          <w:bCs w:val="0"/>
          <w:sz w:val="24"/>
          <w:highlight w:val="none"/>
          <w:lang w:eastAsia="zh-Hans"/>
        </w:rPr>
        <w:t>非保本浮动收益</w:t>
      </w:r>
      <w:r>
        <w:rPr>
          <w:rFonts w:hint="eastAsia" w:ascii="楷体_GB2312" w:hAnsi="楷体" w:eastAsia="楷体_GB2312"/>
          <w:b w:val="0"/>
          <w:bCs w:val="0"/>
          <w:sz w:val="24"/>
          <w:highlight w:val="none"/>
          <w:lang w:val="en-US" w:eastAsia="zh-CN"/>
        </w:rPr>
        <w:t>型理财产品、</w:t>
      </w:r>
      <w:r>
        <w:rPr>
          <w:rFonts w:ascii="楷体_GB2312" w:hAnsi="楷体" w:eastAsia="楷体_GB2312"/>
          <w:sz w:val="24"/>
          <w:highlight w:val="none"/>
        </w:rPr>
        <w:t>固定收益类</w:t>
      </w:r>
      <w:r>
        <w:rPr>
          <w:rFonts w:hint="eastAsia" w:ascii="楷体_GB2312" w:hAnsi="楷体" w:eastAsia="楷体_GB2312"/>
          <w:sz w:val="24"/>
          <w:highlight w:val="none"/>
        </w:rPr>
        <w:t>理财产品</w:t>
      </w:r>
      <w:r>
        <w:rPr>
          <w:rFonts w:ascii="楷体_GB2312" w:hAnsi="宋体" w:eastAsia="楷体_GB2312"/>
          <w:color w:val="000000"/>
          <w:sz w:val="24"/>
          <w:highlight w:val="none"/>
        </w:rPr>
        <w:t>，任何预期收益、预计收益、测算收益或类似表述均不具有法律效力，不代表投资者可能获得的实际清算分配金额，亦不构成</w:t>
      </w:r>
      <w:r>
        <w:rPr>
          <w:rFonts w:hint="eastAsia" w:ascii="楷体_GB2312" w:hAnsi="宋体" w:eastAsia="楷体_GB2312"/>
          <w:color w:val="000000"/>
          <w:sz w:val="24"/>
          <w:highlight w:val="none"/>
          <w:lang w:eastAsia="zh-CN"/>
        </w:rPr>
        <w:t>产品管理人</w:t>
      </w:r>
      <w:r>
        <w:rPr>
          <w:rFonts w:ascii="楷体_GB2312" w:hAnsi="宋体" w:eastAsia="楷体_GB2312"/>
          <w:color w:val="000000"/>
          <w:sz w:val="24"/>
          <w:highlight w:val="none"/>
        </w:rPr>
        <w:t>对本理财产品的任何应分配金额承诺，仅供投资者作出投资决定时参考</w:t>
      </w:r>
      <w:r>
        <w:rPr>
          <w:rFonts w:hint="eastAsia" w:ascii="楷体_GB2312" w:hAnsi="宋体" w:eastAsia="楷体_GB2312"/>
          <w:color w:val="000000"/>
          <w:sz w:val="24"/>
          <w:highlight w:val="none"/>
        </w:rPr>
        <w:t>。</w:t>
      </w:r>
    </w:p>
    <w:p>
      <w:pPr>
        <w:ind w:firstLine="480" w:firstLineChars="200"/>
        <w:rPr>
          <w:rFonts w:ascii="楷体_GB2312" w:hAnsi="宋体" w:eastAsia="楷体_GB2312"/>
          <w:b/>
          <w:color w:val="000000"/>
          <w:sz w:val="24"/>
          <w:highlight w:val="none"/>
        </w:rPr>
      </w:pPr>
      <w:r>
        <w:rPr>
          <w:rFonts w:hint="eastAsia" w:ascii="楷体_GB2312" w:hAnsi="楷体" w:eastAsia="楷体_GB2312"/>
          <w:sz w:val="24"/>
          <w:highlight w:val="none"/>
        </w:rPr>
        <w:t>★</w:t>
      </w:r>
      <w:r>
        <w:rPr>
          <w:rFonts w:hint="eastAsia" w:ascii="楷体_GB2312" w:hAnsi="宋体" w:eastAsia="楷体_GB2312"/>
          <w:b/>
          <w:color w:val="000000"/>
          <w:sz w:val="24"/>
          <w:highlight w:val="none"/>
        </w:rPr>
        <w:t>二、释义</w:t>
      </w:r>
    </w:p>
    <w:p>
      <w:pPr>
        <w:ind w:firstLine="480" w:firstLineChars="200"/>
        <w:rPr>
          <w:rFonts w:ascii="楷体_GB2312" w:hAnsi="宋体" w:eastAsia="楷体_GB2312"/>
          <w:color w:val="000000"/>
          <w:sz w:val="24"/>
          <w:highlight w:val="none"/>
        </w:rPr>
      </w:pPr>
      <w:r>
        <w:rPr>
          <w:rFonts w:hint="eastAsia" w:ascii="楷体_GB2312" w:hAnsi="宋体" w:eastAsia="楷体_GB2312"/>
          <w:color w:val="000000"/>
          <w:sz w:val="24"/>
          <w:highlight w:val="none"/>
        </w:rPr>
        <w:t>（一）参与主体用语</w:t>
      </w:r>
    </w:p>
    <w:p>
      <w:pPr>
        <w:ind w:firstLine="480" w:firstLineChars="200"/>
        <w:rPr>
          <w:rFonts w:ascii="楷体_GB2312" w:hAnsi="宋体" w:eastAsia="楷体_GB2312"/>
          <w:color w:val="000000"/>
          <w:sz w:val="24"/>
          <w:highlight w:val="none"/>
        </w:rPr>
      </w:pPr>
      <w:r>
        <w:rPr>
          <w:rFonts w:hint="eastAsia" w:ascii="楷体_GB2312" w:hAnsi="宋体" w:eastAsia="楷体_GB2312"/>
          <w:color w:val="000000"/>
          <w:sz w:val="24"/>
          <w:highlight w:val="none"/>
        </w:rPr>
        <w:t>1.</w:t>
      </w:r>
      <w:r>
        <w:rPr>
          <w:rFonts w:hint="eastAsia" w:ascii="楷体_GB2312" w:hAnsi="宋体" w:eastAsia="楷体_GB2312"/>
          <w:color w:val="000000"/>
          <w:sz w:val="24"/>
          <w:highlight w:val="none"/>
          <w:lang w:eastAsia="zh-CN"/>
        </w:rPr>
        <w:t>管理人</w:t>
      </w:r>
      <w:r>
        <w:rPr>
          <w:rFonts w:hint="eastAsia" w:ascii="楷体_GB2312" w:hAnsi="宋体" w:eastAsia="楷体_GB2312"/>
          <w:color w:val="000000"/>
          <w:sz w:val="24"/>
          <w:highlight w:val="none"/>
        </w:rPr>
        <w:t>/</w:t>
      </w:r>
      <w:r>
        <w:rPr>
          <w:rFonts w:hint="eastAsia" w:ascii="楷体_GB2312" w:hAnsi="宋体" w:eastAsia="楷体_GB2312"/>
          <w:color w:val="000000"/>
          <w:sz w:val="24"/>
          <w:highlight w:val="none"/>
          <w:lang w:eastAsia="zh-CN"/>
        </w:rPr>
        <w:t>产品管理人</w:t>
      </w:r>
      <w:r>
        <w:rPr>
          <w:rFonts w:hint="eastAsia" w:ascii="楷体_GB2312" w:hAnsi="宋体" w:eastAsia="楷体_GB2312"/>
          <w:color w:val="000000"/>
          <w:sz w:val="24"/>
          <w:highlight w:val="none"/>
        </w:rPr>
        <w:t>：</w:t>
      </w:r>
      <w:r>
        <w:rPr>
          <w:rFonts w:ascii="楷体_GB2312" w:hAnsi="宋体" w:eastAsia="楷体_GB2312"/>
          <w:color w:val="000000"/>
          <w:sz w:val="24"/>
          <w:highlight w:val="none"/>
        </w:rPr>
        <w:t>指</w:t>
      </w:r>
      <w:r>
        <w:rPr>
          <w:rFonts w:hint="eastAsia" w:ascii="楷体_GB2312" w:hAnsi="宋体" w:eastAsia="楷体_GB2312"/>
          <w:color w:val="000000"/>
          <w:sz w:val="24"/>
          <w:highlight w:val="none"/>
        </w:rPr>
        <w:t>北银理财</w:t>
      </w:r>
      <w:r>
        <w:rPr>
          <w:rFonts w:ascii="楷体_GB2312" w:hAnsi="宋体" w:eastAsia="楷体_GB2312"/>
          <w:color w:val="000000"/>
          <w:sz w:val="24"/>
          <w:highlight w:val="none"/>
        </w:rPr>
        <w:t>有限</w:t>
      </w:r>
      <w:r>
        <w:rPr>
          <w:rFonts w:hint="eastAsia" w:ascii="楷体_GB2312" w:hAnsi="宋体" w:eastAsia="楷体_GB2312"/>
          <w:color w:val="000000"/>
          <w:sz w:val="24"/>
          <w:highlight w:val="none"/>
        </w:rPr>
        <w:t>责任</w:t>
      </w:r>
      <w:r>
        <w:rPr>
          <w:rFonts w:ascii="楷体_GB2312" w:hAnsi="宋体" w:eastAsia="楷体_GB2312"/>
          <w:color w:val="000000"/>
          <w:sz w:val="24"/>
          <w:highlight w:val="none"/>
        </w:rPr>
        <w:t>公司（以下简称“</w:t>
      </w:r>
      <w:r>
        <w:rPr>
          <w:rFonts w:hint="eastAsia" w:ascii="楷体_GB2312" w:hAnsi="宋体" w:eastAsia="楷体_GB2312"/>
          <w:color w:val="000000"/>
          <w:sz w:val="24"/>
          <w:highlight w:val="none"/>
        </w:rPr>
        <w:t>北银理财</w:t>
      </w:r>
      <w:r>
        <w:rPr>
          <w:rFonts w:ascii="楷体_GB2312" w:hAnsi="宋体" w:eastAsia="楷体_GB2312"/>
          <w:color w:val="000000"/>
          <w:sz w:val="24"/>
          <w:highlight w:val="none"/>
        </w:rPr>
        <w:t>”）。</w:t>
      </w:r>
    </w:p>
    <w:p>
      <w:pPr>
        <w:ind w:firstLine="480" w:firstLineChars="200"/>
        <w:rPr>
          <w:rFonts w:ascii="楷体_GB2312" w:hAnsi="宋体" w:eastAsia="楷体_GB2312"/>
          <w:color w:val="auto"/>
          <w:sz w:val="24"/>
          <w:highlight w:val="none"/>
        </w:rPr>
      </w:pPr>
      <w:r>
        <w:rPr>
          <w:rFonts w:hint="eastAsia" w:ascii="楷体_GB2312" w:hAnsi="宋体" w:eastAsia="楷体_GB2312"/>
          <w:color w:val="000000"/>
          <w:sz w:val="24"/>
          <w:highlight w:val="none"/>
        </w:rPr>
        <w:t>2</w:t>
      </w:r>
      <w:r>
        <w:rPr>
          <w:rFonts w:hint="eastAsia" w:ascii="楷体_GB2312" w:hAnsi="宋体" w:eastAsia="楷体_GB2312"/>
          <w:color w:val="auto"/>
          <w:sz w:val="24"/>
          <w:highlight w:val="none"/>
        </w:rPr>
        <w:t>.</w:t>
      </w:r>
      <w:r>
        <w:rPr>
          <w:rFonts w:hint="eastAsia" w:ascii="楷体_GB2312" w:hAnsi="宋体" w:eastAsia="楷体_GB2312"/>
          <w:color w:val="auto"/>
          <w:sz w:val="24"/>
          <w:highlight w:val="none"/>
          <w:lang w:val="en-US" w:eastAsia="zh-CN"/>
        </w:rPr>
        <w:t>托管机构</w:t>
      </w:r>
      <w:r>
        <w:rPr>
          <w:rFonts w:hint="default" w:ascii="楷体_GB2312" w:hAnsi="宋体" w:eastAsia="楷体_GB2312"/>
          <w:color w:val="auto"/>
          <w:sz w:val="24"/>
          <w:highlight w:val="none"/>
          <w:lang w:val="en-US" w:eastAsia="zh-CN"/>
        </w:rPr>
        <w:t>/</w:t>
      </w:r>
      <w:r>
        <w:rPr>
          <w:rFonts w:hint="eastAsia" w:ascii="楷体_GB2312" w:hAnsi="宋体" w:eastAsia="楷体_GB2312"/>
          <w:color w:val="auto"/>
          <w:sz w:val="24"/>
          <w:highlight w:val="none"/>
        </w:rPr>
        <w:t>托管</w:t>
      </w:r>
      <w:r>
        <w:rPr>
          <w:rFonts w:hint="eastAsia" w:ascii="楷体_GB2312" w:hAnsi="宋体" w:eastAsia="楷体_GB2312"/>
          <w:color w:val="auto"/>
          <w:sz w:val="24"/>
          <w:highlight w:val="none"/>
          <w:lang w:val="en-US" w:eastAsia="zh-CN"/>
        </w:rPr>
        <w:t>人</w:t>
      </w:r>
      <w:r>
        <w:rPr>
          <w:rFonts w:hint="default" w:ascii="楷体_GB2312" w:hAnsi="宋体" w:eastAsia="楷体_GB2312"/>
          <w:color w:val="auto"/>
          <w:sz w:val="24"/>
          <w:highlight w:val="none"/>
          <w:lang w:val="en-US" w:eastAsia="zh-CN"/>
        </w:rPr>
        <w:t>/</w:t>
      </w:r>
      <w:r>
        <w:rPr>
          <w:rFonts w:hint="eastAsia" w:ascii="楷体_GB2312" w:hAnsi="宋体" w:eastAsia="楷体_GB2312"/>
          <w:color w:val="auto"/>
          <w:sz w:val="24"/>
          <w:highlight w:val="none"/>
          <w:lang w:val="en-US" w:eastAsia="zh-CN"/>
        </w:rPr>
        <w:t>产品托管人</w:t>
      </w:r>
      <w:r>
        <w:rPr>
          <w:rFonts w:hint="eastAsia" w:ascii="楷体_GB2312" w:hAnsi="宋体" w:eastAsia="楷体_GB2312"/>
          <w:color w:val="auto"/>
          <w:sz w:val="24"/>
          <w:highlight w:val="none"/>
        </w:rPr>
        <w:t>：</w:t>
      </w:r>
      <w:r>
        <w:rPr>
          <w:rFonts w:ascii="楷体_GB2312" w:hAnsi="宋体" w:eastAsia="楷体_GB2312"/>
          <w:color w:val="auto"/>
          <w:sz w:val="24"/>
          <w:highlight w:val="none"/>
        </w:rPr>
        <w:t>指</w:t>
      </w:r>
      <w:r>
        <w:rPr>
          <w:rFonts w:ascii="楷体_GB2312" w:hAnsi="宋体" w:eastAsia="楷体_GB2312"/>
          <w:color w:val="000000"/>
          <w:sz w:val="24"/>
        </w:rPr>
        <w:t>北京银行股份有限公司（以下简称“北京银行”）</w:t>
      </w:r>
      <w:r>
        <w:rPr>
          <w:rFonts w:ascii="楷体_GB2312" w:hAnsi="宋体" w:eastAsia="楷体_GB2312"/>
          <w:color w:val="auto"/>
          <w:sz w:val="24"/>
          <w:highlight w:val="none"/>
        </w:rPr>
        <w:t>。</w:t>
      </w:r>
    </w:p>
    <w:p>
      <w:pPr>
        <w:ind w:firstLine="480" w:firstLineChars="200"/>
        <w:rPr>
          <w:rFonts w:ascii="楷体_GB2312" w:hAnsi="宋体" w:eastAsia="楷体_GB2312"/>
          <w:color w:val="000000"/>
          <w:sz w:val="24"/>
          <w:highlight w:val="none"/>
        </w:rPr>
      </w:pPr>
      <w:r>
        <w:rPr>
          <w:rFonts w:hint="eastAsia" w:ascii="楷体_GB2312" w:hAnsi="宋体" w:eastAsia="楷体_GB2312"/>
          <w:color w:val="auto"/>
          <w:sz w:val="24"/>
          <w:highlight w:val="none"/>
        </w:rPr>
        <w:t>3.代销机构：</w:t>
      </w:r>
      <w:r>
        <w:rPr>
          <w:rFonts w:ascii="楷体_GB2312" w:hAnsi="宋体" w:eastAsia="楷体_GB2312"/>
          <w:color w:val="auto"/>
          <w:sz w:val="24"/>
          <w:highlight w:val="none"/>
        </w:rPr>
        <w:t>指</w:t>
      </w:r>
      <w:r>
        <w:rPr>
          <w:rFonts w:hint="eastAsia" w:ascii="楷体_GB2312" w:hAnsi="宋体" w:eastAsia="楷体_GB2312"/>
          <w:color w:val="000000"/>
          <w:sz w:val="24"/>
          <w:highlight w:val="none"/>
          <w:lang w:eastAsia="zh-Hans"/>
        </w:rPr>
        <w:t>接受</w:t>
      </w:r>
      <w:r>
        <w:rPr>
          <w:rFonts w:hint="eastAsia" w:ascii="楷体_GB2312" w:hAnsi="宋体" w:eastAsia="楷体_GB2312"/>
          <w:color w:val="000000"/>
          <w:sz w:val="24"/>
          <w:highlight w:val="none"/>
          <w:lang w:eastAsia="zh-CN"/>
        </w:rPr>
        <w:t>产品管理人</w:t>
      </w:r>
      <w:r>
        <w:rPr>
          <w:rFonts w:hint="eastAsia" w:ascii="楷体_GB2312" w:hAnsi="宋体" w:eastAsia="楷体_GB2312"/>
          <w:color w:val="000000"/>
          <w:sz w:val="24"/>
          <w:highlight w:val="none"/>
          <w:lang w:eastAsia="zh-Hans"/>
        </w:rPr>
        <w:t>委托销售本理财产品的代理销售机构</w:t>
      </w:r>
      <w:r>
        <w:rPr>
          <w:rFonts w:ascii="楷体_GB2312" w:hAnsi="宋体" w:eastAsia="楷体_GB2312"/>
          <w:color w:val="000000"/>
          <w:sz w:val="24"/>
          <w:highlight w:val="none"/>
        </w:rPr>
        <w:t>。</w:t>
      </w:r>
    </w:p>
    <w:p>
      <w:pPr>
        <w:ind w:firstLine="480" w:firstLineChars="200"/>
        <w:rPr>
          <w:rFonts w:ascii="楷体_GB2312" w:hAnsi="宋体" w:eastAsia="楷体_GB2312"/>
          <w:color w:val="000000"/>
          <w:sz w:val="24"/>
          <w:highlight w:val="none"/>
        </w:rPr>
      </w:pPr>
      <w:r>
        <w:rPr>
          <w:rFonts w:hint="eastAsia" w:ascii="楷体_GB2312" w:hAnsi="宋体" w:eastAsia="楷体_GB2312"/>
          <w:color w:val="000000"/>
          <w:sz w:val="24"/>
          <w:highlight w:val="none"/>
        </w:rPr>
        <w:t>4.投资者：指符合相关法律法规、监管规定要求的，可以购买</w:t>
      </w:r>
      <w:r>
        <w:rPr>
          <w:rFonts w:hint="eastAsia" w:ascii="楷体_GB2312" w:hAnsi="宋体" w:eastAsia="楷体_GB2312"/>
          <w:color w:val="000000"/>
          <w:sz w:val="24"/>
          <w:highlight w:val="none"/>
          <w:lang w:eastAsia="zh-CN"/>
        </w:rPr>
        <w:t>本</w:t>
      </w:r>
      <w:r>
        <w:rPr>
          <w:rFonts w:hint="eastAsia" w:ascii="楷体_GB2312" w:hAnsi="宋体" w:eastAsia="楷体_GB2312"/>
          <w:color w:val="000000"/>
          <w:sz w:val="24"/>
          <w:highlight w:val="none"/>
        </w:rPr>
        <w:t>理财产品的自然人、法人和其他组织。其中，个人投资者指符合相关法律法规、监管规定要求的，经</w:t>
      </w:r>
      <w:r>
        <w:rPr>
          <w:rFonts w:hint="eastAsia" w:ascii="楷体_GB2312" w:hAnsi="宋体" w:eastAsia="楷体_GB2312"/>
          <w:color w:val="000000"/>
          <w:sz w:val="24"/>
          <w:highlight w:val="none"/>
          <w:lang w:eastAsia="zh-CN"/>
        </w:rPr>
        <w:t>产品管理人</w:t>
      </w:r>
      <w:r>
        <w:rPr>
          <w:rFonts w:hint="eastAsia" w:ascii="楷体_GB2312" w:hAnsi="宋体" w:eastAsia="楷体_GB2312"/>
          <w:color w:val="000000"/>
          <w:sz w:val="24"/>
          <w:highlight w:val="none"/>
        </w:rPr>
        <w:t>或代销机构的个人投资者风险承受能力评估体系评定为适合</w:t>
      </w:r>
      <w:r>
        <w:rPr>
          <w:rFonts w:hint="eastAsia" w:ascii="楷体_GB2312" w:hAnsi="宋体" w:eastAsia="楷体_GB2312"/>
          <w:color w:val="000000"/>
          <w:sz w:val="24"/>
          <w:highlight w:val="none"/>
          <w:lang w:eastAsia="zh-CN"/>
        </w:rPr>
        <w:t>购买本理财产品</w:t>
      </w:r>
      <w:r>
        <w:rPr>
          <w:rFonts w:hint="eastAsia" w:ascii="楷体_GB2312" w:hAnsi="宋体" w:eastAsia="楷体_GB2312"/>
          <w:color w:val="000000"/>
          <w:sz w:val="24"/>
          <w:highlight w:val="none"/>
        </w:rPr>
        <w:t>的自然人；机构投资者指符合相关法律法规、监管规定要求的法人和其他组织。</w:t>
      </w:r>
    </w:p>
    <w:p>
      <w:pPr>
        <w:ind w:firstLine="480" w:firstLineChars="200"/>
        <w:rPr>
          <w:rFonts w:ascii="楷体_GB2312" w:hAnsi="宋体" w:eastAsia="楷体_GB2312"/>
          <w:color w:val="000000"/>
          <w:sz w:val="24"/>
          <w:highlight w:val="none"/>
        </w:rPr>
      </w:pPr>
      <w:r>
        <w:rPr>
          <w:rFonts w:hint="eastAsia" w:ascii="楷体_GB2312" w:hAnsi="宋体" w:eastAsia="楷体_GB2312"/>
          <w:color w:val="000000"/>
          <w:sz w:val="24"/>
          <w:highlight w:val="none"/>
        </w:rPr>
        <w:t>5.投资合作机构：包括但不限于</w:t>
      </w:r>
      <w:r>
        <w:rPr>
          <w:rFonts w:hint="eastAsia" w:ascii="楷体_GB2312" w:hAnsi="宋体" w:eastAsia="楷体_GB2312"/>
          <w:color w:val="000000"/>
          <w:sz w:val="24"/>
          <w:highlight w:val="none"/>
          <w:lang w:val="en-US" w:eastAsia="zh-CN"/>
        </w:rPr>
        <w:t>本</w:t>
      </w:r>
      <w:r>
        <w:rPr>
          <w:rFonts w:hint="eastAsia" w:ascii="楷体_GB2312" w:hAnsi="宋体" w:eastAsia="楷体_GB2312"/>
          <w:color w:val="000000"/>
          <w:sz w:val="24"/>
          <w:highlight w:val="none"/>
        </w:rPr>
        <w:t>理财产品所投资资产管理产品的发行机构、根据合同约定从事</w:t>
      </w:r>
      <w:r>
        <w:rPr>
          <w:rFonts w:hint="eastAsia" w:ascii="楷体_GB2312" w:hAnsi="宋体" w:eastAsia="楷体_GB2312"/>
          <w:color w:val="000000"/>
          <w:sz w:val="24"/>
          <w:highlight w:val="none"/>
          <w:lang w:val="en-US" w:eastAsia="zh-CN"/>
        </w:rPr>
        <w:t>本</w:t>
      </w:r>
      <w:r>
        <w:rPr>
          <w:rFonts w:hint="eastAsia" w:ascii="楷体_GB2312" w:hAnsi="宋体" w:eastAsia="楷体_GB2312"/>
          <w:color w:val="000000"/>
          <w:sz w:val="24"/>
          <w:highlight w:val="none"/>
        </w:rPr>
        <w:t>理财产品受托投资的机构</w:t>
      </w:r>
      <w:r>
        <w:rPr>
          <w:rFonts w:hint="eastAsia" w:ascii="楷体_GB2312" w:hAnsi="宋体" w:eastAsia="楷体_GB2312"/>
          <w:color w:val="000000"/>
          <w:sz w:val="24"/>
          <w:highlight w:val="none"/>
          <w:lang w:eastAsia="zh-CN"/>
        </w:rPr>
        <w:t>，</w:t>
      </w:r>
      <w:r>
        <w:rPr>
          <w:rFonts w:hint="eastAsia" w:ascii="楷体_GB2312" w:hAnsi="宋体" w:eastAsia="楷体_GB2312"/>
          <w:color w:val="000000"/>
          <w:sz w:val="24"/>
          <w:highlight w:val="none"/>
        </w:rPr>
        <w:t>以及与</w:t>
      </w:r>
      <w:r>
        <w:rPr>
          <w:rFonts w:hint="eastAsia" w:ascii="楷体_GB2312" w:hAnsi="宋体" w:eastAsia="楷体_GB2312"/>
          <w:color w:val="000000"/>
          <w:sz w:val="24"/>
          <w:highlight w:val="none"/>
          <w:lang w:val="en-US" w:eastAsia="zh-CN"/>
        </w:rPr>
        <w:t>本</w:t>
      </w:r>
      <w:r>
        <w:rPr>
          <w:rFonts w:hint="eastAsia" w:ascii="楷体_GB2312" w:hAnsi="宋体" w:eastAsia="楷体_GB2312"/>
          <w:color w:val="000000"/>
          <w:sz w:val="24"/>
          <w:highlight w:val="none"/>
        </w:rPr>
        <w:t>理财产品投资管理相关的投资顾问等。</w:t>
      </w:r>
      <w:r>
        <w:rPr>
          <w:rFonts w:hint="eastAsia" w:ascii="楷体_GB2312" w:hAnsi="宋体" w:eastAsia="楷体_GB2312"/>
          <w:color w:val="000000"/>
          <w:sz w:val="24"/>
          <w:highlight w:val="none"/>
          <w:lang w:eastAsia="zh-CN"/>
        </w:rPr>
        <w:t>本</w:t>
      </w:r>
      <w:r>
        <w:rPr>
          <w:rFonts w:hint="eastAsia" w:ascii="楷体_GB2312" w:hAnsi="宋体" w:eastAsia="楷体_GB2312"/>
          <w:color w:val="000000"/>
          <w:sz w:val="24"/>
          <w:highlight w:val="none"/>
        </w:rPr>
        <w:t>理财产品投资合作机构依据监管要求进行名单制管理，所有</w:t>
      </w:r>
      <w:r>
        <w:rPr>
          <w:rFonts w:hint="eastAsia" w:ascii="楷体_GB2312" w:hAnsi="宋体" w:eastAsia="楷体_GB2312"/>
          <w:color w:val="000000"/>
          <w:sz w:val="24"/>
          <w:highlight w:val="none"/>
          <w:lang w:val="en-US" w:eastAsia="zh-CN"/>
        </w:rPr>
        <w:t>投资</w:t>
      </w:r>
      <w:r>
        <w:rPr>
          <w:rFonts w:hint="eastAsia" w:ascii="楷体_GB2312" w:hAnsi="宋体" w:eastAsia="楷体_GB2312"/>
          <w:color w:val="000000"/>
          <w:sz w:val="24"/>
          <w:highlight w:val="none"/>
        </w:rPr>
        <w:t>合作机构均经过北银理财相关制度流程选任，符合准入标准和程序。</w:t>
      </w:r>
    </w:p>
    <w:p>
      <w:pPr>
        <w:ind w:firstLine="480" w:firstLineChars="200"/>
        <w:rPr>
          <w:rFonts w:ascii="楷体_GB2312" w:hAnsi="宋体" w:eastAsia="楷体_GB2312"/>
          <w:color w:val="000000"/>
          <w:sz w:val="24"/>
          <w:highlight w:val="none"/>
        </w:rPr>
      </w:pPr>
      <w:r>
        <w:rPr>
          <w:rFonts w:hint="eastAsia" w:ascii="楷体_GB2312" w:hAnsi="宋体" w:eastAsia="楷体_GB2312"/>
          <w:color w:val="000000"/>
          <w:sz w:val="24"/>
          <w:highlight w:val="none"/>
        </w:rPr>
        <w:t>6.</w:t>
      </w:r>
      <w:r>
        <w:rPr>
          <w:rFonts w:hint="eastAsia" w:ascii="楷体_GB2312" w:hAnsi="楷体" w:eastAsia="楷体_GB2312"/>
          <w:sz w:val="24"/>
          <w:highlight w:val="none"/>
        </w:rPr>
        <w:t>国家金融监督管理总局</w:t>
      </w:r>
      <w:r>
        <w:rPr>
          <w:rFonts w:hint="eastAsia" w:ascii="楷体_GB2312" w:hAnsi="宋体" w:eastAsia="楷体_GB2312"/>
          <w:color w:val="000000"/>
          <w:sz w:val="24"/>
          <w:highlight w:val="none"/>
        </w:rPr>
        <w:t>：指</w:t>
      </w:r>
      <w:r>
        <w:rPr>
          <w:rFonts w:hint="eastAsia" w:ascii="楷体_GB2312" w:hAnsi="宋体" w:eastAsia="楷体_GB2312"/>
          <w:color w:val="000000"/>
          <w:sz w:val="24"/>
          <w:highlight w:val="none"/>
          <w:lang w:val="en-US" w:eastAsia="zh-CN"/>
        </w:rPr>
        <w:t>国务院直属的</w:t>
      </w:r>
      <w:r>
        <w:rPr>
          <w:rFonts w:hint="eastAsia" w:ascii="楷体_GB2312" w:hAnsi="楷体" w:eastAsia="楷体_GB2312"/>
          <w:sz w:val="24"/>
          <w:highlight w:val="none"/>
        </w:rPr>
        <w:t>国家金融监督管理总局</w:t>
      </w:r>
      <w:r>
        <w:rPr>
          <w:rFonts w:hint="eastAsia" w:ascii="楷体_GB2312" w:hAnsi="宋体" w:eastAsia="楷体_GB2312"/>
          <w:color w:val="000000"/>
          <w:sz w:val="24"/>
          <w:highlight w:val="none"/>
        </w:rPr>
        <w:t>。</w:t>
      </w:r>
    </w:p>
    <w:p>
      <w:pPr>
        <w:ind w:firstLine="480" w:firstLineChars="200"/>
        <w:rPr>
          <w:rFonts w:hint="eastAsia" w:ascii="楷体_GB2312" w:hAnsi="宋体" w:eastAsia="楷体_GB2312"/>
          <w:color w:val="000000"/>
          <w:sz w:val="24"/>
          <w:highlight w:val="none"/>
        </w:rPr>
      </w:pPr>
      <w:r>
        <w:rPr>
          <w:rFonts w:hint="eastAsia" w:ascii="楷体_GB2312" w:hAnsi="宋体" w:eastAsia="楷体_GB2312"/>
          <w:color w:val="000000"/>
          <w:sz w:val="24"/>
          <w:highlight w:val="none"/>
        </w:rPr>
        <w:t>7.证券交易所：指上海证券交易所、深圳证券交易所和北京证券交易所。</w:t>
      </w:r>
    </w:p>
    <w:p>
      <w:pPr>
        <w:ind w:firstLine="480" w:firstLineChars="200"/>
        <w:rPr>
          <w:rFonts w:hint="eastAsia" w:ascii="楷体_GB2312" w:hAnsi="宋体" w:eastAsia="楷体_GB2312"/>
          <w:color w:val="000000"/>
          <w:sz w:val="24"/>
          <w:highlight w:val="none"/>
        </w:rPr>
      </w:pPr>
      <w:r>
        <w:rPr>
          <w:rFonts w:ascii="楷体_GB2312" w:hAnsi="宋体" w:eastAsia="楷体_GB2312"/>
          <w:color w:val="000000"/>
          <w:sz w:val="24"/>
          <w:highlight w:val="none"/>
        </w:rPr>
        <w:t>8.</w:t>
      </w:r>
      <w:r>
        <w:rPr>
          <w:rFonts w:hint="eastAsia" w:ascii="楷体_GB2312" w:hAnsi="宋体" w:eastAsia="楷体_GB2312"/>
          <w:color w:val="000000"/>
          <w:sz w:val="24"/>
          <w:highlight w:val="none"/>
          <w:lang w:eastAsia="zh-Hans"/>
        </w:rPr>
        <w:t>监管机构：指对</w:t>
      </w:r>
      <w:r>
        <w:rPr>
          <w:rFonts w:hint="eastAsia" w:ascii="楷体_GB2312" w:hAnsi="宋体" w:eastAsia="楷体_GB2312"/>
          <w:color w:val="000000"/>
          <w:sz w:val="24"/>
          <w:highlight w:val="none"/>
          <w:lang w:val="en-US" w:eastAsia="zh-CN"/>
        </w:rPr>
        <w:t>本</w:t>
      </w:r>
      <w:r>
        <w:rPr>
          <w:rFonts w:hint="eastAsia" w:ascii="楷体_GB2312" w:hAnsi="宋体" w:eastAsia="楷体_GB2312"/>
          <w:color w:val="000000"/>
          <w:sz w:val="24"/>
          <w:highlight w:val="none"/>
          <w:lang w:eastAsia="zh-Hans"/>
        </w:rPr>
        <w:t>产品管理人</w:t>
      </w:r>
      <w:r>
        <w:rPr>
          <w:rFonts w:hint="eastAsia" w:ascii="楷体_GB2312" w:hAnsi="宋体" w:eastAsia="楷体_GB2312"/>
          <w:color w:val="000000"/>
          <w:sz w:val="24"/>
          <w:highlight w:val="none"/>
          <w:lang w:eastAsia="zh-CN"/>
        </w:rPr>
        <w:t>、</w:t>
      </w:r>
      <w:r>
        <w:rPr>
          <w:rFonts w:hint="eastAsia" w:ascii="楷体_GB2312" w:hAnsi="宋体" w:eastAsia="楷体_GB2312"/>
          <w:color w:val="000000"/>
          <w:sz w:val="24"/>
          <w:highlight w:val="none"/>
          <w:lang w:val="en-US" w:eastAsia="zh-CN"/>
        </w:rPr>
        <w:t>本</w:t>
      </w:r>
      <w:r>
        <w:rPr>
          <w:rFonts w:hint="eastAsia" w:ascii="楷体_GB2312" w:hAnsi="宋体" w:eastAsia="楷体_GB2312"/>
          <w:color w:val="000000"/>
          <w:sz w:val="24"/>
          <w:highlight w:val="none"/>
          <w:lang w:eastAsia="zh-Hans"/>
        </w:rPr>
        <w:t>理财产品所投资的资管产品的</w:t>
      </w:r>
      <w:r>
        <w:rPr>
          <w:rFonts w:hint="eastAsia" w:ascii="楷体_GB2312" w:hAnsi="楷体" w:eastAsia="楷体_GB2312"/>
          <w:sz w:val="24"/>
          <w:highlight w:val="none"/>
        </w:rPr>
        <w:t>资产管理人</w:t>
      </w:r>
      <w:r>
        <w:rPr>
          <w:rFonts w:hint="eastAsia" w:ascii="楷体_GB2312" w:hAnsi="宋体" w:eastAsia="楷体_GB2312"/>
          <w:color w:val="000000"/>
          <w:sz w:val="24"/>
          <w:highlight w:val="none"/>
          <w:lang w:eastAsia="zh-Hans"/>
        </w:rPr>
        <w:t>/受托人</w:t>
      </w:r>
      <w:r>
        <w:rPr>
          <w:rFonts w:hint="eastAsia" w:ascii="楷体_GB2312" w:hAnsi="楷体" w:eastAsia="楷体_GB2312"/>
          <w:sz w:val="24"/>
          <w:highlight w:val="none"/>
        </w:rPr>
        <w:t>（若有）</w:t>
      </w:r>
      <w:r>
        <w:rPr>
          <w:rFonts w:hint="eastAsia" w:ascii="楷体_GB2312" w:hAnsi="宋体" w:eastAsia="楷体_GB2312"/>
          <w:color w:val="000000"/>
          <w:sz w:val="24"/>
          <w:highlight w:val="none"/>
          <w:lang w:eastAsia="zh-Hans"/>
        </w:rPr>
        <w:t>、相关投资顾问</w:t>
      </w:r>
      <w:r>
        <w:rPr>
          <w:rFonts w:hint="eastAsia" w:ascii="楷体_GB2312" w:hAnsi="楷体" w:eastAsia="楷体_GB2312"/>
          <w:sz w:val="24"/>
          <w:highlight w:val="none"/>
        </w:rPr>
        <w:t>（若有）</w:t>
      </w:r>
      <w:r>
        <w:rPr>
          <w:rFonts w:hint="eastAsia" w:ascii="楷体_GB2312" w:hAnsi="宋体" w:eastAsia="楷体_GB2312"/>
          <w:color w:val="000000"/>
          <w:sz w:val="24"/>
          <w:highlight w:val="none"/>
          <w:lang w:eastAsia="zh-Hans"/>
        </w:rPr>
        <w:t>等实施监督管理的机构，包括但不限于中国人民银行、</w:t>
      </w:r>
      <w:r>
        <w:rPr>
          <w:rFonts w:hint="eastAsia" w:ascii="楷体_GB2312" w:hAnsi="楷体" w:eastAsia="楷体_GB2312"/>
          <w:sz w:val="24"/>
          <w:highlight w:val="none"/>
        </w:rPr>
        <w:t>国家金融监督管理总局</w:t>
      </w:r>
      <w:r>
        <w:rPr>
          <w:rFonts w:hint="eastAsia" w:ascii="楷体_GB2312" w:hAnsi="宋体" w:eastAsia="楷体_GB2312"/>
          <w:color w:val="000000"/>
          <w:sz w:val="24"/>
          <w:highlight w:val="none"/>
          <w:lang w:eastAsia="zh-Hans"/>
        </w:rPr>
        <w:t>、中国证券监督管理委员会、外汇管理局、证券交易所、银行业理财登记托管中心等。</w:t>
      </w:r>
    </w:p>
    <w:p>
      <w:pPr>
        <w:ind w:firstLine="480" w:firstLineChars="200"/>
        <w:rPr>
          <w:rFonts w:ascii="楷体_GB2312" w:hAnsi="宋体" w:eastAsia="楷体_GB2312"/>
          <w:color w:val="000000"/>
          <w:sz w:val="24"/>
          <w:highlight w:val="none"/>
        </w:rPr>
      </w:pPr>
      <w:r>
        <w:rPr>
          <w:rFonts w:hint="eastAsia" w:ascii="楷体_GB2312" w:hAnsi="宋体" w:eastAsia="楷体_GB2312"/>
          <w:color w:val="000000"/>
          <w:sz w:val="24"/>
          <w:highlight w:val="none"/>
        </w:rPr>
        <w:t>（二）法律文件用语</w:t>
      </w:r>
    </w:p>
    <w:p>
      <w:pPr>
        <w:ind w:firstLine="480" w:firstLineChars="200"/>
        <w:rPr>
          <w:rFonts w:ascii="楷体_GB2312" w:hAnsi="宋体" w:eastAsia="楷体_GB2312"/>
          <w:color w:val="000000"/>
          <w:sz w:val="24"/>
          <w:highlight w:val="none"/>
        </w:rPr>
      </w:pPr>
      <w:r>
        <w:rPr>
          <w:rFonts w:hint="eastAsia" w:ascii="楷体_GB2312" w:hAnsi="宋体" w:eastAsia="楷体_GB2312"/>
          <w:color w:val="000000"/>
          <w:sz w:val="24"/>
          <w:highlight w:val="none"/>
        </w:rPr>
        <w:t>1.理财产品销售文件：指《理财产品投资协议书》、《理财产品说明书》、《风险揭示书》、《投资者权益须知》和《代理销售协议书》（具体名称以代销机构为准）</w:t>
      </w:r>
      <w:r>
        <w:rPr>
          <w:rFonts w:hint="eastAsia" w:ascii="楷体_GB2312" w:hAnsi="宋体" w:eastAsia="楷体_GB2312"/>
          <w:color w:val="000000"/>
          <w:sz w:val="24"/>
          <w:highlight w:val="none"/>
          <w:lang w:eastAsia="zh-CN"/>
        </w:rPr>
        <w:t>，</w:t>
      </w:r>
      <w:r>
        <w:rPr>
          <w:rFonts w:ascii="楷体_GB2312" w:hAnsi="宋体" w:eastAsia="楷体_GB2312"/>
          <w:color w:val="000000"/>
          <w:sz w:val="24"/>
          <w:highlight w:val="none"/>
        </w:rPr>
        <w:t>以及对该</w:t>
      </w:r>
      <w:r>
        <w:rPr>
          <w:rFonts w:hint="eastAsia" w:ascii="楷体_GB2312" w:hAnsi="宋体" w:eastAsia="楷体_GB2312"/>
          <w:color w:val="000000"/>
          <w:sz w:val="24"/>
          <w:highlight w:val="none"/>
          <w:lang w:val="en-US" w:eastAsia="zh-CN"/>
        </w:rPr>
        <w:t>等</w:t>
      </w:r>
      <w:r>
        <w:rPr>
          <w:rFonts w:ascii="楷体_GB2312" w:hAnsi="宋体" w:eastAsia="楷体_GB2312"/>
          <w:color w:val="000000"/>
          <w:sz w:val="24"/>
          <w:highlight w:val="none"/>
        </w:rPr>
        <w:t>文件的有效修改或补充。</w:t>
      </w:r>
    </w:p>
    <w:p>
      <w:pPr>
        <w:ind w:firstLine="480" w:firstLineChars="200"/>
        <w:rPr>
          <w:rFonts w:ascii="楷体_GB2312" w:hAnsi="宋体" w:eastAsia="楷体_GB2312"/>
          <w:color w:val="000000"/>
          <w:sz w:val="24"/>
          <w:highlight w:val="none"/>
        </w:rPr>
      </w:pPr>
      <w:r>
        <w:rPr>
          <w:rFonts w:hint="eastAsia" w:ascii="楷体_GB2312" w:hAnsi="宋体" w:eastAsia="楷体_GB2312"/>
          <w:color w:val="000000"/>
          <w:sz w:val="24"/>
          <w:highlight w:val="none"/>
        </w:rPr>
        <w:t>2.风险</w:t>
      </w:r>
      <w:r>
        <w:rPr>
          <w:rFonts w:hint="eastAsia" w:ascii="楷体_GB2312" w:hAnsi="宋体" w:eastAsia="楷体_GB2312" w:cs="Times New Roman"/>
          <w:color w:val="000000"/>
          <w:sz w:val="24"/>
          <w:highlight w:val="none"/>
          <w:lang w:val="en-US" w:eastAsia="zh-CN"/>
        </w:rPr>
        <w:t>揭示</w:t>
      </w:r>
      <w:r>
        <w:rPr>
          <w:rFonts w:hint="eastAsia" w:ascii="楷体_GB2312" w:hAnsi="宋体" w:eastAsia="楷体_GB2312" w:cs="Times New Roman"/>
          <w:color w:val="000000"/>
          <w:sz w:val="24"/>
          <w:highlight w:val="none"/>
        </w:rPr>
        <w:t>书：指作为</w:t>
      </w:r>
      <w:r>
        <w:rPr>
          <w:rFonts w:hint="eastAsia" w:ascii="楷体_GB2312" w:hAnsi="宋体" w:eastAsia="楷体_GB2312"/>
          <w:color w:val="000000"/>
          <w:sz w:val="24"/>
          <w:highlight w:val="none"/>
        </w:rPr>
        <w:t>理财产品销售文件</w:t>
      </w:r>
      <w:r>
        <w:rPr>
          <w:rFonts w:hint="eastAsia" w:ascii="楷体_GB2312" w:hAnsi="宋体" w:eastAsia="楷体_GB2312" w:cs="Times New Roman"/>
          <w:color w:val="000000"/>
          <w:sz w:val="24"/>
          <w:highlight w:val="none"/>
        </w:rPr>
        <w:t>不可</w:t>
      </w:r>
      <w:r>
        <w:rPr>
          <w:rFonts w:hint="eastAsia" w:ascii="楷体_GB2312" w:hAnsi="宋体" w:eastAsia="楷体_GB2312"/>
          <w:color w:val="000000"/>
          <w:sz w:val="24"/>
          <w:highlight w:val="none"/>
        </w:rPr>
        <w:t>分割组成部分</w:t>
      </w:r>
      <w:r>
        <w:rPr>
          <w:rFonts w:hint="eastAsia" w:ascii="楷体_GB2312" w:hAnsi="宋体" w:eastAsia="楷体_GB2312"/>
          <w:color w:val="000000"/>
          <w:sz w:val="24"/>
          <w:highlight w:val="none"/>
          <w:lang w:val="en-US" w:eastAsia="zh-CN"/>
        </w:rPr>
        <w:t>之</w:t>
      </w:r>
      <w:r>
        <w:rPr>
          <w:rFonts w:hint="eastAsia" w:ascii="楷体_GB2312" w:hAnsi="宋体" w:eastAsia="楷体_GB2312"/>
          <w:color w:val="000000"/>
          <w:sz w:val="24"/>
          <w:highlight w:val="none"/>
        </w:rPr>
        <w:t>《风险揭示书》，以及对该文件的有效修改或补充。</w:t>
      </w:r>
    </w:p>
    <w:p>
      <w:pPr>
        <w:ind w:firstLine="480" w:firstLineChars="200"/>
        <w:rPr>
          <w:rFonts w:ascii="楷体_GB2312" w:hAnsi="宋体" w:eastAsia="楷体_GB2312"/>
          <w:color w:val="000000"/>
          <w:sz w:val="24"/>
          <w:highlight w:val="none"/>
        </w:rPr>
      </w:pPr>
      <w:r>
        <w:rPr>
          <w:rFonts w:hint="eastAsia" w:ascii="楷体_GB2312" w:hAnsi="宋体" w:eastAsia="楷体_GB2312"/>
          <w:color w:val="000000"/>
          <w:sz w:val="24"/>
          <w:highlight w:val="none"/>
          <w:lang w:val="en-US" w:eastAsia="zh-CN"/>
        </w:rPr>
        <w:t>3</w:t>
      </w:r>
      <w:r>
        <w:rPr>
          <w:rFonts w:hint="eastAsia" w:ascii="楷体_GB2312" w:hAnsi="宋体" w:eastAsia="楷体_GB2312"/>
          <w:color w:val="000000"/>
          <w:sz w:val="24"/>
          <w:highlight w:val="none"/>
        </w:rPr>
        <w:t>.</w:t>
      </w:r>
      <w:r>
        <w:rPr>
          <w:rFonts w:hint="eastAsia" w:ascii="楷体_GB2312" w:hAnsi="宋体" w:eastAsia="楷体_GB2312"/>
          <w:color w:val="000000"/>
          <w:sz w:val="24"/>
          <w:highlight w:val="none"/>
          <w:lang w:val="en-US" w:eastAsia="zh-CN"/>
        </w:rPr>
        <w:t>理财产品</w:t>
      </w:r>
      <w:r>
        <w:rPr>
          <w:rFonts w:hint="eastAsia" w:ascii="楷体_GB2312" w:hAnsi="宋体" w:eastAsia="楷体_GB2312"/>
          <w:color w:val="000000"/>
          <w:sz w:val="24"/>
          <w:highlight w:val="none"/>
        </w:rPr>
        <w:t>投资协议书：指作为理财产品销售文件不可分割组成部分</w:t>
      </w:r>
      <w:r>
        <w:rPr>
          <w:rFonts w:hint="eastAsia" w:ascii="楷体_GB2312" w:hAnsi="宋体" w:eastAsia="楷体_GB2312"/>
          <w:color w:val="000000"/>
          <w:sz w:val="24"/>
          <w:highlight w:val="none"/>
          <w:lang w:val="en-US" w:eastAsia="zh-CN"/>
        </w:rPr>
        <w:t>之</w:t>
      </w:r>
      <w:r>
        <w:rPr>
          <w:rFonts w:hint="eastAsia" w:ascii="楷体_GB2312" w:hAnsi="宋体" w:eastAsia="楷体_GB2312"/>
          <w:color w:val="000000"/>
          <w:sz w:val="24"/>
          <w:highlight w:val="none"/>
        </w:rPr>
        <w:t>《</w:t>
      </w:r>
      <w:r>
        <w:rPr>
          <w:rFonts w:hint="eastAsia" w:ascii="楷体_GB2312" w:hAnsi="宋体" w:eastAsia="楷体_GB2312"/>
          <w:color w:val="000000"/>
          <w:sz w:val="24"/>
          <w:highlight w:val="none"/>
          <w:lang w:val="en-US" w:eastAsia="zh-CN"/>
        </w:rPr>
        <w:t>理财产品</w:t>
      </w:r>
      <w:r>
        <w:rPr>
          <w:rFonts w:hint="eastAsia" w:ascii="楷体_GB2312" w:hAnsi="宋体" w:eastAsia="楷体_GB2312"/>
          <w:color w:val="000000"/>
          <w:sz w:val="24"/>
          <w:highlight w:val="none"/>
        </w:rPr>
        <w:t>投资协议书》，以及对该文件的有效修改或补充。</w:t>
      </w:r>
    </w:p>
    <w:p>
      <w:pPr>
        <w:ind w:firstLine="480" w:firstLineChars="200"/>
        <w:rPr>
          <w:rFonts w:ascii="楷体_GB2312" w:hAnsi="宋体" w:eastAsia="楷体_GB2312"/>
          <w:color w:val="000000"/>
          <w:sz w:val="24"/>
          <w:highlight w:val="none"/>
        </w:rPr>
      </w:pPr>
      <w:r>
        <w:rPr>
          <w:rFonts w:hint="eastAsia" w:ascii="楷体_GB2312" w:hAnsi="宋体" w:eastAsia="楷体_GB2312"/>
          <w:color w:val="000000"/>
          <w:sz w:val="24"/>
          <w:highlight w:val="none"/>
          <w:lang w:val="en-US" w:eastAsia="zh-CN"/>
        </w:rPr>
        <w:t>4</w:t>
      </w:r>
      <w:r>
        <w:rPr>
          <w:rFonts w:hint="eastAsia" w:ascii="楷体_GB2312" w:hAnsi="宋体" w:eastAsia="楷体_GB2312"/>
          <w:color w:val="000000"/>
          <w:sz w:val="24"/>
          <w:highlight w:val="none"/>
        </w:rPr>
        <w:t>.</w:t>
      </w:r>
      <w:r>
        <w:rPr>
          <w:rFonts w:hint="eastAsia" w:ascii="楷体_GB2312" w:hAnsi="宋体" w:eastAsia="楷体_GB2312"/>
          <w:color w:val="000000"/>
          <w:sz w:val="24"/>
          <w:highlight w:val="none"/>
          <w:lang w:val="en-US" w:eastAsia="zh-CN"/>
        </w:rPr>
        <w:t>理财</w:t>
      </w:r>
      <w:r>
        <w:rPr>
          <w:rFonts w:hint="eastAsia" w:ascii="楷体_GB2312" w:hAnsi="宋体" w:eastAsia="楷体_GB2312"/>
          <w:color w:val="000000"/>
          <w:sz w:val="24"/>
          <w:highlight w:val="none"/>
        </w:rPr>
        <w:t>产品说明书：指作为理财产品销售文件不可分割组成部分</w:t>
      </w:r>
      <w:r>
        <w:rPr>
          <w:rFonts w:hint="eastAsia" w:ascii="楷体_GB2312" w:hAnsi="宋体" w:eastAsia="楷体_GB2312"/>
          <w:color w:val="000000"/>
          <w:sz w:val="24"/>
          <w:highlight w:val="none"/>
          <w:lang w:val="en-US" w:eastAsia="zh-CN"/>
        </w:rPr>
        <w:t>之</w:t>
      </w:r>
      <w:r>
        <w:rPr>
          <w:rFonts w:hint="eastAsia" w:ascii="楷体_GB2312" w:hAnsi="宋体" w:eastAsia="楷体_GB2312"/>
          <w:color w:val="000000"/>
          <w:sz w:val="24"/>
          <w:highlight w:val="none"/>
        </w:rPr>
        <w:t>《</w:t>
      </w:r>
      <w:r>
        <w:rPr>
          <w:rFonts w:hint="eastAsia" w:ascii="楷体_GB2312" w:hAnsi="宋体" w:eastAsia="楷体_GB2312"/>
          <w:color w:val="000000"/>
          <w:sz w:val="24"/>
          <w:highlight w:val="none"/>
          <w:lang w:val="en-US" w:eastAsia="zh-CN"/>
        </w:rPr>
        <w:t>理财</w:t>
      </w:r>
      <w:r>
        <w:rPr>
          <w:rFonts w:hint="eastAsia" w:ascii="楷体_GB2312" w:hAnsi="宋体" w:eastAsia="楷体_GB2312"/>
          <w:color w:val="000000"/>
          <w:sz w:val="24"/>
          <w:highlight w:val="none"/>
        </w:rPr>
        <w:t>产品说明书》，以及对该文件的有效修改或补充。</w:t>
      </w:r>
    </w:p>
    <w:p>
      <w:pPr>
        <w:ind w:firstLine="480" w:firstLineChars="200"/>
        <w:rPr>
          <w:rFonts w:hint="eastAsia"/>
          <w:highlight w:val="none"/>
        </w:rPr>
      </w:pPr>
      <w:r>
        <w:rPr>
          <w:rFonts w:hint="eastAsia" w:ascii="楷体_GB2312" w:hAnsi="宋体" w:eastAsia="楷体_GB2312"/>
          <w:color w:val="000000"/>
          <w:sz w:val="24"/>
          <w:highlight w:val="none"/>
          <w:lang w:val="en-US" w:eastAsia="zh-CN"/>
        </w:rPr>
        <w:t>5</w:t>
      </w:r>
      <w:r>
        <w:rPr>
          <w:rFonts w:hint="eastAsia" w:ascii="楷体_GB2312" w:hAnsi="宋体" w:eastAsia="楷体_GB2312"/>
          <w:color w:val="000000"/>
          <w:sz w:val="24"/>
          <w:highlight w:val="none"/>
        </w:rPr>
        <w:t>.投资者权益须知：指作为理财产品销售文件不可分割组成部分</w:t>
      </w:r>
      <w:r>
        <w:rPr>
          <w:rFonts w:hint="eastAsia" w:ascii="楷体_GB2312" w:hAnsi="宋体" w:eastAsia="楷体_GB2312"/>
          <w:color w:val="000000"/>
          <w:sz w:val="24"/>
          <w:highlight w:val="none"/>
          <w:lang w:val="en-US" w:eastAsia="zh-CN"/>
        </w:rPr>
        <w:t>之</w:t>
      </w:r>
      <w:r>
        <w:rPr>
          <w:rFonts w:hint="eastAsia" w:ascii="楷体_GB2312" w:hAnsi="宋体" w:eastAsia="楷体_GB2312"/>
          <w:color w:val="000000"/>
          <w:sz w:val="24"/>
          <w:highlight w:val="none"/>
        </w:rPr>
        <w:t>《投资者权益须知》，以及对该文件的有效修改或补充。</w:t>
      </w:r>
    </w:p>
    <w:p>
      <w:pPr>
        <w:ind w:firstLine="480" w:firstLineChars="200"/>
        <w:rPr>
          <w:rFonts w:ascii="楷体_GB2312" w:hAnsi="宋体" w:eastAsia="楷体_GB2312"/>
          <w:color w:val="000000"/>
          <w:sz w:val="24"/>
          <w:highlight w:val="none"/>
        </w:rPr>
      </w:pPr>
      <w:r>
        <w:rPr>
          <w:rFonts w:hint="eastAsia" w:ascii="楷体_GB2312" w:eastAsia="楷体_GB2312"/>
          <w:color w:val="000000"/>
          <w:sz w:val="24"/>
          <w:highlight w:val="none"/>
        </w:rPr>
        <w:t>（</w:t>
      </w:r>
      <w:r>
        <w:rPr>
          <w:rFonts w:hint="eastAsia" w:ascii="楷体_GB2312" w:eastAsia="楷体_GB2312"/>
          <w:color w:val="000000"/>
          <w:sz w:val="24"/>
          <w:highlight w:val="none"/>
          <w:lang w:val="en-US" w:eastAsia="zh-CN"/>
        </w:rPr>
        <w:t>三</w:t>
      </w:r>
      <w:r>
        <w:rPr>
          <w:rFonts w:hint="eastAsia" w:ascii="楷体_GB2312" w:eastAsia="楷体_GB2312"/>
          <w:color w:val="000000"/>
          <w:sz w:val="24"/>
          <w:highlight w:val="none"/>
        </w:rPr>
        <w:t>）理财产品用语</w:t>
      </w:r>
    </w:p>
    <w:p>
      <w:pPr>
        <w:pStyle w:val="3"/>
        <w:ind w:left="0" w:leftChars="0" w:firstLine="480" w:firstLineChars="200"/>
        <w:rPr>
          <w:rFonts w:ascii="楷体_GB2312" w:eastAsia="楷体_GB2312"/>
          <w:color w:val="000000"/>
          <w:sz w:val="24"/>
          <w:szCs w:val="24"/>
          <w:highlight w:val="none"/>
        </w:rPr>
      </w:pPr>
      <w:r>
        <w:rPr>
          <w:rFonts w:hint="eastAsia" w:ascii="楷体_GB2312" w:hAnsi="宋体" w:eastAsia="楷体_GB2312"/>
          <w:color w:val="000000"/>
          <w:sz w:val="24"/>
          <w:highlight w:val="none"/>
        </w:rPr>
        <w:t>1.理财/本理财产品/理财产品/本产品：</w:t>
      </w:r>
      <w:r>
        <w:rPr>
          <w:rFonts w:hint="eastAsia" w:ascii="楷体_GB2312" w:hAnsi="宋体" w:eastAsia="楷体_GB2312"/>
          <w:color w:val="000000"/>
          <w:sz w:val="24"/>
          <w:highlight w:val="none"/>
          <w:lang w:val="en-US" w:eastAsia="zh-CN"/>
        </w:rPr>
        <w:t>指</w:t>
      </w:r>
      <w:r>
        <w:rPr>
          <w:rFonts w:hint="eastAsia" w:ascii="楷体_GB2312" w:hAnsi="宋体" w:eastAsia="楷体_GB2312"/>
          <w:color w:val="000000"/>
          <w:sz w:val="24"/>
          <w:lang w:eastAsia="zh-CN"/>
        </w:rPr>
        <w:t>北银理财丰收系列京华远见春系列诚享</w:t>
      </w:r>
      <w:permStart w:id="2" w:edGrp="everyone"/>
      <w:r>
        <w:rPr>
          <w:rFonts w:hint="eastAsia" w:ascii="楷体_GB2312" w:hAnsi="宋体" w:eastAsia="楷体_GB2312"/>
          <w:color w:val="000000"/>
          <w:sz w:val="24"/>
          <w:lang w:val="en-US" w:eastAsia="zh-CN"/>
        </w:rPr>
        <w:t>7</w:t>
      </w:r>
      <w:permEnd w:id="2"/>
      <w:r>
        <w:rPr>
          <w:rFonts w:hint="eastAsia" w:ascii="楷体_GB2312" w:hAnsi="宋体" w:eastAsia="楷体_GB2312"/>
          <w:color w:val="000000"/>
          <w:sz w:val="24"/>
          <w:lang w:eastAsia="zh-CN"/>
        </w:rPr>
        <w:t>天持有期</w:t>
      </w:r>
      <w:permStart w:id="3" w:edGrp="everyone"/>
      <w:r>
        <w:rPr>
          <w:rFonts w:hint="eastAsia" w:ascii="楷体_GB2312" w:hAnsi="宋体" w:eastAsia="楷体_GB2312"/>
          <w:color w:val="000000"/>
          <w:sz w:val="24"/>
          <w:lang w:val="en-US" w:eastAsia="zh-CN"/>
        </w:rPr>
        <w:t>1</w:t>
      </w:r>
      <w:permEnd w:id="3"/>
      <w:r>
        <w:rPr>
          <w:rFonts w:hint="eastAsia" w:ascii="楷体_GB2312" w:hAnsi="宋体" w:eastAsia="楷体_GB2312"/>
          <w:color w:val="000000"/>
          <w:sz w:val="24"/>
          <w:lang w:eastAsia="zh-CN"/>
        </w:rPr>
        <w:t>号理财产品</w:t>
      </w:r>
      <w:r>
        <w:rPr>
          <w:rFonts w:hint="eastAsia" w:ascii="楷体_GB2312" w:hAnsi="宋体" w:eastAsia="楷体_GB2312"/>
          <w:color w:val="000000"/>
          <w:sz w:val="24"/>
          <w:highlight w:val="none"/>
        </w:rPr>
        <w:t>。</w:t>
      </w:r>
    </w:p>
    <w:p>
      <w:pPr>
        <w:ind w:firstLine="480" w:firstLineChars="200"/>
        <w:rPr>
          <w:rFonts w:ascii="楷体_GB2312" w:hAnsi="宋体" w:eastAsia="楷体_GB2312"/>
          <w:color w:val="000000"/>
          <w:sz w:val="24"/>
          <w:highlight w:val="none"/>
        </w:rPr>
      </w:pPr>
      <w:r>
        <w:rPr>
          <w:rFonts w:hint="eastAsia" w:ascii="楷体_GB2312" w:hAnsi="宋体" w:eastAsia="楷体_GB2312"/>
          <w:color w:val="000000"/>
          <w:sz w:val="24"/>
          <w:highlight w:val="none"/>
        </w:rPr>
        <w:t>2.理财产品份额/产品份额：指投资者持有</w:t>
      </w:r>
      <w:r>
        <w:rPr>
          <w:rFonts w:hint="eastAsia" w:ascii="楷体_GB2312" w:hAnsi="宋体" w:eastAsia="楷体_GB2312"/>
          <w:color w:val="000000"/>
          <w:sz w:val="24"/>
          <w:highlight w:val="none"/>
          <w:lang w:eastAsia="zh-CN"/>
        </w:rPr>
        <w:t>本理财产品</w:t>
      </w:r>
      <w:r>
        <w:rPr>
          <w:rFonts w:hint="eastAsia" w:ascii="楷体_GB2312" w:hAnsi="宋体" w:eastAsia="楷体_GB2312"/>
          <w:color w:val="000000"/>
          <w:sz w:val="24"/>
          <w:highlight w:val="none"/>
        </w:rPr>
        <w:t>的单位数额。投资者基于其所持有的</w:t>
      </w:r>
      <w:r>
        <w:rPr>
          <w:rFonts w:hint="eastAsia" w:ascii="楷体_GB2312" w:hAnsi="宋体" w:eastAsia="楷体_GB2312"/>
          <w:color w:val="000000"/>
          <w:sz w:val="24"/>
          <w:highlight w:val="none"/>
          <w:lang w:val="en-US" w:eastAsia="zh-CN"/>
        </w:rPr>
        <w:t>本</w:t>
      </w:r>
      <w:r>
        <w:rPr>
          <w:rFonts w:hint="eastAsia" w:ascii="楷体_GB2312" w:hAnsi="宋体" w:eastAsia="楷体_GB2312"/>
          <w:color w:val="000000"/>
          <w:sz w:val="24"/>
          <w:highlight w:val="none"/>
        </w:rPr>
        <w:t>理财产品单位数额享有</w:t>
      </w:r>
      <w:r>
        <w:rPr>
          <w:rFonts w:hint="eastAsia" w:ascii="楷体_GB2312" w:hAnsi="宋体" w:eastAsia="楷体_GB2312"/>
          <w:color w:val="000000"/>
          <w:sz w:val="24"/>
          <w:highlight w:val="none"/>
          <w:lang w:eastAsia="zh-CN"/>
        </w:rPr>
        <w:t>本</w:t>
      </w:r>
      <w:r>
        <w:rPr>
          <w:rFonts w:hint="eastAsia" w:ascii="楷体_GB2312" w:hAnsi="宋体" w:eastAsia="楷体_GB2312"/>
          <w:color w:val="000000"/>
          <w:sz w:val="24"/>
          <w:highlight w:val="none"/>
        </w:rPr>
        <w:t>理财产品收益、承担</w:t>
      </w:r>
      <w:r>
        <w:rPr>
          <w:rFonts w:hint="eastAsia" w:ascii="楷体_GB2312" w:hAnsi="宋体" w:eastAsia="楷体_GB2312"/>
          <w:color w:val="000000"/>
          <w:sz w:val="24"/>
          <w:highlight w:val="none"/>
          <w:lang w:eastAsia="zh-CN"/>
        </w:rPr>
        <w:t>本</w:t>
      </w:r>
      <w:r>
        <w:rPr>
          <w:rFonts w:hint="eastAsia" w:ascii="楷体_GB2312" w:hAnsi="宋体" w:eastAsia="楷体_GB2312"/>
          <w:color w:val="000000"/>
          <w:sz w:val="24"/>
          <w:highlight w:val="none"/>
        </w:rPr>
        <w:t>理财产品风险。</w:t>
      </w:r>
    </w:p>
    <w:p>
      <w:pPr>
        <w:ind w:firstLine="480" w:firstLineChars="200"/>
        <w:rPr>
          <w:rFonts w:ascii="楷体_GB2312" w:hAnsi="宋体" w:eastAsia="楷体_GB2312"/>
          <w:color w:val="000000"/>
          <w:sz w:val="24"/>
          <w:highlight w:val="none"/>
        </w:rPr>
      </w:pPr>
      <w:r>
        <w:rPr>
          <w:rFonts w:hint="eastAsia" w:ascii="楷体_GB2312" w:hAnsi="楷体" w:eastAsia="楷体_GB2312"/>
          <w:sz w:val="24"/>
          <w:highlight w:val="none"/>
        </w:rPr>
        <w:t>★</w:t>
      </w:r>
      <w:r>
        <w:rPr>
          <w:rFonts w:hint="eastAsia" w:ascii="楷体_GB2312" w:hAnsi="宋体" w:eastAsia="楷体_GB2312"/>
          <w:color w:val="000000"/>
          <w:sz w:val="24"/>
          <w:highlight w:val="none"/>
        </w:rPr>
        <w:t>3</w:t>
      </w:r>
      <w:r>
        <w:rPr>
          <w:rFonts w:ascii="楷体_GB2312" w:hAnsi="宋体" w:eastAsia="楷体_GB2312"/>
          <w:color w:val="000000"/>
          <w:sz w:val="24"/>
          <w:highlight w:val="none"/>
        </w:rPr>
        <w:t>.</w:t>
      </w:r>
      <w:r>
        <w:rPr>
          <w:rFonts w:hint="eastAsia" w:ascii="楷体_GB2312" w:hAnsi="宋体" w:eastAsia="楷体_GB2312"/>
          <w:color w:val="000000"/>
          <w:sz w:val="24"/>
          <w:highlight w:val="none"/>
        </w:rPr>
        <w:t>理财产品份额类别/产品份额类别：指根据投资者购买</w:t>
      </w:r>
      <w:r>
        <w:rPr>
          <w:rFonts w:hint="eastAsia" w:ascii="楷体_GB2312" w:hAnsi="宋体" w:eastAsia="楷体_GB2312"/>
          <w:color w:val="000000"/>
          <w:sz w:val="24"/>
          <w:highlight w:val="none"/>
          <w:lang w:eastAsia="zh-CN"/>
        </w:rPr>
        <w:t>本</w:t>
      </w:r>
      <w:r>
        <w:rPr>
          <w:rFonts w:hint="eastAsia" w:ascii="楷体_GB2312" w:hAnsi="宋体" w:eastAsia="楷体_GB2312"/>
          <w:color w:val="000000"/>
          <w:sz w:val="24"/>
          <w:highlight w:val="none"/>
        </w:rPr>
        <w:t>理财产品的金额、</w:t>
      </w:r>
      <w:r>
        <w:rPr>
          <w:rFonts w:hint="eastAsia" w:ascii="楷体_GB2312" w:hAnsi="宋体" w:eastAsia="楷体_GB2312"/>
          <w:color w:val="000000"/>
          <w:sz w:val="24"/>
          <w:highlight w:val="none"/>
          <w:lang w:val="en-US" w:eastAsia="zh-CN"/>
        </w:rPr>
        <w:t>渠道客群</w:t>
      </w:r>
      <w:r>
        <w:rPr>
          <w:rFonts w:hint="eastAsia" w:ascii="楷体_GB2312" w:hAnsi="宋体" w:eastAsia="楷体_GB2312"/>
          <w:color w:val="000000"/>
          <w:sz w:val="24"/>
          <w:highlight w:val="none"/>
        </w:rPr>
        <w:t>、代销机构等因素，对</w:t>
      </w:r>
      <w:r>
        <w:rPr>
          <w:rFonts w:hint="eastAsia" w:ascii="楷体_GB2312" w:hAnsi="宋体" w:eastAsia="楷体_GB2312"/>
          <w:color w:val="000000"/>
          <w:sz w:val="24"/>
          <w:highlight w:val="none"/>
          <w:lang w:eastAsia="zh-CN"/>
        </w:rPr>
        <w:t>本</w:t>
      </w:r>
      <w:r>
        <w:rPr>
          <w:rFonts w:hint="eastAsia" w:ascii="楷体_GB2312" w:hAnsi="宋体" w:eastAsia="楷体_GB2312"/>
          <w:color w:val="000000"/>
          <w:sz w:val="24"/>
          <w:highlight w:val="none"/>
        </w:rPr>
        <w:t>理财产品份额设置不同的理财产品份额类别。</w:t>
      </w:r>
      <w:bookmarkStart w:id="0" w:name="_Hlk146058411"/>
      <w:r>
        <w:rPr>
          <w:rFonts w:hint="eastAsia" w:ascii="楷体_GB2312" w:hAnsi="宋体" w:eastAsia="楷体_GB2312"/>
          <w:color w:val="000000"/>
          <w:sz w:val="24"/>
          <w:highlight w:val="none"/>
          <w:lang w:eastAsia="zh-CN"/>
        </w:rPr>
        <w:t>产品管理人</w:t>
      </w:r>
      <w:r>
        <w:rPr>
          <w:rFonts w:hint="eastAsia" w:ascii="楷体_GB2312" w:hAnsi="宋体" w:eastAsia="楷体_GB2312"/>
          <w:color w:val="000000"/>
          <w:sz w:val="24"/>
          <w:highlight w:val="none"/>
        </w:rPr>
        <w:t>有权对</w:t>
      </w:r>
      <w:bookmarkEnd w:id="0"/>
      <w:r>
        <w:rPr>
          <w:rFonts w:hint="eastAsia" w:ascii="楷体_GB2312" w:hAnsi="宋体" w:eastAsia="楷体_GB2312"/>
          <w:color w:val="000000"/>
          <w:sz w:val="24"/>
          <w:highlight w:val="none"/>
        </w:rPr>
        <w:t>各类产品份额分设不同的销售名称及销售代码，分别设置钞汇标志、代销机构、</w:t>
      </w:r>
      <w:r>
        <w:rPr>
          <w:rFonts w:hint="eastAsia" w:ascii="楷体_GB2312" w:hAnsi="宋体" w:eastAsia="楷体_GB2312"/>
          <w:color w:val="000000"/>
          <w:sz w:val="24"/>
          <w:highlight w:val="none"/>
          <w:lang w:val="en-US" w:eastAsia="zh-CN"/>
        </w:rPr>
        <w:t>渠道客群</w:t>
      </w:r>
      <w:r>
        <w:rPr>
          <w:rFonts w:hint="eastAsia" w:ascii="楷体_GB2312" w:hAnsi="宋体" w:eastAsia="楷体_GB2312"/>
          <w:color w:val="000000"/>
          <w:sz w:val="24"/>
          <w:highlight w:val="none"/>
        </w:rPr>
        <w:t>、销售手续费率、认购</w:t>
      </w:r>
      <w:r>
        <w:rPr>
          <w:rFonts w:ascii="楷体_GB2312" w:hAnsi="宋体" w:eastAsia="楷体_GB2312"/>
          <w:color w:val="000000"/>
          <w:sz w:val="24"/>
          <w:highlight w:val="none"/>
        </w:rPr>
        <w:t>/</w:t>
      </w:r>
      <w:r>
        <w:rPr>
          <w:rFonts w:hint="eastAsia" w:ascii="楷体_GB2312" w:hAnsi="宋体" w:eastAsia="楷体_GB2312"/>
          <w:color w:val="000000"/>
          <w:sz w:val="24"/>
          <w:highlight w:val="none"/>
        </w:rPr>
        <w:t>申购投资起点金额及递增金额、单笔最大购买金额、累计购买金额、最少赎回份额等认购</w:t>
      </w:r>
      <w:r>
        <w:rPr>
          <w:rFonts w:ascii="楷体_GB2312" w:hAnsi="宋体" w:eastAsia="楷体_GB2312"/>
          <w:color w:val="000000"/>
          <w:sz w:val="24"/>
          <w:highlight w:val="none"/>
        </w:rPr>
        <w:t>/</w:t>
      </w:r>
      <w:r>
        <w:rPr>
          <w:rFonts w:hint="eastAsia" w:ascii="楷体_GB2312" w:hAnsi="宋体" w:eastAsia="楷体_GB2312"/>
          <w:color w:val="000000"/>
          <w:sz w:val="24"/>
          <w:highlight w:val="none"/>
        </w:rPr>
        <w:t>申购和赎回的数量限制、最低持有份额</w:t>
      </w:r>
      <w:r>
        <w:rPr>
          <w:rFonts w:hint="eastAsia" w:ascii="楷体_GB2312" w:hAnsi="宋体" w:eastAsia="楷体_GB2312"/>
          <w:color w:val="000000"/>
          <w:sz w:val="24"/>
          <w:highlight w:val="none"/>
          <w:lang w:eastAsia="zh-CN"/>
        </w:rPr>
        <w:t>等</w:t>
      </w:r>
      <w:r>
        <w:rPr>
          <w:rFonts w:hint="eastAsia" w:ascii="楷体_GB2312" w:hAnsi="宋体" w:eastAsia="楷体_GB2312"/>
          <w:color w:val="000000"/>
          <w:sz w:val="24"/>
          <w:highlight w:val="none"/>
        </w:rPr>
        <w:t>。各类</w:t>
      </w:r>
      <w:r>
        <w:rPr>
          <w:rFonts w:hint="eastAsia" w:ascii="楷体_GB2312" w:hAnsi="宋体" w:eastAsia="楷体_GB2312"/>
          <w:color w:val="000000"/>
          <w:sz w:val="24"/>
          <w:highlight w:val="none"/>
          <w:lang w:eastAsia="zh-CN"/>
        </w:rPr>
        <w:t>产品</w:t>
      </w:r>
      <w:r>
        <w:rPr>
          <w:rFonts w:hint="eastAsia" w:ascii="楷体_GB2312" w:hAnsi="宋体" w:eastAsia="楷体_GB2312"/>
          <w:color w:val="000000"/>
          <w:sz w:val="24"/>
          <w:highlight w:val="none"/>
        </w:rPr>
        <w:t>份额的差异性约定在</w:t>
      </w:r>
      <w:r>
        <w:rPr>
          <w:rFonts w:hint="eastAsia" w:ascii="楷体_GB2312" w:hAnsi="宋体" w:eastAsia="楷体_GB2312"/>
          <w:color w:val="000000"/>
          <w:sz w:val="24"/>
          <w:highlight w:val="none"/>
          <w:lang w:val="en-US" w:eastAsia="zh-CN"/>
        </w:rPr>
        <w:t>本</w:t>
      </w:r>
      <w:r>
        <w:rPr>
          <w:rFonts w:hint="eastAsia" w:ascii="楷体_GB2312" w:hAnsi="宋体" w:eastAsia="楷体_GB2312"/>
          <w:color w:val="000000"/>
          <w:sz w:val="24"/>
          <w:highlight w:val="none"/>
          <w:lang w:eastAsia="zh-CN"/>
        </w:rPr>
        <w:t>《</w:t>
      </w:r>
      <w:r>
        <w:rPr>
          <w:rFonts w:hint="eastAsia" w:ascii="楷体_GB2312" w:hAnsi="宋体" w:eastAsia="楷体_GB2312"/>
          <w:color w:val="000000"/>
          <w:sz w:val="24"/>
          <w:highlight w:val="none"/>
        </w:rPr>
        <w:t>理财产品说明书</w:t>
      </w:r>
      <w:r>
        <w:rPr>
          <w:rFonts w:hint="eastAsia" w:ascii="楷体_GB2312" w:hAnsi="宋体" w:eastAsia="楷体_GB2312"/>
          <w:color w:val="000000"/>
          <w:sz w:val="24"/>
          <w:highlight w:val="none"/>
          <w:lang w:eastAsia="zh-CN"/>
        </w:rPr>
        <w:t>》</w:t>
      </w:r>
      <w:r>
        <w:rPr>
          <w:rFonts w:hint="eastAsia" w:ascii="楷体_GB2312" w:hAnsi="宋体" w:eastAsia="楷体_GB2312"/>
          <w:color w:val="000000"/>
          <w:sz w:val="24"/>
          <w:highlight w:val="none"/>
        </w:rPr>
        <w:t>中进行明确列举，除明确列举所适用</w:t>
      </w:r>
      <w:r>
        <w:rPr>
          <w:rFonts w:hint="eastAsia" w:ascii="楷体_GB2312" w:hAnsi="宋体" w:eastAsia="楷体_GB2312"/>
          <w:color w:val="000000"/>
          <w:sz w:val="24"/>
          <w:highlight w:val="none"/>
          <w:lang w:eastAsia="zh-CN"/>
        </w:rPr>
        <w:t>产品</w:t>
      </w:r>
      <w:r>
        <w:rPr>
          <w:rFonts w:hint="eastAsia" w:ascii="楷体_GB2312" w:hAnsi="宋体" w:eastAsia="楷体_GB2312"/>
          <w:color w:val="000000"/>
          <w:sz w:val="24"/>
          <w:highlight w:val="none"/>
        </w:rPr>
        <w:t>份额类别的条款外，</w:t>
      </w:r>
      <w:r>
        <w:rPr>
          <w:rFonts w:hint="eastAsia" w:ascii="楷体_GB2312" w:hAnsi="宋体" w:eastAsia="楷体_GB2312"/>
          <w:color w:val="000000"/>
          <w:sz w:val="24"/>
          <w:highlight w:val="none"/>
          <w:lang w:eastAsia="zh-CN"/>
        </w:rPr>
        <w:t>本理财产品销售文件</w:t>
      </w:r>
      <w:r>
        <w:rPr>
          <w:rFonts w:hint="eastAsia" w:ascii="楷体_GB2312" w:hAnsi="宋体" w:eastAsia="楷体_GB2312"/>
          <w:color w:val="000000"/>
          <w:sz w:val="24"/>
          <w:highlight w:val="none"/>
        </w:rPr>
        <w:t>其他条款均适用于全部份额。</w:t>
      </w:r>
    </w:p>
    <w:p>
      <w:pPr>
        <w:pStyle w:val="3"/>
        <w:ind w:left="0" w:leftChars="0" w:firstLine="480" w:firstLineChars="200"/>
        <w:rPr>
          <w:rFonts w:ascii="楷体_GB2312" w:hAnsi="宋体" w:eastAsia="楷体_GB2312"/>
          <w:color w:val="000000"/>
          <w:sz w:val="24"/>
          <w:highlight w:val="none"/>
        </w:rPr>
      </w:pPr>
      <w:r>
        <w:rPr>
          <w:rFonts w:hint="eastAsia" w:ascii="楷体_GB2312" w:hAnsi="楷体" w:eastAsia="楷体_GB2312"/>
          <w:sz w:val="24"/>
          <w:highlight w:val="none"/>
        </w:rPr>
        <w:t>★</w:t>
      </w:r>
      <w:r>
        <w:rPr>
          <w:rFonts w:hint="eastAsia" w:ascii="楷体_GB2312" w:hAnsi="宋体" w:eastAsia="楷体_GB2312"/>
          <w:color w:val="000000"/>
          <w:sz w:val="24"/>
          <w:highlight w:val="none"/>
        </w:rPr>
        <w:t>4</w:t>
      </w:r>
      <w:r>
        <w:rPr>
          <w:rFonts w:ascii="楷体_GB2312" w:hAnsi="宋体" w:eastAsia="楷体_GB2312"/>
          <w:color w:val="000000"/>
          <w:sz w:val="24"/>
          <w:highlight w:val="none"/>
        </w:rPr>
        <w:t>.</w:t>
      </w:r>
      <w:r>
        <w:rPr>
          <w:rFonts w:hint="eastAsia" w:ascii="楷体_GB2312" w:hAnsi="宋体" w:eastAsia="楷体_GB2312"/>
          <w:color w:val="000000"/>
          <w:sz w:val="24"/>
          <w:highlight w:val="none"/>
        </w:rPr>
        <w:t>产品销售名称：指本理财产品可能存在不同产品份额类别，</w:t>
      </w:r>
      <w:r>
        <w:rPr>
          <w:rFonts w:hint="eastAsia" w:ascii="楷体_GB2312" w:hAnsi="宋体" w:eastAsia="楷体_GB2312"/>
          <w:color w:val="000000"/>
          <w:sz w:val="24"/>
          <w:highlight w:val="none"/>
          <w:lang w:eastAsia="zh-CN"/>
        </w:rPr>
        <w:t>产品管理人</w:t>
      </w:r>
      <w:r>
        <w:rPr>
          <w:rFonts w:hint="eastAsia" w:ascii="楷体_GB2312" w:hAnsi="宋体" w:eastAsia="楷体_GB2312"/>
          <w:color w:val="000000"/>
          <w:sz w:val="24"/>
          <w:highlight w:val="none"/>
        </w:rPr>
        <w:t>在理财产品销售管理过程中为区分不同产品份额类别，在同一理财产品名称</w:t>
      </w:r>
      <w:r>
        <w:rPr>
          <w:rFonts w:hint="eastAsia" w:ascii="楷体_GB2312" w:hAnsi="宋体" w:eastAsia="楷体_GB2312"/>
          <w:color w:val="000000"/>
          <w:sz w:val="24"/>
          <w:highlight w:val="none"/>
          <w:lang w:eastAsia="zh-CN"/>
        </w:rPr>
        <w:t>项</w:t>
      </w:r>
      <w:r>
        <w:rPr>
          <w:rFonts w:hint="eastAsia" w:ascii="楷体_GB2312" w:hAnsi="宋体" w:eastAsia="楷体_GB2312"/>
          <w:color w:val="000000"/>
          <w:sz w:val="24"/>
          <w:highlight w:val="none"/>
        </w:rPr>
        <w:t>下设置的产品销售名称。</w:t>
      </w:r>
    </w:p>
    <w:p>
      <w:pPr>
        <w:ind w:firstLine="480" w:firstLineChars="200"/>
        <w:rPr>
          <w:rFonts w:ascii="楷体_GB2312" w:hAnsi="宋体" w:eastAsia="楷体_GB2312"/>
          <w:color w:val="000000"/>
          <w:sz w:val="24"/>
          <w:highlight w:val="none"/>
        </w:rPr>
      </w:pPr>
      <w:r>
        <w:rPr>
          <w:rFonts w:hint="eastAsia" w:ascii="楷体_GB2312" w:hAnsi="楷体" w:eastAsia="楷体_GB2312"/>
          <w:sz w:val="24"/>
          <w:highlight w:val="none"/>
        </w:rPr>
        <w:t>★</w:t>
      </w:r>
      <w:r>
        <w:rPr>
          <w:rFonts w:ascii="楷体_GB2312" w:hAnsi="宋体" w:eastAsia="楷体_GB2312"/>
          <w:color w:val="000000"/>
          <w:sz w:val="24"/>
          <w:highlight w:val="none"/>
        </w:rPr>
        <w:t>5.</w:t>
      </w:r>
      <w:r>
        <w:rPr>
          <w:rFonts w:hint="eastAsia" w:ascii="楷体_GB2312" w:hAnsi="宋体" w:eastAsia="楷体_GB2312"/>
          <w:color w:val="000000"/>
          <w:sz w:val="24"/>
          <w:highlight w:val="none"/>
        </w:rPr>
        <w:t>产品销售代码：指本理财产品可能存在不同产品份额类别，</w:t>
      </w:r>
      <w:r>
        <w:rPr>
          <w:rFonts w:hint="eastAsia" w:ascii="楷体_GB2312" w:hAnsi="宋体" w:eastAsia="楷体_GB2312"/>
          <w:color w:val="000000"/>
          <w:sz w:val="24"/>
          <w:highlight w:val="none"/>
          <w:lang w:eastAsia="zh-CN"/>
        </w:rPr>
        <w:t>产品管理人</w:t>
      </w:r>
      <w:r>
        <w:rPr>
          <w:rFonts w:hint="eastAsia" w:ascii="楷体_GB2312" w:hAnsi="宋体" w:eastAsia="楷体_GB2312"/>
          <w:color w:val="000000"/>
          <w:sz w:val="24"/>
          <w:highlight w:val="none"/>
        </w:rPr>
        <w:t>在理财产品销售管理过程中为区分不同产品份额类别，在同一理财产品登记编码项下设置的内部识别码。</w:t>
      </w:r>
    </w:p>
    <w:p>
      <w:pPr>
        <w:ind w:firstLine="480" w:firstLineChars="200"/>
        <w:rPr>
          <w:rFonts w:ascii="楷体_GB2312" w:hAnsi="宋体" w:eastAsia="楷体_GB2312"/>
          <w:color w:val="000000"/>
          <w:sz w:val="24"/>
          <w:highlight w:val="none"/>
        </w:rPr>
      </w:pPr>
      <w:r>
        <w:rPr>
          <w:rFonts w:hint="eastAsia" w:ascii="楷体_GB2312" w:hAnsi="宋体" w:eastAsia="楷体_GB2312"/>
          <w:color w:val="000000"/>
          <w:sz w:val="24"/>
          <w:highlight w:val="none"/>
          <w:lang w:val="en-US" w:eastAsia="zh-CN"/>
        </w:rPr>
        <w:t>6.</w:t>
      </w:r>
      <w:r>
        <w:rPr>
          <w:rFonts w:hint="eastAsia" w:ascii="楷体_GB2312" w:hAnsi="宋体" w:eastAsia="楷体_GB2312"/>
          <w:color w:val="000000"/>
          <w:sz w:val="24"/>
          <w:highlight w:val="none"/>
        </w:rPr>
        <w:t>理财产品资产净值/产品资产净值</w:t>
      </w:r>
      <w:r>
        <w:rPr>
          <w:rFonts w:hint="eastAsia" w:ascii="楷体_GB2312" w:hAnsi="宋体" w:eastAsia="楷体_GB2312"/>
          <w:color w:val="000000"/>
          <w:sz w:val="24"/>
          <w:highlight w:val="none"/>
          <w:lang w:val="en-US" w:eastAsia="zh-CN"/>
        </w:rPr>
        <w:t>/净资产</w:t>
      </w:r>
      <w:r>
        <w:rPr>
          <w:rFonts w:hint="eastAsia" w:ascii="楷体_GB2312" w:hAnsi="宋体" w:eastAsia="楷体_GB2312"/>
          <w:color w:val="000000"/>
          <w:sz w:val="24"/>
          <w:highlight w:val="none"/>
        </w:rPr>
        <w:t>：指产品资产总值减去产品负债总值后的净值。产品资产总值是指</w:t>
      </w:r>
      <w:r>
        <w:rPr>
          <w:rFonts w:hint="eastAsia" w:ascii="楷体_GB2312" w:hAnsi="宋体" w:eastAsia="楷体_GB2312"/>
          <w:color w:val="000000"/>
          <w:sz w:val="24"/>
          <w:highlight w:val="none"/>
          <w:lang w:val="en-US" w:eastAsia="zh-CN"/>
        </w:rPr>
        <w:t>本理财</w:t>
      </w:r>
      <w:r>
        <w:rPr>
          <w:rFonts w:hint="eastAsia" w:ascii="楷体_GB2312" w:hAnsi="宋体" w:eastAsia="楷体_GB2312"/>
          <w:color w:val="000000"/>
          <w:sz w:val="24"/>
          <w:highlight w:val="none"/>
        </w:rPr>
        <w:t>产品拥有的各类有价证券、银行存款、应收款项及其他资产的价值总和。产品负债总值是指</w:t>
      </w:r>
      <w:r>
        <w:rPr>
          <w:rFonts w:hint="eastAsia" w:ascii="楷体_GB2312" w:hAnsi="宋体" w:eastAsia="楷体_GB2312"/>
          <w:color w:val="000000"/>
          <w:sz w:val="24"/>
          <w:highlight w:val="none"/>
          <w:lang w:val="en-US" w:eastAsia="zh-CN"/>
        </w:rPr>
        <w:t>本理财</w:t>
      </w:r>
      <w:r>
        <w:rPr>
          <w:rFonts w:hint="eastAsia" w:ascii="楷体_GB2312" w:hAnsi="宋体" w:eastAsia="楷体_GB2312"/>
          <w:color w:val="000000"/>
          <w:sz w:val="24"/>
          <w:highlight w:val="none"/>
        </w:rPr>
        <w:t>产品运作及融资时形成的负债价值总和，包括融资资金本息、应付各项费用（包括销售手续费、固定管理费、托管费、超额业绩报酬</w:t>
      </w:r>
      <w:r>
        <w:rPr>
          <w:rFonts w:hint="eastAsia" w:ascii="楷体_GB2312" w:hAnsi="宋体" w:eastAsia="楷体_GB2312"/>
          <w:color w:val="000000"/>
          <w:sz w:val="24"/>
          <w:highlight w:val="none"/>
          <w:lang w:eastAsia="zh-CN"/>
        </w:rPr>
        <w:t>（</w:t>
      </w:r>
      <w:r>
        <w:rPr>
          <w:rFonts w:hint="eastAsia" w:ascii="楷体_GB2312" w:hAnsi="宋体" w:eastAsia="楷体_GB2312"/>
          <w:color w:val="000000"/>
          <w:sz w:val="24"/>
          <w:highlight w:val="none"/>
          <w:lang w:val="en-US" w:eastAsia="zh-CN"/>
        </w:rPr>
        <w:t>若有</w:t>
      </w:r>
      <w:r>
        <w:rPr>
          <w:rFonts w:hint="eastAsia" w:ascii="楷体_GB2312" w:hAnsi="宋体" w:eastAsia="楷体_GB2312"/>
          <w:color w:val="000000"/>
          <w:sz w:val="24"/>
          <w:highlight w:val="none"/>
          <w:lang w:eastAsia="zh-CN"/>
        </w:rPr>
        <w:t>）</w:t>
      </w:r>
      <w:r>
        <w:rPr>
          <w:rFonts w:hint="eastAsia" w:ascii="楷体_GB2312" w:hAnsi="宋体" w:eastAsia="楷体_GB2312"/>
          <w:color w:val="000000"/>
          <w:sz w:val="24"/>
          <w:highlight w:val="none"/>
        </w:rPr>
        <w:t>以及其他费用等）、应付税金及其他应付款项等。</w:t>
      </w:r>
    </w:p>
    <w:p>
      <w:pPr>
        <w:ind w:firstLine="477" w:firstLineChars="199"/>
        <w:rPr>
          <w:rFonts w:ascii="楷体_GB2312" w:hAnsi="宋体" w:eastAsia="楷体_GB2312"/>
          <w:color w:val="000000"/>
          <w:sz w:val="24"/>
          <w:highlight w:val="none"/>
        </w:rPr>
      </w:pPr>
      <w:r>
        <w:rPr>
          <w:rFonts w:hint="eastAsia" w:ascii="楷体_GB2312" w:hAnsi="宋体" w:eastAsia="楷体_GB2312"/>
          <w:color w:val="000000"/>
          <w:sz w:val="24"/>
          <w:highlight w:val="none"/>
          <w:lang w:val="en-US" w:eastAsia="zh-CN"/>
        </w:rPr>
        <w:t>7</w:t>
      </w:r>
      <w:r>
        <w:rPr>
          <w:rFonts w:hint="eastAsia" w:ascii="楷体_GB2312" w:hAnsi="宋体" w:eastAsia="楷体_GB2312"/>
          <w:color w:val="000000"/>
          <w:sz w:val="24"/>
          <w:highlight w:val="none"/>
        </w:rPr>
        <w:t>.理财产品单位净值/产品单位净值</w:t>
      </w:r>
      <w:r>
        <w:rPr>
          <w:rFonts w:hint="default" w:ascii="楷体_GB2312" w:hAnsi="宋体" w:eastAsia="楷体_GB2312"/>
          <w:color w:val="000000"/>
          <w:sz w:val="24"/>
          <w:highlight w:val="none"/>
          <w:lang w:val="en-US"/>
        </w:rPr>
        <w:t>/</w:t>
      </w:r>
      <w:r>
        <w:rPr>
          <w:rFonts w:hint="eastAsia" w:ascii="楷体_GB2312" w:hAnsi="宋体" w:eastAsia="楷体_GB2312"/>
          <w:color w:val="000000"/>
          <w:sz w:val="24"/>
          <w:highlight w:val="none"/>
          <w:lang w:val="en-US" w:eastAsia="zh-CN"/>
        </w:rPr>
        <w:t>产品份额净值</w:t>
      </w:r>
      <w:r>
        <w:rPr>
          <w:rFonts w:hint="eastAsia" w:ascii="楷体_GB2312" w:hAnsi="宋体" w:eastAsia="楷体_GB2312"/>
          <w:color w:val="000000"/>
          <w:sz w:val="24"/>
          <w:highlight w:val="none"/>
        </w:rPr>
        <w:t>：指</w:t>
      </w:r>
      <w:r>
        <w:rPr>
          <w:rFonts w:hint="eastAsia" w:ascii="楷体_GB2312" w:hAnsi="宋体" w:eastAsia="楷体_GB2312"/>
          <w:color w:val="000000"/>
          <w:sz w:val="24"/>
          <w:highlight w:val="none"/>
          <w:lang w:val="en-US" w:eastAsia="zh-CN"/>
        </w:rPr>
        <w:t>本</w:t>
      </w:r>
      <w:r>
        <w:rPr>
          <w:rFonts w:hint="eastAsia" w:ascii="楷体_GB2312" w:hAnsi="宋体" w:eastAsia="楷体_GB2312"/>
          <w:color w:val="000000"/>
          <w:sz w:val="24"/>
          <w:highlight w:val="none"/>
        </w:rPr>
        <w:t>理财产品份额的单位净值，即每1份理财产品份额以人民币计价的价格。理财产品单位净值=当日产品资产净值/当日产品份额总额，</w:t>
      </w:r>
      <w:r>
        <w:rPr>
          <w:rFonts w:hint="eastAsia" w:ascii="楷体_GB2312" w:hAnsi="宋体" w:eastAsia="楷体_GB2312"/>
          <w:b w:val="0"/>
          <w:bCs w:val="0"/>
          <w:color w:val="000000"/>
          <w:sz w:val="24"/>
          <w:highlight w:val="none"/>
        </w:rPr>
        <w:t>单位净值保留至小数点后六位（舍位法），</w:t>
      </w:r>
      <w:r>
        <w:rPr>
          <w:rFonts w:hint="eastAsia" w:ascii="楷体_GB2312" w:hAnsi="宋体" w:eastAsia="楷体_GB2312"/>
          <w:color w:val="000000"/>
          <w:sz w:val="24"/>
          <w:highlight w:val="none"/>
        </w:rPr>
        <w:t>小数点后第七位及之后数值舍去（不进行四舍五入）</w:t>
      </w:r>
      <w:r>
        <w:rPr>
          <w:rFonts w:hint="eastAsia" w:ascii="楷体_GB2312" w:hAnsi="宋体" w:eastAsia="楷体_GB2312"/>
          <w:color w:val="000000"/>
          <w:sz w:val="24"/>
          <w:highlight w:val="none"/>
          <w:lang w:eastAsia="zh-CN"/>
        </w:rPr>
        <w:t>。</w:t>
      </w:r>
      <w:r>
        <w:rPr>
          <w:rFonts w:hint="eastAsia" w:ascii="楷体_GB2312" w:hAnsi="宋体" w:eastAsia="楷体_GB2312"/>
          <w:color w:val="000000"/>
          <w:sz w:val="24"/>
          <w:highlight w:val="none"/>
        </w:rPr>
        <w:t>投资者按理财产品单位净值进行</w:t>
      </w:r>
      <w:r>
        <w:rPr>
          <w:rFonts w:hint="eastAsia" w:ascii="楷体_GB2312" w:hAnsi="宋体" w:eastAsia="楷体_GB2312"/>
          <w:color w:val="000000"/>
          <w:sz w:val="24"/>
          <w:highlight w:val="none"/>
          <w:lang w:val="en-US" w:eastAsia="zh-CN"/>
        </w:rPr>
        <w:t>本</w:t>
      </w:r>
      <w:r>
        <w:rPr>
          <w:rFonts w:hint="eastAsia" w:ascii="楷体_GB2312" w:hAnsi="宋体" w:eastAsia="楷体_GB2312"/>
          <w:color w:val="000000"/>
          <w:sz w:val="24"/>
          <w:highlight w:val="none"/>
        </w:rPr>
        <w:t>理财产品</w:t>
      </w:r>
      <w:r>
        <w:rPr>
          <w:rFonts w:hint="eastAsia" w:ascii="楷体_GB2312" w:hAnsi="宋体" w:eastAsia="楷体_GB2312"/>
          <w:color w:val="000000"/>
          <w:sz w:val="24"/>
          <w:highlight w:val="none"/>
          <w:lang w:val="en-US" w:eastAsia="zh-CN"/>
        </w:rPr>
        <w:t>的认（申）</w:t>
      </w:r>
      <w:r>
        <w:rPr>
          <w:rFonts w:hint="eastAsia" w:ascii="楷体_GB2312" w:hAnsi="宋体" w:eastAsia="楷体_GB2312"/>
          <w:color w:val="000000"/>
          <w:sz w:val="24"/>
          <w:highlight w:val="none"/>
        </w:rPr>
        <w:t>购、赎回和获得</w:t>
      </w:r>
      <w:r>
        <w:rPr>
          <w:rFonts w:hint="eastAsia" w:ascii="楷体_GB2312" w:hAnsi="宋体" w:eastAsia="楷体_GB2312"/>
          <w:color w:val="000000"/>
          <w:sz w:val="24"/>
          <w:highlight w:val="none"/>
          <w:lang w:val="en-US" w:eastAsia="zh-CN"/>
        </w:rPr>
        <w:t>本理财</w:t>
      </w:r>
      <w:r>
        <w:rPr>
          <w:rFonts w:hint="eastAsia" w:ascii="楷体_GB2312" w:hAnsi="宋体" w:eastAsia="楷体_GB2312"/>
          <w:color w:val="000000"/>
          <w:sz w:val="24"/>
          <w:highlight w:val="none"/>
        </w:rPr>
        <w:t>产品终止时的分配。</w:t>
      </w:r>
    </w:p>
    <w:p>
      <w:pPr>
        <w:ind w:left="13" w:leftChars="6" w:firstLine="463" w:firstLineChars="193"/>
        <w:rPr>
          <w:rFonts w:ascii="楷体_GB2312" w:hAnsi="宋体" w:eastAsia="楷体_GB2312"/>
          <w:color w:val="000000"/>
          <w:sz w:val="24"/>
          <w:highlight w:val="none"/>
        </w:rPr>
      </w:pPr>
      <w:r>
        <w:rPr>
          <w:rFonts w:hint="eastAsia" w:ascii="楷体_GB2312" w:hAnsi="宋体" w:eastAsia="楷体_GB2312"/>
          <w:color w:val="000000"/>
          <w:sz w:val="24"/>
          <w:highlight w:val="none"/>
          <w:lang w:val="en-US" w:eastAsia="zh-CN"/>
        </w:rPr>
        <w:t>8</w:t>
      </w:r>
      <w:r>
        <w:rPr>
          <w:rFonts w:hint="eastAsia" w:ascii="楷体_GB2312" w:hAnsi="宋体" w:eastAsia="楷体_GB2312"/>
          <w:color w:val="000000"/>
          <w:sz w:val="24"/>
          <w:highlight w:val="none"/>
        </w:rPr>
        <w:t>.理财产品单位累计净值/产品单位累计净值</w:t>
      </w:r>
      <w:r>
        <w:rPr>
          <w:rFonts w:hint="default" w:ascii="楷体_GB2312" w:hAnsi="宋体" w:eastAsia="楷体_GB2312"/>
          <w:color w:val="000000"/>
          <w:sz w:val="24"/>
          <w:highlight w:val="none"/>
          <w:lang w:val="en-US"/>
        </w:rPr>
        <w:t>/</w:t>
      </w:r>
      <w:r>
        <w:rPr>
          <w:rFonts w:hint="eastAsia" w:ascii="楷体_GB2312" w:hAnsi="宋体" w:eastAsia="楷体_GB2312"/>
          <w:color w:val="000000"/>
          <w:sz w:val="24"/>
          <w:highlight w:val="none"/>
          <w:lang w:val="en-US" w:eastAsia="zh-CN"/>
        </w:rPr>
        <w:t>产品份额累计净值</w:t>
      </w:r>
      <w:r>
        <w:rPr>
          <w:rFonts w:hint="eastAsia" w:ascii="楷体_GB2312" w:hAnsi="宋体" w:eastAsia="楷体_GB2312"/>
          <w:color w:val="000000"/>
          <w:sz w:val="24"/>
          <w:highlight w:val="none"/>
        </w:rPr>
        <w:t>：指</w:t>
      </w:r>
      <w:r>
        <w:rPr>
          <w:rFonts w:hint="eastAsia" w:ascii="楷体_GB2312" w:hAnsi="宋体" w:eastAsia="楷体_GB2312"/>
          <w:color w:val="000000"/>
          <w:sz w:val="24"/>
          <w:highlight w:val="none"/>
          <w:lang w:val="en-US" w:eastAsia="zh-CN"/>
        </w:rPr>
        <w:t>本</w:t>
      </w:r>
      <w:r>
        <w:rPr>
          <w:rFonts w:hint="eastAsia" w:ascii="楷体_GB2312" w:hAnsi="宋体" w:eastAsia="楷体_GB2312"/>
          <w:color w:val="000000"/>
          <w:sz w:val="24"/>
          <w:highlight w:val="none"/>
        </w:rPr>
        <w:t>理财产品</w:t>
      </w:r>
      <w:r>
        <w:rPr>
          <w:rFonts w:ascii="楷体_GB2312" w:hAnsi="宋体" w:eastAsia="楷体_GB2312"/>
          <w:color w:val="000000"/>
          <w:sz w:val="24"/>
          <w:highlight w:val="none"/>
        </w:rPr>
        <w:t>单位</w:t>
      </w:r>
      <w:r>
        <w:rPr>
          <w:rFonts w:hint="eastAsia" w:ascii="楷体_GB2312" w:hAnsi="宋体" w:eastAsia="楷体_GB2312"/>
          <w:color w:val="000000"/>
          <w:sz w:val="24"/>
          <w:highlight w:val="none"/>
        </w:rPr>
        <w:t>净值</w:t>
      </w:r>
      <w:r>
        <w:rPr>
          <w:rFonts w:ascii="楷体_GB2312" w:hAnsi="宋体" w:eastAsia="楷体_GB2312"/>
          <w:color w:val="000000"/>
          <w:sz w:val="24"/>
          <w:highlight w:val="none"/>
        </w:rPr>
        <w:t>累加每</w:t>
      </w:r>
      <w:r>
        <w:rPr>
          <w:rFonts w:hint="eastAsia" w:ascii="楷体_GB2312" w:hAnsi="宋体" w:eastAsia="楷体_GB2312"/>
          <w:color w:val="000000"/>
          <w:sz w:val="24"/>
          <w:highlight w:val="none"/>
        </w:rPr>
        <w:t>1份理财产品份额自</w:t>
      </w:r>
      <w:r>
        <w:rPr>
          <w:rFonts w:hint="eastAsia" w:ascii="楷体_GB2312" w:hAnsi="宋体" w:eastAsia="楷体_GB2312"/>
          <w:color w:val="000000"/>
          <w:sz w:val="24"/>
          <w:highlight w:val="none"/>
          <w:lang w:val="en-US" w:eastAsia="zh-CN"/>
        </w:rPr>
        <w:t>本理财</w:t>
      </w:r>
      <w:r>
        <w:rPr>
          <w:rFonts w:hint="eastAsia" w:ascii="楷体_GB2312" w:hAnsi="宋体" w:eastAsia="楷体_GB2312"/>
          <w:color w:val="000000"/>
          <w:sz w:val="24"/>
          <w:highlight w:val="none"/>
        </w:rPr>
        <w:t>产品成立以来的分红除权的金额（若有）所得的每1份理财产品份额价值。</w:t>
      </w:r>
    </w:p>
    <w:p>
      <w:pPr>
        <w:ind w:left="13" w:leftChars="6" w:firstLine="465" w:firstLineChars="193"/>
        <w:rPr>
          <w:rFonts w:ascii="楷体_GB2312" w:hAnsi="宋体" w:eastAsia="楷体_GB2312"/>
          <w:color w:val="000000"/>
          <w:sz w:val="24"/>
          <w:highlight w:val="none"/>
        </w:rPr>
      </w:pPr>
      <w:r>
        <w:rPr>
          <w:rFonts w:hint="eastAsia" w:ascii="楷体_GB2312" w:hAnsi="宋体" w:eastAsia="楷体_GB2312"/>
          <w:b/>
          <w:bCs/>
          <w:color w:val="000000"/>
          <w:sz w:val="24"/>
          <w:highlight w:val="none"/>
          <w:lang w:val="en-US" w:eastAsia="zh-CN"/>
        </w:rPr>
        <w:t>9</w:t>
      </w:r>
      <w:r>
        <w:rPr>
          <w:rFonts w:hint="eastAsia" w:ascii="楷体_GB2312" w:hAnsi="宋体" w:eastAsia="楷体_GB2312"/>
          <w:b/>
          <w:bCs/>
          <w:color w:val="000000"/>
          <w:sz w:val="24"/>
          <w:highlight w:val="none"/>
        </w:rPr>
        <w:t>.业绩比较基准：</w:t>
      </w:r>
      <w:r>
        <w:rPr>
          <w:rFonts w:hint="eastAsia" w:ascii="楷体_GB2312" w:hAnsi="宋体" w:eastAsia="楷体_GB2312"/>
          <w:color w:val="000000"/>
          <w:sz w:val="24"/>
          <w:highlight w:val="none"/>
        </w:rPr>
        <w:t>指</w:t>
      </w:r>
      <w:r>
        <w:rPr>
          <w:rFonts w:hint="eastAsia" w:ascii="楷体_GB2312" w:hAnsi="宋体" w:eastAsia="楷体_GB2312"/>
          <w:color w:val="000000"/>
          <w:sz w:val="24"/>
          <w:highlight w:val="none"/>
          <w:lang w:val="en-US" w:eastAsia="zh-CN"/>
        </w:rPr>
        <w:t>产品</w:t>
      </w:r>
      <w:r>
        <w:rPr>
          <w:rFonts w:hint="eastAsia" w:ascii="楷体_GB2312" w:hAnsi="宋体" w:eastAsia="楷体_GB2312"/>
          <w:color w:val="000000"/>
          <w:sz w:val="24"/>
          <w:highlight w:val="none"/>
        </w:rPr>
        <w:t>管理人基于</w:t>
      </w:r>
      <w:r>
        <w:rPr>
          <w:rFonts w:hint="eastAsia" w:ascii="楷体_GB2312" w:hAnsi="宋体" w:eastAsia="楷体_GB2312"/>
          <w:color w:val="000000"/>
          <w:sz w:val="24"/>
          <w:highlight w:val="none"/>
          <w:lang w:val="en-US" w:eastAsia="zh-CN"/>
        </w:rPr>
        <w:t>产品性质、投资策略、</w:t>
      </w:r>
      <w:r>
        <w:rPr>
          <w:rFonts w:hint="eastAsia" w:ascii="楷体_GB2312" w:hAnsi="宋体" w:eastAsia="楷体_GB2312"/>
          <w:color w:val="000000"/>
          <w:sz w:val="24"/>
          <w:highlight w:val="none"/>
        </w:rPr>
        <w:t>过往投资经验及对产品存续期投资市场波动的预判而对本</w:t>
      </w:r>
      <w:r>
        <w:rPr>
          <w:rFonts w:hint="eastAsia" w:ascii="楷体_GB2312" w:hAnsi="宋体" w:eastAsia="楷体_GB2312"/>
          <w:color w:val="000000"/>
          <w:sz w:val="24"/>
          <w:highlight w:val="none"/>
          <w:lang w:val="en-US" w:eastAsia="zh-CN"/>
        </w:rPr>
        <w:t>理财</w:t>
      </w:r>
      <w:r>
        <w:rPr>
          <w:rFonts w:hint="eastAsia" w:ascii="楷体_GB2312" w:hAnsi="宋体" w:eastAsia="楷体_GB2312"/>
          <w:color w:val="000000"/>
          <w:sz w:val="24"/>
          <w:highlight w:val="none"/>
        </w:rPr>
        <w:t>产品所设定的投资目标。</w:t>
      </w:r>
      <w:r>
        <w:rPr>
          <w:rFonts w:hint="eastAsia" w:ascii="楷体_GB2312" w:hAnsi="宋体" w:eastAsia="楷体_GB2312"/>
          <w:b/>
          <w:bCs/>
          <w:color w:val="000000"/>
          <w:sz w:val="24"/>
          <w:highlight w:val="none"/>
        </w:rPr>
        <w:t>业绩比较基准</w:t>
      </w:r>
      <w:r>
        <w:rPr>
          <w:rFonts w:hint="eastAsia" w:ascii="楷体_GB2312" w:hAnsi="宋体" w:eastAsia="楷体_GB2312"/>
          <w:b/>
          <w:bCs/>
          <w:color w:val="000000"/>
          <w:sz w:val="24"/>
          <w:highlight w:val="none"/>
          <w:lang w:val="en-US" w:eastAsia="zh-CN"/>
        </w:rPr>
        <w:t>不是预期收益率，</w:t>
      </w:r>
      <w:r>
        <w:rPr>
          <w:rFonts w:hint="eastAsia" w:ascii="楷体_GB2312" w:hAnsi="宋体" w:eastAsia="楷体_GB2312"/>
          <w:b/>
          <w:bCs/>
          <w:color w:val="000000"/>
          <w:sz w:val="24"/>
          <w:highlight w:val="none"/>
        </w:rPr>
        <w:t>不代表本</w:t>
      </w:r>
      <w:r>
        <w:rPr>
          <w:rFonts w:hint="eastAsia" w:ascii="楷体_GB2312" w:hAnsi="宋体" w:eastAsia="楷体_GB2312"/>
          <w:b/>
          <w:bCs/>
          <w:color w:val="000000"/>
          <w:sz w:val="24"/>
          <w:highlight w:val="none"/>
          <w:lang w:val="en-US" w:eastAsia="zh-CN"/>
        </w:rPr>
        <w:t>理财</w:t>
      </w:r>
      <w:r>
        <w:rPr>
          <w:rFonts w:hint="eastAsia" w:ascii="楷体_GB2312" w:hAnsi="宋体" w:eastAsia="楷体_GB2312"/>
          <w:b/>
          <w:bCs/>
          <w:color w:val="000000"/>
          <w:sz w:val="24"/>
          <w:highlight w:val="none"/>
        </w:rPr>
        <w:t>产品的未来表现和实际收益，不</w:t>
      </w:r>
      <w:r>
        <w:rPr>
          <w:rFonts w:hint="eastAsia" w:ascii="楷体_GB2312" w:hAnsi="宋体" w:eastAsia="楷体_GB2312"/>
          <w:b/>
          <w:bCs/>
          <w:color w:val="000000"/>
          <w:sz w:val="24"/>
          <w:highlight w:val="none"/>
          <w:lang w:val="en-US" w:eastAsia="zh-CN"/>
        </w:rPr>
        <w:t>构成产品</w:t>
      </w:r>
      <w:r>
        <w:rPr>
          <w:rFonts w:hint="eastAsia" w:ascii="楷体_GB2312" w:hAnsi="宋体" w:eastAsia="楷体_GB2312"/>
          <w:b/>
          <w:bCs/>
          <w:color w:val="000000"/>
          <w:sz w:val="24"/>
          <w:highlight w:val="none"/>
        </w:rPr>
        <w:t>管理人对本</w:t>
      </w:r>
      <w:r>
        <w:rPr>
          <w:rFonts w:hint="eastAsia" w:ascii="楷体_GB2312" w:hAnsi="宋体" w:eastAsia="楷体_GB2312"/>
          <w:b/>
          <w:bCs/>
          <w:color w:val="000000"/>
          <w:sz w:val="24"/>
          <w:highlight w:val="none"/>
          <w:lang w:val="en-US" w:eastAsia="zh-CN"/>
        </w:rPr>
        <w:t>理财</w:t>
      </w:r>
      <w:r>
        <w:rPr>
          <w:rFonts w:hint="eastAsia" w:ascii="楷体_GB2312" w:hAnsi="宋体" w:eastAsia="楷体_GB2312"/>
          <w:b/>
          <w:bCs/>
          <w:color w:val="000000"/>
          <w:sz w:val="24"/>
          <w:highlight w:val="none"/>
        </w:rPr>
        <w:t>产品进行的收益承诺，投资须谨慎。</w:t>
      </w:r>
    </w:p>
    <w:p>
      <w:pPr>
        <w:ind w:left="13" w:leftChars="6" w:firstLine="463" w:firstLineChars="193"/>
        <w:rPr>
          <w:rFonts w:ascii="楷体_GB2312" w:hAnsi="宋体" w:eastAsia="楷体_GB2312"/>
          <w:color w:val="000000"/>
          <w:sz w:val="24"/>
          <w:highlight w:val="none"/>
        </w:rPr>
      </w:pPr>
      <w:r>
        <w:rPr>
          <w:rFonts w:hint="eastAsia" w:ascii="楷体_GB2312" w:hAnsi="宋体" w:eastAsia="楷体_GB2312"/>
          <w:color w:val="000000"/>
          <w:sz w:val="24"/>
          <w:highlight w:val="none"/>
          <w:lang w:val="en-US" w:eastAsia="zh-CN"/>
        </w:rPr>
        <w:t>10</w:t>
      </w:r>
      <w:r>
        <w:rPr>
          <w:rFonts w:hint="eastAsia" w:ascii="楷体_GB2312" w:hAnsi="宋体" w:eastAsia="楷体_GB2312"/>
          <w:color w:val="000000"/>
          <w:sz w:val="24"/>
          <w:highlight w:val="none"/>
        </w:rPr>
        <w:t>.理财产品估值：指计算评估</w:t>
      </w:r>
      <w:r>
        <w:rPr>
          <w:rFonts w:hint="eastAsia" w:ascii="楷体_GB2312" w:hAnsi="宋体" w:eastAsia="楷体_GB2312"/>
          <w:color w:val="000000"/>
          <w:sz w:val="24"/>
          <w:highlight w:val="none"/>
          <w:lang w:val="en-US" w:eastAsia="zh-CN"/>
        </w:rPr>
        <w:t>本</w:t>
      </w:r>
      <w:r>
        <w:rPr>
          <w:rFonts w:hint="eastAsia" w:ascii="楷体_GB2312" w:hAnsi="宋体" w:eastAsia="楷体_GB2312"/>
          <w:color w:val="000000"/>
          <w:sz w:val="24"/>
          <w:highlight w:val="none"/>
        </w:rPr>
        <w:t>理财产品资产以确定</w:t>
      </w:r>
      <w:r>
        <w:rPr>
          <w:rFonts w:hint="eastAsia" w:ascii="楷体_GB2312" w:hAnsi="宋体" w:eastAsia="楷体_GB2312"/>
          <w:color w:val="000000"/>
          <w:sz w:val="24"/>
          <w:highlight w:val="none"/>
          <w:lang w:val="en-US" w:eastAsia="zh-CN"/>
        </w:rPr>
        <w:t>本</w:t>
      </w:r>
      <w:r>
        <w:rPr>
          <w:rFonts w:hint="eastAsia" w:ascii="楷体_GB2312" w:hAnsi="宋体" w:eastAsia="楷体_GB2312"/>
          <w:color w:val="000000"/>
          <w:sz w:val="24"/>
          <w:highlight w:val="none"/>
        </w:rPr>
        <w:t>理财产品单位净值的过程。</w:t>
      </w:r>
    </w:p>
    <w:p>
      <w:pPr>
        <w:ind w:left="479" w:leftChars="228"/>
        <w:rPr>
          <w:rFonts w:ascii="楷体_GB2312" w:hAnsi="宋体" w:eastAsia="楷体_GB2312"/>
          <w:color w:val="000000"/>
          <w:sz w:val="24"/>
          <w:highlight w:val="none"/>
        </w:rPr>
      </w:pPr>
      <w:r>
        <w:rPr>
          <w:rFonts w:ascii="楷体_GB2312" w:hAnsi="宋体" w:eastAsia="楷体_GB2312"/>
          <w:color w:val="000000"/>
          <w:sz w:val="24"/>
          <w:highlight w:val="none"/>
        </w:rPr>
        <w:t>1</w:t>
      </w:r>
      <w:r>
        <w:rPr>
          <w:rFonts w:hint="eastAsia" w:ascii="楷体_GB2312" w:hAnsi="宋体" w:eastAsia="楷体_GB2312"/>
          <w:color w:val="000000"/>
          <w:sz w:val="24"/>
          <w:highlight w:val="none"/>
          <w:lang w:val="en-US" w:eastAsia="zh-CN"/>
        </w:rPr>
        <w:t>1</w:t>
      </w:r>
      <w:r>
        <w:rPr>
          <w:rFonts w:hint="eastAsia" w:ascii="楷体_GB2312" w:hAnsi="宋体" w:eastAsia="楷体_GB2312"/>
          <w:color w:val="000000"/>
          <w:sz w:val="24"/>
          <w:highlight w:val="none"/>
        </w:rPr>
        <w:t>.认购：指投资者在</w:t>
      </w:r>
      <w:r>
        <w:rPr>
          <w:rFonts w:hint="eastAsia" w:ascii="楷体_GB2312" w:hAnsi="宋体" w:eastAsia="楷体_GB2312"/>
          <w:color w:val="000000"/>
          <w:sz w:val="24"/>
          <w:highlight w:val="none"/>
          <w:lang w:val="en-US" w:eastAsia="zh-CN"/>
        </w:rPr>
        <w:t>本</w:t>
      </w:r>
      <w:r>
        <w:rPr>
          <w:rFonts w:hint="eastAsia" w:ascii="楷体_GB2312" w:hAnsi="宋体" w:eastAsia="楷体_GB2312"/>
          <w:color w:val="000000"/>
          <w:sz w:val="24"/>
          <w:highlight w:val="none"/>
        </w:rPr>
        <w:t>理财产品募集期内购买</w:t>
      </w:r>
      <w:r>
        <w:rPr>
          <w:rFonts w:hint="eastAsia" w:ascii="楷体_GB2312" w:hAnsi="宋体" w:eastAsia="楷体_GB2312"/>
          <w:color w:val="000000"/>
          <w:sz w:val="24"/>
          <w:highlight w:val="none"/>
          <w:lang w:val="en-US" w:eastAsia="zh-CN"/>
        </w:rPr>
        <w:t>本</w:t>
      </w:r>
      <w:r>
        <w:rPr>
          <w:rFonts w:hint="eastAsia" w:ascii="楷体_GB2312" w:hAnsi="宋体" w:eastAsia="楷体_GB2312"/>
          <w:color w:val="000000"/>
          <w:sz w:val="24"/>
          <w:highlight w:val="none"/>
        </w:rPr>
        <w:t>理财产品份额的行为。</w:t>
      </w:r>
    </w:p>
    <w:p>
      <w:pPr>
        <w:ind w:firstLine="477" w:firstLineChars="199"/>
        <w:rPr>
          <w:rFonts w:ascii="楷体_GB2312" w:hAnsi="宋体" w:eastAsia="楷体_GB2312"/>
          <w:color w:val="000000"/>
          <w:sz w:val="24"/>
          <w:highlight w:val="none"/>
        </w:rPr>
      </w:pPr>
      <w:r>
        <w:rPr>
          <w:rFonts w:ascii="楷体_GB2312" w:hAnsi="宋体" w:eastAsia="楷体_GB2312"/>
          <w:color w:val="000000"/>
          <w:sz w:val="24"/>
          <w:highlight w:val="none"/>
        </w:rPr>
        <w:t>1</w:t>
      </w:r>
      <w:r>
        <w:rPr>
          <w:rFonts w:hint="eastAsia" w:ascii="楷体_GB2312" w:hAnsi="宋体" w:eastAsia="楷体_GB2312"/>
          <w:color w:val="000000"/>
          <w:sz w:val="24"/>
          <w:highlight w:val="none"/>
          <w:lang w:val="en-US" w:eastAsia="zh-CN"/>
        </w:rPr>
        <w:t>2</w:t>
      </w:r>
      <w:r>
        <w:rPr>
          <w:rFonts w:hint="eastAsia" w:ascii="楷体_GB2312" w:hAnsi="宋体" w:eastAsia="楷体_GB2312"/>
          <w:color w:val="000000"/>
          <w:sz w:val="24"/>
          <w:highlight w:val="none"/>
        </w:rPr>
        <w:t>.申购：</w:t>
      </w:r>
      <w:r>
        <w:rPr>
          <w:rFonts w:eastAsia="楷体_GB2312"/>
          <w:color w:val="000000"/>
          <w:sz w:val="24"/>
          <w:highlight w:val="none"/>
        </w:rPr>
        <w:t>指投资者在</w:t>
      </w:r>
      <w:r>
        <w:rPr>
          <w:rFonts w:hint="eastAsia" w:ascii="楷体_GB2312" w:hAnsi="宋体" w:eastAsia="楷体_GB2312"/>
          <w:color w:val="000000"/>
          <w:sz w:val="24"/>
          <w:highlight w:val="none"/>
          <w:lang w:val="en-US" w:eastAsia="zh-CN"/>
        </w:rPr>
        <w:t>本</w:t>
      </w:r>
      <w:r>
        <w:rPr>
          <w:rFonts w:eastAsia="楷体_GB2312"/>
          <w:color w:val="000000"/>
          <w:sz w:val="24"/>
          <w:highlight w:val="none"/>
        </w:rPr>
        <w:t>理财产品开放</w:t>
      </w:r>
      <w:r>
        <w:rPr>
          <w:rFonts w:hint="eastAsia" w:eastAsia="楷体_GB2312"/>
          <w:color w:val="000000"/>
          <w:sz w:val="24"/>
          <w:highlight w:val="none"/>
          <w:lang w:val="en-US" w:eastAsia="zh-CN"/>
        </w:rPr>
        <w:t>日</w:t>
      </w:r>
      <w:r>
        <w:rPr>
          <w:rFonts w:eastAsia="楷体_GB2312"/>
          <w:color w:val="000000"/>
          <w:sz w:val="24"/>
          <w:highlight w:val="none"/>
        </w:rPr>
        <w:t>内</w:t>
      </w:r>
      <w:r>
        <w:rPr>
          <w:rFonts w:ascii="楷体_GB2312" w:hAnsi="宋体" w:eastAsia="楷体_GB2312"/>
          <w:color w:val="000000"/>
          <w:sz w:val="24"/>
          <w:highlight w:val="none"/>
        </w:rPr>
        <w:t>申请购买</w:t>
      </w:r>
      <w:r>
        <w:rPr>
          <w:rFonts w:hint="eastAsia" w:ascii="楷体_GB2312" w:hAnsi="宋体" w:eastAsia="楷体_GB2312"/>
          <w:color w:val="000000"/>
          <w:sz w:val="24"/>
          <w:highlight w:val="none"/>
          <w:lang w:val="en-US" w:eastAsia="zh-CN"/>
        </w:rPr>
        <w:t>本</w:t>
      </w:r>
      <w:r>
        <w:rPr>
          <w:rFonts w:ascii="楷体_GB2312" w:hAnsi="宋体" w:eastAsia="楷体_GB2312"/>
          <w:color w:val="000000"/>
          <w:sz w:val="24"/>
          <w:highlight w:val="none"/>
        </w:rPr>
        <w:t>理财产品份额的行为。</w:t>
      </w:r>
    </w:p>
    <w:p>
      <w:pPr>
        <w:ind w:firstLine="480" w:firstLineChars="200"/>
        <w:rPr>
          <w:rFonts w:hint="default" w:ascii="楷体_GB2312" w:hAnsi="宋体" w:eastAsia="楷体_GB2312"/>
          <w:color w:val="000000"/>
          <w:sz w:val="24"/>
          <w:highlight w:val="none"/>
          <w:lang w:val="en-US" w:eastAsia="zh-CN"/>
        </w:rPr>
      </w:pPr>
      <w:r>
        <w:rPr>
          <w:rFonts w:ascii="楷体_GB2312" w:hAnsi="宋体" w:eastAsia="楷体_GB2312"/>
          <w:color w:val="000000"/>
          <w:sz w:val="24"/>
          <w:highlight w:val="none"/>
        </w:rPr>
        <w:t>1</w:t>
      </w:r>
      <w:r>
        <w:rPr>
          <w:rFonts w:hint="eastAsia" w:ascii="楷体_GB2312" w:hAnsi="宋体" w:eastAsia="楷体_GB2312"/>
          <w:color w:val="000000"/>
          <w:sz w:val="24"/>
          <w:highlight w:val="none"/>
          <w:lang w:val="en-US" w:eastAsia="zh-CN"/>
        </w:rPr>
        <w:t>3</w:t>
      </w:r>
      <w:r>
        <w:rPr>
          <w:rFonts w:hint="eastAsia" w:ascii="楷体_GB2312" w:hAnsi="宋体" w:eastAsia="楷体_GB2312"/>
          <w:color w:val="000000"/>
          <w:sz w:val="24"/>
          <w:highlight w:val="none"/>
        </w:rPr>
        <w:t>.赎回：</w:t>
      </w:r>
      <w:r>
        <w:rPr>
          <w:rFonts w:ascii="楷体_GB2312" w:hAnsi="宋体" w:eastAsia="楷体_GB2312"/>
          <w:color w:val="000000"/>
          <w:sz w:val="24"/>
          <w:highlight w:val="none"/>
        </w:rPr>
        <w:t>指投资者在</w:t>
      </w:r>
      <w:r>
        <w:rPr>
          <w:rFonts w:hint="eastAsia" w:ascii="楷体_GB2312" w:hAnsi="宋体" w:eastAsia="楷体_GB2312"/>
          <w:color w:val="000000"/>
          <w:sz w:val="24"/>
          <w:highlight w:val="none"/>
          <w:lang w:val="en-US" w:eastAsia="zh-CN"/>
        </w:rPr>
        <w:t>本</w:t>
      </w:r>
      <w:r>
        <w:rPr>
          <w:rFonts w:ascii="楷体_GB2312" w:hAnsi="宋体" w:eastAsia="楷体_GB2312"/>
          <w:color w:val="000000"/>
          <w:sz w:val="24"/>
          <w:highlight w:val="none"/>
        </w:rPr>
        <w:t>理财产品开放</w:t>
      </w:r>
      <w:r>
        <w:rPr>
          <w:rFonts w:hint="eastAsia" w:ascii="楷体_GB2312" w:hAnsi="宋体" w:eastAsia="楷体_GB2312"/>
          <w:color w:val="000000"/>
          <w:sz w:val="24"/>
          <w:highlight w:val="none"/>
          <w:lang w:val="en-US" w:eastAsia="zh-CN"/>
        </w:rPr>
        <w:t>日</w:t>
      </w:r>
      <w:r>
        <w:rPr>
          <w:rFonts w:ascii="楷体_GB2312" w:hAnsi="宋体" w:eastAsia="楷体_GB2312"/>
          <w:color w:val="000000"/>
          <w:sz w:val="24"/>
          <w:highlight w:val="none"/>
        </w:rPr>
        <w:t>内申请卖出</w:t>
      </w:r>
      <w:r>
        <w:rPr>
          <w:rFonts w:hint="eastAsia" w:ascii="楷体_GB2312" w:hAnsi="宋体" w:eastAsia="楷体_GB2312"/>
          <w:color w:val="000000"/>
          <w:sz w:val="24"/>
          <w:highlight w:val="none"/>
          <w:lang w:val="en-US" w:eastAsia="zh-CN"/>
        </w:rPr>
        <w:t>本</w:t>
      </w:r>
      <w:r>
        <w:rPr>
          <w:rFonts w:ascii="楷体_GB2312" w:hAnsi="宋体" w:eastAsia="楷体_GB2312"/>
          <w:color w:val="000000"/>
          <w:sz w:val="24"/>
          <w:highlight w:val="none"/>
        </w:rPr>
        <w:t>理财产品份额的行为</w:t>
      </w:r>
      <w:r>
        <w:rPr>
          <w:rFonts w:hint="eastAsia" w:ascii="楷体_GB2312" w:hAnsi="宋体" w:eastAsia="楷体_GB2312"/>
          <w:color w:val="000000"/>
          <w:sz w:val="24"/>
          <w:highlight w:val="none"/>
          <w:lang w:eastAsia="zh-CN"/>
        </w:rPr>
        <w:t>，</w:t>
      </w:r>
      <w:r>
        <w:rPr>
          <w:rFonts w:hint="eastAsia" w:ascii="楷体_GB2312" w:hAnsi="宋体" w:eastAsia="楷体_GB2312"/>
          <w:color w:val="000000"/>
          <w:sz w:val="24"/>
          <w:highlight w:val="none"/>
          <w:lang w:val="en-US" w:eastAsia="zh-CN"/>
        </w:rPr>
        <w:t>且本理财产品</w:t>
      </w:r>
      <w:r>
        <w:rPr>
          <w:rFonts w:hint="eastAsia" w:ascii="楷体_GB2312" w:hAnsi="宋体" w:eastAsia="楷体_GB2312"/>
          <w:color w:val="000000"/>
          <w:sz w:val="24"/>
          <w:highlight w:val="none"/>
        </w:rPr>
        <w:t>投资者提出赎回申请</w:t>
      </w:r>
      <w:r>
        <w:rPr>
          <w:rFonts w:hint="eastAsia" w:ascii="楷体_GB2312" w:hAnsi="宋体" w:eastAsia="楷体_GB2312"/>
          <w:color w:val="000000"/>
          <w:sz w:val="24"/>
          <w:highlight w:val="none"/>
          <w:lang w:val="en-US" w:eastAsia="zh-CN"/>
        </w:rPr>
        <w:t>应满足</w:t>
      </w:r>
      <w:r>
        <w:rPr>
          <w:rFonts w:hint="eastAsia" w:ascii="楷体_GB2312" w:hAnsi="宋体" w:eastAsia="楷体_GB2312"/>
          <w:color w:val="000000"/>
          <w:sz w:val="24"/>
          <w:highlight w:val="none"/>
        </w:rPr>
        <w:t>每笔认购/申购的产品份额</w:t>
      </w:r>
      <w:r>
        <w:rPr>
          <w:rFonts w:hint="eastAsia" w:ascii="楷体_GB2312" w:hAnsi="宋体" w:eastAsia="楷体_GB2312"/>
          <w:color w:val="000000"/>
          <w:sz w:val="24"/>
          <w:highlight w:val="none"/>
          <w:lang w:val="en-US" w:eastAsia="zh-CN"/>
        </w:rPr>
        <w:t>的最低持有期限要求。</w:t>
      </w:r>
    </w:p>
    <w:p>
      <w:pPr>
        <w:ind w:firstLine="480" w:firstLineChars="200"/>
        <w:rPr>
          <w:rFonts w:hint="eastAsia" w:ascii="楷体_GB2312" w:hAnsi="宋体" w:eastAsia="楷体_GB2312"/>
          <w:color w:val="000000"/>
          <w:sz w:val="24"/>
          <w:highlight w:val="none"/>
        </w:rPr>
      </w:pPr>
      <w:r>
        <w:rPr>
          <w:rFonts w:hint="eastAsia" w:ascii="楷体_GB2312" w:hAnsi="宋体" w:eastAsia="楷体_GB2312"/>
          <w:color w:val="000000"/>
          <w:sz w:val="24"/>
          <w:highlight w:val="none"/>
        </w:rPr>
        <w:t>1</w:t>
      </w:r>
      <w:r>
        <w:rPr>
          <w:rFonts w:hint="eastAsia" w:ascii="楷体_GB2312" w:hAnsi="宋体" w:eastAsia="楷体_GB2312"/>
          <w:color w:val="000000"/>
          <w:sz w:val="24"/>
          <w:highlight w:val="none"/>
          <w:lang w:val="en-US" w:eastAsia="zh-CN"/>
        </w:rPr>
        <w:t>4</w:t>
      </w:r>
      <w:r>
        <w:rPr>
          <w:rFonts w:ascii="楷体_GB2312" w:hAnsi="宋体" w:eastAsia="楷体_GB2312"/>
          <w:color w:val="000000"/>
          <w:sz w:val="24"/>
          <w:highlight w:val="none"/>
        </w:rPr>
        <w:t>.</w:t>
      </w:r>
      <w:r>
        <w:rPr>
          <w:rFonts w:hint="eastAsia" w:ascii="楷体_GB2312" w:hAnsi="宋体" w:eastAsia="楷体_GB2312"/>
          <w:color w:val="000000"/>
          <w:sz w:val="24"/>
          <w:highlight w:val="none"/>
        </w:rPr>
        <w:t xml:space="preserve">流动性受限资产：指由于法律法规、监管、合同或操作障碍等原因无法以合理价格予以变现的资产，包括到期日在10个交易日以上的逆回购与银行定期存款（含协议约定有条件提前支取的银行存款）、距可赎回日在10个交易日以上的资产管理产品、停牌股票、流通受限的新股及非公开发行股票、资产支持证券（票据），因发行人债务违约无法进行转让或交易的债券和非金融企业债务融资工具，以及其他流动性受限资产。 </w:t>
      </w:r>
    </w:p>
    <w:p>
      <w:pPr>
        <w:ind w:firstLine="480" w:firstLineChars="200"/>
        <w:rPr>
          <w:rFonts w:hint="eastAsia" w:ascii="楷体_GB2312" w:hAnsi="宋体" w:eastAsia="楷体_GB2312"/>
          <w:color w:val="000000"/>
          <w:sz w:val="24"/>
          <w:highlight w:val="none"/>
        </w:rPr>
      </w:pPr>
      <w:r>
        <w:rPr>
          <w:rFonts w:hint="eastAsia" w:ascii="楷体_GB2312" w:hAnsi="宋体" w:eastAsia="楷体_GB2312"/>
          <w:color w:val="000000"/>
          <w:sz w:val="24"/>
          <w:highlight w:val="none"/>
        </w:rPr>
        <w:t>1</w:t>
      </w:r>
      <w:r>
        <w:rPr>
          <w:rFonts w:hint="eastAsia" w:ascii="楷体_GB2312" w:hAnsi="宋体" w:eastAsia="楷体_GB2312"/>
          <w:color w:val="000000"/>
          <w:sz w:val="24"/>
          <w:highlight w:val="none"/>
          <w:lang w:val="en-US" w:eastAsia="zh-CN"/>
        </w:rPr>
        <w:t>5</w:t>
      </w:r>
      <w:r>
        <w:rPr>
          <w:rFonts w:ascii="楷体_GB2312" w:hAnsi="宋体" w:eastAsia="楷体_GB2312"/>
          <w:color w:val="000000"/>
          <w:sz w:val="24"/>
          <w:highlight w:val="none"/>
        </w:rPr>
        <w:t>.</w:t>
      </w:r>
      <w:r>
        <w:rPr>
          <w:rFonts w:hint="eastAsia" w:ascii="楷体_GB2312" w:hAnsi="宋体" w:eastAsia="楷体_GB2312"/>
          <w:color w:val="000000"/>
          <w:sz w:val="24"/>
          <w:highlight w:val="none"/>
        </w:rPr>
        <w:t>7个工作日可变现资产：指包括可在交易所、银行间市场正常交易的债券、非金融企业债务融资工具</w:t>
      </w:r>
      <w:r>
        <w:rPr>
          <w:rFonts w:hint="eastAsia" w:ascii="楷体_GB2312" w:hAnsi="宋体" w:eastAsia="楷体_GB2312"/>
          <w:color w:val="000000"/>
          <w:sz w:val="24"/>
          <w:highlight w:val="none"/>
          <w:lang w:val="en-US" w:eastAsia="zh-CN"/>
        </w:rPr>
        <w:t>以及同业存单</w:t>
      </w:r>
      <w:r>
        <w:rPr>
          <w:rFonts w:hint="eastAsia" w:ascii="楷体_GB2312" w:hAnsi="宋体" w:eastAsia="楷体_GB2312"/>
          <w:color w:val="000000"/>
          <w:sz w:val="24"/>
          <w:highlight w:val="none"/>
        </w:rPr>
        <w:t>，7个工作日内到期或可支取的买入返售、银行存款，7个工作日内能够确认收到的各类应收款项等。</w:t>
      </w:r>
    </w:p>
    <w:p>
      <w:pPr>
        <w:ind w:firstLine="480" w:firstLineChars="200"/>
        <w:rPr>
          <w:rFonts w:ascii="楷体_GB2312" w:hAnsi="宋体" w:eastAsia="楷体_GB2312"/>
          <w:color w:val="000000"/>
          <w:sz w:val="24"/>
          <w:highlight w:val="none"/>
        </w:rPr>
      </w:pPr>
      <w:r>
        <w:rPr>
          <w:rFonts w:hint="eastAsia" w:ascii="楷体_GB2312" w:hAnsi="宋体" w:eastAsia="楷体_GB2312"/>
          <w:color w:val="000000"/>
          <w:sz w:val="24"/>
          <w:highlight w:val="none"/>
        </w:rPr>
        <w:t>（</w:t>
      </w:r>
      <w:r>
        <w:rPr>
          <w:rFonts w:hint="eastAsia" w:ascii="楷体_GB2312" w:hAnsi="宋体" w:eastAsia="楷体_GB2312"/>
          <w:color w:val="000000"/>
          <w:sz w:val="24"/>
          <w:highlight w:val="none"/>
          <w:lang w:val="en-US" w:eastAsia="zh-CN"/>
        </w:rPr>
        <w:t>四</w:t>
      </w:r>
      <w:r>
        <w:rPr>
          <w:rFonts w:hint="eastAsia" w:ascii="楷体_GB2312" w:hAnsi="宋体" w:eastAsia="楷体_GB2312"/>
          <w:color w:val="000000"/>
          <w:sz w:val="24"/>
          <w:highlight w:val="none"/>
        </w:rPr>
        <w:t>）期间与日期：</w:t>
      </w:r>
    </w:p>
    <w:p>
      <w:pPr>
        <w:ind w:firstLine="480" w:firstLineChars="200"/>
        <w:rPr>
          <w:rFonts w:ascii="楷体_GB2312" w:hAnsi="宋体" w:eastAsia="楷体_GB2312"/>
          <w:color w:val="000000"/>
          <w:sz w:val="24"/>
          <w:highlight w:val="none"/>
        </w:rPr>
      </w:pPr>
      <w:r>
        <w:rPr>
          <w:rFonts w:hint="eastAsia" w:ascii="楷体_GB2312" w:hAnsi="宋体" w:eastAsia="楷体_GB2312"/>
          <w:color w:val="000000"/>
          <w:sz w:val="24"/>
          <w:highlight w:val="none"/>
        </w:rPr>
        <w:t>1.工作日：指银行对外办理一般对公业务的任何一天，不包括法定节假日和周六、周日（但包括国家临时规定应当工作的周六和周日)。</w:t>
      </w:r>
    </w:p>
    <w:p>
      <w:pPr>
        <w:ind w:firstLine="480" w:firstLineChars="200"/>
        <w:rPr>
          <w:rFonts w:ascii="楷体_GB2312" w:hAnsi="宋体" w:eastAsia="楷体_GB2312"/>
          <w:color w:val="000000"/>
          <w:sz w:val="24"/>
          <w:highlight w:val="none"/>
        </w:rPr>
      </w:pPr>
      <w:r>
        <w:rPr>
          <w:rFonts w:hint="eastAsia" w:ascii="楷体_GB2312" w:hAnsi="宋体" w:eastAsia="楷体_GB2312"/>
          <w:color w:val="000000"/>
          <w:sz w:val="24"/>
          <w:highlight w:val="none"/>
        </w:rPr>
        <w:t>2.证券交易所交易日/交易日：指上海证券交易所、深圳证券交易所和</w:t>
      </w:r>
      <w:r>
        <w:rPr>
          <w:rFonts w:ascii="楷体_GB2312" w:hAnsi="宋体" w:eastAsia="楷体_GB2312"/>
          <w:color w:val="000000"/>
          <w:sz w:val="24"/>
          <w:highlight w:val="none"/>
        </w:rPr>
        <w:t>北京证券交易所</w:t>
      </w:r>
      <w:r>
        <w:rPr>
          <w:rFonts w:hint="eastAsia" w:ascii="楷体_GB2312" w:hAnsi="宋体" w:eastAsia="楷体_GB2312"/>
          <w:color w:val="000000"/>
          <w:sz w:val="24"/>
          <w:highlight w:val="none"/>
        </w:rPr>
        <w:t>的</w:t>
      </w:r>
      <w:r>
        <w:rPr>
          <w:rFonts w:ascii="楷体_GB2312" w:hAnsi="宋体" w:eastAsia="楷体_GB2312"/>
          <w:color w:val="000000"/>
          <w:sz w:val="24"/>
          <w:highlight w:val="none"/>
        </w:rPr>
        <w:t>正常开盘交易日</w:t>
      </w:r>
      <w:r>
        <w:rPr>
          <w:rFonts w:hint="eastAsia" w:ascii="楷体_GB2312" w:hAnsi="宋体" w:eastAsia="楷体_GB2312"/>
          <w:color w:val="000000"/>
          <w:sz w:val="24"/>
          <w:highlight w:val="none"/>
        </w:rPr>
        <w:t>。</w:t>
      </w:r>
    </w:p>
    <w:p>
      <w:pPr>
        <w:ind w:firstLine="480" w:firstLineChars="200"/>
        <w:rPr>
          <w:rFonts w:ascii="楷体_GB2312" w:hAnsi="宋体" w:eastAsia="楷体_GB2312"/>
          <w:color w:val="000000"/>
          <w:sz w:val="24"/>
          <w:highlight w:val="none"/>
        </w:rPr>
      </w:pPr>
      <w:r>
        <w:rPr>
          <w:rFonts w:hint="eastAsia" w:ascii="楷体_GB2312" w:hAnsi="宋体" w:eastAsia="楷体_GB2312"/>
          <w:color w:val="000000"/>
          <w:sz w:val="24"/>
          <w:highlight w:val="none"/>
        </w:rPr>
        <w:t>3.募集期：指</w:t>
      </w:r>
      <w:r>
        <w:rPr>
          <w:rFonts w:hint="eastAsia" w:ascii="楷体_GB2312" w:hAnsi="宋体" w:eastAsia="楷体_GB2312"/>
          <w:color w:val="000000"/>
          <w:sz w:val="24"/>
          <w:highlight w:val="none"/>
          <w:lang w:val="en-US" w:eastAsia="zh-CN"/>
        </w:rPr>
        <w:t>本</w:t>
      </w:r>
      <w:r>
        <w:rPr>
          <w:rFonts w:hint="eastAsia" w:ascii="楷体_GB2312" w:hAnsi="宋体" w:eastAsia="楷体_GB2312"/>
          <w:color w:val="000000"/>
          <w:sz w:val="24"/>
          <w:highlight w:val="none"/>
        </w:rPr>
        <w:t>理财产品成立前，</w:t>
      </w:r>
      <w:r>
        <w:rPr>
          <w:rFonts w:hint="eastAsia" w:ascii="楷体_GB2312" w:hAnsi="宋体" w:eastAsia="楷体_GB2312"/>
          <w:color w:val="000000"/>
          <w:sz w:val="24"/>
          <w:highlight w:val="none"/>
          <w:lang w:eastAsia="zh-CN"/>
        </w:rPr>
        <w:t>产品管理人</w:t>
      </w:r>
      <w:r>
        <w:rPr>
          <w:rFonts w:hint="eastAsia" w:ascii="楷体_GB2312" w:hAnsi="宋体" w:eastAsia="楷体_GB2312"/>
          <w:color w:val="000000"/>
          <w:sz w:val="24"/>
          <w:highlight w:val="none"/>
        </w:rPr>
        <w:t>接受</w:t>
      </w:r>
      <w:r>
        <w:rPr>
          <w:rFonts w:hint="eastAsia" w:ascii="楷体_GB2312" w:hAnsi="宋体" w:eastAsia="楷体_GB2312"/>
          <w:color w:val="000000"/>
          <w:sz w:val="24"/>
          <w:highlight w:val="none"/>
          <w:lang w:val="en-US" w:eastAsia="zh-CN"/>
        </w:rPr>
        <w:t>本</w:t>
      </w:r>
      <w:r>
        <w:rPr>
          <w:rFonts w:hint="eastAsia" w:ascii="楷体_GB2312" w:hAnsi="宋体" w:eastAsia="楷体_GB2312"/>
          <w:color w:val="000000"/>
          <w:sz w:val="24"/>
          <w:highlight w:val="none"/>
        </w:rPr>
        <w:t>理财产品认购的时间。</w:t>
      </w:r>
    </w:p>
    <w:p>
      <w:pPr>
        <w:ind w:firstLine="480" w:firstLineChars="200"/>
        <w:rPr>
          <w:rFonts w:ascii="楷体_GB2312" w:hAnsi="宋体" w:eastAsia="楷体_GB2312"/>
          <w:color w:val="000000"/>
          <w:sz w:val="24"/>
          <w:highlight w:val="none"/>
        </w:rPr>
      </w:pPr>
      <w:r>
        <w:rPr>
          <w:rFonts w:hint="eastAsia" w:ascii="楷体_GB2312" w:hAnsi="宋体" w:eastAsia="楷体_GB2312"/>
          <w:color w:val="000000"/>
          <w:sz w:val="24"/>
          <w:highlight w:val="none"/>
        </w:rPr>
        <w:t>4.成立日：指</w:t>
      </w:r>
      <w:r>
        <w:rPr>
          <w:rFonts w:hint="eastAsia" w:ascii="楷体_GB2312" w:hAnsi="宋体" w:eastAsia="楷体_GB2312"/>
          <w:color w:val="000000"/>
          <w:sz w:val="24"/>
          <w:highlight w:val="none"/>
          <w:lang w:val="en-US" w:eastAsia="zh-CN"/>
        </w:rPr>
        <w:t>本</w:t>
      </w:r>
      <w:r>
        <w:rPr>
          <w:rFonts w:hint="eastAsia" w:ascii="楷体_GB2312" w:hAnsi="宋体" w:eastAsia="楷体_GB2312"/>
          <w:color w:val="000000"/>
          <w:sz w:val="24"/>
          <w:highlight w:val="none"/>
        </w:rPr>
        <w:t>理财产品募集期结束后满足合同生效条件，正式进入</w:t>
      </w:r>
      <w:r>
        <w:rPr>
          <w:rFonts w:hint="eastAsia" w:ascii="楷体_GB2312" w:hAnsi="宋体" w:eastAsia="楷体_GB2312"/>
          <w:color w:val="000000"/>
          <w:sz w:val="24"/>
          <w:highlight w:val="none"/>
          <w:lang w:val="en-US" w:eastAsia="zh-CN"/>
        </w:rPr>
        <w:t>本理财产品</w:t>
      </w:r>
      <w:r>
        <w:rPr>
          <w:rFonts w:hint="eastAsia" w:ascii="楷体_GB2312" w:hAnsi="宋体" w:eastAsia="楷体_GB2312"/>
          <w:color w:val="000000"/>
          <w:sz w:val="24"/>
          <w:highlight w:val="none"/>
        </w:rPr>
        <w:t>存续期的起始日。</w:t>
      </w:r>
    </w:p>
    <w:p>
      <w:pPr>
        <w:ind w:firstLine="480" w:firstLineChars="200"/>
        <w:rPr>
          <w:rFonts w:ascii="楷体_GB2312" w:hAnsi="宋体" w:eastAsia="楷体_GB2312"/>
          <w:color w:val="000000"/>
          <w:sz w:val="24"/>
          <w:highlight w:val="none"/>
        </w:rPr>
      </w:pPr>
      <w:r>
        <w:rPr>
          <w:rFonts w:hint="eastAsia" w:ascii="楷体_GB2312" w:hAnsi="宋体" w:eastAsia="楷体_GB2312"/>
          <w:color w:val="000000"/>
          <w:sz w:val="24"/>
          <w:highlight w:val="none"/>
        </w:rPr>
        <w:t>5.产品存续期</w:t>
      </w:r>
      <w:r>
        <w:rPr>
          <w:rFonts w:hint="eastAsia" w:ascii="楷体_GB2312" w:hAnsi="宋体" w:eastAsia="楷体_GB2312"/>
          <w:color w:val="000000"/>
          <w:sz w:val="24"/>
          <w:highlight w:val="none"/>
          <w:lang w:val="en-US" w:eastAsia="zh-CN"/>
        </w:rPr>
        <w:t>/存续期</w:t>
      </w:r>
      <w:r>
        <w:rPr>
          <w:rFonts w:hint="eastAsia" w:ascii="楷体_GB2312" w:hAnsi="宋体" w:eastAsia="楷体_GB2312"/>
          <w:color w:val="000000"/>
          <w:sz w:val="24"/>
          <w:highlight w:val="none"/>
        </w:rPr>
        <w:t>：指自</w:t>
      </w:r>
      <w:r>
        <w:rPr>
          <w:rFonts w:hint="eastAsia" w:ascii="楷体_GB2312" w:hAnsi="宋体" w:eastAsia="楷体_GB2312"/>
          <w:color w:val="000000"/>
          <w:sz w:val="24"/>
          <w:highlight w:val="none"/>
          <w:lang w:val="en-US" w:eastAsia="zh-CN"/>
        </w:rPr>
        <w:t>本</w:t>
      </w:r>
      <w:r>
        <w:rPr>
          <w:rFonts w:hint="eastAsia" w:ascii="楷体_GB2312" w:hAnsi="宋体" w:eastAsia="楷体_GB2312"/>
          <w:color w:val="000000"/>
          <w:sz w:val="24"/>
          <w:highlight w:val="none"/>
        </w:rPr>
        <w:t>理财产品成立日起，至</w:t>
      </w:r>
      <w:r>
        <w:rPr>
          <w:rFonts w:hint="eastAsia" w:ascii="楷体_GB2312" w:hAnsi="宋体" w:eastAsia="楷体_GB2312"/>
          <w:color w:val="000000"/>
          <w:sz w:val="24"/>
          <w:highlight w:val="none"/>
          <w:lang w:val="en-US" w:eastAsia="zh-CN"/>
        </w:rPr>
        <w:t>本</w:t>
      </w:r>
      <w:r>
        <w:rPr>
          <w:rFonts w:hint="eastAsia" w:ascii="楷体_GB2312" w:hAnsi="宋体" w:eastAsia="楷体_GB2312"/>
          <w:color w:val="000000"/>
          <w:sz w:val="24"/>
          <w:highlight w:val="none"/>
        </w:rPr>
        <w:t>理财产品终止日的期间。</w:t>
      </w:r>
    </w:p>
    <w:p>
      <w:pPr>
        <w:ind w:firstLine="480" w:firstLineChars="200"/>
        <w:rPr>
          <w:rFonts w:hint="eastAsia" w:ascii="楷体_GB2312" w:hAnsi="宋体" w:eastAsia="楷体_GB2312"/>
          <w:color w:val="000000"/>
          <w:sz w:val="24"/>
          <w:highlight w:val="none"/>
        </w:rPr>
      </w:pPr>
      <w:r>
        <w:rPr>
          <w:rFonts w:hint="eastAsia" w:ascii="楷体_GB2312" w:hAnsi="宋体" w:eastAsia="楷体_GB2312"/>
          <w:color w:val="000000"/>
          <w:sz w:val="24"/>
          <w:highlight w:val="none"/>
          <w:lang w:val="en-US" w:eastAsia="zh-CN"/>
        </w:rPr>
        <w:t>6</w:t>
      </w:r>
      <w:r>
        <w:rPr>
          <w:rFonts w:hint="eastAsia" w:ascii="楷体_GB2312" w:hAnsi="宋体" w:eastAsia="楷体_GB2312"/>
          <w:color w:val="000000"/>
          <w:sz w:val="24"/>
          <w:highlight w:val="none"/>
        </w:rPr>
        <w:t>.</w:t>
      </w:r>
      <w:r>
        <w:rPr>
          <w:rFonts w:ascii="楷体_GB2312" w:hAnsi="宋体" w:eastAsia="楷体_GB2312"/>
          <w:color w:val="000000"/>
          <w:sz w:val="24"/>
          <w:highlight w:val="none"/>
        </w:rPr>
        <w:t>开放日</w:t>
      </w:r>
      <w:r>
        <w:rPr>
          <w:rFonts w:hint="eastAsia" w:ascii="楷体_GB2312" w:hAnsi="宋体" w:eastAsia="楷体_GB2312"/>
          <w:color w:val="000000"/>
          <w:sz w:val="24"/>
          <w:highlight w:val="none"/>
        </w:rPr>
        <w:t>/T日</w:t>
      </w:r>
      <w:r>
        <w:rPr>
          <w:rFonts w:ascii="楷体_GB2312" w:hAnsi="宋体" w:eastAsia="楷体_GB2312"/>
          <w:color w:val="000000"/>
          <w:sz w:val="24"/>
          <w:highlight w:val="none"/>
        </w:rPr>
        <w:t>：</w:t>
      </w:r>
      <w:r>
        <w:rPr>
          <w:rFonts w:hint="eastAsia" w:ascii="楷体_GB2312" w:hAnsi="宋体" w:eastAsia="楷体_GB2312"/>
          <w:color w:val="000000"/>
          <w:sz w:val="24"/>
          <w:highlight w:val="none"/>
        </w:rPr>
        <w:t>指</w:t>
      </w:r>
      <w:r>
        <w:rPr>
          <w:rFonts w:hint="eastAsia" w:ascii="楷体_GB2312" w:hAnsi="宋体" w:eastAsia="楷体_GB2312"/>
          <w:color w:val="000000"/>
          <w:sz w:val="24"/>
          <w:highlight w:val="none"/>
          <w:lang w:val="en-US" w:eastAsia="zh-CN"/>
        </w:rPr>
        <w:t>本理财</w:t>
      </w:r>
      <w:r>
        <w:rPr>
          <w:rFonts w:hint="eastAsia" w:ascii="楷体_GB2312" w:hAnsi="宋体" w:eastAsia="楷体_GB2312"/>
          <w:color w:val="000000"/>
          <w:sz w:val="24"/>
          <w:highlight w:val="none"/>
        </w:rPr>
        <w:t>产品成立日起每个证券交易所交易日（如为节假日则相应顺延至下一交易日），</w:t>
      </w:r>
      <w:r>
        <w:rPr>
          <w:rFonts w:hint="eastAsia" w:ascii="楷体_GB2312" w:hAnsi="宋体" w:eastAsia="楷体_GB2312"/>
          <w:color w:val="000000"/>
          <w:sz w:val="24"/>
          <w:highlight w:val="none"/>
          <w:lang w:eastAsia="zh-CN"/>
        </w:rPr>
        <w:t>产品管理人</w:t>
      </w:r>
      <w:r>
        <w:rPr>
          <w:rFonts w:ascii="楷体_GB2312" w:hAnsi="宋体" w:eastAsia="楷体_GB2312"/>
          <w:color w:val="000000"/>
          <w:sz w:val="24"/>
          <w:highlight w:val="none"/>
        </w:rPr>
        <w:t>以该日</w:t>
      </w:r>
      <w:r>
        <w:rPr>
          <w:rFonts w:hint="eastAsia" w:ascii="楷体_GB2312" w:hAnsi="宋体" w:eastAsia="楷体_GB2312"/>
          <w:color w:val="000000"/>
          <w:sz w:val="24"/>
          <w:highlight w:val="none"/>
        </w:rPr>
        <w:t>的产品</w:t>
      </w:r>
      <w:r>
        <w:rPr>
          <w:rFonts w:ascii="楷体_GB2312" w:hAnsi="宋体" w:eastAsia="楷体_GB2312"/>
          <w:color w:val="000000"/>
          <w:sz w:val="24"/>
          <w:highlight w:val="none"/>
        </w:rPr>
        <w:t>单位净值确认</w:t>
      </w:r>
      <w:r>
        <w:rPr>
          <w:rFonts w:hint="eastAsia" w:ascii="楷体_GB2312" w:hAnsi="宋体" w:eastAsia="楷体_GB2312"/>
          <w:color w:val="000000"/>
          <w:sz w:val="24"/>
          <w:highlight w:val="none"/>
        </w:rPr>
        <w:t>投资者</w:t>
      </w:r>
      <w:r>
        <w:rPr>
          <w:rFonts w:ascii="楷体_GB2312" w:hAnsi="宋体" w:eastAsia="楷体_GB2312"/>
          <w:color w:val="000000"/>
          <w:sz w:val="24"/>
          <w:highlight w:val="none"/>
        </w:rPr>
        <w:t>申购</w:t>
      </w:r>
      <w:r>
        <w:rPr>
          <w:rFonts w:hint="eastAsia" w:ascii="楷体_GB2312" w:hAnsi="宋体" w:eastAsia="楷体_GB2312"/>
          <w:color w:val="000000"/>
          <w:sz w:val="24"/>
          <w:highlight w:val="none"/>
          <w:lang w:val="en-US" w:eastAsia="zh-CN"/>
        </w:rPr>
        <w:t>份额或赎回金额</w:t>
      </w:r>
      <w:r>
        <w:rPr>
          <w:rFonts w:hint="eastAsia" w:ascii="楷体_GB2312" w:hAnsi="宋体" w:eastAsia="楷体_GB2312"/>
          <w:color w:val="000000"/>
          <w:sz w:val="24"/>
          <w:highlight w:val="none"/>
        </w:rPr>
        <w:t>。</w:t>
      </w:r>
    </w:p>
    <w:p>
      <w:pPr>
        <w:ind w:firstLine="480" w:firstLineChars="200"/>
        <w:rPr>
          <w:rFonts w:hint="eastAsia" w:ascii="楷体_GB2312" w:hAnsi="宋体" w:eastAsia="楷体_GB2312" w:cs="Times New Roman"/>
          <w:color w:val="000000"/>
          <w:sz w:val="24"/>
          <w:highlight w:val="none"/>
          <w:u w:val="none"/>
          <w:lang w:val="en-US" w:eastAsia="zh-CN"/>
        </w:rPr>
      </w:pPr>
      <w:r>
        <w:rPr>
          <w:rFonts w:hint="eastAsia" w:ascii="楷体_GB2312" w:hAnsi="宋体" w:eastAsia="楷体_GB2312" w:cs="Times New Roman"/>
          <w:color w:val="000000"/>
          <w:sz w:val="24"/>
          <w:highlight w:val="none"/>
          <w:u w:val="none"/>
          <w:lang w:val="en-US" w:eastAsia="zh-CN"/>
        </w:rPr>
        <w:t>7</w:t>
      </w:r>
      <w:r>
        <w:rPr>
          <w:rFonts w:hint="default" w:ascii="楷体_GB2312" w:hAnsi="宋体" w:eastAsia="楷体_GB2312" w:cs="Times New Roman"/>
          <w:color w:val="000000"/>
          <w:sz w:val="24"/>
          <w:highlight w:val="none"/>
          <w:u w:val="none"/>
          <w:lang w:val="en-US" w:eastAsia="zh-CN"/>
        </w:rPr>
        <w:t>.</w:t>
      </w:r>
      <w:r>
        <w:rPr>
          <w:rFonts w:hint="eastAsia" w:ascii="楷体_GB2312" w:hAnsi="宋体" w:eastAsia="楷体_GB2312"/>
          <w:color w:val="000000"/>
          <w:sz w:val="24"/>
          <w:highlight w:val="none"/>
          <w:lang w:val="en-US" w:eastAsia="zh-CN"/>
        </w:rPr>
        <w:t>申购/赎回</w:t>
      </w:r>
      <w:r>
        <w:rPr>
          <w:rFonts w:hint="eastAsia" w:ascii="楷体_GB2312" w:hAnsi="宋体" w:eastAsia="楷体_GB2312"/>
          <w:color w:val="000000"/>
          <w:sz w:val="24"/>
          <w:highlight w:val="none"/>
          <w:u w:val="none"/>
          <w:lang w:val="en-US" w:eastAsia="zh-CN"/>
        </w:rPr>
        <w:t>确认日：投资者提交申购/赎回申请后，产品管理人对</w:t>
      </w:r>
      <w:r>
        <w:rPr>
          <w:rFonts w:hint="eastAsia" w:ascii="楷体_GB2312" w:hAnsi="宋体" w:eastAsia="楷体_GB2312"/>
          <w:color w:val="000000"/>
          <w:sz w:val="24"/>
          <w:highlight w:val="none"/>
        </w:rPr>
        <w:t>满足条件的有效</w:t>
      </w:r>
      <w:r>
        <w:rPr>
          <w:rFonts w:hint="eastAsia" w:ascii="楷体_GB2312" w:hAnsi="宋体" w:eastAsia="楷体_GB2312"/>
          <w:color w:val="000000"/>
          <w:sz w:val="24"/>
          <w:highlight w:val="none"/>
          <w:u w:val="none"/>
          <w:lang w:val="en-US" w:eastAsia="zh-CN"/>
        </w:rPr>
        <w:t>申购/赎回申请进行确认的日期，</w:t>
      </w:r>
      <w:r>
        <w:rPr>
          <w:rFonts w:hint="eastAsia" w:ascii="楷体_GB2312" w:hAnsi="宋体" w:eastAsia="楷体_GB2312"/>
          <w:b w:val="0"/>
          <w:bCs w:val="0"/>
          <w:color w:val="auto"/>
          <w:sz w:val="24"/>
          <w:highlight w:val="none"/>
          <w:lang w:val="en-US" w:eastAsia="zh-CN"/>
        </w:rPr>
        <w:t>详见</w:t>
      </w:r>
      <w:r>
        <w:rPr>
          <w:rFonts w:hint="eastAsia" w:ascii="楷体_GB2312" w:hAnsi="宋体" w:eastAsia="楷体_GB2312"/>
          <w:b w:val="0"/>
          <w:bCs w:val="0"/>
          <w:color w:val="auto"/>
          <w:sz w:val="24"/>
          <w:szCs w:val="24"/>
          <w:highlight w:val="none"/>
          <w:lang w:val="en-US" w:eastAsia="zh-CN"/>
        </w:rPr>
        <w:t>本《</w:t>
      </w:r>
      <w:r>
        <w:rPr>
          <w:rFonts w:hint="eastAsia" w:ascii="楷体_GB2312" w:eastAsia="楷体_GB2312"/>
          <w:b w:val="0"/>
          <w:bCs w:val="0"/>
          <w:color w:val="auto"/>
          <w:sz w:val="24"/>
          <w:highlight w:val="none"/>
          <w:lang w:val="en-US" w:eastAsia="zh-CN"/>
        </w:rPr>
        <w:t>理财产品说明书</w:t>
      </w:r>
      <w:r>
        <w:rPr>
          <w:rFonts w:hint="eastAsia" w:ascii="楷体_GB2312" w:hAnsi="宋体" w:eastAsia="楷体_GB2312"/>
          <w:b w:val="0"/>
          <w:bCs w:val="0"/>
          <w:color w:val="auto"/>
          <w:sz w:val="24"/>
          <w:szCs w:val="24"/>
          <w:highlight w:val="none"/>
          <w:lang w:val="en-US" w:eastAsia="zh-CN"/>
        </w:rPr>
        <w:t>》“</w:t>
      </w:r>
      <w:r>
        <w:rPr>
          <w:rFonts w:hint="eastAsia" w:ascii="楷体_GB2312" w:hAnsi="宋体" w:eastAsia="楷体_GB2312"/>
          <w:b w:val="0"/>
          <w:bCs w:val="0"/>
          <w:color w:val="auto"/>
          <w:sz w:val="24"/>
          <w:highlight w:val="none"/>
        </w:rPr>
        <w:t>六、产品的申购和赎回</w:t>
      </w:r>
      <w:r>
        <w:rPr>
          <w:rFonts w:hint="eastAsia" w:ascii="楷体_GB2312" w:hAnsi="宋体" w:eastAsia="楷体_GB2312"/>
          <w:b w:val="0"/>
          <w:bCs w:val="0"/>
          <w:color w:val="auto"/>
          <w:sz w:val="24"/>
          <w:szCs w:val="24"/>
          <w:highlight w:val="none"/>
          <w:lang w:val="en-US" w:eastAsia="zh-CN"/>
        </w:rPr>
        <w:t>”部分。</w:t>
      </w:r>
    </w:p>
    <w:p>
      <w:pPr>
        <w:ind w:firstLine="480" w:firstLineChars="200"/>
        <w:rPr>
          <w:highlight w:val="none"/>
        </w:rPr>
      </w:pPr>
      <w:r>
        <w:rPr>
          <w:rFonts w:hint="eastAsia" w:ascii="楷体_GB2312" w:hAnsi="宋体" w:eastAsia="楷体_GB2312" w:cs="Times New Roman"/>
          <w:color w:val="000000"/>
          <w:sz w:val="24"/>
          <w:highlight w:val="none"/>
          <w:u w:val="none"/>
          <w:lang w:val="en-US" w:eastAsia="zh-CN"/>
        </w:rPr>
        <w:t>8</w:t>
      </w:r>
      <w:r>
        <w:rPr>
          <w:rFonts w:hint="default" w:ascii="楷体_GB2312" w:hAnsi="宋体" w:eastAsia="楷体_GB2312" w:cs="Times New Roman"/>
          <w:color w:val="000000"/>
          <w:sz w:val="24"/>
          <w:highlight w:val="none"/>
          <w:u w:val="none"/>
          <w:lang w:val="en-US" w:eastAsia="zh-CN"/>
        </w:rPr>
        <w:t>.</w:t>
      </w:r>
      <w:r>
        <w:rPr>
          <w:rFonts w:hint="eastAsia" w:ascii="楷体_GB2312" w:hAnsi="宋体" w:eastAsia="楷体_GB2312" w:cs="Times New Roman"/>
          <w:color w:val="000000"/>
          <w:sz w:val="24"/>
          <w:highlight w:val="none"/>
          <w:u w:val="none"/>
          <w:lang w:val="en-US" w:eastAsia="zh-CN"/>
        </w:rPr>
        <w:t>终止日：发生本《理财产品说明书》“八</w:t>
      </w:r>
      <w:r>
        <w:rPr>
          <w:rFonts w:hint="eastAsia" w:ascii="楷体_GB2312" w:hAnsi="宋体" w:eastAsia="楷体_GB2312"/>
          <w:b w:val="0"/>
          <w:bCs/>
          <w:color w:val="000000"/>
          <w:sz w:val="24"/>
          <w:highlight w:val="none"/>
        </w:rPr>
        <w:t>、产品的终止与清算</w:t>
      </w:r>
      <w:r>
        <w:rPr>
          <w:rFonts w:hint="eastAsia" w:ascii="楷体_GB2312" w:hAnsi="宋体" w:eastAsia="楷体_GB2312" w:cs="Times New Roman"/>
          <w:color w:val="000000"/>
          <w:sz w:val="24"/>
          <w:highlight w:val="none"/>
          <w:u w:val="none"/>
          <w:lang w:val="en-US" w:eastAsia="zh-CN"/>
        </w:rPr>
        <w:t>”中“</w:t>
      </w:r>
      <w:r>
        <w:rPr>
          <w:rFonts w:hint="eastAsia" w:ascii="楷体_GB2312" w:hAnsi="宋体" w:eastAsia="楷体_GB2312"/>
          <w:color w:val="000000"/>
          <w:sz w:val="24"/>
          <w:highlight w:val="none"/>
        </w:rPr>
        <w:t>（一）产品的</w:t>
      </w:r>
      <w:r>
        <w:rPr>
          <w:rFonts w:hint="eastAsia" w:ascii="楷体_GB2312" w:hAnsi="宋体" w:eastAsia="楷体_GB2312"/>
          <w:color w:val="000000"/>
          <w:sz w:val="24"/>
          <w:highlight w:val="none"/>
          <w:lang w:val="en-US" w:eastAsia="zh-CN"/>
        </w:rPr>
        <w:t>提前</w:t>
      </w:r>
      <w:r>
        <w:rPr>
          <w:rFonts w:hint="eastAsia" w:ascii="楷体_GB2312" w:hAnsi="宋体" w:eastAsia="楷体_GB2312"/>
          <w:color w:val="000000"/>
          <w:sz w:val="24"/>
          <w:highlight w:val="none"/>
        </w:rPr>
        <w:t>终止</w:t>
      </w:r>
      <w:r>
        <w:rPr>
          <w:rFonts w:hint="eastAsia" w:ascii="楷体_GB2312" w:hAnsi="宋体" w:eastAsia="楷体_GB2312" w:cs="Times New Roman"/>
          <w:color w:val="000000"/>
          <w:sz w:val="24"/>
          <w:highlight w:val="none"/>
          <w:u w:val="none"/>
          <w:lang w:val="en-US" w:eastAsia="zh-CN"/>
        </w:rPr>
        <w:t>”约定的情况时，</w:t>
      </w:r>
      <w:r>
        <w:rPr>
          <w:rFonts w:hint="eastAsia" w:ascii="楷体_GB2312" w:hAnsi="宋体" w:eastAsia="楷体_GB2312"/>
          <w:color w:val="000000"/>
          <w:sz w:val="24"/>
          <w:highlight w:val="none"/>
        </w:rPr>
        <w:t>产品管理人有权</w:t>
      </w:r>
      <w:r>
        <w:rPr>
          <w:rFonts w:hint="eastAsia" w:ascii="楷体_GB2312" w:hAnsi="宋体" w:eastAsia="楷体_GB2312"/>
          <w:color w:val="000000"/>
          <w:sz w:val="24"/>
          <w:highlight w:val="none"/>
          <w:lang w:val="en-US" w:eastAsia="zh-CN"/>
        </w:rPr>
        <w:t>提前</w:t>
      </w:r>
      <w:r>
        <w:rPr>
          <w:rFonts w:hint="eastAsia" w:ascii="楷体_GB2312" w:hAnsi="宋体" w:eastAsia="楷体_GB2312"/>
          <w:color w:val="000000"/>
          <w:sz w:val="24"/>
          <w:highlight w:val="none"/>
        </w:rPr>
        <w:t>终止本理财产品</w:t>
      </w:r>
      <w:r>
        <w:rPr>
          <w:rFonts w:hint="eastAsia" w:ascii="楷体_GB2312" w:hAnsi="宋体" w:eastAsia="楷体_GB2312"/>
          <w:color w:val="000000"/>
          <w:sz w:val="24"/>
          <w:highlight w:val="none"/>
          <w:lang w:eastAsia="zh-CN"/>
        </w:rPr>
        <w:t>。</w:t>
      </w:r>
      <w:r>
        <w:rPr>
          <w:rFonts w:hint="eastAsia" w:ascii="楷体_GB2312" w:hAnsi="宋体" w:eastAsia="楷体_GB2312"/>
          <w:color w:val="000000"/>
          <w:sz w:val="24"/>
          <w:highlight w:val="none"/>
        </w:rPr>
        <w:t>产品管理人</w:t>
      </w:r>
      <w:r>
        <w:rPr>
          <w:rFonts w:hint="eastAsia" w:ascii="楷体_GB2312" w:hAnsi="宋体" w:eastAsia="楷体_GB2312"/>
          <w:color w:val="000000"/>
          <w:sz w:val="24"/>
          <w:highlight w:val="none"/>
          <w:lang w:val="en-US" w:eastAsia="zh-CN"/>
        </w:rPr>
        <w:t>提前</w:t>
      </w:r>
      <w:r>
        <w:rPr>
          <w:rFonts w:hint="eastAsia" w:ascii="楷体_GB2312" w:hAnsi="宋体" w:eastAsia="楷体_GB2312"/>
          <w:color w:val="000000"/>
          <w:sz w:val="24"/>
          <w:highlight w:val="none"/>
        </w:rPr>
        <w:t>终止本理财产品的，</w:t>
      </w:r>
      <w:r>
        <w:rPr>
          <w:rFonts w:hint="eastAsia" w:ascii="楷体_GB2312" w:hAnsi="宋体" w:eastAsia="楷体_GB2312"/>
          <w:color w:val="000000"/>
          <w:sz w:val="24"/>
          <w:highlight w:val="none"/>
          <w:lang w:val="en-US" w:eastAsia="zh-CN"/>
        </w:rPr>
        <w:t>将</w:t>
      </w:r>
      <w:r>
        <w:rPr>
          <w:rFonts w:hint="eastAsia" w:ascii="楷体_GB2312" w:hAnsi="宋体" w:eastAsia="楷体_GB2312"/>
          <w:color w:val="auto"/>
          <w:sz w:val="24"/>
          <w:highlight w:val="none"/>
        </w:rPr>
        <w:t>通过</w:t>
      </w:r>
      <w:r>
        <w:rPr>
          <w:rFonts w:hint="eastAsia" w:ascii="楷体_GB2312" w:hAnsi="宋体" w:eastAsia="楷体_GB2312"/>
          <w:color w:val="auto"/>
          <w:sz w:val="24"/>
          <w:highlight w:val="none"/>
          <w:lang w:val="en-US" w:eastAsia="zh-CN"/>
        </w:rPr>
        <w:t>本理财产品销售文件约定的信息披露渠道</w:t>
      </w:r>
      <w:r>
        <w:rPr>
          <w:rFonts w:hint="eastAsia" w:ascii="楷体_GB2312" w:hAnsi="宋体" w:eastAsia="楷体_GB2312"/>
          <w:color w:val="000000"/>
          <w:sz w:val="24"/>
          <w:highlight w:val="none"/>
        </w:rPr>
        <w:t>提前</w:t>
      </w:r>
      <w:r>
        <w:rPr>
          <w:rFonts w:hint="default" w:ascii="楷体_GB2312" w:hAnsi="宋体" w:eastAsia="楷体_GB2312"/>
          <w:color w:val="000000"/>
          <w:sz w:val="24"/>
          <w:highlight w:val="none"/>
          <w:lang w:val="en-US"/>
        </w:rPr>
        <w:t>1</w:t>
      </w:r>
      <w:r>
        <w:rPr>
          <w:rFonts w:hint="eastAsia" w:ascii="楷体_GB2312" w:hAnsi="宋体" w:eastAsia="楷体_GB2312"/>
          <w:color w:val="000000"/>
          <w:sz w:val="24"/>
          <w:highlight w:val="none"/>
          <w:lang w:val="en-US" w:eastAsia="zh-CN"/>
        </w:rPr>
        <w:t>个工作日</w:t>
      </w:r>
      <w:r>
        <w:rPr>
          <w:rFonts w:hint="eastAsia" w:ascii="楷体_GB2312" w:hAnsi="宋体" w:eastAsia="楷体_GB2312"/>
          <w:color w:val="000000"/>
          <w:sz w:val="24"/>
          <w:highlight w:val="none"/>
        </w:rPr>
        <w:t>公告本理财产品终止日</w:t>
      </w:r>
      <w:r>
        <w:rPr>
          <w:rFonts w:hint="eastAsia" w:ascii="楷体_GB2312" w:hAnsi="宋体" w:eastAsia="楷体_GB2312"/>
          <w:color w:val="000000"/>
          <w:sz w:val="24"/>
          <w:highlight w:val="none"/>
          <w:lang w:eastAsia="zh-CN"/>
        </w:rPr>
        <w:t>。</w:t>
      </w:r>
    </w:p>
    <w:p>
      <w:pPr>
        <w:ind w:firstLine="480" w:firstLineChars="200"/>
        <w:rPr>
          <w:rFonts w:hint="default" w:ascii="楷体_GB2312" w:hAnsi="宋体" w:eastAsia="楷体_GB2312" w:cs="Times New Roman"/>
          <w:color w:val="auto"/>
          <w:sz w:val="24"/>
          <w:highlight w:val="none"/>
        </w:rPr>
      </w:pPr>
      <w:r>
        <w:rPr>
          <w:rFonts w:hint="eastAsia" w:ascii="楷体_GB2312" w:hAnsi="宋体" w:eastAsia="楷体_GB2312"/>
          <w:color w:val="000000"/>
          <w:sz w:val="24"/>
          <w:highlight w:val="none"/>
          <w:lang w:val="en-US" w:eastAsia="zh-CN"/>
        </w:rPr>
        <w:t>9</w:t>
      </w:r>
      <w:r>
        <w:rPr>
          <w:rFonts w:hint="eastAsia" w:ascii="楷体_GB2312" w:hAnsi="宋体" w:eastAsia="楷体_GB2312"/>
          <w:color w:val="000000"/>
          <w:sz w:val="24"/>
          <w:highlight w:val="none"/>
        </w:rPr>
        <w:t>.清算期：指自</w:t>
      </w:r>
      <w:r>
        <w:rPr>
          <w:rFonts w:hint="eastAsia" w:ascii="楷体_GB2312" w:hAnsi="宋体" w:eastAsia="楷体_GB2312"/>
          <w:color w:val="000000"/>
          <w:sz w:val="24"/>
          <w:highlight w:val="none"/>
          <w:lang w:val="en-US" w:eastAsia="zh-CN"/>
        </w:rPr>
        <w:t>本</w:t>
      </w:r>
      <w:r>
        <w:rPr>
          <w:rFonts w:hint="eastAsia" w:ascii="楷体_GB2312" w:hAnsi="宋体" w:eastAsia="楷体_GB2312"/>
          <w:color w:val="000000"/>
          <w:sz w:val="24"/>
          <w:highlight w:val="none"/>
        </w:rPr>
        <w:t>理财产品终止日（不含）至投资者理财本金及收益到账日（含）之间为</w:t>
      </w:r>
      <w:r>
        <w:rPr>
          <w:rFonts w:hint="eastAsia" w:ascii="楷体_GB2312" w:hAnsi="宋体" w:eastAsia="楷体_GB2312"/>
          <w:color w:val="000000"/>
          <w:sz w:val="24"/>
          <w:highlight w:val="none"/>
          <w:lang w:val="en-US" w:eastAsia="zh-CN"/>
        </w:rPr>
        <w:t>本</w:t>
      </w:r>
      <w:r>
        <w:rPr>
          <w:rFonts w:hint="eastAsia" w:ascii="楷体_GB2312" w:hAnsi="宋体" w:eastAsia="楷体_GB2312"/>
          <w:color w:val="000000"/>
          <w:sz w:val="24"/>
          <w:highlight w:val="none"/>
        </w:rPr>
        <w:t>理财产品的清算期。清算期原则上不得超过5个工作日，清算期超过5个工作日的，</w:t>
      </w:r>
      <w:r>
        <w:rPr>
          <w:rFonts w:hint="eastAsia" w:ascii="楷体_GB2312" w:hAnsi="宋体" w:eastAsia="楷体_GB2312"/>
          <w:color w:val="000000"/>
          <w:sz w:val="24"/>
          <w:highlight w:val="none"/>
          <w:lang w:val="en-US" w:eastAsia="zh-CN"/>
        </w:rPr>
        <w:t>本</w:t>
      </w:r>
      <w:r>
        <w:rPr>
          <w:rFonts w:hint="eastAsia" w:ascii="楷体_GB2312" w:hAnsi="宋体" w:eastAsia="楷体_GB2312"/>
          <w:color w:val="000000"/>
          <w:sz w:val="24"/>
          <w:highlight w:val="none"/>
        </w:rPr>
        <w:t>理财产品终止日前，</w:t>
      </w:r>
      <w:r>
        <w:rPr>
          <w:rFonts w:hint="eastAsia" w:ascii="楷体_GB2312" w:hAnsi="宋体" w:eastAsia="楷体_GB2312"/>
          <w:color w:val="000000"/>
          <w:sz w:val="24"/>
          <w:highlight w:val="none"/>
          <w:lang w:eastAsia="zh-CN"/>
        </w:rPr>
        <w:t>产品管理人</w:t>
      </w:r>
      <w:r>
        <w:rPr>
          <w:rFonts w:hint="eastAsia" w:ascii="楷体_GB2312" w:hAnsi="宋体" w:eastAsia="楷体_GB2312"/>
          <w:color w:val="000000"/>
          <w:sz w:val="24"/>
          <w:highlight w:val="none"/>
        </w:rPr>
        <w:t>将提前</w:t>
      </w:r>
      <w:r>
        <w:rPr>
          <w:rFonts w:hint="default" w:ascii="楷体_GB2312" w:hAnsi="宋体" w:eastAsia="楷体_GB2312"/>
          <w:color w:val="000000"/>
          <w:sz w:val="24"/>
          <w:highlight w:val="none"/>
          <w:lang w:val="en-US"/>
        </w:rPr>
        <w:t>1</w:t>
      </w:r>
      <w:r>
        <w:rPr>
          <w:rFonts w:hint="eastAsia" w:ascii="楷体_GB2312" w:hAnsi="宋体" w:eastAsia="楷体_GB2312"/>
          <w:color w:val="000000"/>
          <w:sz w:val="24"/>
          <w:highlight w:val="none"/>
        </w:rPr>
        <w:t>个工作日通过</w:t>
      </w:r>
      <w:r>
        <w:rPr>
          <w:rFonts w:hint="eastAsia" w:ascii="楷体_GB2312" w:hAnsi="宋体" w:eastAsia="楷体_GB2312"/>
          <w:color w:val="auto"/>
          <w:sz w:val="24"/>
          <w:highlight w:val="none"/>
          <w:lang w:val="en-US" w:eastAsia="zh-CN"/>
        </w:rPr>
        <w:t>本理财产品销售文件约定的信息披露渠道</w:t>
      </w:r>
      <w:r>
        <w:rPr>
          <w:rFonts w:hint="eastAsia" w:ascii="楷体_GB2312" w:hAnsi="宋体" w:eastAsia="楷体_GB2312"/>
          <w:color w:val="auto"/>
          <w:sz w:val="24"/>
          <w:highlight w:val="none"/>
        </w:rPr>
        <w:t>发布相关信息公告通知投资者。</w:t>
      </w:r>
      <w:r>
        <w:rPr>
          <w:rFonts w:hint="default" w:ascii="楷体_GB2312" w:hAnsi="宋体" w:eastAsia="楷体_GB2312" w:cs="Times New Roman"/>
          <w:color w:val="auto"/>
          <w:sz w:val="24"/>
          <w:highlight w:val="none"/>
          <w:lang w:val="en-US" w:eastAsia="zh-CN"/>
        </w:rPr>
        <w:t>本</w:t>
      </w:r>
      <w:r>
        <w:rPr>
          <w:rFonts w:hint="default" w:ascii="楷体_GB2312" w:hAnsi="宋体" w:eastAsia="楷体_GB2312" w:cs="Times New Roman"/>
          <w:color w:val="auto"/>
          <w:sz w:val="24"/>
          <w:highlight w:val="none"/>
        </w:rPr>
        <w:t>理财产品进入清算期后不再计算收益。</w:t>
      </w:r>
    </w:p>
    <w:p>
      <w:pPr>
        <w:ind w:firstLine="480" w:firstLineChars="200"/>
        <w:rPr>
          <w:rFonts w:hint="default" w:ascii="楷体_GB2312" w:hAnsi="宋体" w:eastAsia="楷体_GB2312"/>
          <w:color w:val="000000"/>
          <w:sz w:val="24"/>
          <w:highlight w:val="none"/>
          <w:lang w:val="en-US" w:eastAsia="zh-CN"/>
        </w:rPr>
      </w:pPr>
      <w:r>
        <w:rPr>
          <w:rFonts w:hint="eastAsia" w:ascii="楷体_GB2312" w:hAnsi="楷体" w:eastAsia="楷体_GB2312"/>
          <w:sz w:val="24"/>
          <w:highlight w:val="none"/>
        </w:rPr>
        <w:t>★</w:t>
      </w:r>
      <w:r>
        <w:rPr>
          <w:rFonts w:hint="eastAsia" w:ascii="楷体_GB2312" w:hAnsi="宋体" w:eastAsia="楷体_GB2312"/>
          <w:color w:val="000000"/>
          <w:sz w:val="24"/>
          <w:highlight w:val="none"/>
          <w:lang w:val="en-US" w:eastAsia="zh-CN"/>
        </w:rPr>
        <w:t>10</w:t>
      </w:r>
      <w:r>
        <w:rPr>
          <w:rFonts w:hint="eastAsia" w:ascii="楷体_GB2312" w:hAnsi="宋体" w:eastAsia="楷体_GB2312"/>
          <w:color w:val="000000"/>
          <w:sz w:val="24"/>
          <w:highlight w:val="none"/>
        </w:rPr>
        <w:t>.最低持有期：指</w:t>
      </w:r>
      <w:r>
        <w:rPr>
          <w:rFonts w:hint="eastAsia" w:ascii="楷体_GB2312" w:hAnsi="宋体" w:eastAsia="楷体_GB2312"/>
          <w:color w:val="000000"/>
          <w:sz w:val="24"/>
          <w:highlight w:val="none"/>
          <w:lang w:val="en-US" w:eastAsia="zh-CN"/>
        </w:rPr>
        <w:t>本理财产品对投资者每笔有效认购/申购的产品份额设置的最低持有期限。投资者可在每笔认购/申购的产品份额确认后于最低持有期结束日（含）及后续每个开放日提出赎回申请。最低持有期结束日如遇非开放日，则顺延至下一开放日。详见本《理财产品说明书》“</w:t>
      </w:r>
      <w:r>
        <w:rPr>
          <w:rFonts w:hint="eastAsia" w:ascii="楷体_GB2312" w:hAnsi="宋体" w:eastAsia="楷体_GB2312"/>
          <w:color w:val="000000"/>
          <w:sz w:val="24"/>
          <w:highlight w:val="none"/>
        </w:rPr>
        <w:t>三、产品概况和基本要素</w:t>
      </w:r>
      <w:r>
        <w:rPr>
          <w:rFonts w:hint="eastAsia" w:ascii="楷体_GB2312" w:hAnsi="宋体" w:eastAsia="楷体_GB2312"/>
          <w:color w:val="000000"/>
          <w:sz w:val="24"/>
          <w:highlight w:val="none"/>
          <w:lang w:val="en-US" w:eastAsia="zh-CN"/>
        </w:rPr>
        <w:t>”部分。</w:t>
      </w:r>
    </w:p>
    <w:p>
      <w:pPr>
        <w:ind w:firstLine="480" w:firstLineChars="200"/>
        <w:rPr>
          <w:rFonts w:ascii="楷体_GB2312" w:hAnsi="宋体" w:eastAsia="楷体_GB2312"/>
          <w:color w:val="000000"/>
          <w:sz w:val="24"/>
          <w:highlight w:val="none"/>
        </w:rPr>
      </w:pPr>
      <w:r>
        <w:rPr>
          <w:rFonts w:hint="eastAsia" w:ascii="楷体_GB2312" w:hAnsi="宋体" w:eastAsia="楷体_GB2312"/>
          <w:color w:val="000000"/>
          <w:sz w:val="24"/>
          <w:highlight w:val="none"/>
        </w:rPr>
        <w:t>（</w:t>
      </w:r>
      <w:r>
        <w:rPr>
          <w:rFonts w:hint="eastAsia" w:ascii="楷体_GB2312" w:hAnsi="宋体" w:eastAsia="楷体_GB2312"/>
          <w:color w:val="000000"/>
          <w:sz w:val="24"/>
          <w:highlight w:val="none"/>
          <w:lang w:val="en-US" w:eastAsia="zh-CN"/>
        </w:rPr>
        <w:t>五</w:t>
      </w:r>
      <w:r>
        <w:rPr>
          <w:rFonts w:hint="eastAsia" w:ascii="楷体_GB2312" w:hAnsi="宋体" w:eastAsia="楷体_GB2312"/>
          <w:color w:val="000000"/>
          <w:sz w:val="24"/>
          <w:highlight w:val="none"/>
        </w:rPr>
        <w:t>）其他</w:t>
      </w:r>
    </w:p>
    <w:p>
      <w:pPr>
        <w:ind w:firstLine="480" w:firstLineChars="200"/>
        <w:rPr>
          <w:rFonts w:ascii="楷体_GB2312" w:hAnsi="宋体" w:eastAsia="楷体_GB2312"/>
          <w:color w:val="000000"/>
          <w:sz w:val="24"/>
          <w:highlight w:val="none"/>
        </w:rPr>
      </w:pPr>
      <w:r>
        <w:rPr>
          <w:rFonts w:hint="eastAsia" w:ascii="楷体_GB2312" w:hAnsi="宋体" w:eastAsia="楷体_GB2312"/>
          <w:color w:val="000000"/>
          <w:sz w:val="24"/>
          <w:highlight w:val="none"/>
        </w:rPr>
        <w:t>1.不可抗力：指</w:t>
      </w:r>
      <w:r>
        <w:rPr>
          <w:rFonts w:hint="eastAsia" w:ascii="楷体_GB2312" w:hAnsi="宋体" w:eastAsia="楷体_GB2312"/>
          <w:color w:val="000000"/>
          <w:sz w:val="24"/>
          <w:highlight w:val="none"/>
          <w:lang w:eastAsia="zh-CN"/>
        </w:rPr>
        <w:t>本</w:t>
      </w:r>
      <w:r>
        <w:rPr>
          <w:rFonts w:hint="eastAsia" w:ascii="楷体_GB2312" w:hAnsi="宋体" w:eastAsia="楷体_GB2312"/>
          <w:color w:val="000000"/>
          <w:sz w:val="24"/>
          <w:highlight w:val="none"/>
        </w:rPr>
        <w:t>理财产品各方不能预见、不能避免且不能克服的客观情况，该事件妨碍、影响或延误任何一方依</w:t>
      </w:r>
      <w:r>
        <w:rPr>
          <w:rFonts w:hint="eastAsia" w:ascii="楷体_GB2312" w:hAnsi="宋体" w:eastAsia="楷体_GB2312"/>
          <w:color w:val="000000"/>
          <w:sz w:val="24"/>
          <w:highlight w:val="none"/>
          <w:lang w:eastAsia="zh-CN"/>
        </w:rPr>
        <w:t>本</w:t>
      </w:r>
      <w:r>
        <w:rPr>
          <w:rFonts w:hint="eastAsia" w:ascii="楷体_GB2312" w:hAnsi="宋体" w:eastAsia="楷体_GB2312"/>
          <w:color w:val="000000"/>
          <w:sz w:val="24"/>
          <w:highlight w:val="none"/>
        </w:rPr>
        <w:t>理财产品销售文件履行其全部或部分义务。该事件包括但不限于：</w:t>
      </w:r>
    </w:p>
    <w:p>
      <w:pPr>
        <w:pStyle w:val="31"/>
        <w:ind w:firstLine="480" w:firstLineChars="200"/>
        <w:rPr>
          <w:rFonts w:ascii="楷体_GB2312" w:hAnsi="宋体" w:eastAsia="楷体_GB2312"/>
          <w:highlight w:val="none"/>
        </w:rPr>
      </w:pPr>
      <w:r>
        <w:rPr>
          <w:rFonts w:ascii="楷体_GB2312" w:hAnsi="宋体" w:eastAsia="楷体_GB2312"/>
          <w:highlight w:val="none"/>
        </w:rPr>
        <w:t>（1）地震、台风、海啸、洪水、火灾、停电、瘟疫；</w:t>
      </w:r>
    </w:p>
    <w:p>
      <w:pPr>
        <w:autoSpaceDE w:val="0"/>
        <w:autoSpaceDN w:val="0"/>
        <w:adjustRightInd w:val="0"/>
        <w:ind w:firstLine="480" w:firstLineChars="200"/>
        <w:jc w:val="left"/>
        <w:rPr>
          <w:rFonts w:ascii="楷体_GB2312" w:hAnsi="宋体" w:eastAsia="楷体_GB2312" w:cs="宋体"/>
          <w:color w:val="000000"/>
          <w:kern w:val="0"/>
          <w:sz w:val="24"/>
          <w:highlight w:val="none"/>
        </w:rPr>
      </w:pPr>
      <w:r>
        <w:rPr>
          <w:rFonts w:ascii="楷体_GB2312" w:hAnsi="宋体" w:eastAsia="楷体_GB2312" w:cs="宋体"/>
          <w:color w:val="000000"/>
          <w:kern w:val="0"/>
          <w:sz w:val="24"/>
          <w:highlight w:val="none"/>
        </w:rPr>
        <w:t>（2）战争、政变、恐怖主义行动、骚乱、罢工；</w:t>
      </w:r>
    </w:p>
    <w:p>
      <w:pPr>
        <w:autoSpaceDE w:val="0"/>
        <w:autoSpaceDN w:val="0"/>
        <w:adjustRightInd w:val="0"/>
        <w:ind w:firstLine="480" w:firstLineChars="200"/>
        <w:jc w:val="left"/>
        <w:rPr>
          <w:rFonts w:ascii="楷体_GB2312" w:hAnsi="宋体" w:eastAsia="楷体_GB2312" w:cs="宋体"/>
          <w:color w:val="000000"/>
          <w:kern w:val="0"/>
          <w:sz w:val="24"/>
          <w:highlight w:val="none"/>
        </w:rPr>
      </w:pPr>
      <w:r>
        <w:rPr>
          <w:rFonts w:ascii="楷体_GB2312" w:hAnsi="宋体" w:eastAsia="楷体_GB2312" w:cs="宋体"/>
          <w:color w:val="000000"/>
          <w:kern w:val="0"/>
          <w:sz w:val="24"/>
          <w:highlight w:val="none"/>
        </w:rPr>
        <w:t>（3）新的适用法律或国家政策的颁布或实施、对原适用法律或国家政策的修改；</w:t>
      </w:r>
    </w:p>
    <w:p>
      <w:pPr>
        <w:autoSpaceDE w:val="0"/>
        <w:autoSpaceDN w:val="0"/>
        <w:adjustRightInd w:val="0"/>
        <w:ind w:firstLine="480" w:firstLineChars="200"/>
        <w:jc w:val="left"/>
        <w:rPr>
          <w:rFonts w:ascii="楷体_GB2312" w:hAnsi="宋体" w:eastAsia="楷体_GB2312" w:cs="宋体"/>
          <w:color w:val="000000"/>
          <w:kern w:val="0"/>
          <w:sz w:val="24"/>
          <w:highlight w:val="none"/>
        </w:rPr>
      </w:pPr>
      <w:r>
        <w:rPr>
          <w:rFonts w:ascii="楷体_GB2312" w:hAnsi="宋体" w:eastAsia="楷体_GB2312" w:cs="宋体"/>
          <w:color w:val="000000"/>
          <w:kern w:val="0"/>
          <w:sz w:val="24"/>
          <w:highlight w:val="none"/>
        </w:rPr>
        <w:t>（4）</w:t>
      </w:r>
      <w:r>
        <w:rPr>
          <w:rFonts w:hint="eastAsia" w:ascii="楷体_GB2312" w:eastAsia="楷体_GB2312"/>
          <w:color w:val="000000"/>
          <w:sz w:val="24"/>
          <w:highlight w:val="none"/>
        </w:rPr>
        <w:t>国家金融监督管理总局</w:t>
      </w:r>
      <w:r>
        <w:rPr>
          <w:rFonts w:ascii="楷体_GB2312" w:hAnsi="宋体" w:eastAsia="楷体_GB2312" w:cs="宋体"/>
          <w:color w:val="000000"/>
          <w:kern w:val="0"/>
          <w:sz w:val="24"/>
          <w:highlight w:val="none"/>
        </w:rPr>
        <w:t>或其他有权机关要求终止</w:t>
      </w:r>
      <w:r>
        <w:rPr>
          <w:rFonts w:hint="eastAsia" w:ascii="楷体_GB2312" w:hAnsi="宋体" w:eastAsia="楷体_GB2312" w:cs="宋体"/>
          <w:color w:val="000000"/>
          <w:kern w:val="0"/>
          <w:sz w:val="24"/>
          <w:highlight w:val="none"/>
          <w:lang w:val="en-US" w:eastAsia="zh-CN"/>
        </w:rPr>
        <w:t>本</w:t>
      </w:r>
      <w:r>
        <w:rPr>
          <w:rFonts w:ascii="楷体_GB2312" w:hAnsi="宋体" w:eastAsia="楷体_GB2312" w:cs="宋体"/>
          <w:color w:val="000000"/>
          <w:kern w:val="0"/>
          <w:sz w:val="24"/>
          <w:highlight w:val="none"/>
        </w:rPr>
        <w:t>理财产品（该等要求不可归责于任何一方）；</w:t>
      </w:r>
    </w:p>
    <w:p>
      <w:pPr>
        <w:autoSpaceDE w:val="0"/>
        <w:autoSpaceDN w:val="0"/>
        <w:adjustRightInd w:val="0"/>
        <w:ind w:firstLine="480" w:firstLineChars="200"/>
        <w:jc w:val="left"/>
        <w:rPr>
          <w:rFonts w:ascii="楷体_GB2312" w:hAnsi="宋体" w:eastAsia="楷体_GB2312" w:cs="宋体"/>
          <w:color w:val="000000"/>
          <w:kern w:val="0"/>
          <w:sz w:val="24"/>
          <w:highlight w:val="none"/>
        </w:rPr>
      </w:pPr>
      <w:r>
        <w:rPr>
          <w:rFonts w:ascii="楷体_GB2312" w:hAnsi="宋体" w:eastAsia="楷体_GB2312" w:cs="宋体"/>
          <w:color w:val="000000"/>
          <w:kern w:val="0"/>
          <w:sz w:val="24"/>
          <w:highlight w:val="none"/>
        </w:rPr>
        <w:t>（5）因</w:t>
      </w:r>
      <w:r>
        <w:rPr>
          <w:rFonts w:hint="eastAsia" w:ascii="楷体_GB2312" w:hAnsi="宋体" w:eastAsia="楷体_GB2312" w:cs="宋体"/>
          <w:color w:val="000000"/>
          <w:kern w:val="0"/>
          <w:sz w:val="24"/>
          <w:highlight w:val="none"/>
          <w:lang w:val="en-US" w:eastAsia="zh-CN"/>
        </w:rPr>
        <w:t>本</w:t>
      </w:r>
      <w:r>
        <w:rPr>
          <w:rFonts w:ascii="楷体_GB2312" w:hAnsi="宋体" w:eastAsia="楷体_GB2312" w:cs="宋体"/>
          <w:color w:val="000000"/>
          <w:kern w:val="0"/>
          <w:sz w:val="24"/>
          <w:highlight w:val="none"/>
        </w:rPr>
        <w:t>理财产品各方和/或其关联方运营网络系统遭受黑客攻击、电信部门技术调整或故障等原因而造成的</w:t>
      </w:r>
      <w:r>
        <w:rPr>
          <w:rFonts w:hint="eastAsia" w:ascii="楷体_GB2312" w:hAnsi="宋体" w:eastAsia="楷体_GB2312" w:cs="宋体"/>
          <w:color w:val="000000"/>
          <w:kern w:val="0"/>
          <w:sz w:val="24"/>
          <w:highlight w:val="none"/>
          <w:lang w:val="en-US" w:eastAsia="zh-CN"/>
        </w:rPr>
        <w:t>本</w:t>
      </w:r>
      <w:r>
        <w:rPr>
          <w:rFonts w:ascii="楷体_GB2312" w:hAnsi="宋体" w:eastAsia="楷体_GB2312" w:cs="宋体"/>
          <w:color w:val="000000"/>
          <w:kern w:val="0"/>
          <w:sz w:val="24"/>
          <w:highlight w:val="none"/>
        </w:rPr>
        <w:t>理财产品各方和/或其关联方之服务、营业的中断或者延迟。</w:t>
      </w:r>
    </w:p>
    <w:p>
      <w:pPr>
        <w:autoSpaceDE w:val="0"/>
        <w:autoSpaceDN w:val="0"/>
        <w:adjustRightInd w:val="0"/>
        <w:ind w:firstLine="480" w:firstLineChars="200"/>
        <w:jc w:val="left"/>
        <w:rPr>
          <w:rFonts w:ascii="楷体_GB2312" w:hAnsi="宋体" w:eastAsia="楷体_GB2312"/>
          <w:color w:val="000000"/>
          <w:sz w:val="24"/>
          <w:highlight w:val="none"/>
        </w:rPr>
      </w:pPr>
      <w:r>
        <w:rPr>
          <w:rFonts w:hint="eastAsia" w:ascii="楷体_GB2312" w:hAnsi="宋体" w:eastAsia="楷体_GB2312"/>
          <w:color w:val="000000"/>
          <w:sz w:val="24"/>
          <w:highlight w:val="none"/>
        </w:rPr>
        <w:t>2.元：指人民币元。</w:t>
      </w:r>
    </w:p>
    <w:p>
      <w:pPr>
        <w:autoSpaceDE w:val="0"/>
        <w:autoSpaceDN w:val="0"/>
        <w:adjustRightInd w:val="0"/>
        <w:ind w:firstLine="480" w:firstLineChars="200"/>
        <w:jc w:val="left"/>
        <w:rPr>
          <w:rFonts w:ascii="楷体_GB2312" w:hAnsi="宋体" w:eastAsia="楷体_GB2312"/>
          <w:color w:val="000000"/>
          <w:sz w:val="24"/>
          <w:highlight w:val="none"/>
        </w:rPr>
      </w:pPr>
      <w:r>
        <w:rPr>
          <w:rFonts w:hint="eastAsia" w:ascii="楷体_GB2312" w:hAnsi="宋体" w:eastAsia="楷体_GB2312"/>
          <w:color w:val="000000"/>
          <w:sz w:val="24"/>
          <w:highlight w:val="none"/>
        </w:rPr>
        <w:t>3.适用法律法规：指在</w:t>
      </w:r>
      <w:r>
        <w:rPr>
          <w:rFonts w:hint="eastAsia" w:ascii="楷体_GB2312" w:hAnsi="宋体" w:eastAsia="楷体_GB2312"/>
          <w:color w:val="000000"/>
          <w:sz w:val="24"/>
          <w:highlight w:val="none"/>
          <w:lang w:val="en-US" w:eastAsia="zh-CN"/>
        </w:rPr>
        <w:t>本</w:t>
      </w:r>
      <w:r>
        <w:rPr>
          <w:rFonts w:hint="eastAsia" w:ascii="楷体_GB2312" w:hAnsi="宋体" w:eastAsia="楷体_GB2312"/>
          <w:color w:val="000000"/>
          <w:sz w:val="24"/>
          <w:highlight w:val="none"/>
        </w:rPr>
        <w:t>理财产品销售文件签署和履行过程中，中国任何立法机构、政府部门、银行间交易商协会、证券交易所、证券登记结算机构、基金业协会依法颁布的，适用于本理财产品相关事宜的法律、行政法规、地方法规、部委规章、地方政府规章、规范性文件、规则、通知、须知、业务指南、指引或操作规程，及其有效的修改、更新或补充。</w:t>
      </w:r>
    </w:p>
    <w:p>
      <w:pPr>
        <w:autoSpaceDE w:val="0"/>
        <w:autoSpaceDN w:val="0"/>
        <w:adjustRightInd w:val="0"/>
        <w:ind w:firstLine="480" w:firstLineChars="200"/>
        <w:jc w:val="left"/>
        <w:rPr>
          <w:rFonts w:ascii="楷体_GB2312" w:hAnsi="宋体" w:eastAsia="楷体_GB2312"/>
          <w:color w:val="000000"/>
          <w:sz w:val="24"/>
          <w:highlight w:val="none"/>
        </w:rPr>
      </w:pPr>
      <w:r>
        <w:rPr>
          <w:rFonts w:hint="eastAsia" w:ascii="楷体_GB2312" w:hAnsi="宋体" w:eastAsia="楷体_GB2312"/>
          <w:color w:val="000000"/>
          <w:sz w:val="24"/>
          <w:highlight w:val="none"/>
        </w:rPr>
        <w:t>4.时间：受理时间、信息公布的相关时间以</w:t>
      </w:r>
      <w:r>
        <w:rPr>
          <w:rFonts w:hint="eastAsia" w:ascii="楷体_GB2312" w:hAnsi="宋体" w:eastAsia="楷体_GB2312"/>
          <w:color w:val="000000"/>
          <w:sz w:val="24"/>
          <w:highlight w:val="none"/>
          <w:lang w:eastAsia="zh-CN"/>
        </w:rPr>
        <w:t>产品管理人</w:t>
      </w:r>
      <w:r>
        <w:rPr>
          <w:rFonts w:hint="eastAsia" w:ascii="楷体_GB2312" w:hAnsi="宋体" w:eastAsia="楷体_GB2312"/>
          <w:color w:val="000000"/>
          <w:sz w:val="24"/>
          <w:highlight w:val="none"/>
        </w:rPr>
        <w:t>业务处理系统记录的北京时间为准。</w:t>
      </w:r>
    </w:p>
    <w:p>
      <w:pPr>
        <w:pStyle w:val="3"/>
        <w:ind w:left="0" w:leftChars="0" w:firstLine="482" w:firstLineChars="200"/>
        <w:rPr>
          <w:rFonts w:ascii="楷体_GB2312" w:eastAsia="楷体_GB2312"/>
          <w:b/>
          <w:color w:val="000000"/>
          <w:sz w:val="24"/>
          <w:szCs w:val="24"/>
        </w:rPr>
      </w:pPr>
      <w:r>
        <w:rPr>
          <w:rFonts w:hint="eastAsia" w:ascii="楷体_GB2312" w:hAnsi="宋体" w:eastAsia="楷体_GB2312"/>
          <w:b/>
          <w:bCs/>
          <w:color w:val="auto"/>
          <w:sz w:val="24"/>
          <w:highlight w:val="none"/>
        </w:rPr>
        <w:t>★</w:t>
      </w:r>
      <w:r>
        <w:rPr>
          <w:rFonts w:hint="eastAsia" w:ascii="楷体_GB2312" w:eastAsia="楷体_GB2312"/>
          <w:b/>
          <w:color w:val="000000"/>
          <w:sz w:val="24"/>
          <w:szCs w:val="24"/>
        </w:rPr>
        <w:t>三、产品概况和基本要素</w:t>
      </w:r>
    </w:p>
    <w:tbl>
      <w:tblPr>
        <w:tblStyle w:val="16"/>
        <w:tblW w:w="9084" w:type="dxa"/>
        <w:tblInd w:w="-3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451"/>
        <w:gridCol w:w="66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 w:hRule="atLeast"/>
        </w:trPr>
        <w:tc>
          <w:tcPr>
            <w:tcW w:w="2451" w:type="dxa"/>
            <w:vAlign w:val="center"/>
          </w:tcPr>
          <w:p>
            <w:pPr>
              <w:snapToGrid w:val="0"/>
              <w:rPr>
                <w:rFonts w:ascii="楷体_GB2312" w:eastAsia="楷体_GB2312"/>
                <w:color w:val="000000"/>
                <w:sz w:val="24"/>
              </w:rPr>
            </w:pPr>
            <w:r>
              <w:rPr>
                <w:rFonts w:hint="eastAsia" w:ascii="楷体_GB2312" w:eastAsia="楷体_GB2312"/>
                <w:bCs/>
                <w:color w:val="000000"/>
                <w:sz w:val="24"/>
              </w:rPr>
              <w:t>产品名称</w:t>
            </w:r>
          </w:p>
        </w:tc>
        <w:tc>
          <w:tcPr>
            <w:tcW w:w="6633" w:type="dxa"/>
            <w:vAlign w:val="center"/>
          </w:tcPr>
          <w:p>
            <w:pPr>
              <w:rPr>
                <w:rFonts w:hint="eastAsia" w:ascii="楷体_GB2312" w:hAnsi="宋体" w:eastAsia="楷体_GB2312"/>
                <w:color w:val="000000"/>
                <w:sz w:val="24"/>
                <w:lang w:eastAsia="zh-CN"/>
              </w:rPr>
            </w:pPr>
            <w:r>
              <w:rPr>
                <w:rFonts w:hint="eastAsia" w:ascii="楷体_GB2312" w:hAnsi="宋体" w:eastAsia="楷体_GB2312"/>
                <w:color w:val="auto"/>
                <w:sz w:val="24"/>
                <w:lang w:eastAsia="zh-CN"/>
              </w:rPr>
              <w:t>北银理财丰收系列京华远见春系列诚享</w:t>
            </w:r>
            <w:permStart w:id="4" w:edGrp="everyone"/>
            <w:r>
              <w:rPr>
                <w:rFonts w:hint="eastAsia" w:ascii="楷体_GB2312" w:hAnsi="宋体" w:eastAsia="楷体_GB2312"/>
                <w:color w:val="auto"/>
                <w:sz w:val="24"/>
                <w:lang w:val="en-US" w:eastAsia="zh-CN"/>
              </w:rPr>
              <w:t>7</w:t>
            </w:r>
            <w:permEnd w:id="4"/>
            <w:r>
              <w:rPr>
                <w:rFonts w:hint="eastAsia" w:ascii="楷体_GB2312" w:hAnsi="宋体" w:eastAsia="楷体_GB2312"/>
                <w:color w:val="auto"/>
                <w:sz w:val="24"/>
                <w:lang w:eastAsia="zh-CN"/>
              </w:rPr>
              <w:t>天持有期</w:t>
            </w:r>
            <w:permStart w:id="5" w:edGrp="everyone"/>
            <w:r>
              <w:rPr>
                <w:rFonts w:hint="eastAsia" w:ascii="楷体_GB2312" w:hAnsi="宋体" w:eastAsia="楷体_GB2312"/>
                <w:color w:val="auto"/>
                <w:sz w:val="24"/>
                <w:lang w:val="en-US" w:eastAsia="zh-CN"/>
              </w:rPr>
              <w:t>1</w:t>
            </w:r>
            <w:permEnd w:id="5"/>
            <w:r>
              <w:rPr>
                <w:rFonts w:hint="eastAsia" w:ascii="楷体_GB2312" w:hAnsi="宋体" w:eastAsia="楷体_GB2312"/>
                <w:color w:val="auto"/>
                <w:sz w:val="24"/>
                <w:lang w:eastAsia="zh-CN"/>
              </w:rPr>
              <w:t>号理财产品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 w:hRule="atLeast"/>
        </w:trPr>
        <w:tc>
          <w:tcPr>
            <w:tcW w:w="2451" w:type="dxa"/>
            <w:vAlign w:val="center"/>
          </w:tcPr>
          <w:p>
            <w:pPr>
              <w:snapToGrid w:val="0"/>
              <w:rPr>
                <w:rFonts w:ascii="楷体_GB2312" w:eastAsia="楷体_GB2312"/>
                <w:bCs/>
                <w:color w:val="auto"/>
                <w:sz w:val="24"/>
              </w:rPr>
            </w:pPr>
            <w:r>
              <w:rPr>
                <w:rFonts w:hint="eastAsia" w:ascii="楷体_GB2312" w:eastAsia="楷体_GB2312"/>
                <w:bCs/>
                <w:color w:val="auto"/>
                <w:sz w:val="24"/>
              </w:rPr>
              <w:t>产品销售名称</w:t>
            </w:r>
          </w:p>
        </w:tc>
        <w:tc>
          <w:tcPr>
            <w:tcW w:w="6633" w:type="dxa"/>
            <w:vAlign w:val="top"/>
          </w:tcPr>
          <w:p>
            <w:pPr>
              <w:rPr>
                <w:rFonts w:hint="eastAsia" w:ascii="楷体_GB2312" w:hAnsi="宋体" w:eastAsia="楷体_GB2312"/>
                <w:color w:val="auto"/>
                <w:sz w:val="24"/>
                <w:lang w:eastAsia="zh-CN"/>
              </w:rPr>
            </w:pPr>
            <w:r>
              <w:rPr>
                <w:rFonts w:hint="eastAsia" w:ascii="楷体_GB2312" w:eastAsia="楷体_GB2312"/>
                <w:bCs/>
                <w:color w:val="auto"/>
                <w:sz w:val="24"/>
                <w:highlight w:val="none"/>
                <w:lang w:val="en-US" w:eastAsia="zh-CN"/>
              </w:rPr>
              <w:t>A类</w:t>
            </w:r>
            <w:r>
              <w:rPr>
                <w:rFonts w:hint="eastAsia" w:ascii="楷体_GB2312" w:eastAsia="楷体_GB2312"/>
                <w:bCs/>
                <w:color w:val="auto"/>
                <w:sz w:val="24"/>
                <w:highlight w:val="none"/>
              </w:rPr>
              <w:t>份额：</w:t>
            </w:r>
            <w:r>
              <w:rPr>
                <w:rFonts w:hint="eastAsia" w:ascii="楷体_GB2312" w:hAnsi="宋体" w:eastAsia="楷体_GB2312"/>
                <w:color w:val="auto"/>
                <w:sz w:val="24"/>
                <w:lang w:eastAsia="zh-CN"/>
              </w:rPr>
              <w:t>丰收系列京华远见春系列诚享7天持有期1号</w:t>
            </w:r>
            <w:r>
              <w:rPr>
                <w:rFonts w:hint="eastAsia" w:ascii="楷体_GB2312" w:hAnsi="宋体" w:eastAsia="楷体_GB2312"/>
                <w:color w:val="auto"/>
                <w:sz w:val="24"/>
                <w:lang w:val="en-US" w:eastAsia="zh-CN"/>
              </w:rPr>
              <w:t>A类</w:t>
            </w:r>
            <w:r>
              <w:rPr>
                <w:rFonts w:hint="eastAsia" w:ascii="楷体_GB2312" w:hAnsi="宋体" w:eastAsia="楷体_GB2312"/>
                <w:color w:val="auto"/>
                <w:sz w:val="24"/>
                <w:lang w:eastAsia="zh-CN"/>
              </w:rPr>
              <w:t>份额</w:t>
            </w:r>
          </w:p>
          <w:p>
            <w:pPr>
              <w:rPr>
                <w:rFonts w:hint="eastAsia" w:ascii="楷体_GB2312" w:hAnsi="宋体" w:eastAsia="楷体_GB2312"/>
                <w:color w:val="auto"/>
                <w:sz w:val="24"/>
                <w:lang w:eastAsia="zh-CN"/>
              </w:rPr>
            </w:pPr>
            <w:r>
              <w:rPr>
                <w:rFonts w:hint="eastAsia" w:ascii="楷体_GB2312" w:eastAsia="楷体_GB2312"/>
                <w:bCs/>
                <w:color w:val="auto"/>
                <w:sz w:val="24"/>
                <w:highlight w:val="none"/>
                <w:lang w:val="en-US" w:eastAsia="zh-CN"/>
              </w:rPr>
              <w:t>B类</w:t>
            </w:r>
            <w:r>
              <w:rPr>
                <w:rFonts w:hint="eastAsia" w:ascii="楷体_GB2312" w:eastAsia="楷体_GB2312"/>
                <w:bCs/>
                <w:color w:val="auto"/>
                <w:sz w:val="24"/>
                <w:highlight w:val="none"/>
              </w:rPr>
              <w:t>份额：</w:t>
            </w:r>
            <w:r>
              <w:rPr>
                <w:rFonts w:hint="eastAsia" w:ascii="楷体_GB2312" w:hAnsi="宋体" w:eastAsia="楷体_GB2312"/>
                <w:color w:val="auto"/>
                <w:sz w:val="24"/>
                <w:lang w:eastAsia="zh-CN"/>
              </w:rPr>
              <w:t>丰收系列京华远见春系列诚享7天持有期1号</w:t>
            </w:r>
            <w:r>
              <w:rPr>
                <w:rFonts w:hint="eastAsia" w:ascii="楷体_GB2312" w:hAnsi="宋体" w:eastAsia="楷体_GB2312"/>
                <w:color w:val="auto"/>
                <w:sz w:val="24"/>
                <w:lang w:val="en-US" w:eastAsia="zh-CN"/>
              </w:rPr>
              <w:t>B类</w:t>
            </w:r>
            <w:r>
              <w:rPr>
                <w:rFonts w:hint="eastAsia" w:ascii="楷体_GB2312" w:hAnsi="宋体" w:eastAsia="楷体_GB2312"/>
                <w:color w:val="auto"/>
                <w:sz w:val="24"/>
                <w:lang w:eastAsia="zh-CN"/>
              </w:rPr>
              <w:t>份额</w:t>
            </w:r>
          </w:p>
          <w:p>
            <w:pPr>
              <w:rPr>
                <w:rFonts w:hint="eastAsia" w:eastAsia="楷体_GB2312"/>
                <w:color w:val="C00000"/>
                <w:lang w:val="en-US" w:eastAsia="zh-CN"/>
              </w:rPr>
            </w:pPr>
            <w:r>
              <w:rPr>
                <w:rFonts w:hint="eastAsia" w:ascii="楷体_GB2312" w:eastAsia="楷体_GB2312"/>
                <w:bCs/>
                <w:color w:val="auto"/>
                <w:sz w:val="24"/>
                <w:highlight w:val="none"/>
                <w:lang w:val="en-US" w:eastAsia="zh-CN"/>
              </w:rPr>
              <w:t>浙BA类</w:t>
            </w:r>
            <w:r>
              <w:rPr>
                <w:rFonts w:hint="eastAsia" w:ascii="楷体_GB2312" w:eastAsia="楷体_GB2312"/>
                <w:bCs/>
                <w:color w:val="auto"/>
                <w:sz w:val="24"/>
                <w:highlight w:val="none"/>
              </w:rPr>
              <w:t>份额：</w:t>
            </w:r>
            <w:r>
              <w:rPr>
                <w:rFonts w:hint="eastAsia" w:ascii="楷体_GB2312" w:hAnsi="宋体" w:eastAsia="楷体_GB2312"/>
                <w:color w:val="auto"/>
                <w:sz w:val="24"/>
                <w:lang w:eastAsia="zh-CN"/>
              </w:rPr>
              <w:t>丰收系列京华远见春系列诚享7天持有期1号</w:t>
            </w:r>
            <w:r>
              <w:rPr>
                <w:rFonts w:hint="eastAsia" w:ascii="楷体_GB2312" w:hAnsi="宋体" w:eastAsia="楷体_GB2312"/>
                <w:color w:val="auto"/>
                <w:sz w:val="24"/>
                <w:lang w:val="en-US" w:eastAsia="zh-CN"/>
              </w:rPr>
              <w:t>浙BA类</w:t>
            </w:r>
            <w:r>
              <w:rPr>
                <w:rFonts w:hint="eastAsia" w:ascii="楷体_GB2312" w:hAnsi="宋体" w:eastAsia="楷体_GB2312"/>
                <w:color w:val="auto"/>
                <w:sz w:val="24"/>
                <w:lang w:eastAsia="zh-CN"/>
              </w:rPr>
              <w:t>份额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 w:hRule="atLeast"/>
        </w:trPr>
        <w:tc>
          <w:tcPr>
            <w:tcW w:w="2451" w:type="dxa"/>
            <w:vAlign w:val="center"/>
          </w:tcPr>
          <w:p>
            <w:pPr>
              <w:snapToGrid w:val="0"/>
              <w:rPr>
                <w:rFonts w:ascii="楷体_GB2312" w:eastAsia="楷体_GB2312"/>
                <w:bCs/>
                <w:color w:val="auto"/>
                <w:sz w:val="24"/>
              </w:rPr>
            </w:pPr>
            <w:r>
              <w:rPr>
                <w:rFonts w:hint="eastAsia" w:ascii="楷体_GB2312" w:eastAsia="楷体_GB2312"/>
                <w:bCs/>
                <w:color w:val="auto"/>
                <w:sz w:val="24"/>
              </w:rPr>
              <w:t>产品代码</w:t>
            </w:r>
          </w:p>
        </w:tc>
        <w:tc>
          <w:tcPr>
            <w:tcW w:w="6633" w:type="dxa"/>
            <w:vAlign w:val="top"/>
          </w:tcPr>
          <w:p>
            <w:pPr>
              <w:rPr>
                <w:rFonts w:hint="eastAsia" w:ascii="楷体_GB2312" w:hAnsi="宋体" w:eastAsia="楷体_GB2312"/>
                <w:color w:val="C00000"/>
                <w:sz w:val="24"/>
                <w:lang w:eastAsia="zh-CN"/>
              </w:rPr>
            </w:pPr>
            <w:r>
              <w:rPr>
                <w:rFonts w:hint="eastAsia" w:ascii="楷体_GB2312" w:eastAsia="楷体_GB2312" w:cs="Times New Roman"/>
                <w:bCs/>
                <w:color w:val="auto"/>
                <w:sz w:val="24"/>
                <w:highlight w:val="none"/>
                <w:lang w:eastAsia="zh-CN"/>
              </w:rPr>
              <w:t>YJ01250495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 w:hRule="atLeast"/>
        </w:trPr>
        <w:tc>
          <w:tcPr>
            <w:tcW w:w="2451" w:type="dxa"/>
            <w:vAlign w:val="center"/>
          </w:tcPr>
          <w:p>
            <w:pPr>
              <w:snapToGrid w:val="0"/>
              <w:rPr>
                <w:rFonts w:ascii="楷体_GB2312" w:eastAsia="楷体_GB2312"/>
                <w:bCs/>
                <w:color w:val="auto"/>
                <w:sz w:val="24"/>
              </w:rPr>
            </w:pPr>
            <w:r>
              <w:rPr>
                <w:rFonts w:hint="eastAsia" w:ascii="楷体_GB2312" w:eastAsia="楷体_GB2312"/>
                <w:bCs/>
                <w:color w:val="auto"/>
                <w:sz w:val="24"/>
              </w:rPr>
              <w:t>产品销售代码</w:t>
            </w:r>
          </w:p>
        </w:tc>
        <w:tc>
          <w:tcPr>
            <w:tcW w:w="6633" w:type="dxa"/>
            <w:vAlign w:val="top"/>
          </w:tcPr>
          <w:p>
            <w:pPr>
              <w:rPr>
                <w:rFonts w:hint="eastAsia" w:ascii="楷体_GB2312" w:eastAsia="楷体_GB2312" w:cs="Times New Roman"/>
                <w:bCs/>
                <w:color w:val="auto"/>
                <w:sz w:val="24"/>
                <w:highlight w:val="none"/>
                <w:lang w:val="en-US" w:eastAsia="zh-CN"/>
              </w:rPr>
            </w:pPr>
            <w:r>
              <w:rPr>
                <w:rFonts w:hint="eastAsia" w:ascii="楷体_GB2312" w:hAnsi="宋体" w:eastAsia="楷体_GB2312"/>
                <w:color w:val="auto"/>
                <w:sz w:val="24"/>
                <w:lang w:val="en-US" w:eastAsia="zh-CN"/>
              </w:rPr>
              <w:t>A类</w:t>
            </w:r>
            <w:r>
              <w:rPr>
                <w:rFonts w:hint="eastAsia" w:ascii="楷体_GB2312" w:hAnsi="宋体" w:eastAsia="楷体_GB2312"/>
                <w:color w:val="auto"/>
                <w:sz w:val="24"/>
                <w:highlight w:val="none"/>
              </w:rPr>
              <w:t>份额：</w:t>
            </w:r>
            <w:r>
              <w:rPr>
                <w:rFonts w:hint="eastAsia" w:ascii="楷体_GB2312" w:eastAsia="楷体_GB2312" w:cs="Times New Roman"/>
                <w:bCs/>
                <w:color w:val="auto"/>
                <w:sz w:val="24"/>
                <w:highlight w:val="none"/>
                <w:lang w:eastAsia="zh-CN"/>
              </w:rPr>
              <w:t>YJ01250495</w:t>
            </w:r>
            <w:r>
              <w:rPr>
                <w:rFonts w:hint="eastAsia" w:ascii="楷体_GB2312" w:eastAsia="楷体_GB2312" w:cs="Times New Roman"/>
                <w:bCs/>
                <w:color w:val="auto"/>
                <w:sz w:val="24"/>
                <w:highlight w:val="none"/>
                <w:lang w:val="en-US" w:eastAsia="zh-CN"/>
              </w:rPr>
              <w:t>A</w:t>
            </w:r>
          </w:p>
          <w:p>
            <w:pPr>
              <w:rPr>
                <w:rFonts w:hint="eastAsia" w:ascii="楷体_GB2312" w:eastAsia="楷体_GB2312" w:cs="Times New Roman"/>
                <w:bCs/>
                <w:color w:val="auto"/>
                <w:sz w:val="24"/>
                <w:highlight w:val="none"/>
                <w:lang w:val="en-US" w:eastAsia="zh-CN"/>
              </w:rPr>
            </w:pPr>
            <w:r>
              <w:rPr>
                <w:rFonts w:hint="eastAsia" w:ascii="楷体_GB2312" w:hAnsi="宋体" w:eastAsia="楷体_GB2312"/>
                <w:color w:val="auto"/>
                <w:sz w:val="24"/>
                <w:lang w:val="en-US" w:eastAsia="zh-CN"/>
              </w:rPr>
              <w:t>B类</w:t>
            </w:r>
            <w:r>
              <w:rPr>
                <w:rFonts w:hint="eastAsia" w:ascii="楷体_GB2312" w:hAnsi="宋体" w:eastAsia="楷体_GB2312"/>
                <w:color w:val="auto"/>
                <w:sz w:val="24"/>
                <w:highlight w:val="none"/>
              </w:rPr>
              <w:t>份额：</w:t>
            </w:r>
            <w:r>
              <w:rPr>
                <w:rFonts w:hint="eastAsia" w:ascii="楷体_GB2312" w:eastAsia="楷体_GB2312" w:cs="Times New Roman"/>
                <w:bCs/>
                <w:color w:val="auto"/>
                <w:sz w:val="24"/>
                <w:highlight w:val="none"/>
                <w:lang w:eastAsia="zh-CN"/>
              </w:rPr>
              <w:t>YJ01250495</w:t>
            </w:r>
            <w:r>
              <w:rPr>
                <w:rFonts w:hint="eastAsia" w:ascii="楷体_GB2312" w:eastAsia="楷体_GB2312" w:cs="Times New Roman"/>
                <w:bCs/>
                <w:color w:val="auto"/>
                <w:sz w:val="24"/>
                <w:highlight w:val="none"/>
                <w:lang w:val="en-US" w:eastAsia="zh-CN"/>
              </w:rPr>
              <w:t>B</w:t>
            </w:r>
          </w:p>
          <w:p>
            <w:pPr>
              <w:rPr>
                <w:rFonts w:hint="default" w:eastAsia="楷体_GB2312"/>
                <w:color w:val="C00000"/>
                <w:lang w:val="en-US" w:eastAsia="zh-CN"/>
              </w:rPr>
            </w:pPr>
            <w:r>
              <w:rPr>
                <w:rFonts w:hint="eastAsia" w:ascii="楷体_GB2312" w:hAnsi="宋体" w:eastAsia="楷体_GB2312"/>
                <w:color w:val="auto"/>
                <w:sz w:val="24"/>
                <w:lang w:val="en-US" w:eastAsia="zh-CN"/>
              </w:rPr>
              <w:t>浙BA类</w:t>
            </w:r>
            <w:r>
              <w:rPr>
                <w:rFonts w:hint="eastAsia" w:ascii="楷体_GB2312" w:hAnsi="宋体" w:eastAsia="楷体_GB2312"/>
                <w:color w:val="auto"/>
                <w:sz w:val="24"/>
                <w:highlight w:val="none"/>
              </w:rPr>
              <w:t>份额：</w:t>
            </w:r>
            <w:r>
              <w:rPr>
                <w:rFonts w:hint="eastAsia" w:ascii="楷体_GB2312" w:eastAsia="楷体_GB2312" w:cs="Times New Roman"/>
                <w:bCs/>
                <w:color w:val="auto"/>
                <w:sz w:val="24"/>
                <w:highlight w:val="none"/>
                <w:lang w:eastAsia="zh-CN"/>
              </w:rPr>
              <w:t>YJ01250495</w:t>
            </w:r>
            <w:r>
              <w:rPr>
                <w:rFonts w:hint="eastAsia" w:ascii="楷体_GB2312" w:eastAsia="楷体_GB2312" w:cs="Times New Roman"/>
                <w:bCs/>
                <w:color w:val="auto"/>
                <w:sz w:val="24"/>
                <w:highlight w:val="none"/>
                <w:lang w:val="en-US" w:eastAsia="zh-CN"/>
              </w:rPr>
              <w:t>ZBA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 w:hRule="atLeast"/>
        </w:trPr>
        <w:tc>
          <w:tcPr>
            <w:tcW w:w="2451" w:type="dxa"/>
            <w:vAlign w:val="center"/>
          </w:tcPr>
          <w:p>
            <w:pPr>
              <w:snapToGrid w:val="0"/>
              <w:rPr>
                <w:rFonts w:ascii="楷体_GB2312" w:eastAsia="楷体_GB2312"/>
                <w:bCs/>
                <w:color w:val="000000"/>
                <w:sz w:val="24"/>
              </w:rPr>
            </w:pPr>
            <w:r>
              <w:rPr>
                <w:rFonts w:hint="eastAsia" w:ascii="楷体_GB2312" w:eastAsia="楷体_GB2312"/>
                <w:bCs/>
                <w:color w:val="000000"/>
                <w:sz w:val="24"/>
              </w:rPr>
              <w:t>产品登记编码</w:t>
            </w:r>
          </w:p>
        </w:tc>
        <w:tc>
          <w:tcPr>
            <w:tcW w:w="6633" w:type="dxa"/>
            <w:vAlign w:val="top"/>
          </w:tcPr>
          <w:p>
            <w:pPr>
              <w:rPr>
                <w:rFonts w:hint="default" w:ascii="楷体_GB2312" w:hAnsi="宋体" w:eastAsia="楷体_GB2312" w:cs="Times New Roman"/>
                <w:color w:val="000000"/>
                <w:sz w:val="24"/>
                <w:lang w:val="en-US" w:eastAsia="zh-CN"/>
              </w:rPr>
            </w:pPr>
            <w:r>
              <w:rPr>
                <w:rFonts w:hint="eastAsia" w:ascii="楷体_GB2312" w:hAnsi="宋体" w:eastAsia="楷体_GB2312"/>
                <w:color w:val="000000"/>
                <w:sz w:val="24"/>
              </w:rPr>
              <w:t>产品登记编码：Z7008925000252</w:t>
            </w:r>
          </w:p>
          <w:p>
            <w:pPr>
              <w:rPr>
                <w:rFonts w:ascii="楷体_GB2312" w:hAnsi="宋体" w:eastAsia="楷体_GB2312"/>
                <w:color w:val="000000"/>
                <w:sz w:val="24"/>
              </w:rPr>
            </w:pPr>
            <w:r>
              <w:rPr>
                <w:rFonts w:hint="eastAsia" w:ascii="楷体_GB2312" w:hAnsi="宋体" w:eastAsia="楷体_GB2312"/>
                <w:color w:val="auto"/>
                <w:sz w:val="24"/>
                <w:highlight w:val="none"/>
              </w:rPr>
              <w:t>（投资者可依据该</w:t>
            </w:r>
            <w:r>
              <w:rPr>
                <w:rFonts w:hint="eastAsia" w:ascii="楷体_GB2312" w:hAnsi="宋体" w:eastAsia="楷体_GB2312"/>
                <w:color w:val="auto"/>
                <w:sz w:val="24"/>
                <w:highlight w:val="none"/>
                <w:lang w:eastAsia="zh-CN"/>
              </w:rPr>
              <w:t>产品</w:t>
            </w:r>
            <w:r>
              <w:rPr>
                <w:rFonts w:hint="eastAsia" w:ascii="楷体_GB2312" w:hAnsi="宋体" w:eastAsia="楷体_GB2312"/>
                <w:color w:val="auto"/>
                <w:sz w:val="24"/>
                <w:highlight w:val="none"/>
              </w:rPr>
              <w:t>登记编码在“中国理财网”查询</w:t>
            </w:r>
            <w:r>
              <w:rPr>
                <w:rFonts w:hint="eastAsia" w:ascii="楷体_GB2312" w:hAnsi="宋体" w:eastAsia="楷体_GB2312"/>
                <w:color w:val="auto"/>
                <w:sz w:val="24"/>
                <w:highlight w:val="none"/>
                <w:lang w:eastAsia="zh-CN"/>
              </w:rPr>
              <w:t>本理财</w:t>
            </w:r>
            <w:r>
              <w:rPr>
                <w:rFonts w:hint="eastAsia" w:ascii="楷体_GB2312" w:hAnsi="宋体" w:eastAsia="楷体_GB2312"/>
                <w:color w:val="auto"/>
                <w:sz w:val="24"/>
                <w:highlight w:val="none"/>
              </w:rPr>
              <w:t>产品信息</w:t>
            </w:r>
            <w:r>
              <w:rPr>
                <w:rFonts w:hint="eastAsia" w:ascii="楷体_GB2312" w:hAnsi="宋体" w:eastAsia="楷体_GB2312"/>
                <w:color w:val="auto"/>
                <w:sz w:val="24"/>
                <w:highlight w:val="none"/>
                <w:lang w:eastAsia="zh-CN"/>
              </w:rPr>
              <w:t>，</w:t>
            </w:r>
            <w:r>
              <w:rPr>
                <w:rFonts w:hint="eastAsia" w:ascii="楷体_GB2312" w:hAnsi="宋体" w:eastAsia="楷体_GB2312"/>
                <w:color w:val="auto"/>
                <w:sz w:val="24"/>
                <w:highlight w:val="none"/>
              </w:rPr>
              <w:t>“中国理财网”网址：</w:t>
            </w:r>
            <w:r>
              <w:rPr>
                <w:rFonts w:hint="eastAsia"/>
                <w:color w:val="auto"/>
                <w:highlight w:val="none"/>
              </w:rPr>
              <w:fldChar w:fldCharType="begin"/>
            </w:r>
            <w:r>
              <w:rPr>
                <w:color w:val="auto"/>
                <w:highlight w:val="none"/>
              </w:rPr>
              <w:instrText xml:space="preserve"> HYPERLINK "http://www.chinawealth.com.cn/" </w:instrText>
            </w:r>
            <w:r>
              <w:rPr>
                <w:rFonts w:hint="eastAsia"/>
                <w:color w:val="auto"/>
                <w:highlight w:val="none"/>
              </w:rPr>
              <w:fldChar w:fldCharType="separate"/>
            </w:r>
            <w:r>
              <w:rPr>
                <w:rFonts w:hint="eastAsia" w:ascii="楷体_GB2312" w:hAnsi="宋体" w:eastAsia="楷体_GB2312"/>
                <w:color w:val="auto"/>
                <w:sz w:val="24"/>
                <w:highlight w:val="none"/>
              </w:rPr>
              <w:t>www.chinawealth.com.cn</w:t>
            </w:r>
            <w:r>
              <w:rPr>
                <w:rFonts w:hint="eastAsia" w:ascii="楷体_GB2312" w:hAnsi="宋体" w:eastAsia="楷体_GB2312"/>
                <w:color w:val="auto"/>
                <w:sz w:val="24"/>
                <w:highlight w:val="none"/>
              </w:rPr>
              <w:fldChar w:fldCharType="end"/>
            </w:r>
            <w:r>
              <w:rPr>
                <w:rFonts w:ascii="楷体_GB2312" w:hAnsi="宋体" w:eastAsia="楷体_GB2312"/>
                <w:color w:val="auto"/>
                <w:sz w:val="24"/>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0" w:hRule="atLeast"/>
        </w:trPr>
        <w:tc>
          <w:tcPr>
            <w:tcW w:w="2451" w:type="dxa"/>
            <w:vAlign w:val="center"/>
          </w:tcPr>
          <w:p>
            <w:pPr>
              <w:snapToGrid w:val="0"/>
              <w:rPr>
                <w:rFonts w:ascii="楷体_GB2312" w:eastAsia="楷体_GB2312"/>
                <w:bCs/>
                <w:color w:val="auto"/>
                <w:sz w:val="24"/>
              </w:rPr>
            </w:pPr>
            <w:r>
              <w:rPr>
                <w:rFonts w:hint="eastAsia" w:ascii="楷体_GB2312" w:hAnsi="楷体" w:eastAsia="楷体_GB2312"/>
                <w:color w:val="auto"/>
                <w:sz w:val="24"/>
              </w:rPr>
              <w:t>★</w:t>
            </w:r>
            <w:r>
              <w:rPr>
                <w:rFonts w:hint="eastAsia" w:ascii="楷体_GB2312" w:hAnsi="宋体" w:eastAsia="楷体_GB2312"/>
                <w:color w:val="auto"/>
                <w:sz w:val="24"/>
              </w:rPr>
              <w:t>产品份额类别</w:t>
            </w:r>
          </w:p>
        </w:tc>
        <w:tc>
          <w:tcPr>
            <w:tcW w:w="6633" w:type="dxa"/>
          </w:tcPr>
          <w:p>
            <w:pPr>
              <w:rPr>
                <w:rFonts w:ascii="楷体_GB2312" w:hAnsi="宋体" w:eastAsia="楷体_GB2312"/>
                <w:color w:val="auto"/>
                <w:sz w:val="24"/>
                <w:highlight w:val="none"/>
              </w:rPr>
            </w:pPr>
            <w:r>
              <w:rPr>
                <w:rFonts w:ascii="楷体_GB2312" w:hAnsi="宋体" w:eastAsia="楷体_GB2312"/>
                <w:color w:val="auto"/>
                <w:sz w:val="24"/>
                <w:highlight w:val="none"/>
              </w:rPr>
              <w:t>1.</w:t>
            </w:r>
            <w:r>
              <w:rPr>
                <w:rFonts w:hint="eastAsia" w:ascii="楷体_GB2312" w:hAnsi="宋体" w:eastAsia="楷体_GB2312"/>
                <w:color w:val="auto"/>
                <w:sz w:val="24"/>
                <w:highlight w:val="none"/>
                <w:lang w:eastAsia="zh-CN"/>
              </w:rPr>
              <w:t>本理财产品</w:t>
            </w:r>
            <w:r>
              <w:rPr>
                <w:rFonts w:hint="eastAsia" w:ascii="楷体_GB2312" w:hAnsi="宋体" w:eastAsia="楷体_GB2312"/>
                <w:color w:val="auto"/>
                <w:sz w:val="24"/>
                <w:highlight w:val="none"/>
              </w:rPr>
              <w:t>根据投资者购买</w:t>
            </w:r>
            <w:r>
              <w:rPr>
                <w:rFonts w:hint="eastAsia" w:ascii="楷体_GB2312" w:hAnsi="宋体" w:eastAsia="楷体_GB2312"/>
                <w:color w:val="auto"/>
                <w:sz w:val="24"/>
                <w:highlight w:val="none"/>
                <w:lang w:val="en-US" w:eastAsia="zh-CN"/>
              </w:rPr>
              <w:t>本</w:t>
            </w:r>
            <w:r>
              <w:rPr>
                <w:rFonts w:hint="eastAsia" w:ascii="楷体_GB2312" w:hAnsi="宋体" w:eastAsia="楷体_GB2312"/>
                <w:color w:val="auto"/>
                <w:sz w:val="24"/>
                <w:highlight w:val="none"/>
              </w:rPr>
              <w:t>理财产品的金额、</w:t>
            </w:r>
            <w:r>
              <w:rPr>
                <w:rFonts w:hint="eastAsia" w:ascii="楷体_GB2312" w:hAnsi="宋体" w:eastAsia="楷体_GB2312"/>
                <w:color w:val="auto"/>
                <w:sz w:val="24"/>
                <w:highlight w:val="none"/>
                <w:lang w:val="en-US" w:eastAsia="zh-CN"/>
              </w:rPr>
              <w:t>渠道客群</w:t>
            </w:r>
            <w:r>
              <w:rPr>
                <w:rFonts w:hint="eastAsia" w:ascii="楷体_GB2312" w:hAnsi="宋体" w:eastAsia="楷体_GB2312"/>
                <w:color w:val="auto"/>
                <w:sz w:val="24"/>
                <w:highlight w:val="none"/>
              </w:rPr>
              <w:t>、代销机构等因素，</w:t>
            </w:r>
            <w:r>
              <w:rPr>
                <w:rFonts w:hint="default" w:ascii="楷体_GB2312" w:hAnsi="宋体" w:eastAsia="楷体_GB2312" w:cs="Times New Roman"/>
                <w:color w:val="auto"/>
                <w:sz w:val="24"/>
                <w:highlight w:val="none"/>
              </w:rPr>
              <w:t>对</w:t>
            </w:r>
            <w:r>
              <w:rPr>
                <w:rFonts w:hint="default" w:ascii="楷体_GB2312" w:hAnsi="宋体" w:eastAsia="楷体_GB2312" w:cs="Times New Roman"/>
                <w:color w:val="auto"/>
                <w:sz w:val="24"/>
                <w:highlight w:val="none"/>
                <w:lang w:val="en-US" w:eastAsia="zh-CN"/>
              </w:rPr>
              <w:t>本</w:t>
            </w:r>
            <w:r>
              <w:rPr>
                <w:rFonts w:hint="default" w:ascii="楷体_GB2312" w:hAnsi="宋体" w:eastAsia="楷体_GB2312" w:cs="Times New Roman"/>
                <w:color w:val="auto"/>
                <w:sz w:val="24"/>
                <w:highlight w:val="none"/>
              </w:rPr>
              <w:t>理财产品份额设置不同的理财产品份额类别</w:t>
            </w:r>
            <w:r>
              <w:rPr>
                <w:rFonts w:hint="eastAsia" w:ascii="楷体_GB2312" w:hAnsi="宋体" w:eastAsia="楷体_GB2312"/>
                <w:color w:val="auto"/>
                <w:sz w:val="24"/>
                <w:highlight w:val="none"/>
              </w:rPr>
              <w:t>。</w:t>
            </w:r>
          </w:p>
          <w:p>
            <w:pPr>
              <w:rPr>
                <w:rFonts w:ascii="楷体_GB2312" w:hAnsi="宋体" w:eastAsia="楷体_GB2312"/>
                <w:color w:val="auto"/>
                <w:sz w:val="24"/>
                <w:highlight w:val="none"/>
              </w:rPr>
            </w:pPr>
            <w:r>
              <w:rPr>
                <w:rFonts w:ascii="楷体_GB2312" w:hAnsi="宋体" w:eastAsia="楷体_GB2312"/>
                <w:color w:val="auto"/>
                <w:sz w:val="24"/>
                <w:highlight w:val="none"/>
              </w:rPr>
              <w:t>2.</w:t>
            </w:r>
            <w:r>
              <w:rPr>
                <w:rFonts w:hint="eastAsia" w:ascii="楷体_GB2312" w:hAnsi="宋体" w:eastAsia="楷体_GB2312"/>
                <w:color w:val="auto"/>
                <w:sz w:val="24"/>
                <w:highlight w:val="none"/>
                <w:lang w:eastAsia="zh-CN"/>
              </w:rPr>
              <w:t>本理财产品</w:t>
            </w:r>
            <w:r>
              <w:rPr>
                <w:rFonts w:hint="eastAsia" w:ascii="楷体_GB2312" w:hAnsi="宋体" w:eastAsia="楷体_GB2312"/>
                <w:color w:val="auto"/>
                <w:sz w:val="24"/>
                <w:highlight w:val="none"/>
              </w:rPr>
              <w:t>可能设置不同的理财产品份额，每类理财产品份额可能将单独设置以下内容：</w:t>
            </w:r>
          </w:p>
          <w:p>
            <w:pPr>
              <w:rPr>
                <w:rFonts w:ascii="楷体_GB2312" w:hAnsi="宋体" w:eastAsia="楷体_GB2312"/>
                <w:color w:val="auto"/>
                <w:sz w:val="24"/>
                <w:highlight w:val="none"/>
              </w:rPr>
            </w:pPr>
            <w:r>
              <w:rPr>
                <w:rFonts w:hint="eastAsia" w:ascii="楷体_GB2312" w:hAnsi="宋体" w:eastAsia="楷体_GB2312"/>
                <w:color w:val="auto"/>
                <w:sz w:val="24"/>
                <w:highlight w:val="none"/>
              </w:rPr>
              <w:t>（</w:t>
            </w:r>
            <w:r>
              <w:rPr>
                <w:rFonts w:ascii="楷体_GB2312" w:hAnsi="宋体" w:eastAsia="楷体_GB2312"/>
                <w:color w:val="auto"/>
                <w:sz w:val="24"/>
                <w:highlight w:val="none"/>
              </w:rPr>
              <w:t>1</w:t>
            </w:r>
            <w:r>
              <w:rPr>
                <w:rFonts w:hint="eastAsia" w:ascii="楷体_GB2312" w:hAnsi="宋体" w:eastAsia="楷体_GB2312"/>
                <w:color w:val="auto"/>
                <w:sz w:val="24"/>
                <w:highlight w:val="none"/>
              </w:rPr>
              <w:t>）产品销售名称</w:t>
            </w:r>
          </w:p>
          <w:p>
            <w:pPr>
              <w:rPr>
                <w:rFonts w:ascii="楷体_GB2312" w:hAnsi="宋体" w:eastAsia="楷体_GB2312"/>
                <w:color w:val="auto"/>
                <w:sz w:val="24"/>
                <w:highlight w:val="none"/>
              </w:rPr>
            </w:pPr>
            <w:r>
              <w:rPr>
                <w:rFonts w:hint="eastAsia" w:ascii="楷体_GB2312" w:hAnsi="宋体" w:eastAsia="楷体_GB2312"/>
                <w:color w:val="auto"/>
                <w:sz w:val="24"/>
                <w:highlight w:val="none"/>
              </w:rPr>
              <w:t>（</w:t>
            </w:r>
            <w:r>
              <w:rPr>
                <w:rFonts w:ascii="楷体_GB2312" w:hAnsi="宋体" w:eastAsia="楷体_GB2312"/>
                <w:color w:val="auto"/>
                <w:sz w:val="24"/>
                <w:highlight w:val="none"/>
              </w:rPr>
              <w:t>2</w:t>
            </w:r>
            <w:r>
              <w:rPr>
                <w:rFonts w:hint="eastAsia" w:ascii="楷体_GB2312" w:hAnsi="宋体" w:eastAsia="楷体_GB2312"/>
                <w:color w:val="auto"/>
                <w:sz w:val="24"/>
                <w:highlight w:val="none"/>
              </w:rPr>
              <w:t>）产品销售代码</w:t>
            </w:r>
          </w:p>
          <w:p>
            <w:pPr>
              <w:rPr>
                <w:rFonts w:ascii="楷体_GB2312" w:hAnsi="宋体" w:eastAsia="楷体_GB2312"/>
                <w:color w:val="auto"/>
                <w:sz w:val="24"/>
                <w:highlight w:val="none"/>
              </w:rPr>
            </w:pPr>
            <w:r>
              <w:rPr>
                <w:rFonts w:hint="eastAsia" w:ascii="楷体_GB2312" w:hAnsi="宋体" w:eastAsia="楷体_GB2312"/>
                <w:color w:val="auto"/>
                <w:sz w:val="24"/>
                <w:highlight w:val="none"/>
              </w:rPr>
              <w:t>（</w:t>
            </w:r>
            <w:r>
              <w:rPr>
                <w:rFonts w:ascii="楷体_GB2312" w:hAnsi="宋体" w:eastAsia="楷体_GB2312"/>
                <w:color w:val="auto"/>
                <w:sz w:val="24"/>
                <w:highlight w:val="none"/>
              </w:rPr>
              <w:t>3</w:t>
            </w:r>
            <w:r>
              <w:rPr>
                <w:rFonts w:hint="eastAsia" w:ascii="楷体_GB2312" w:hAnsi="宋体" w:eastAsia="楷体_GB2312"/>
                <w:color w:val="auto"/>
                <w:sz w:val="24"/>
                <w:highlight w:val="none"/>
              </w:rPr>
              <w:t>）代销机构</w:t>
            </w:r>
          </w:p>
          <w:p>
            <w:pPr>
              <w:rPr>
                <w:rFonts w:ascii="楷体_GB2312" w:hAnsi="宋体" w:eastAsia="楷体_GB2312"/>
                <w:color w:val="auto"/>
                <w:sz w:val="24"/>
                <w:highlight w:val="none"/>
              </w:rPr>
            </w:pPr>
            <w:r>
              <w:rPr>
                <w:rFonts w:hint="eastAsia" w:ascii="楷体_GB2312" w:hAnsi="宋体" w:eastAsia="楷体_GB2312"/>
                <w:color w:val="auto"/>
                <w:sz w:val="24"/>
                <w:highlight w:val="none"/>
              </w:rPr>
              <w:t>（</w:t>
            </w:r>
            <w:r>
              <w:rPr>
                <w:rFonts w:ascii="楷体_GB2312" w:hAnsi="宋体" w:eastAsia="楷体_GB2312"/>
                <w:color w:val="auto"/>
                <w:sz w:val="24"/>
                <w:highlight w:val="none"/>
              </w:rPr>
              <w:t>4</w:t>
            </w:r>
            <w:r>
              <w:rPr>
                <w:rFonts w:hint="eastAsia" w:ascii="楷体_GB2312" w:hAnsi="宋体" w:eastAsia="楷体_GB2312"/>
                <w:color w:val="auto"/>
                <w:sz w:val="24"/>
                <w:highlight w:val="none"/>
              </w:rPr>
              <w:t>）</w:t>
            </w:r>
            <w:r>
              <w:rPr>
                <w:rFonts w:hint="eastAsia" w:ascii="楷体_GB2312" w:hAnsi="宋体" w:eastAsia="楷体_GB2312"/>
                <w:color w:val="auto"/>
                <w:sz w:val="24"/>
                <w:highlight w:val="none"/>
                <w:lang w:val="en-US" w:eastAsia="zh-CN"/>
              </w:rPr>
              <w:t>渠道客群</w:t>
            </w:r>
          </w:p>
          <w:p>
            <w:pPr>
              <w:rPr>
                <w:rFonts w:ascii="楷体_GB2312" w:hAnsi="宋体" w:eastAsia="楷体_GB2312"/>
                <w:color w:val="auto"/>
                <w:sz w:val="24"/>
                <w:highlight w:val="none"/>
              </w:rPr>
            </w:pPr>
            <w:r>
              <w:rPr>
                <w:rFonts w:hint="eastAsia" w:ascii="楷体_GB2312" w:hAnsi="宋体" w:eastAsia="楷体_GB2312"/>
                <w:color w:val="auto"/>
                <w:sz w:val="24"/>
                <w:highlight w:val="none"/>
              </w:rPr>
              <w:t>（</w:t>
            </w:r>
            <w:r>
              <w:rPr>
                <w:rFonts w:ascii="楷体_GB2312" w:hAnsi="宋体" w:eastAsia="楷体_GB2312"/>
                <w:color w:val="auto"/>
                <w:sz w:val="24"/>
                <w:highlight w:val="none"/>
              </w:rPr>
              <w:t>5</w:t>
            </w:r>
            <w:r>
              <w:rPr>
                <w:rFonts w:hint="eastAsia" w:ascii="楷体_GB2312" w:hAnsi="宋体" w:eastAsia="楷体_GB2312"/>
                <w:color w:val="auto"/>
                <w:sz w:val="24"/>
                <w:highlight w:val="none"/>
              </w:rPr>
              <w:t>）销售手续费率</w:t>
            </w:r>
          </w:p>
          <w:p>
            <w:pPr>
              <w:rPr>
                <w:rFonts w:ascii="楷体_GB2312" w:hAnsi="宋体" w:eastAsia="楷体_GB2312"/>
                <w:color w:val="auto"/>
                <w:sz w:val="24"/>
                <w:highlight w:val="none"/>
              </w:rPr>
            </w:pPr>
            <w:r>
              <w:rPr>
                <w:rFonts w:hint="eastAsia" w:ascii="楷体_GB2312" w:hAnsi="宋体" w:eastAsia="楷体_GB2312"/>
                <w:color w:val="auto"/>
                <w:sz w:val="24"/>
                <w:highlight w:val="none"/>
              </w:rPr>
              <w:t>（</w:t>
            </w:r>
            <w:r>
              <w:rPr>
                <w:rFonts w:hint="eastAsia" w:ascii="楷体_GB2312" w:hAnsi="宋体" w:eastAsia="楷体_GB2312"/>
                <w:color w:val="auto"/>
                <w:sz w:val="24"/>
                <w:highlight w:val="none"/>
                <w:lang w:val="en-US" w:eastAsia="zh-CN"/>
              </w:rPr>
              <w:t>6</w:t>
            </w:r>
            <w:r>
              <w:rPr>
                <w:rFonts w:hint="eastAsia" w:ascii="楷体_GB2312" w:hAnsi="宋体" w:eastAsia="楷体_GB2312"/>
                <w:color w:val="auto"/>
                <w:sz w:val="24"/>
                <w:highlight w:val="none"/>
              </w:rPr>
              <w:t>）认购</w:t>
            </w:r>
            <w:r>
              <w:rPr>
                <w:rFonts w:ascii="楷体_GB2312" w:hAnsi="宋体" w:eastAsia="楷体_GB2312"/>
                <w:color w:val="auto"/>
                <w:sz w:val="24"/>
                <w:highlight w:val="none"/>
              </w:rPr>
              <w:t>/</w:t>
            </w:r>
            <w:r>
              <w:rPr>
                <w:rFonts w:hint="eastAsia" w:ascii="楷体_GB2312" w:hAnsi="宋体" w:eastAsia="楷体_GB2312"/>
                <w:color w:val="auto"/>
                <w:sz w:val="24"/>
                <w:highlight w:val="none"/>
              </w:rPr>
              <w:t>申购投资起点金额及递增金额</w:t>
            </w:r>
          </w:p>
          <w:p>
            <w:pPr>
              <w:rPr>
                <w:rFonts w:ascii="楷体_GB2312" w:hAnsi="宋体" w:eastAsia="楷体_GB2312"/>
                <w:color w:val="auto"/>
                <w:sz w:val="24"/>
                <w:highlight w:val="none"/>
              </w:rPr>
            </w:pPr>
            <w:r>
              <w:rPr>
                <w:rFonts w:hint="eastAsia" w:ascii="楷体_GB2312" w:hAnsi="宋体" w:eastAsia="楷体_GB2312"/>
                <w:color w:val="auto"/>
                <w:sz w:val="24"/>
                <w:highlight w:val="none"/>
              </w:rPr>
              <w:t>（</w:t>
            </w:r>
            <w:r>
              <w:rPr>
                <w:rFonts w:hint="eastAsia" w:ascii="楷体_GB2312" w:hAnsi="宋体" w:eastAsia="楷体_GB2312"/>
                <w:color w:val="auto"/>
                <w:sz w:val="24"/>
                <w:highlight w:val="none"/>
                <w:lang w:val="en-US" w:eastAsia="zh-CN"/>
              </w:rPr>
              <w:t>7</w:t>
            </w:r>
            <w:r>
              <w:rPr>
                <w:rFonts w:hint="eastAsia" w:ascii="楷体_GB2312" w:hAnsi="宋体" w:eastAsia="楷体_GB2312"/>
                <w:color w:val="auto"/>
                <w:sz w:val="24"/>
                <w:highlight w:val="none"/>
              </w:rPr>
              <w:t>）单笔最大购买金额、累计购买金额、最少赎回份额等认购</w:t>
            </w:r>
            <w:r>
              <w:rPr>
                <w:rFonts w:ascii="楷体_GB2312" w:hAnsi="宋体" w:eastAsia="楷体_GB2312"/>
                <w:color w:val="auto"/>
                <w:sz w:val="24"/>
                <w:highlight w:val="none"/>
              </w:rPr>
              <w:t>/</w:t>
            </w:r>
            <w:r>
              <w:rPr>
                <w:rFonts w:hint="eastAsia" w:ascii="楷体_GB2312" w:hAnsi="宋体" w:eastAsia="楷体_GB2312"/>
                <w:color w:val="auto"/>
                <w:sz w:val="24"/>
                <w:highlight w:val="none"/>
              </w:rPr>
              <w:t>申购和赎回的数量限制</w:t>
            </w:r>
          </w:p>
          <w:p>
            <w:pPr>
              <w:rPr>
                <w:rFonts w:ascii="楷体_GB2312" w:hAnsi="宋体" w:eastAsia="楷体_GB2312"/>
                <w:color w:val="auto"/>
                <w:sz w:val="24"/>
                <w:highlight w:val="none"/>
              </w:rPr>
            </w:pPr>
            <w:r>
              <w:rPr>
                <w:rFonts w:hint="eastAsia" w:ascii="楷体_GB2312" w:hAnsi="宋体" w:eastAsia="楷体_GB2312"/>
                <w:color w:val="auto"/>
                <w:sz w:val="24"/>
                <w:highlight w:val="none"/>
              </w:rPr>
              <w:t>（</w:t>
            </w:r>
            <w:r>
              <w:rPr>
                <w:rFonts w:hint="eastAsia" w:ascii="楷体_GB2312" w:hAnsi="宋体" w:eastAsia="楷体_GB2312"/>
                <w:color w:val="auto"/>
                <w:sz w:val="24"/>
                <w:highlight w:val="none"/>
                <w:lang w:val="en-US" w:eastAsia="zh-CN"/>
              </w:rPr>
              <w:t>8</w:t>
            </w:r>
            <w:r>
              <w:rPr>
                <w:rFonts w:hint="eastAsia" w:ascii="楷体_GB2312" w:hAnsi="宋体" w:eastAsia="楷体_GB2312"/>
                <w:color w:val="auto"/>
                <w:sz w:val="24"/>
                <w:highlight w:val="none"/>
              </w:rPr>
              <w:t>）最低持有份额</w:t>
            </w:r>
          </w:p>
          <w:p>
            <w:pPr>
              <w:rPr>
                <w:rFonts w:ascii="楷体_GB2312" w:hAnsi="宋体" w:eastAsia="楷体_GB2312"/>
                <w:color w:val="auto"/>
                <w:sz w:val="24"/>
                <w:highlight w:val="none"/>
              </w:rPr>
            </w:pPr>
            <w:r>
              <w:rPr>
                <w:rFonts w:hint="eastAsia" w:ascii="楷体_GB2312" w:hAnsi="宋体" w:eastAsia="楷体_GB2312"/>
                <w:color w:val="auto"/>
                <w:sz w:val="24"/>
                <w:highlight w:val="none"/>
              </w:rPr>
              <w:t>（</w:t>
            </w:r>
            <w:r>
              <w:rPr>
                <w:rFonts w:hint="eastAsia" w:ascii="楷体_GB2312" w:hAnsi="宋体" w:eastAsia="楷体_GB2312"/>
                <w:color w:val="auto"/>
                <w:sz w:val="24"/>
                <w:highlight w:val="none"/>
                <w:lang w:val="en-US" w:eastAsia="zh-CN"/>
              </w:rPr>
              <w:t>9</w:t>
            </w:r>
            <w:r>
              <w:rPr>
                <w:rFonts w:hint="eastAsia" w:ascii="楷体_GB2312" w:hAnsi="宋体" w:eastAsia="楷体_GB2312"/>
                <w:color w:val="auto"/>
                <w:sz w:val="24"/>
                <w:highlight w:val="none"/>
              </w:rPr>
              <w:t>）产品</w:t>
            </w:r>
            <w:r>
              <w:rPr>
                <w:rFonts w:hint="eastAsia" w:ascii="楷体_GB2312" w:hAnsi="宋体" w:eastAsia="楷体_GB2312"/>
                <w:color w:val="auto"/>
                <w:sz w:val="24"/>
                <w:highlight w:val="none"/>
                <w:lang w:val="en-US" w:eastAsia="zh-CN"/>
              </w:rPr>
              <w:t>份额募集</w:t>
            </w:r>
            <w:r>
              <w:rPr>
                <w:rFonts w:hint="eastAsia" w:ascii="楷体_GB2312" w:hAnsi="宋体" w:eastAsia="楷体_GB2312"/>
                <w:color w:val="auto"/>
                <w:sz w:val="24"/>
                <w:highlight w:val="none"/>
              </w:rPr>
              <w:t>上限</w:t>
            </w:r>
          </w:p>
          <w:p>
            <w:pPr>
              <w:rPr>
                <w:rFonts w:ascii="楷体_GB2312" w:hAnsi="宋体" w:eastAsia="楷体_GB2312"/>
                <w:b/>
                <w:color w:val="auto"/>
                <w:sz w:val="24"/>
                <w:highlight w:val="none"/>
              </w:rPr>
            </w:pPr>
            <w:r>
              <w:rPr>
                <w:rFonts w:ascii="楷体_GB2312" w:hAnsi="宋体" w:eastAsia="楷体_GB2312"/>
                <w:b/>
                <w:color w:val="auto"/>
                <w:sz w:val="24"/>
                <w:highlight w:val="none"/>
              </w:rPr>
              <w:t>3.</w:t>
            </w:r>
            <w:r>
              <w:rPr>
                <w:rFonts w:hint="eastAsia" w:ascii="楷体_GB2312" w:hAnsi="宋体" w:eastAsia="楷体_GB2312"/>
                <w:b/>
                <w:color w:val="auto"/>
                <w:sz w:val="24"/>
                <w:highlight w:val="none"/>
              </w:rPr>
              <w:t>投资者可根据实际情况自行选择认购</w:t>
            </w:r>
            <w:r>
              <w:rPr>
                <w:rFonts w:ascii="楷体_GB2312" w:hAnsi="宋体" w:eastAsia="楷体_GB2312"/>
                <w:b/>
                <w:color w:val="auto"/>
                <w:sz w:val="24"/>
                <w:highlight w:val="none"/>
              </w:rPr>
              <w:t>/</w:t>
            </w:r>
            <w:r>
              <w:rPr>
                <w:rFonts w:hint="eastAsia" w:ascii="楷体_GB2312" w:hAnsi="宋体" w:eastAsia="楷体_GB2312"/>
                <w:b/>
                <w:color w:val="auto"/>
                <w:sz w:val="24"/>
                <w:highlight w:val="none"/>
              </w:rPr>
              <w:t>申购的产品份额类别。</w:t>
            </w:r>
          </w:p>
          <w:p>
            <w:pPr>
              <w:rPr>
                <w:rFonts w:ascii="楷体_GB2312" w:hAnsi="宋体" w:eastAsia="楷体_GB2312"/>
                <w:b/>
                <w:color w:val="auto"/>
                <w:sz w:val="24"/>
                <w:highlight w:val="none"/>
              </w:rPr>
            </w:pPr>
            <w:r>
              <w:rPr>
                <w:rFonts w:hint="eastAsia" w:ascii="楷体_GB2312" w:hAnsi="宋体" w:eastAsia="楷体_GB2312"/>
                <w:b/>
                <w:color w:val="auto"/>
                <w:sz w:val="24"/>
                <w:highlight w:val="none"/>
              </w:rPr>
              <w:t>不同类别的理财产品份额可能在信息披露渠道、销售手续费率等方面存在差异，具体以</w:t>
            </w:r>
            <w:r>
              <w:rPr>
                <w:rFonts w:hint="eastAsia" w:ascii="楷体_GB2312" w:hAnsi="宋体" w:eastAsia="楷体_GB2312"/>
                <w:b/>
                <w:color w:val="auto"/>
                <w:sz w:val="24"/>
                <w:highlight w:val="none"/>
                <w:lang w:val="en-US" w:eastAsia="zh-CN"/>
              </w:rPr>
              <w:t>其</w:t>
            </w:r>
            <w:r>
              <w:rPr>
                <w:rFonts w:hint="eastAsia" w:ascii="楷体_GB2312" w:hAnsi="宋体" w:eastAsia="楷体_GB2312"/>
                <w:b/>
                <w:color w:val="auto"/>
                <w:sz w:val="24"/>
                <w:highlight w:val="none"/>
              </w:rPr>
              <w:t>对应的理财产品</w:t>
            </w:r>
            <w:r>
              <w:rPr>
                <w:rFonts w:hint="eastAsia" w:ascii="楷体_GB2312" w:hAnsi="宋体" w:eastAsia="楷体_GB2312"/>
                <w:b/>
                <w:color w:val="auto"/>
                <w:sz w:val="24"/>
                <w:highlight w:val="none"/>
                <w:lang w:val="en-US" w:eastAsia="zh-CN"/>
              </w:rPr>
              <w:t>销售</w:t>
            </w:r>
            <w:r>
              <w:rPr>
                <w:rFonts w:hint="eastAsia" w:ascii="楷体_GB2312" w:hAnsi="宋体" w:eastAsia="楷体_GB2312"/>
                <w:b/>
                <w:color w:val="auto"/>
                <w:sz w:val="24"/>
                <w:highlight w:val="none"/>
              </w:rPr>
              <w:t>文件之约定为准。</w:t>
            </w:r>
          </w:p>
          <w:p>
            <w:pPr>
              <w:rPr>
                <w:rFonts w:ascii="楷体_GB2312" w:hAnsi="宋体" w:eastAsia="楷体_GB2312"/>
                <w:b/>
                <w:color w:val="auto"/>
                <w:sz w:val="24"/>
                <w:highlight w:val="none"/>
              </w:rPr>
            </w:pPr>
            <w:r>
              <w:rPr>
                <w:rFonts w:hint="eastAsia" w:ascii="楷体_GB2312" w:hAnsi="宋体" w:eastAsia="楷体_GB2312"/>
                <w:b/>
                <w:color w:val="auto"/>
                <w:sz w:val="24"/>
                <w:highlight w:val="none"/>
              </w:rPr>
              <w:t>本理财产品</w:t>
            </w:r>
            <w:r>
              <w:rPr>
                <w:rFonts w:hint="eastAsia" w:ascii="楷体_GB2312" w:hAnsi="宋体" w:eastAsia="楷体_GB2312"/>
                <w:b/>
                <w:color w:val="auto"/>
                <w:sz w:val="24"/>
                <w:highlight w:val="none"/>
                <w:lang w:val="en-US" w:eastAsia="zh-CN"/>
              </w:rPr>
              <w:t>销售</w:t>
            </w:r>
            <w:r>
              <w:rPr>
                <w:rFonts w:hint="eastAsia" w:ascii="楷体_GB2312" w:hAnsi="宋体" w:eastAsia="楷体_GB2312"/>
                <w:b/>
                <w:color w:val="auto"/>
                <w:sz w:val="24"/>
                <w:highlight w:val="none"/>
              </w:rPr>
              <w:t>文件所列示产品份额类别仅为</w:t>
            </w:r>
            <w:r>
              <w:rPr>
                <w:rFonts w:hint="eastAsia" w:ascii="楷体_GB2312" w:hAnsi="宋体" w:eastAsia="楷体_GB2312"/>
                <w:b/>
                <w:color w:val="auto"/>
                <w:sz w:val="24"/>
                <w:highlight w:val="none"/>
                <w:lang w:eastAsia="zh-CN"/>
              </w:rPr>
              <w:t>本理财产品</w:t>
            </w:r>
            <w:r>
              <w:rPr>
                <w:rFonts w:hint="eastAsia" w:ascii="楷体_GB2312" w:hAnsi="宋体" w:eastAsia="楷体_GB2312"/>
                <w:b/>
                <w:color w:val="auto"/>
                <w:sz w:val="24"/>
                <w:highlight w:val="none"/>
              </w:rPr>
              <w:t>项下某一类产品份额类别，其他类别的产品份额项下相关约定以</w:t>
            </w:r>
            <w:r>
              <w:rPr>
                <w:rFonts w:hint="eastAsia" w:ascii="楷体_GB2312" w:hAnsi="宋体" w:eastAsia="楷体_GB2312"/>
                <w:b/>
                <w:color w:val="auto"/>
                <w:sz w:val="24"/>
                <w:highlight w:val="none"/>
                <w:lang w:val="en-US" w:eastAsia="zh-CN"/>
              </w:rPr>
              <w:t>其</w:t>
            </w:r>
            <w:r>
              <w:rPr>
                <w:rFonts w:hint="eastAsia" w:ascii="楷体_GB2312" w:hAnsi="宋体" w:eastAsia="楷体_GB2312"/>
                <w:b/>
                <w:color w:val="auto"/>
                <w:sz w:val="24"/>
                <w:highlight w:val="none"/>
              </w:rPr>
              <w:t>对应的理财产品</w:t>
            </w:r>
            <w:r>
              <w:rPr>
                <w:rFonts w:hint="eastAsia" w:ascii="楷体_GB2312" w:hAnsi="宋体" w:eastAsia="楷体_GB2312"/>
                <w:b/>
                <w:color w:val="auto"/>
                <w:sz w:val="24"/>
                <w:highlight w:val="none"/>
                <w:lang w:val="en-US" w:eastAsia="zh-CN"/>
              </w:rPr>
              <w:t>销售</w:t>
            </w:r>
            <w:r>
              <w:rPr>
                <w:rFonts w:hint="eastAsia" w:ascii="楷体_GB2312" w:hAnsi="宋体" w:eastAsia="楷体_GB2312"/>
                <w:b/>
                <w:color w:val="auto"/>
                <w:sz w:val="24"/>
                <w:highlight w:val="none"/>
              </w:rPr>
              <w:t>文件及</w:t>
            </w:r>
            <w:r>
              <w:rPr>
                <w:rFonts w:hint="eastAsia" w:ascii="楷体_GB2312" w:hAnsi="宋体" w:eastAsia="楷体_GB2312"/>
                <w:b/>
                <w:color w:val="auto"/>
                <w:sz w:val="24"/>
                <w:highlight w:val="none"/>
                <w:lang w:eastAsia="zh-CN"/>
              </w:rPr>
              <w:t>产品管理人</w:t>
            </w:r>
            <w:r>
              <w:rPr>
                <w:rFonts w:hint="eastAsia" w:ascii="楷体_GB2312" w:hAnsi="宋体" w:eastAsia="楷体_GB2312"/>
                <w:b/>
                <w:color w:val="auto"/>
                <w:sz w:val="24"/>
                <w:highlight w:val="none"/>
              </w:rPr>
              <w:t>的信息披露为准。</w:t>
            </w:r>
          </w:p>
          <w:p>
            <w:pPr>
              <w:rPr>
                <w:rFonts w:ascii="楷体_GB2312" w:hAnsi="宋体" w:eastAsia="楷体_GB2312"/>
                <w:color w:val="auto"/>
                <w:sz w:val="24"/>
              </w:rPr>
            </w:pPr>
            <w:r>
              <w:rPr>
                <w:rFonts w:hint="eastAsia" w:ascii="楷体_GB2312" w:hAnsi="宋体" w:eastAsia="楷体_GB2312"/>
                <w:b/>
                <w:color w:val="auto"/>
                <w:sz w:val="24"/>
                <w:highlight w:val="none"/>
                <w:lang w:eastAsia="zh-CN"/>
              </w:rPr>
              <w:t>产品管理人</w:t>
            </w:r>
            <w:r>
              <w:rPr>
                <w:rFonts w:hint="eastAsia" w:ascii="楷体_GB2312" w:hAnsi="宋体" w:eastAsia="楷体_GB2312"/>
                <w:b/>
                <w:color w:val="auto"/>
                <w:sz w:val="24"/>
                <w:highlight w:val="none"/>
              </w:rPr>
              <w:t>有权在本理财产品项下增设新的产品份额类别，届时，</w:t>
            </w:r>
            <w:r>
              <w:rPr>
                <w:rFonts w:hint="eastAsia" w:ascii="楷体_GB2312" w:hAnsi="宋体" w:eastAsia="楷体_GB2312"/>
                <w:b/>
                <w:color w:val="auto"/>
                <w:sz w:val="24"/>
                <w:highlight w:val="none"/>
                <w:lang w:eastAsia="zh-CN"/>
              </w:rPr>
              <w:t>产品管理人</w:t>
            </w:r>
            <w:r>
              <w:rPr>
                <w:rFonts w:hint="eastAsia" w:ascii="楷体_GB2312" w:hAnsi="宋体" w:eastAsia="楷体_GB2312"/>
                <w:b/>
                <w:color w:val="auto"/>
                <w:sz w:val="24"/>
                <w:highlight w:val="none"/>
              </w:rPr>
              <w:t>将依据本理财产品</w:t>
            </w:r>
            <w:r>
              <w:rPr>
                <w:rFonts w:hint="eastAsia" w:ascii="楷体_GB2312" w:hAnsi="宋体" w:eastAsia="楷体_GB2312"/>
                <w:b/>
                <w:color w:val="auto"/>
                <w:sz w:val="24"/>
                <w:highlight w:val="none"/>
                <w:lang w:val="en-US" w:eastAsia="zh-CN"/>
              </w:rPr>
              <w:t>销售</w:t>
            </w:r>
            <w:r>
              <w:rPr>
                <w:rFonts w:hint="eastAsia" w:ascii="楷体_GB2312" w:hAnsi="宋体" w:eastAsia="楷体_GB2312"/>
                <w:b/>
                <w:color w:val="auto"/>
                <w:sz w:val="24"/>
                <w:highlight w:val="none"/>
              </w:rPr>
              <w:t>文件的约定进行信息披露。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0" w:hRule="atLeast"/>
        </w:trPr>
        <w:tc>
          <w:tcPr>
            <w:tcW w:w="2451" w:type="dxa"/>
            <w:vAlign w:val="center"/>
          </w:tcPr>
          <w:p>
            <w:pPr>
              <w:snapToGrid w:val="0"/>
              <w:rPr>
                <w:rFonts w:ascii="楷体_GB2312" w:eastAsia="楷体_GB2312"/>
                <w:bCs/>
                <w:color w:val="000000"/>
                <w:sz w:val="24"/>
              </w:rPr>
            </w:pPr>
            <w:r>
              <w:rPr>
                <w:rFonts w:hint="eastAsia" w:ascii="楷体_GB2312" w:eastAsia="楷体_GB2312"/>
                <w:bCs/>
                <w:color w:val="000000"/>
                <w:sz w:val="24"/>
              </w:rPr>
              <w:t>投资及收益币种</w:t>
            </w:r>
          </w:p>
        </w:tc>
        <w:tc>
          <w:tcPr>
            <w:tcW w:w="6633" w:type="dxa"/>
          </w:tcPr>
          <w:p>
            <w:pPr>
              <w:rPr>
                <w:rFonts w:ascii="楷体_GB2312" w:hAnsi="宋体" w:eastAsia="楷体_GB2312"/>
                <w:color w:val="000000"/>
                <w:sz w:val="24"/>
              </w:rPr>
            </w:pPr>
            <w:r>
              <w:rPr>
                <w:rFonts w:hint="eastAsia" w:ascii="楷体_GB2312" w:hAnsi="宋体" w:eastAsia="楷体_GB2312"/>
                <w:color w:val="000000"/>
                <w:sz w:val="24"/>
              </w:rPr>
              <w:t>人民币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 w:hRule="atLeast"/>
        </w:trPr>
        <w:tc>
          <w:tcPr>
            <w:tcW w:w="2451" w:type="dxa"/>
            <w:vAlign w:val="center"/>
          </w:tcPr>
          <w:p>
            <w:pPr>
              <w:snapToGrid w:val="0"/>
              <w:rPr>
                <w:rFonts w:ascii="楷体_GB2312" w:eastAsia="楷体_GB2312"/>
                <w:bCs/>
                <w:color w:val="000000"/>
                <w:sz w:val="24"/>
              </w:rPr>
            </w:pPr>
            <w:r>
              <w:rPr>
                <w:rFonts w:hint="eastAsia" w:ascii="楷体_GB2312" w:eastAsia="楷体_GB2312"/>
                <w:bCs/>
                <w:color w:val="000000"/>
                <w:sz w:val="24"/>
              </w:rPr>
              <w:t>募集方式</w:t>
            </w:r>
          </w:p>
        </w:tc>
        <w:tc>
          <w:tcPr>
            <w:tcW w:w="6633" w:type="dxa"/>
          </w:tcPr>
          <w:p>
            <w:pPr>
              <w:rPr>
                <w:rFonts w:ascii="楷体_GB2312" w:hAnsi="宋体" w:eastAsia="楷体_GB2312"/>
                <w:color w:val="000000"/>
                <w:sz w:val="24"/>
              </w:rPr>
            </w:pPr>
            <w:r>
              <w:rPr>
                <w:rFonts w:hint="eastAsia" w:ascii="楷体_GB2312" w:hAnsi="宋体" w:eastAsia="楷体_GB2312"/>
                <w:color w:val="000000"/>
                <w:sz w:val="24"/>
              </w:rPr>
              <w:t>公募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 w:hRule="atLeast"/>
        </w:trPr>
        <w:tc>
          <w:tcPr>
            <w:tcW w:w="2451" w:type="dxa"/>
            <w:vAlign w:val="center"/>
          </w:tcPr>
          <w:p>
            <w:pPr>
              <w:snapToGrid w:val="0"/>
              <w:rPr>
                <w:rFonts w:ascii="楷体_GB2312" w:eastAsia="楷体_GB2312"/>
                <w:bCs/>
                <w:color w:val="000000"/>
                <w:sz w:val="24"/>
              </w:rPr>
            </w:pPr>
            <w:r>
              <w:rPr>
                <w:rFonts w:hint="eastAsia" w:ascii="楷体_GB2312" w:eastAsia="楷体_GB2312"/>
                <w:bCs/>
                <w:color w:val="auto"/>
                <w:sz w:val="24"/>
                <w:highlight w:val="none"/>
                <w:lang w:val="en-US" w:eastAsia="zh-CN"/>
              </w:rPr>
              <w:t>产品</w:t>
            </w:r>
            <w:r>
              <w:rPr>
                <w:rFonts w:hint="eastAsia" w:ascii="楷体_GB2312" w:eastAsia="楷体_GB2312"/>
                <w:bCs/>
                <w:color w:val="auto"/>
                <w:sz w:val="24"/>
                <w:highlight w:val="none"/>
              </w:rPr>
              <w:t>运作</w:t>
            </w:r>
            <w:r>
              <w:rPr>
                <w:rFonts w:hint="eastAsia" w:ascii="楷体_GB2312" w:eastAsia="楷体_GB2312"/>
                <w:bCs/>
                <w:color w:val="auto"/>
                <w:sz w:val="24"/>
                <w:highlight w:val="none"/>
                <w:lang w:val="en-US" w:eastAsia="zh-CN"/>
              </w:rPr>
              <w:t>模</w:t>
            </w:r>
            <w:r>
              <w:rPr>
                <w:rFonts w:hint="eastAsia" w:ascii="楷体_GB2312" w:eastAsia="楷体_GB2312"/>
                <w:bCs/>
                <w:color w:val="auto"/>
                <w:sz w:val="24"/>
                <w:highlight w:val="none"/>
              </w:rPr>
              <w:t>式</w:t>
            </w:r>
          </w:p>
        </w:tc>
        <w:tc>
          <w:tcPr>
            <w:tcW w:w="6633" w:type="dxa"/>
          </w:tcPr>
          <w:p>
            <w:pPr>
              <w:rPr>
                <w:rFonts w:ascii="楷体_GB2312" w:hAnsi="宋体" w:eastAsia="楷体_GB2312"/>
                <w:color w:val="000000"/>
                <w:sz w:val="24"/>
              </w:rPr>
            </w:pPr>
            <w:r>
              <w:rPr>
                <w:rFonts w:hint="eastAsia" w:ascii="楷体_GB2312" w:hAnsi="宋体" w:eastAsia="楷体_GB2312"/>
                <w:color w:val="000000"/>
                <w:sz w:val="24"/>
              </w:rPr>
              <w:t>开放式</w:t>
            </w:r>
            <w:r>
              <w:rPr>
                <w:rFonts w:hint="eastAsia" w:ascii="楷体_GB2312" w:hAnsi="宋体" w:eastAsia="楷体_GB2312"/>
                <w:color w:val="auto"/>
                <w:sz w:val="24"/>
                <w:highlight w:val="none"/>
                <w:lang w:val="en-US" w:eastAsia="zh-CN"/>
              </w:rPr>
              <w:t>净值型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 w:hRule="atLeast"/>
        </w:trPr>
        <w:tc>
          <w:tcPr>
            <w:tcW w:w="2451" w:type="dxa"/>
            <w:vAlign w:val="center"/>
          </w:tcPr>
          <w:p>
            <w:pPr>
              <w:snapToGrid w:val="0"/>
              <w:rPr>
                <w:rFonts w:ascii="楷体_GB2312" w:eastAsia="楷体_GB2312"/>
                <w:bCs/>
                <w:color w:val="000000"/>
                <w:sz w:val="24"/>
              </w:rPr>
            </w:pPr>
            <w:r>
              <w:rPr>
                <w:rFonts w:hint="eastAsia" w:ascii="楷体_GB2312" w:hAnsi="宋体" w:eastAsia="楷体_GB2312"/>
                <w:b/>
                <w:bCs/>
                <w:color w:val="auto"/>
                <w:sz w:val="24"/>
                <w:highlight w:val="none"/>
              </w:rPr>
              <w:t>★</w:t>
            </w:r>
            <w:r>
              <w:rPr>
                <w:rFonts w:hint="eastAsia" w:ascii="楷体_GB2312" w:eastAsia="楷体_GB2312"/>
                <w:bCs/>
                <w:color w:val="auto"/>
                <w:sz w:val="24"/>
                <w:highlight w:val="none"/>
              </w:rPr>
              <w:t>产品类型</w:t>
            </w:r>
          </w:p>
        </w:tc>
        <w:tc>
          <w:tcPr>
            <w:tcW w:w="6633" w:type="dxa"/>
          </w:tcPr>
          <w:p>
            <w:pPr>
              <w:rPr>
                <w:rFonts w:ascii="楷体_GB2312" w:hAnsi="宋体" w:eastAsia="楷体_GB2312"/>
                <w:color w:val="000000"/>
                <w:sz w:val="24"/>
              </w:rPr>
            </w:pPr>
            <w:r>
              <w:rPr>
                <w:rFonts w:ascii="楷体_GB2312" w:hAnsi="宋体" w:eastAsia="楷体_GB2312"/>
                <w:color w:val="000000"/>
                <w:sz w:val="24"/>
              </w:rPr>
              <w:t>固定收益类、非保本浮动收益型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 w:hRule="atLeast"/>
        </w:trPr>
        <w:tc>
          <w:tcPr>
            <w:tcW w:w="2451" w:type="dxa"/>
            <w:vAlign w:val="center"/>
          </w:tcPr>
          <w:p>
            <w:pPr>
              <w:snapToGrid w:val="0"/>
              <w:rPr>
                <w:rFonts w:ascii="楷体_GB2312" w:eastAsia="楷体_GB2312"/>
                <w:bCs/>
                <w:color w:val="000000"/>
                <w:sz w:val="24"/>
              </w:rPr>
            </w:pPr>
            <w:r>
              <w:rPr>
                <w:rFonts w:hint="eastAsia" w:ascii="楷体_GB2312" w:eastAsia="楷体_GB2312"/>
                <w:bCs/>
                <w:color w:val="000000"/>
                <w:sz w:val="24"/>
              </w:rPr>
              <w:t>适合的投资者</w:t>
            </w:r>
          </w:p>
        </w:tc>
        <w:tc>
          <w:tcPr>
            <w:tcW w:w="6633" w:type="dxa"/>
          </w:tcPr>
          <w:p>
            <w:pPr>
              <w:rPr>
                <w:rFonts w:hint="eastAsia" w:ascii="楷体_GB2312" w:hAnsi="宋体" w:eastAsia="楷体_GB2312" w:cs="Times New Roman"/>
                <w:color w:val="auto"/>
                <w:sz w:val="24"/>
                <w:szCs w:val="24"/>
                <w:highlight w:val="none"/>
              </w:rPr>
            </w:pPr>
            <w:r>
              <w:rPr>
                <w:rFonts w:hint="eastAsia" w:ascii="楷体_GB2312" w:hAnsi="宋体" w:eastAsia="楷体_GB2312" w:cs="Times New Roman"/>
                <w:color w:val="auto"/>
                <w:sz w:val="24"/>
                <w:szCs w:val="24"/>
                <w:highlight w:val="none"/>
              </w:rPr>
              <w:t>符合相关法律法规、监管规定要求的自然人、法人和其他组织。自然人</w:t>
            </w:r>
            <w:r>
              <w:rPr>
                <w:rFonts w:hint="eastAsia" w:ascii="楷体_GB2312" w:hAnsi="宋体" w:eastAsia="楷体_GB2312" w:cs="Times New Roman"/>
                <w:color w:val="auto"/>
                <w:sz w:val="24"/>
                <w:szCs w:val="24"/>
                <w:highlight w:val="none"/>
                <w:lang w:val="en-US" w:eastAsia="zh-CN"/>
              </w:rPr>
              <w:t>投资者</w:t>
            </w:r>
            <w:r>
              <w:rPr>
                <w:rFonts w:hint="eastAsia" w:ascii="楷体_GB2312" w:hAnsi="宋体" w:eastAsia="楷体_GB2312" w:cs="Times New Roman"/>
                <w:color w:val="auto"/>
                <w:sz w:val="24"/>
                <w:szCs w:val="24"/>
                <w:highlight w:val="none"/>
              </w:rPr>
              <w:t>经</w:t>
            </w:r>
            <w:r>
              <w:rPr>
                <w:rFonts w:hint="eastAsia" w:ascii="楷体_GB2312" w:hAnsi="宋体" w:eastAsia="楷体_GB2312" w:cs="Times New Roman"/>
                <w:color w:val="auto"/>
                <w:sz w:val="24"/>
                <w:szCs w:val="24"/>
                <w:highlight w:val="none"/>
                <w:lang w:val="en-US" w:eastAsia="zh-CN"/>
              </w:rPr>
              <w:t>代理销售</w:t>
            </w:r>
            <w:r>
              <w:rPr>
                <w:rFonts w:hint="eastAsia" w:ascii="楷体_GB2312" w:hAnsi="宋体" w:eastAsia="楷体_GB2312" w:cs="Times New Roman"/>
                <w:color w:val="auto"/>
                <w:sz w:val="24"/>
                <w:szCs w:val="24"/>
                <w:highlight w:val="none"/>
              </w:rPr>
              <w:t>机构</w:t>
            </w:r>
            <w:r>
              <w:rPr>
                <w:rFonts w:hint="eastAsia" w:ascii="楷体_GB2312" w:hAnsi="宋体" w:eastAsia="楷体_GB2312" w:cs="Times New Roman"/>
                <w:color w:val="auto"/>
                <w:sz w:val="24"/>
                <w:szCs w:val="24"/>
                <w:highlight w:val="none"/>
                <w:lang w:val="en-US" w:eastAsia="zh-CN"/>
              </w:rPr>
              <w:t>评估</w:t>
            </w:r>
            <w:r>
              <w:rPr>
                <w:rFonts w:hint="eastAsia" w:ascii="楷体_GB2312" w:hAnsi="宋体" w:eastAsia="楷体_GB2312" w:cs="Times New Roman"/>
                <w:color w:val="auto"/>
                <w:sz w:val="24"/>
                <w:szCs w:val="24"/>
                <w:highlight w:val="none"/>
              </w:rPr>
              <w:t>的个人投资者风险承受能力等级</w:t>
            </w:r>
            <w:r>
              <w:rPr>
                <w:rFonts w:hint="eastAsia" w:ascii="楷体_GB2312" w:hAnsi="宋体" w:eastAsia="楷体_GB2312" w:cs="Times New Roman"/>
                <w:color w:val="auto"/>
                <w:sz w:val="24"/>
                <w:szCs w:val="24"/>
                <w:highlight w:val="none"/>
                <w:lang w:val="en-US" w:eastAsia="zh-CN"/>
              </w:rPr>
              <w:t>须</w:t>
            </w:r>
            <w:r>
              <w:rPr>
                <w:rFonts w:hint="eastAsia" w:ascii="楷体_GB2312" w:hAnsi="宋体" w:eastAsia="楷体_GB2312" w:cs="Times New Roman"/>
                <w:color w:val="auto"/>
                <w:sz w:val="24"/>
                <w:szCs w:val="24"/>
                <w:highlight w:val="none"/>
              </w:rPr>
              <w:t>不低于本理财产品风险评级</w:t>
            </w:r>
            <w:r>
              <w:rPr>
                <w:rFonts w:hint="eastAsia" w:ascii="楷体_GB2312" w:hAnsi="宋体" w:eastAsia="楷体_GB2312" w:cs="Times New Roman"/>
                <w:color w:val="auto"/>
                <w:sz w:val="24"/>
                <w:szCs w:val="24"/>
                <w:highlight w:val="none"/>
                <w:lang w:val="en-US" w:eastAsia="zh-CN"/>
              </w:rPr>
              <w:t>结果</w:t>
            </w:r>
            <w:r>
              <w:rPr>
                <w:rFonts w:hint="eastAsia" w:ascii="楷体_GB2312" w:hAnsi="宋体" w:eastAsia="楷体_GB2312" w:cs="Times New Roman"/>
                <w:color w:val="auto"/>
                <w:sz w:val="24"/>
                <w:szCs w:val="24"/>
                <w:highlight w:val="none"/>
              </w:rPr>
              <w:t>（</w:t>
            </w:r>
            <w:r>
              <w:rPr>
                <w:rFonts w:hint="eastAsia" w:ascii="楷体_GB2312" w:hAnsi="宋体" w:eastAsia="楷体_GB2312" w:cs="Times New Roman"/>
                <w:color w:val="auto"/>
                <w:sz w:val="24"/>
                <w:szCs w:val="24"/>
                <w:highlight w:val="none"/>
                <w:lang w:eastAsia="zh-CN"/>
              </w:rPr>
              <w:t>本理财产品</w:t>
            </w:r>
            <w:r>
              <w:rPr>
                <w:rFonts w:hint="eastAsia" w:ascii="楷体_GB2312" w:hAnsi="宋体" w:eastAsia="楷体_GB2312" w:cs="Times New Roman"/>
                <w:color w:val="auto"/>
                <w:sz w:val="24"/>
                <w:szCs w:val="24"/>
                <w:highlight w:val="none"/>
              </w:rPr>
              <w:t>通过代销机构销售的，销售客群最终以代销机构要求为准）。</w:t>
            </w:r>
          </w:p>
          <w:p>
            <w:pPr>
              <w:rPr>
                <w:rFonts w:ascii="楷体_GB2312" w:hAnsi="宋体" w:eastAsia="楷体_GB2312"/>
                <w:color w:val="000000"/>
                <w:sz w:val="24"/>
              </w:rPr>
            </w:pPr>
            <w:r>
              <w:rPr>
                <w:rFonts w:hint="eastAsia" w:ascii="楷体_GB2312" w:hAnsi="宋体" w:eastAsia="楷体_GB2312"/>
                <w:color w:val="auto"/>
                <w:sz w:val="24"/>
                <w:highlight w:val="none"/>
              </w:rPr>
              <w:t>★</w:t>
            </w:r>
            <w:r>
              <w:rPr>
                <w:rFonts w:hint="eastAsia" w:ascii="楷体_GB2312" w:hAnsi="宋体" w:eastAsia="楷体_GB2312"/>
                <w:b/>
                <w:color w:val="auto"/>
                <w:sz w:val="24"/>
                <w:highlight w:val="none"/>
              </w:rPr>
              <w:t>本理财产品不允许单一投资者持有份额超过本理财产品总份额的50%。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 w:hRule="atLeast"/>
        </w:trPr>
        <w:tc>
          <w:tcPr>
            <w:tcW w:w="2451" w:type="dxa"/>
            <w:vAlign w:val="center"/>
          </w:tcPr>
          <w:p>
            <w:pPr>
              <w:snapToGrid w:val="0"/>
              <w:rPr>
                <w:rFonts w:ascii="楷体_GB2312" w:eastAsia="楷体_GB2312"/>
                <w:bCs/>
                <w:color w:val="000000"/>
                <w:sz w:val="24"/>
              </w:rPr>
            </w:pPr>
            <w:r>
              <w:rPr>
                <w:rFonts w:hint="eastAsia" w:ascii="楷体_GB2312" w:eastAsia="楷体_GB2312"/>
                <w:bCs/>
                <w:color w:val="000000"/>
                <w:sz w:val="24"/>
                <w:lang w:val="en-US" w:eastAsia="zh-CN"/>
              </w:rPr>
              <w:t>产品</w:t>
            </w:r>
            <w:r>
              <w:rPr>
                <w:rFonts w:hint="eastAsia" w:ascii="楷体_GB2312" w:eastAsia="楷体_GB2312"/>
                <w:bCs/>
                <w:color w:val="000000"/>
                <w:sz w:val="24"/>
              </w:rPr>
              <w:t>管理人</w:t>
            </w:r>
          </w:p>
        </w:tc>
        <w:tc>
          <w:tcPr>
            <w:tcW w:w="6633" w:type="dxa"/>
          </w:tcPr>
          <w:p>
            <w:pPr>
              <w:rPr>
                <w:rFonts w:ascii="楷体_GB2312" w:hAnsi="宋体" w:eastAsia="楷体_GB2312"/>
                <w:color w:val="000000"/>
                <w:sz w:val="24"/>
              </w:rPr>
            </w:pPr>
            <w:r>
              <w:rPr>
                <w:rFonts w:ascii="楷体_GB2312" w:hAnsi="宋体" w:eastAsia="楷体_GB2312"/>
                <w:color w:val="000000"/>
                <w:sz w:val="24"/>
              </w:rPr>
              <w:t>北银理财有限责任公司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 w:hRule="atLeast"/>
        </w:trPr>
        <w:tc>
          <w:tcPr>
            <w:tcW w:w="2451" w:type="dxa"/>
            <w:vAlign w:val="center"/>
          </w:tcPr>
          <w:p>
            <w:pPr>
              <w:snapToGrid w:val="0"/>
              <w:rPr>
                <w:rFonts w:ascii="楷体_GB2312" w:eastAsia="楷体_GB2312"/>
                <w:bCs/>
                <w:color w:val="000000"/>
                <w:sz w:val="24"/>
              </w:rPr>
            </w:pPr>
            <w:r>
              <w:rPr>
                <w:rFonts w:hint="eastAsia" w:ascii="楷体_GB2312" w:eastAsia="楷体_GB2312"/>
                <w:bCs/>
                <w:color w:val="000000"/>
                <w:sz w:val="24"/>
                <w:lang w:val="en-US" w:eastAsia="zh-CN"/>
              </w:rPr>
              <w:t>产品</w:t>
            </w:r>
            <w:r>
              <w:rPr>
                <w:rFonts w:hint="eastAsia" w:ascii="楷体_GB2312" w:eastAsia="楷体_GB2312"/>
                <w:bCs/>
                <w:color w:val="000000"/>
                <w:sz w:val="24"/>
              </w:rPr>
              <w:t>托管人</w:t>
            </w:r>
          </w:p>
        </w:tc>
        <w:tc>
          <w:tcPr>
            <w:tcW w:w="6633" w:type="dxa"/>
          </w:tcPr>
          <w:p>
            <w:pPr>
              <w:rPr>
                <w:rFonts w:ascii="楷体_GB2312" w:hAnsi="宋体" w:eastAsia="楷体_GB2312"/>
                <w:color w:val="000000"/>
                <w:sz w:val="24"/>
              </w:rPr>
            </w:pPr>
            <w:r>
              <w:rPr>
                <w:rFonts w:hint="eastAsia" w:ascii="楷体_GB2312" w:hAnsi="宋体" w:eastAsia="楷体_GB2312"/>
                <w:color w:val="000000"/>
                <w:sz w:val="24"/>
                <w:lang w:val="en-US" w:eastAsia="zh-CN"/>
              </w:rPr>
              <w:t>北京</w:t>
            </w:r>
            <w:r>
              <w:rPr>
                <w:rFonts w:ascii="楷体_GB2312" w:hAnsi="宋体" w:eastAsia="楷体_GB2312"/>
                <w:color w:val="000000"/>
                <w:sz w:val="24"/>
              </w:rPr>
              <w:t>银行股份有限公司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6" w:hRule="atLeast"/>
        </w:trPr>
        <w:tc>
          <w:tcPr>
            <w:tcW w:w="2451" w:type="dxa"/>
            <w:vAlign w:val="center"/>
          </w:tcPr>
          <w:p>
            <w:pPr>
              <w:snapToGrid w:val="0"/>
              <w:rPr>
                <w:rFonts w:ascii="楷体_GB2312" w:eastAsia="楷体_GB2312"/>
                <w:bCs/>
                <w:color w:val="000000"/>
                <w:sz w:val="24"/>
              </w:rPr>
            </w:pPr>
            <w:r>
              <w:rPr>
                <w:rFonts w:hint="eastAsia" w:ascii="楷体_GB2312" w:eastAsia="楷体_GB2312"/>
                <w:bCs/>
                <w:color w:val="000000"/>
                <w:sz w:val="24"/>
              </w:rPr>
              <w:t>代销机构</w:t>
            </w:r>
          </w:p>
        </w:tc>
        <w:tc>
          <w:tcPr>
            <w:tcW w:w="6633" w:type="dxa"/>
          </w:tcPr>
          <w:p>
            <w:pPr>
              <w:rPr>
                <w:rFonts w:hint="eastAsia" w:ascii="楷体_GB2312" w:hAnsi="宋体" w:eastAsia="楷体_GB2312"/>
                <w:color w:val="000000"/>
                <w:sz w:val="24"/>
                <w:lang w:val="en-US" w:eastAsia="zh-CN"/>
              </w:rPr>
            </w:pPr>
            <w:r>
              <w:rPr>
                <w:rFonts w:hint="eastAsia" w:ascii="楷体_GB2312" w:hAnsi="楷体" w:eastAsia="楷体_GB2312"/>
                <w:color w:val="auto"/>
                <w:sz w:val="24"/>
                <w:highlight w:val="none"/>
                <w:lang w:val="en-US" w:eastAsia="zh-CN"/>
              </w:rPr>
              <w:t>A类</w:t>
            </w:r>
            <w:r>
              <w:rPr>
                <w:rFonts w:hint="eastAsia" w:ascii="楷体_GB2312" w:hAnsi="楷体" w:eastAsia="楷体_GB2312"/>
                <w:color w:val="auto"/>
                <w:sz w:val="24"/>
                <w:highlight w:val="none"/>
              </w:rPr>
              <w:t>份额</w:t>
            </w:r>
            <w:r>
              <w:rPr>
                <w:rFonts w:hint="eastAsia" w:ascii="楷体_GB2312" w:hAnsi="楷体" w:eastAsia="楷体_GB2312"/>
                <w:color w:val="auto"/>
                <w:sz w:val="24"/>
                <w:highlight w:val="none"/>
                <w:lang w:eastAsia="zh-CN"/>
              </w:rPr>
              <w:t>、</w:t>
            </w:r>
            <w:r>
              <w:rPr>
                <w:rFonts w:hint="eastAsia" w:ascii="楷体_GB2312" w:hAnsi="楷体" w:eastAsia="楷体_GB2312"/>
                <w:color w:val="auto"/>
                <w:sz w:val="24"/>
                <w:highlight w:val="none"/>
                <w:lang w:val="en-US" w:eastAsia="zh-CN"/>
              </w:rPr>
              <w:t>B类份额、</w:t>
            </w:r>
            <w:r>
              <w:rPr>
                <w:rFonts w:hint="eastAsia" w:ascii="楷体_GB2312" w:hAnsi="宋体" w:eastAsia="楷体_GB2312"/>
                <w:color w:val="auto"/>
                <w:sz w:val="24"/>
                <w:lang w:val="en-US" w:eastAsia="zh-CN"/>
              </w:rPr>
              <w:t>浙BA类</w:t>
            </w:r>
            <w:r>
              <w:rPr>
                <w:rFonts w:hint="eastAsia" w:ascii="楷体_GB2312" w:hAnsi="宋体" w:eastAsia="楷体_GB2312"/>
                <w:color w:val="auto"/>
                <w:sz w:val="24"/>
                <w:highlight w:val="none"/>
              </w:rPr>
              <w:t>份额</w:t>
            </w:r>
            <w:r>
              <w:rPr>
                <w:rFonts w:hint="eastAsia" w:ascii="楷体_GB2312" w:hAnsi="楷体" w:eastAsia="楷体_GB2312"/>
                <w:color w:val="auto"/>
                <w:sz w:val="24"/>
                <w:highlight w:val="none"/>
                <w:lang w:eastAsia="zh-CN"/>
              </w:rPr>
              <w:t>：</w:t>
            </w:r>
            <w:r>
              <w:rPr>
                <w:rFonts w:hint="eastAsia" w:ascii="楷体_GB2312" w:hAnsi="宋体" w:eastAsia="楷体_GB2312" w:cs="Times New Roman"/>
                <w:color w:val="auto"/>
                <w:sz w:val="24"/>
                <w:lang w:val="en-US" w:eastAsia="zh-CN"/>
              </w:rPr>
              <w:t>浙江龙游农村商业银行股份有限公司、浙江青田农村商业银行股份有限公司、浙江德清农村商业银行股份有限公司、浙江台州路桥农村商业银行股份有限公司、浙江龙泉农村商业银行股份有限公司、浙江绍兴瑞丰农村商业银行股份有限公司、浙江舟山普陀农村商业银行股份有限公司、浙江建德农村商业银行股份有限公司、浙江嵊州农村商业银行股份有限公司、宁波慈溪农村商业银行股份有限公司、浙江浦江农村商业银行股份有限公司、浙江平湖农村商业银行股份有限公司、杭州联合农村商业银行股份有限公司、浙江诸暨农村商业银行股份有限公司、宁波余姚农村商业银行股份有限公司、浙江上虞农村商业银行股份有限公司、浙江富阳农村商业银行股份有限公司、</w:t>
            </w:r>
            <w:r>
              <w:rPr>
                <w:rFonts w:hint="eastAsia" w:ascii="楷体_GB2312" w:hAnsi="宋体" w:eastAsia="楷体_GB2312" w:cs="Times New Roman"/>
                <w:color w:val="auto"/>
                <w:sz w:val="24"/>
              </w:rPr>
              <w:t>浙江衢州柯城农村商业银行股份有限公司</w:t>
            </w:r>
            <w:r>
              <w:rPr>
                <w:rFonts w:hint="eastAsia" w:ascii="楷体_GB2312" w:hAnsi="宋体" w:eastAsia="楷体_GB2312" w:cs="Times New Roman"/>
                <w:color w:val="auto"/>
                <w:sz w:val="24"/>
                <w:lang w:eastAsia="zh-CN"/>
              </w:rPr>
              <w:t>、浙江松阳农村商业银行股份有限公司、浙江江山农村商业银行股份有限公司、浙江义乌农村商业银行股份有限公司、浙江桐庐农村商业银行股份有限公司、浙江新昌农村商业银行股份有限公司、</w:t>
            </w:r>
            <w:r>
              <w:rPr>
                <w:rFonts w:hint="eastAsia" w:ascii="楷体_GB2312" w:hAnsi="宋体" w:eastAsia="楷体_GB2312" w:cs="Times New Roman"/>
                <w:color w:val="auto"/>
                <w:sz w:val="24"/>
              </w:rPr>
              <w:t>浙江衢州衢江农村商业银行股份有限公司</w:t>
            </w:r>
            <w:r>
              <w:rPr>
                <w:rFonts w:hint="eastAsia" w:ascii="楷体_GB2312" w:hAnsi="宋体" w:eastAsia="楷体_GB2312" w:cs="Times New Roman"/>
                <w:color w:val="auto"/>
                <w:sz w:val="24"/>
                <w:lang w:eastAsia="zh-CN"/>
              </w:rPr>
              <w:t>、浙江临安农村商业银行股份有限公司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 w:hRule="atLeast"/>
        </w:trPr>
        <w:tc>
          <w:tcPr>
            <w:tcW w:w="2451" w:type="dxa"/>
            <w:vAlign w:val="center"/>
          </w:tcPr>
          <w:p>
            <w:pPr>
              <w:snapToGrid w:val="0"/>
              <w:rPr>
                <w:rFonts w:ascii="楷体_GB2312" w:eastAsia="楷体_GB2312"/>
                <w:bCs/>
                <w:color w:val="000000"/>
                <w:sz w:val="24"/>
              </w:rPr>
            </w:pPr>
            <w:r>
              <w:rPr>
                <w:rFonts w:hint="eastAsia" w:ascii="楷体_GB2312" w:eastAsia="楷体_GB2312"/>
                <w:bCs/>
                <w:color w:val="auto"/>
                <w:sz w:val="24"/>
                <w:highlight w:val="none"/>
                <w:lang w:val="en-US" w:eastAsia="zh-CN"/>
              </w:rPr>
              <w:t>产品</w:t>
            </w:r>
            <w:r>
              <w:rPr>
                <w:rFonts w:hint="eastAsia" w:ascii="楷体_GB2312" w:eastAsia="楷体_GB2312"/>
                <w:bCs/>
                <w:color w:val="auto"/>
                <w:sz w:val="24"/>
                <w:highlight w:val="none"/>
              </w:rPr>
              <w:t>风险评级</w:t>
            </w:r>
          </w:p>
        </w:tc>
        <w:tc>
          <w:tcPr>
            <w:tcW w:w="6633" w:type="dxa"/>
          </w:tcPr>
          <w:p>
            <w:pPr>
              <w:rPr>
                <w:rFonts w:ascii="楷体_GB2312" w:hAnsi="宋体" w:eastAsia="楷体_GB2312"/>
                <w:color w:val="auto"/>
                <w:sz w:val="24"/>
                <w:highlight w:val="none"/>
              </w:rPr>
            </w:pPr>
            <w:r>
              <w:rPr>
                <w:rFonts w:ascii="楷体_GB2312" w:hAnsi="宋体" w:eastAsia="楷体_GB2312"/>
                <w:color w:val="000000"/>
                <w:sz w:val="24"/>
              </w:rPr>
              <w:t>较低风险产品（PR</w:t>
            </w:r>
            <w:r>
              <w:rPr>
                <w:rFonts w:hint="eastAsia" w:ascii="楷体_GB2312" w:hAnsi="宋体" w:eastAsia="楷体_GB2312"/>
                <w:color w:val="000000"/>
                <w:sz w:val="24"/>
                <w:lang w:val="en-US" w:eastAsia="zh-CN"/>
              </w:rPr>
              <w:t>2</w:t>
            </w:r>
            <w:r>
              <w:rPr>
                <w:rFonts w:hint="eastAsia" w:ascii="楷体_GB2312" w:hAnsi="宋体" w:eastAsia="楷体_GB2312"/>
                <w:color w:val="000000"/>
                <w:sz w:val="24"/>
              </w:rPr>
              <w:t>）</w:t>
            </w:r>
            <w:r>
              <w:rPr>
                <w:rFonts w:hint="eastAsia" w:ascii="楷体_GB2312" w:hAnsi="宋体" w:eastAsia="楷体_GB2312"/>
                <w:color w:val="auto"/>
                <w:sz w:val="24"/>
                <w:highlight w:val="none"/>
              </w:rPr>
              <w:t>（本</w:t>
            </w:r>
            <w:r>
              <w:rPr>
                <w:rFonts w:hint="eastAsia" w:ascii="楷体_GB2312" w:hAnsi="宋体" w:eastAsia="楷体_GB2312"/>
                <w:color w:val="auto"/>
                <w:sz w:val="24"/>
                <w:highlight w:val="none"/>
                <w:lang w:val="en-US" w:eastAsia="zh-CN"/>
              </w:rPr>
              <w:t>风险</w:t>
            </w:r>
            <w:r>
              <w:rPr>
                <w:rFonts w:hint="eastAsia" w:ascii="楷体_GB2312" w:hAnsi="宋体" w:eastAsia="楷体_GB2312"/>
                <w:color w:val="auto"/>
                <w:sz w:val="24"/>
                <w:highlight w:val="none"/>
              </w:rPr>
              <w:t>评级为北银理财内部评级，仅供参考）</w:t>
            </w:r>
          </w:p>
          <w:p>
            <w:pPr>
              <w:rPr>
                <w:rFonts w:ascii="楷体_GB2312" w:hAnsi="宋体" w:eastAsia="楷体_GB2312"/>
                <w:color w:val="000000"/>
                <w:sz w:val="24"/>
              </w:rPr>
            </w:pPr>
            <w:r>
              <w:rPr>
                <w:rFonts w:hint="eastAsia" w:ascii="楷体_GB2312" w:hAnsi="楷体" w:eastAsia="楷体_GB2312"/>
                <w:color w:val="auto"/>
                <w:sz w:val="24"/>
                <w:highlight w:val="none"/>
              </w:rPr>
              <w:t>★</w:t>
            </w:r>
            <w:r>
              <w:rPr>
                <w:rFonts w:hint="eastAsia" w:ascii="楷体_GB2312" w:hAnsi="宋体" w:eastAsia="楷体_GB2312"/>
                <w:color w:val="auto"/>
                <w:sz w:val="24"/>
                <w:highlight w:val="none"/>
              </w:rPr>
              <w:t>本理财产品通过代销机构渠道销售的，理财产品评级应当以代销机构最终披露的评级结果为准。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 w:hRule="atLeast"/>
        </w:trPr>
        <w:tc>
          <w:tcPr>
            <w:tcW w:w="2451" w:type="dxa"/>
            <w:vAlign w:val="center"/>
          </w:tcPr>
          <w:p>
            <w:pPr>
              <w:snapToGrid w:val="0"/>
              <w:rPr>
                <w:rFonts w:ascii="楷体_GB2312" w:eastAsia="楷体_GB2312"/>
                <w:bCs/>
                <w:color w:val="000000"/>
                <w:sz w:val="24"/>
              </w:rPr>
            </w:pPr>
            <w:r>
              <w:rPr>
                <w:rFonts w:hint="eastAsia" w:ascii="楷体_GB2312" w:eastAsia="楷体_GB2312"/>
                <w:bCs/>
                <w:color w:val="000000"/>
                <w:sz w:val="24"/>
              </w:rPr>
              <w:t>产品规模</w:t>
            </w:r>
          </w:p>
        </w:tc>
        <w:tc>
          <w:tcPr>
            <w:tcW w:w="6633" w:type="dxa"/>
          </w:tcPr>
          <w:p>
            <w:pPr>
              <w:pStyle w:val="31"/>
              <w:jc w:val="both"/>
              <w:rPr>
                <w:rFonts w:ascii="楷体_GB2312" w:hAnsi="Times New Roman" w:eastAsia="楷体_GB2312" w:cs="Times New Roman"/>
                <w:bCs/>
                <w:kern w:val="2"/>
              </w:rPr>
            </w:pPr>
            <w:r>
              <w:rPr>
                <w:rFonts w:hint="eastAsia" w:ascii="楷体_GB2312" w:hAnsi="楷体" w:eastAsia="楷体_GB2312"/>
                <w:color w:val="auto"/>
                <w:highlight w:val="none"/>
              </w:rPr>
              <w:t>★</w:t>
            </w:r>
            <w:r>
              <w:rPr>
                <w:rFonts w:hint="eastAsia" w:ascii="楷体_GB2312" w:hAnsi="Times New Roman" w:eastAsia="楷体_GB2312" w:cs="Times New Roman"/>
                <w:bCs/>
                <w:color w:val="auto"/>
                <w:kern w:val="2"/>
                <w:highlight w:val="none"/>
                <w:lang w:eastAsia="zh-CN"/>
              </w:rPr>
              <w:t>产品管理人</w:t>
            </w:r>
            <w:r>
              <w:rPr>
                <w:rFonts w:hint="eastAsia" w:ascii="楷体_GB2312" w:hAnsi="Times New Roman" w:eastAsia="楷体_GB2312" w:cs="Times New Roman"/>
                <w:bCs/>
                <w:color w:val="auto"/>
                <w:kern w:val="2"/>
                <w:highlight w:val="none"/>
              </w:rPr>
              <w:t>可根据市场和</w:t>
            </w:r>
            <w:r>
              <w:rPr>
                <w:rFonts w:hint="eastAsia" w:ascii="楷体_GB2312" w:hAnsi="Times New Roman" w:eastAsia="楷体_GB2312" w:cs="Times New Roman"/>
                <w:bCs/>
                <w:color w:val="auto"/>
                <w:kern w:val="2"/>
                <w:highlight w:val="none"/>
                <w:lang w:eastAsia="zh-CN"/>
              </w:rPr>
              <w:t>本理财</w:t>
            </w:r>
            <w:r>
              <w:rPr>
                <w:rFonts w:hint="eastAsia" w:ascii="楷体_GB2312" w:hAnsi="Times New Roman" w:eastAsia="楷体_GB2312" w:cs="Times New Roman"/>
                <w:bCs/>
                <w:color w:val="auto"/>
                <w:kern w:val="2"/>
                <w:highlight w:val="none"/>
              </w:rPr>
              <w:t>产品运行情况调整产品规模上下限。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9" w:hRule="atLeast"/>
        </w:trPr>
        <w:tc>
          <w:tcPr>
            <w:tcW w:w="2451" w:type="dxa"/>
            <w:vAlign w:val="center"/>
          </w:tcPr>
          <w:p>
            <w:pPr>
              <w:snapToGrid w:val="0"/>
              <w:rPr>
                <w:rFonts w:ascii="楷体_GB2312" w:eastAsia="楷体_GB2312"/>
                <w:bCs/>
                <w:color w:val="000000"/>
                <w:sz w:val="24"/>
              </w:rPr>
            </w:pPr>
            <w:r>
              <w:rPr>
                <w:rFonts w:hint="eastAsia" w:ascii="楷体_GB2312" w:eastAsia="楷体_GB2312"/>
                <w:bCs/>
                <w:color w:val="000000"/>
                <w:sz w:val="24"/>
              </w:rPr>
              <w:t>销售区域</w:t>
            </w:r>
          </w:p>
        </w:tc>
        <w:tc>
          <w:tcPr>
            <w:tcW w:w="6633" w:type="dxa"/>
            <w:vAlign w:val="center"/>
          </w:tcPr>
          <w:p>
            <w:pPr>
              <w:snapToGrid w:val="0"/>
              <w:rPr>
                <w:rFonts w:hint="eastAsia" w:ascii="楷体_GB2312" w:eastAsia="楷体_GB2312"/>
                <w:bCs/>
                <w:color w:val="auto"/>
                <w:sz w:val="24"/>
                <w:highlight w:val="none"/>
                <w:lang w:val="en-US" w:eastAsia="zh-CN"/>
              </w:rPr>
            </w:pPr>
            <w:r>
              <w:rPr>
                <w:rFonts w:hint="eastAsia" w:ascii="楷体_GB2312" w:eastAsia="楷体_GB2312"/>
                <w:bCs/>
                <w:color w:val="auto"/>
                <w:sz w:val="24"/>
                <w:highlight w:val="none"/>
                <w:lang w:val="en-US" w:eastAsia="zh-CN"/>
              </w:rPr>
              <w:t>A类</w:t>
            </w:r>
            <w:r>
              <w:rPr>
                <w:rFonts w:hint="eastAsia" w:ascii="楷体_GB2312" w:eastAsia="楷体_GB2312"/>
                <w:bCs/>
                <w:color w:val="auto"/>
                <w:sz w:val="24"/>
                <w:highlight w:val="none"/>
              </w:rPr>
              <w:t>份额：</w:t>
            </w:r>
            <w:r>
              <w:rPr>
                <w:rFonts w:hint="eastAsia" w:ascii="楷体_GB2312" w:eastAsia="楷体_GB2312"/>
                <w:bCs/>
                <w:color w:val="auto"/>
                <w:sz w:val="24"/>
                <w:highlight w:val="none"/>
                <w:lang w:val="en-US" w:eastAsia="zh-CN"/>
              </w:rPr>
              <w:t>全国</w:t>
            </w:r>
          </w:p>
          <w:p>
            <w:pPr>
              <w:snapToGrid w:val="0"/>
              <w:rPr>
                <w:rFonts w:hint="eastAsia" w:ascii="楷体_GB2312" w:eastAsia="楷体_GB2312"/>
                <w:bCs/>
                <w:color w:val="auto"/>
                <w:sz w:val="24"/>
                <w:highlight w:val="none"/>
                <w:lang w:val="en-US" w:eastAsia="zh-CN"/>
              </w:rPr>
            </w:pPr>
            <w:r>
              <w:rPr>
                <w:rFonts w:hint="eastAsia" w:ascii="楷体_GB2312" w:eastAsia="楷体_GB2312"/>
                <w:bCs/>
                <w:color w:val="auto"/>
                <w:sz w:val="24"/>
                <w:highlight w:val="none"/>
                <w:lang w:val="en-US" w:eastAsia="zh-CN"/>
              </w:rPr>
              <w:t>B类</w:t>
            </w:r>
            <w:r>
              <w:rPr>
                <w:rFonts w:hint="eastAsia" w:ascii="楷体_GB2312" w:eastAsia="楷体_GB2312"/>
                <w:bCs/>
                <w:color w:val="auto"/>
                <w:sz w:val="24"/>
                <w:highlight w:val="none"/>
              </w:rPr>
              <w:t>份额：</w:t>
            </w:r>
            <w:r>
              <w:rPr>
                <w:rFonts w:hint="eastAsia" w:ascii="楷体_GB2312" w:eastAsia="楷体_GB2312"/>
                <w:bCs/>
                <w:color w:val="auto"/>
                <w:sz w:val="24"/>
                <w:highlight w:val="none"/>
                <w:lang w:val="en-US" w:eastAsia="zh-CN"/>
              </w:rPr>
              <w:t>全国</w:t>
            </w:r>
          </w:p>
          <w:p>
            <w:pPr>
              <w:snapToGrid w:val="0"/>
              <w:rPr>
                <w:rFonts w:hint="eastAsia" w:ascii="楷体_GB2312" w:eastAsia="楷体_GB2312"/>
                <w:bCs/>
                <w:color w:val="000000"/>
                <w:sz w:val="24"/>
                <w:lang w:val="en-US" w:eastAsia="zh-CN"/>
              </w:rPr>
            </w:pPr>
            <w:r>
              <w:rPr>
                <w:rFonts w:hint="eastAsia" w:ascii="楷体_GB2312" w:hAnsi="宋体" w:eastAsia="楷体_GB2312"/>
                <w:color w:val="auto"/>
                <w:sz w:val="24"/>
                <w:lang w:val="en-US" w:eastAsia="zh-CN"/>
              </w:rPr>
              <w:t>浙BA类</w:t>
            </w:r>
            <w:r>
              <w:rPr>
                <w:rFonts w:hint="eastAsia" w:ascii="楷体_GB2312" w:hAnsi="宋体" w:eastAsia="楷体_GB2312"/>
                <w:color w:val="auto"/>
                <w:sz w:val="24"/>
                <w:highlight w:val="none"/>
              </w:rPr>
              <w:t>份额：</w:t>
            </w:r>
            <w:r>
              <w:rPr>
                <w:rFonts w:hint="eastAsia" w:ascii="楷体_GB2312" w:hAnsi="宋体" w:eastAsia="楷体_GB2312"/>
                <w:color w:val="auto"/>
                <w:sz w:val="24"/>
                <w:highlight w:val="none"/>
                <w:lang w:val="en-US" w:eastAsia="zh-CN"/>
              </w:rPr>
              <w:t>全国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2451" w:type="dxa"/>
            <w:vAlign w:val="center"/>
          </w:tcPr>
          <w:p>
            <w:pPr>
              <w:snapToGrid w:val="0"/>
              <w:rPr>
                <w:rFonts w:ascii="楷体_GB2312" w:eastAsia="楷体_GB2312"/>
                <w:bCs/>
                <w:color w:val="000000"/>
                <w:sz w:val="24"/>
              </w:rPr>
            </w:pPr>
            <w:r>
              <w:rPr>
                <w:rFonts w:hint="eastAsia" w:ascii="楷体_GB2312" w:eastAsia="楷体_GB2312"/>
                <w:bCs/>
                <w:color w:val="000000"/>
                <w:sz w:val="24"/>
              </w:rPr>
              <w:t>募集期</w:t>
            </w:r>
          </w:p>
        </w:tc>
        <w:tc>
          <w:tcPr>
            <w:tcW w:w="6633" w:type="dxa"/>
            <w:vAlign w:val="center"/>
          </w:tcPr>
          <w:p>
            <w:pPr>
              <w:rPr>
                <w:rFonts w:ascii="楷体_GB2312" w:hAnsi="宋体" w:eastAsia="楷体_GB2312"/>
                <w:color w:val="auto"/>
                <w:sz w:val="24"/>
                <w:highlight w:val="none"/>
              </w:rPr>
            </w:pPr>
            <w:r>
              <w:rPr>
                <w:rFonts w:hint="eastAsia" w:ascii="楷体_GB2312" w:hAnsi="宋体" w:eastAsia="楷体_GB2312"/>
                <w:color w:val="auto"/>
                <w:sz w:val="24"/>
                <w:highlight w:val="none"/>
                <w:lang w:val="en-US" w:eastAsia="zh-CN"/>
              </w:rPr>
              <w:t>2025</w:t>
            </w:r>
            <w:r>
              <w:rPr>
                <w:rFonts w:hint="eastAsia" w:ascii="楷体_GB2312" w:hAnsi="宋体" w:eastAsia="楷体_GB2312"/>
                <w:color w:val="auto"/>
                <w:sz w:val="24"/>
                <w:highlight w:val="none"/>
              </w:rPr>
              <w:t>年</w:t>
            </w:r>
            <w:r>
              <w:rPr>
                <w:rFonts w:hint="eastAsia" w:ascii="楷体_GB2312" w:hAnsi="宋体" w:eastAsia="楷体_GB2312"/>
                <w:color w:val="auto"/>
                <w:sz w:val="24"/>
                <w:highlight w:val="none"/>
                <w:lang w:val="en-US" w:eastAsia="zh-CN"/>
              </w:rPr>
              <w:t>4</w:t>
            </w:r>
            <w:r>
              <w:rPr>
                <w:rFonts w:hint="eastAsia" w:ascii="楷体_GB2312" w:hAnsi="宋体" w:eastAsia="楷体_GB2312"/>
                <w:color w:val="auto"/>
                <w:sz w:val="24"/>
                <w:highlight w:val="none"/>
              </w:rPr>
              <w:t>月</w:t>
            </w:r>
            <w:r>
              <w:rPr>
                <w:rFonts w:hint="eastAsia" w:ascii="楷体_GB2312" w:hAnsi="宋体" w:eastAsia="楷体_GB2312"/>
                <w:color w:val="auto"/>
                <w:sz w:val="24"/>
                <w:highlight w:val="none"/>
                <w:lang w:val="en-US" w:eastAsia="zh-CN"/>
              </w:rPr>
              <w:t>28</w:t>
            </w:r>
            <w:r>
              <w:rPr>
                <w:rFonts w:hint="eastAsia" w:ascii="楷体_GB2312" w:hAnsi="宋体" w:eastAsia="楷体_GB2312"/>
                <w:color w:val="auto"/>
                <w:sz w:val="24"/>
                <w:highlight w:val="none"/>
              </w:rPr>
              <w:t>日</w:t>
            </w:r>
            <w:r>
              <w:rPr>
                <w:rFonts w:hint="default" w:ascii="楷体_GB2312" w:hAnsi="宋体" w:eastAsia="楷体_GB2312"/>
                <w:color w:val="auto"/>
                <w:sz w:val="24"/>
                <w:highlight w:val="none"/>
                <w:lang w:val="en-US" w:eastAsia="zh-CN"/>
              </w:rPr>
              <w:t>9</w:t>
            </w:r>
            <w:r>
              <w:rPr>
                <w:rFonts w:hint="eastAsia" w:ascii="楷体_GB2312" w:hAnsi="宋体" w:eastAsia="楷体_GB2312"/>
                <w:color w:val="auto"/>
                <w:sz w:val="24"/>
                <w:highlight w:val="none"/>
                <w:lang w:val="en-US" w:eastAsia="zh-CN"/>
              </w:rPr>
              <w:t>:00至2025</w:t>
            </w:r>
            <w:r>
              <w:rPr>
                <w:rFonts w:hint="eastAsia" w:ascii="楷体_GB2312" w:hAnsi="宋体" w:eastAsia="楷体_GB2312"/>
                <w:color w:val="auto"/>
                <w:sz w:val="24"/>
                <w:highlight w:val="none"/>
              </w:rPr>
              <w:t>年</w:t>
            </w:r>
            <w:r>
              <w:rPr>
                <w:rFonts w:hint="eastAsia" w:ascii="楷体_GB2312" w:hAnsi="宋体" w:eastAsia="楷体_GB2312"/>
                <w:color w:val="auto"/>
                <w:sz w:val="24"/>
                <w:highlight w:val="none"/>
                <w:lang w:val="en-US" w:eastAsia="zh-CN"/>
              </w:rPr>
              <w:t>4</w:t>
            </w:r>
            <w:r>
              <w:rPr>
                <w:rFonts w:hint="eastAsia" w:ascii="楷体_GB2312" w:hAnsi="宋体" w:eastAsia="楷体_GB2312"/>
                <w:color w:val="auto"/>
                <w:sz w:val="24"/>
                <w:highlight w:val="none"/>
              </w:rPr>
              <w:t>月</w:t>
            </w:r>
            <w:r>
              <w:rPr>
                <w:rFonts w:hint="eastAsia" w:ascii="楷体_GB2312" w:hAnsi="宋体" w:eastAsia="楷体_GB2312"/>
                <w:color w:val="auto"/>
                <w:sz w:val="24"/>
                <w:highlight w:val="none"/>
                <w:lang w:val="en-US" w:eastAsia="zh-CN"/>
              </w:rPr>
              <w:t>28</w:t>
            </w:r>
            <w:r>
              <w:rPr>
                <w:rFonts w:hint="eastAsia" w:ascii="楷体_GB2312" w:hAnsi="宋体" w:eastAsia="楷体_GB2312"/>
                <w:color w:val="auto"/>
                <w:sz w:val="24"/>
                <w:highlight w:val="none"/>
              </w:rPr>
              <w:t>日</w:t>
            </w:r>
            <w:r>
              <w:rPr>
                <w:rFonts w:hint="default" w:ascii="楷体_GB2312" w:hAnsi="宋体" w:eastAsia="楷体_GB2312"/>
                <w:color w:val="auto"/>
                <w:sz w:val="24"/>
                <w:highlight w:val="none"/>
                <w:lang w:val="en-US" w:eastAsia="zh-CN"/>
              </w:rPr>
              <w:t>17</w:t>
            </w:r>
            <w:r>
              <w:rPr>
                <w:rFonts w:hint="eastAsia" w:ascii="楷体_GB2312" w:hAnsi="宋体" w:eastAsia="楷体_GB2312"/>
                <w:color w:val="auto"/>
                <w:sz w:val="24"/>
                <w:highlight w:val="none"/>
                <w:lang w:val="en-US" w:eastAsia="zh-CN"/>
              </w:rPr>
              <w:t>:</w:t>
            </w:r>
            <w:r>
              <w:rPr>
                <w:rFonts w:hint="default" w:ascii="楷体_GB2312" w:hAnsi="宋体" w:eastAsia="楷体_GB2312"/>
                <w:color w:val="auto"/>
                <w:sz w:val="24"/>
                <w:highlight w:val="none"/>
                <w:lang w:val="en-US" w:eastAsia="zh-CN"/>
              </w:rPr>
              <w:t>00</w:t>
            </w:r>
            <w:r>
              <w:rPr>
                <w:rFonts w:hint="eastAsia" w:ascii="楷体_GB2312" w:hAnsi="宋体" w:eastAsia="楷体_GB2312"/>
                <w:color w:val="auto"/>
                <w:sz w:val="24"/>
                <w:highlight w:val="none"/>
              </w:rPr>
              <w:t>。</w:t>
            </w:r>
          </w:p>
          <w:p>
            <w:pPr>
              <w:rPr>
                <w:rFonts w:ascii="楷体_GB2312" w:hAnsi="宋体" w:eastAsia="楷体_GB2312"/>
                <w:color w:val="auto"/>
                <w:sz w:val="24"/>
                <w:highlight w:val="none"/>
              </w:rPr>
            </w:pPr>
            <w:r>
              <w:rPr>
                <w:rFonts w:hint="eastAsia" w:ascii="楷体_GB2312" w:hAnsi="宋体" w:eastAsia="楷体_GB2312"/>
                <w:color w:val="auto"/>
                <w:sz w:val="24"/>
                <w:highlight w:val="none"/>
                <w:lang w:eastAsia="zh-CN"/>
              </w:rPr>
              <w:t>（</w:t>
            </w:r>
            <w:r>
              <w:rPr>
                <w:rFonts w:hint="eastAsia" w:ascii="楷体_GB2312" w:hAnsi="宋体" w:eastAsia="楷体_GB2312"/>
                <w:color w:val="auto"/>
                <w:sz w:val="24"/>
                <w:highlight w:val="none"/>
                <w:lang w:val="en-US" w:eastAsia="zh-CN"/>
              </w:rPr>
              <w:t>募集期开市/闭市时间具体以代理销售机构为准）</w:t>
            </w:r>
          </w:p>
          <w:p>
            <w:pPr>
              <w:rPr>
                <w:rFonts w:ascii="楷体_GB2312" w:hAnsi="宋体" w:eastAsia="楷体_GB2312"/>
                <w:color w:val="auto"/>
                <w:sz w:val="24"/>
                <w:highlight w:val="none"/>
              </w:rPr>
            </w:pPr>
            <w:r>
              <w:rPr>
                <w:rFonts w:hint="eastAsia" w:ascii="楷体_GB2312" w:hAnsi="楷体" w:eastAsia="楷体_GB2312"/>
                <w:color w:val="auto"/>
                <w:sz w:val="24"/>
                <w:highlight w:val="none"/>
              </w:rPr>
              <w:t>★</w:t>
            </w:r>
            <w:r>
              <w:rPr>
                <w:rFonts w:hint="eastAsia" w:ascii="楷体_GB2312" w:hAnsi="宋体" w:eastAsia="楷体_GB2312"/>
                <w:color w:val="auto"/>
                <w:sz w:val="24"/>
                <w:highlight w:val="none"/>
                <w:lang w:eastAsia="zh-CN"/>
              </w:rPr>
              <w:t>产品管理人</w:t>
            </w:r>
            <w:r>
              <w:rPr>
                <w:rFonts w:hint="eastAsia" w:ascii="楷体_GB2312" w:hAnsi="宋体" w:eastAsia="楷体_GB2312"/>
                <w:color w:val="auto"/>
                <w:sz w:val="24"/>
                <w:highlight w:val="none"/>
              </w:rPr>
              <w:t>有权根据市场情况提前结束或延长募集期并相应调整</w:t>
            </w:r>
            <w:r>
              <w:rPr>
                <w:rFonts w:hint="eastAsia" w:ascii="楷体_GB2312" w:hAnsi="宋体" w:eastAsia="楷体_GB2312"/>
                <w:color w:val="auto"/>
                <w:sz w:val="24"/>
                <w:highlight w:val="none"/>
                <w:lang w:val="en-US" w:eastAsia="zh-CN"/>
              </w:rPr>
              <w:t>本理财</w:t>
            </w:r>
            <w:r>
              <w:rPr>
                <w:rFonts w:hint="eastAsia" w:ascii="楷体_GB2312" w:hAnsi="宋体" w:eastAsia="楷体_GB2312"/>
                <w:color w:val="auto"/>
                <w:sz w:val="24"/>
                <w:highlight w:val="none"/>
              </w:rPr>
              <w:t>产品成立日。</w:t>
            </w:r>
          </w:p>
          <w:p>
            <w:pPr>
              <w:rPr>
                <w:rFonts w:ascii="楷体_GB2312" w:eastAsia="楷体_GB2312"/>
                <w:bCs/>
                <w:color w:val="000000"/>
                <w:sz w:val="24"/>
              </w:rPr>
            </w:pPr>
            <w:r>
              <w:rPr>
                <w:rFonts w:hint="eastAsia" w:ascii="楷体_GB2312" w:hAnsi="楷体" w:eastAsia="楷体_GB2312"/>
                <w:color w:val="auto"/>
                <w:sz w:val="24"/>
                <w:highlight w:val="none"/>
              </w:rPr>
              <w:t>★</w:t>
            </w:r>
            <w:r>
              <w:rPr>
                <w:rFonts w:hint="eastAsia" w:ascii="楷体_GB2312" w:hAnsi="宋体" w:eastAsia="楷体_GB2312"/>
                <w:color w:val="auto"/>
                <w:sz w:val="24"/>
                <w:highlight w:val="none"/>
              </w:rPr>
              <w:t>如经</w:t>
            </w:r>
            <w:r>
              <w:rPr>
                <w:rFonts w:hint="eastAsia" w:ascii="楷体_GB2312" w:hAnsi="宋体" w:eastAsia="楷体_GB2312"/>
                <w:color w:val="auto"/>
                <w:sz w:val="24"/>
                <w:highlight w:val="none"/>
                <w:lang w:eastAsia="zh-CN"/>
              </w:rPr>
              <w:t>产品管理人</w:t>
            </w:r>
            <w:r>
              <w:rPr>
                <w:rFonts w:hint="eastAsia" w:ascii="楷体_GB2312" w:hAnsi="宋体" w:eastAsia="楷体_GB2312"/>
                <w:color w:val="auto"/>
                <w:sz w:val="24"/>
                <w:highlight w:val="none"/>
              </w:rPr>
              <w:t>判断需提前结束或延长募集期，</w:t>
            </w:r>
            <w:r>
              <w:rPr>
                <w:rFonts w:hint="eastAsia" w:ascii="楷体_GB2312" w:hAnsi="宋体" w:eastAsia="楷体_GB2312"/>
                <w:color w:val="auto"/>
                <w:sz w:val="24"/>
                <w:highlight w:val="none"/>
                <w:lang w:eastAsia="zh-CN"/>
              </w:rPr>
              <w:t>产品管理人</w:t>
            </w:r>
            <w:r>
              <w:rPr>
                <w:rFonts w:hint="eastAsia" w:ascii="楷体_GB2312" w:hAnsi="宋体" w:eastAsia="楷体_GB2312"/>
                <w:color w:val="auto"/>
                <w:sz w:val="24"/>
                <w:highlight w:val="none"/>
              </w:rPr>
              <w:t>将提前</w:t>
            </w:r>
            <w:r>
              <w:rPr>
                <w:rFonts w:hint="default" w:ascii="楷体_GB2312" w:hAnsi="宋体" w:eastAsia="楷体_GB2312"/>
                <w:color w:val="auto"/>
                <w:sz w:val="24"/>
                <w:highlight w:val="none"/>
                <w:lang w:val="en-US"/>
              </w:rPr>
              <w:t>1</w:t>
            </w:r>
            <w:r>
              <w:rPr>
                <w:rFonts w:hint="eastAsia" w:ascii="楷体_GB2312" w:hAnsi="宋体" w:eastAsia="楷体_GB2312"/>
                <w:color w:val="auto"/>
                <w:sz w:val="24"/>
                <w:highlight w:val="none"/>
                <w:lang w:val="en-US" w:eastAsia="zh-CN"/>
              </w:rPr>
              <w:t>个工作日</w:t>
            </w:r>
            <w:r>
              <w:rPr>
                <w:rFonts w:hint="eastAsia" w:ascii="楷体_GB2312" w:hAnsi="宋体" w:eastAsia="楷体_GB2312"/>
                <w:color w:val="auto"/>
                <w:sz w:val="24"/>
                <w:highlight w:val="none"/>
              </w:rPr>
              <w:t>在</w:t>
            </w:r>
            <w:r>
              <w:rPr>
                <w:rFonts w:hint="eastAsia" w:ascii="楷体_GB2312" w:hAnsi="宋体" w:eastAsia="楷体_GB2312"/>
                <w:color w:val="auto"/>
                <w:sz w:val="24"/>
                <w:highlight w:val="none"/>
                <w:lang w:val="en-US" w:eastAsia="zh-CN"/>
              </w:rPr>
              <w:t>本理财产品销售文件约定的信息披露渠道</w:t>
            </w:r>
            <w:r>
              <w:rPr>
                <w:rFonts w:hint="eastAsia" w:ascii="楷体_GB2312" w:hAnsi="宋体" w:eastAsia="楷体_GB2312"/>
                <w:color w:val="auto"/>
                <w:sz w:val="24"/>
                <w:highlight w:val="none"/>
              </w:rPr>
              <w:t>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2451" w:type="dxa"/>
            <w:vAlign w:val="center"/>
          </w:tcPr>
          <w:p>
            <w:pPr>
              <w:snapToGrid w:val="0"/>
              <w:rPr>
                <w:rFonts w:ascii="楷体_GB2312" w:eastAsia="楷体_GB2312"/>
                <w:bCs/>
                <w:color w:val="000000"/>
                <w:sz w:val="24"/>
              </w:rPr>
            </w:pPr>
            <w:r>
              <w:rPr>
                <w:rFonts w:hint="eastAsia" w:ascii="楷体_GB2312" w:eastAsia="楷体_GB2312"/>
                <w:bCs/>
                <w:color w:val="000000"/>
                <w:sz w:val="24"/>
              </w:rPr>
              <w:t>认购</w:t>
            </w:r>
          </w:p>
        </w:tc>
        <w:tc>
          <w:tcPr>
            <w:tcW w:w="6633" w:type="dxa"/>
            <w:vAlign w:val="center"/>
          </w:tcPr>
          <w:p>
            <w:pPr>
              <w:rPr>
                <w:rFonts w:ascii="楷体_GB2312" w:hAnsi="宋体" w:eastAsia="楷体_GB2312"/>
                <w:color w:val="000000"/>
                <w:sz w:val="24"/>
              </w:rPr>
            </w:pPr>
            <w:r>
              <w:rPr>
                <w:rFonts w:hint="eastAsia" w:ascii="楷体_GB2312" w:hAnsi="Times New Roman" w:eastAsia="楷体_GB2312" w:cs="Times New Roman"/>
                <w:bCs/>
                <w:color w:val="auto"/>
                <w:sz w:val="24"/>
                <w:highlight w:val="none"/>
              </w:rPr>
              <w:t>投资者可在募集期</w:t>
            </w:r>
            <w:r>
              <w:rPr>
                <w:rFonts w:hint="eastAsia" w:ascii="楷体_GB2312" w:eastAsia="楷体_GB2312" w:cs="Times New Roman"/>
                <w:bCs/>
                <w:color w:val="auto"/>
                <w:sz w:val="24"/>
                <w:highlight w:val="none"/>
                <w:lang w:val="en-US" w:eastAsia="zh-CN"/>
              </w:rPr>
              <w:t>规定时间</w:t>
            </w:r>
            <w:r>
              <w:rPr>
                <w:rFonts w:hint="eastAsia" w:ascii="楷体_GB2312" w:hAnsi="Times New Roman" w:eastAsia="楷体_GB2312" w:cs="Times New Roman"/>
                <w:bCs/>
                <w:color w:val="auto"/>
                <w:sz w:val="24"/>
                <w:highlight w:val="none"/>
              </w:rPr>
              <w:t>内购买本</w:t>
            </w:r>
            <w:r>
              <w:rPr>
                <w:rFonts w:hint="eastAsia" w:ascii="楷体_GB2312" w:hAnsi="Times New Roman" w:eastAsia="楷体_GB2312" w:cs="Times New Roman"/>
                <w:bCs/>
                <w:color w:val="auto"/>
                <w:sz w:val="24"/>
                <w:highlight w:val="none"/>
                <w:lang w:val="en-US" w:eastAsia="zh-CN"/>
              </w:rPr>
              <w:t>理财</w:t>
            </w:r>
            <w:r>
              <w:rPr>
                <w:rFonts w:hint="eastAsia" w:ascii="楷体_GB2312" w:hAnsi="Times New Roman" w:eastAsia="楷体_GB2312" w:cs="Times New Roman"/>
                <w:bCs/>
                <w:color w:val="auto"/>
                <w:sz w:val="24"/>
                <w:highlight w:val="none"/>
              </w:rPr>
              <w:t>产品，投资者认购资金将被实时冻结，并于</w:t>
            </w:r>
            <w:r>
              <w:rPr>
                <w:rFonts w:hint="eastAsia" w:ascii="楷体_GB2312" w:hAnsi="Times New Roman" w:eastAsia="楷体_GB2312" w:cs="Times New Roman"/>
                <w:bCs/>
                <w:color w:val="auto"/>
                <w:sz w:val="24"/>
                <w:highlight w:val="none"/>
                <w:lang w:eastAsia="zh-CN"/>
              </w:rPr>
              <w:t>本</w:t>
            </w:r>
            <w:r>
              <w:rPr>
                <w:rFonts w:hint="eastAsia" w:ascii="楷体_GB2312" w:hAnsi="Times New Roman" w:eastAsia="楷体_GB2312" w:cs="Times New Roman"/>
                <w:bCs/>
                <w:color w:val="auto"/>
                <w:sz w:val="24"/>
                <w:highlight w:val="none"/>
                <w:lang w:val="en-US" w:eastAsia="zh-CN"/>
              </w:rPr>
              <w:t>理财</w:t>
            </w:r>
            <w:r>
              <w:rPr>
                <w:rFonts w:hint="eastAsia" w:ascii="楷体_GB2312" w:hAnsi="Times New Roman" w:eastAsia="楷体_GB2312" w:cs="Times New Roman"/>
                <w:bCs/>
                <w:color w:val="auto"/>
                <w:sz w:val="24"/>
                <w:highlight w:val="none"/>
              </w:rPr>
              <w:t>产品成立日由代销机构划款，</w:t>
            </w:r>
            <w:r>
              <w:rPr>
                <w:rFonts w:hint="eastAsia" w:ascii="楷体_GB2312" w:hAnsi="Times New Roman" w:eastAsia="楷体_GB2312" w:cs="Times New Roman"/>
                <w:bCs/>
                <w:color w:val="auto"/>
                <w:sz w:val="24"/>
                <w:highlight w:val="none"/>
                <w:lang w:eastAsia="zh-CN"/>
              </w:rPr>
              <w:t>产品管理人</w:t>
            </w:r>
            <w:r>
              <w:rPr>
                <w:rFonts w:hint="eastAsia" w:ascii="楷体_GB2312" w:hAnsi="Times New Roman" w:eastAsia="楷体_GB2312" w:cs="Times New Roman"/>
                <w:bCs/>
                <w:color w:val="auto"/>
                <w:sz w:val="24"/>
                <w:highlight w:val="none"/>
              </w:rPr>
              <w:t>在</w:t>
            </w:r>
            <w:r>
              <w:rPr>
                <w:rFonts w:hint="eastAsia" w:ascii="楷体_GB2312" w:hAnsi="Times New Roman" w:eastAsia="楷体_GB2312" w:cs="Times New Roman"/>
                <w:bCs/>
                <w:color w:val="auto"/>
                <w:sz w:val="24"/>
                <w:highlight w:val="none"/>
                <w:lang w:eastAsia="zh-CN"/>
              </w:rPr>
              <w:t>本理财</w:t>
            </w:r>
            <w:r>
              <w:rPr>
                <w:rFonts w:hint="eastAsia" w:ascii="楷体_GB2312" w:hAnsi="Times New Roman" w:eastAsia="楷体_GB2312" w:cs="Times New Roman"/>
                <w:bCs/>
                <w:color w:val="auto"/>
                <w:sz w:val="24"/>
                <w:highlight w:val="none"/>
              </w:rPr>
              <w:t>产品成立日确认产品份额。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6" w:hRule="atLeast"/>
        </w:trPr>
        <w:tc>
          <w:tcPr>
            <w:tcW w:w="2451" w:type="dxa"/>
            <w:vAlign w:val="center"/>
          </w:tcPr>
          <w:p>
            <w:pPr>
              <w:snapToGrid w:val="0"/>
              <w:rPr>
                <w:rFonts w:ascii="楷体_GB2312" w:eastAsia="楷体_GB2312"/>
                <w:bCs/>
                <w:color w:val="000000"/>
                <w:sz w:val="24"/>
              </w:rPr>
            </w:pPr>
            <w:r>
              <w:rPr>
                <w:rFonts w:hint="eastAsia" w:ascii="楷体_GB2312" w:eastAsia="楷体_GB2312"/>
                <w:bCs/>
                <w:color w:val="000000"/>
                <w:sz w:val="24"/>
              </w:rPr>
              <w:t>成立日</w:t>
            </w:r>
          </w:p>
        </w:tc>
        <w:tc>
          <w:tcPr>
            <w:tcW w:w="6633" w:type="dxa"/>
            <w:vAlign w:val="center"/>
          </w:tcPr>
          <w:p>
            <w:pPr>
              <w:rPr>
                <w:rFonts w:hint="eastAsia" w:ascii="楷体_GB2312" w:hAnsi="Times New Roman" w:eastAsia="楷体_GB2312" w:cs="Times New Roman"/>
                <w:bCs/>
                <w:color w:val="FF0000"/>
                <w:sz w:val="24"/>
                <w:highlight w:val="none"/>
                <w:lang w:eastAsia="zh-CN"/>
              </w:rPr>
            </w:pPr>
            <w:r>
              <w:rPr>
                <w:rFonts w:hint="eastAsia" w:ascii="楷体_GB2312" w:hAnsi="宋体" w:eastAsia="楷体_GB2312"/>
                <w:color w:val="auto"/>
                <w:sz w:val="24"/>
                <w:highlight w:val="none"/>
                <w:lang w:val="en-US" w:eastAsia="zh-CN"/>
              </w:rPr>
              <w:t>2025</w:t>
            </w:r>
            <w:r>
              <w:rPr>
                <w:rFonts w:hint="eastAsia" w:ascii="楷体_GB2312" w:hAnsi="宋体" w:eastAsia="楷体_GB2312"/>
                <w:color w:val="auto"/>
                <w:sz w:val="24"/>
                <w:highlight w:val="none"/>
              </w:rPr>
              <w:t>年</w:t>
            </w:r>
            <w:r>
              <w:rPr>
                <w:rFonts w:hint="eastAsia" w:ascii="楷体_GB2312" w:hAnsi="宋体" w:eastAsia="楷体_GB2312"/>
                <w:color w:val="auto"/>
                <w:sz w:val="24"/>
                <w:highlight w:val="none"/>
                <w:lang w:val="en-US" w:eastAsia="zh-CN"/>
              </w:rPr>
              <w:t>4</w:t>
            </w:r>
            <w:r>
              <w:rPr>
                <w:rFonts w:hint="eastAsia" w:ascii="楷体_GB2312" w:hAnsi="宋体" w:eastAsia="楷体_GB2312"/>
                <w:color w:val="auto"/>
                <w:sz w:val="24"/>
                <w:highlight w:val="none"/>
              </w:rPr>
              <w:t>月</w:t>
            </w:r>
            <w:r>
              <w:rPr>
                <w:rFonts w:hint="eastAsia" w:ascii="楷体_GB2312" w:hAnsi="宋体" w:eastAsia="楷体_GB2312"/>
                <w:color w:val="auto"/>
                <w:sz w:val="24"/>
                <w:highlight w:val="none"/>
                <w:lang w:val="en-US" w:eastAsia="zh-CN"/>
              </w:rPr>
              <w:t>29</w:t>
            </w:r>
            <w:r>
              <w:rPr>
                <w:rFonts w:hint="eastAsia" w:ascii="楷体_GB2312" w:hAnsi="宋体" w:eastAsia="楷体_GB2312"/>
                <w:color w:val="auto"/>
                <w:sz w:val="24"/>
                <w:highlight w:val="none"/>
              </w:rPr>
              <w:t>日</w:t>
            </w:r>
            <w:r>
              <w:rPr>
                <w:rFonts w:hint="eastAsia" w:ascii="楷体_GB2312" w:hAnsi="Times New Roman" w:eastAsia="楷体_GB2312" w:cs="Times New Roman"/>
                <w:bCs/>
                <w:color w:val="auto"/>
                <w:sz w:val="24"/>
                <w:highlight w:val="none"/>
                <w:lang w:eastAsia="zh-CN"/>
              </w:rPr>
              <w:t>。</w:t>
            </w:r>
          </w:p>
          <w:p>
            <w:pPr>
              <w:rPr>
                <w:rFonts w:hint="eastAsia" w:ascii="楷体_GB2312" w:hAnsi="宋体" w:eastAsia="楷体_GB2312"/>
                <w:color w:val="auto"/>
                <w:sz w:val="24"/>
                <w:highlight w:val="none"/>
              </w:rPr>
            </w:pPr>
            <w:r>
              <w:rPr>
                <w:rFonts w:hint="eastAsia" w:ascii="楷体_GB2312" w:hAnsi="楷体" w:eastAsia="楷体_GB2312"/>
                <w:color w:val="auto"/>
                <w:sz w:val="24"/>
                <w:highlight w:val="none"/>
              </w:rPr>
              <w:t>★</w:t>
            </w:r>
            <w:r>
              <w:rPr>
                <w:rFonts w:hint="eastAsia" w:ascii="楷体_GB2312" w:hAnsi="宋体" w:eastAsia="楷体_GB2312"/>
                <w:color w:val="auto"/>
                <w:sz w:val="24"/>
                <w:highlight w:val="none"/>
              </w:rPr>
              <w:t>产品管理人有权根据市场情况提前结束或延长募集期并相应调整本理财产品成立日。</w:t>
            </w:r>
          </w:p>
          <w:p>
            <w:pPr>
              <w:snapToGrid w:val="0"/>
              <w:rPr>
                <w:rFonts w:ascii="楷体_GB2312" w:hAnsi="宋体" w:eastAsia="楷体_GB2312"/>
                <w:color w:val="000000"/>
                <w:sz w:val="24"/>
              </w:rPr>
            </w:pPr>
            <w:r>
              <w:rPr>
                <w:rFonts w:hint="eastAsia" w:ascii="楷体_GB2312" w:hAnsi="楷体" w:eastAsia="楷体_GB2312"/>
                <w:color w:val="auto"/>
                <w:sz w:val="24"/>
                <w:highlight w:val="none"/>
              </w:rPr>
              <w:t>★</w:t>
            </w:r>
            <w:r>
              <w:rPr>
                <w:rFonts w:hint="eastAsia" w:ascii="楷体_GB2312" w:hAnsi="宋体" w:eastAsia="楷体_GB2312"/>
                <w:color w:val="auto"/>
                <w:sz w:val="24"/>
                <w:highlight w:val="none"/>
                <w:lang w:val="en-US" w:eastAsia="zh-CN"/>
              </w:rPr>
              <w:t>如经产品管理人判断需提前结束或延长募集期，产品管理人将提前1个工作日在本理财产品销售文件约定的信息披露渠道公告。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2451" w:type="dxa"/>
            <w:vAlign w:val="center"/>
          </w:tcPr>
          <w:p>
            <w:pPr>
              <w:snapToGrid w:val="0"/>
              <w:rPr>
                <w:rFonts w:ascii="楷体_GB2312" w:eastAsia="楷体_GB2312"/>
                <w:bCs/>
                <w:color w:val="000000"/>
                <w:sz w:val="24"/>
              </w:rPr>
            </w:pPr>
            <w:r>
              <w:rPr>
                <w:rFonts w:hint="eastAsia" w:ascii="楷体_GB2312" w:eastAsia="楷体_GB2312"/>
                <w:bCs/>
                <w:color w:val="000000"/>
                <w:sz w:val="24"/>
              </w:rPr>
              <w:t>产品单位面值</w:t>
            </w:r>
          </w:p>
        </w:tc>
        <w:tc>
          <w:tcPr>
            <w:tcW w:w="6633" w:type="dxa"/>
            <w:vAlign w:val="center"/>
          </w:tcPr>
          <w:p>
            <w:pPr>
              <w:snapToGrid w:val="0"/>
              <w:rPr>
                <w:rFonts w:ascii="楷体_GB2312" w:eastAsia="楷体_GB2312"/>
                <w:bCs/>
                <w:color w:val="000000"/>
                <w:sz w:val="24"/>
              </w:rPr>
            </w:pPr>
            <w:r>
              <w:rPr>
                <w:rFonts w:hint="eastAsia" w:ascii="楷体_GB2312" w:eastAsia="楷体_GB2312"/>
                <w:bCs/>
                <w:color w:val="auto"/>
                <w:sz w:val="24"/>
                <w:highlight w:val="none"/>
              </w:rPr>
              <w:t>本理财产品的</w:t>
            </w:r>
            <w:r>
              <w:rPr>
                <w:rFonts w:hint="eastAsia" w:ascii="楷体_GB2312" w:eastAsia="楷体_GB2312"/>
                <w:bCs/>
                <w:color w:val="auto"/>
                <w:sz w:val="24"/>
                <w:highlight w:val="none"/>
                <w:lang w:val="en-US" w:eastAsia="zh-CN"/>
              </w:rPr>
              <w:t>初始产品</w:t>
            </w:r>
            <w:r>
              <w:rPr>
                <w:rFonts w:hint="eastAsia" w:ascii="楷体_GB2312" w:eastAsia="楷体_GB2312"/>
                <w:bCs/>
                <w:color w:val="auto"/>
                <w:sz w:val="24"/>
                <w:highlight w:val="none"/>
              </w:rPr>
              <w:t>单位</w:t>
            </w:r>
            <w:r>
              <w:rPr>
                <w:rFonts w:hint="eastAsia" w:ascii="楷体_GB2312" w:eastAsia="楷体_GB2312"/>
                <w:bCs/>
                <w:color w:val="auto"/>
                <w:sz w:val="24"/>
                <w:highlight w:val="none"/>
                <w:lang w:val="en-US" w:eastAsia="zh-CN"/>
              </w:rPr>
              <w:t>面</w:t>
            </w:r>
            <w:r>
              <w:rPr>
                <w:rFonts w:hint="eastAsia" w:ascii="楷体_GB2312" w:eastAsia="楷体_GB2312"/>
                <w:bCs/>
                <w:color w:val="auto"/>
                <w:sz w:val="24"/>
                <w:highlight w:val="none"/>
              </w:rPr>
              <w:t>值为1</w:t>
            </w:r>
            <w:r>
              <w:rPr>
                <w:rFonts w:hint="default" w:ascii="楷体_GB2312" w:eastAsia="楷体_GB2312"/>
                <w:bCs/>
                <w:color w:val="auto"/>
                <w:sz w:val="24"/>
                <w:highlight w:val="none"/>
                <w:lang w:val="en-US"/>
              </w:rPr>
              <w:t>.00</w:t>
            </w:r>
            <w:r>
              <w:rPr>
                <w:rFonts w:hint="eastAsia" w:ascii="楷体_GB2312" w:eastAsia="楷体_GB2312"/>
                <w:bCs/>
                <w:color w:val="auto"/>
                <w:sz w:val="24"/>
                <w:highlight w:val="none"/>
              </w:rPr>
              <w:t>元/份。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6" w:hRule="atLeast"/>
        </w:trPr>
        <w:tc>
          <w:tcPr>
            <w:tcW w:w="2451" w:type="dxa"/>
            <w:vAlign w:val="center"/>
          </w:tcPr>
          <w:p>
            <w:pPr>
              <w:snapToGrid w:val="0"/>
              <w:rPr>
                <w:rFonts w:ascii="楷体_GB2312" w:eastAsia="楷体_GB2312"/>
                <w:bCs/>
                <w:color w:val="000000"/>
                <w:sz w:val="24"/>
              </w:rPr>
            </w:pPr>
            <w:r>
              <w:rPr>
                <w:rFonts w:hint="eastAsia" w:ascii="楷体_GB2312" w:eastAsia="楷体_GB2312"/>
                <w:bCs/>
                <w:color w:val="000000"/>
                <w:sz w:val="24"/>
              </w:rPr>
              <w:t>投资起点</w:t>
            </w:r>
          </w:p>
        </w:tc>
        <w:tc>
          <w:tcPr>
            <w:tcW w:w="6633" w:type="dxa"/>
            <w:vAlign w:val="center"/>
          </w:tcPr>
          <w:p>
            <w:pPr>
              <w:snapToGrid w:val="0"/>
              <w:rPr>
                <w:rFonts w:hint="eastAsia" w:ascii="楷体_GB2312" w:eastAsia="楷体_GB2312"/>
                <w:bCs/>
                <w:color w:val="000000"/>
                <w:sz w:val="24"/>
                <w:highlight w:val="none"/>
              </w:rPr>
            </w:pPr>
            <w:r>
              <w:rPr>
                <w:rFonts w:hint="eastAsia" w:ascii="楷体_GB2312" w:eastAsia="楷体_GB2312"/>
                <w:bCs/>
                <w:color w:val="auto"/>
                <w:sz w:val="24"/>
                <w:highlight w:val="none"/>
                <w:lang w:val="en-US" w:eastAsia="zh-CN"/>
              </w:rPr>
              <w:t>A类</w:t>
            </w:r>
            <w:r>
              <w:rPr>
                <w:rFonts w:hint="eastAsia" w:ascii="楷体_GB2312" w:eastAsia="楷体_GB2312"/>
                <w:bCs/>
                <w:color w:val="auto"/>
                <w:sz w:val="24"/>
                <w:highlight w:val="none"/>
              </w:rPr>
              <w:t>份额：投资起点为</w:t>
            </w:r>
            <w:r>
              <w:rPr>
                <w:rFonts w:hint="eastAsia" w:ascii="楷体_GB2312" w:eastAsia="楷体_GB2312"/>
                <w:bCs/>
                <w:color w:val="auto"/>
                <w:sz w:val="24"/>
                <w:highlight w:val="none"/>
                <w:lang w:val="en-US" w:eastAsia="zh-CN"/>
              </w:rPr>
              <w:t>1.00</w:t>
            </w:r>
            <w:r>
              <w:rPr>
                <w:rFonts w:hint="eastAsia" w:ascii="楷体_GB2312" w:eastAsia="楷体_GB2312"/>
                <w:bCs/>
                <w:color w:val="auto"/>
                <w:sz w:val="24"/>
                <w:highlight w:val="none"/>
              </w:rPr>
              <w:t>元，并以</w:t>
            </w:r>
            <w:r>
              <w:rPr>
                <w:rFonts w:hint="eastAsia" w:ascii="楷体_GB2312" w:eastAsia="楷体_GB2312"/>
                <w:bCs/>
                <w:color w:val="auto"/>
                <w:sz w:val="24"/>
                <w:highlight w:val="none"/>
                <w:lang w:val="en-US" w:eastAsia="zh-CN"/>
              </w:rPr>
              <w:t>0.01</w:t>
            </w:r>
            <w:r>
              <w:rPr>
                <w:rFonts w:hint="eastAsia" w:ascii="楷体_GB2312" w:eastAsia="楷体_GB2312"/>
                <w:bCs/>
                <w:color w:val="auto"/>
                <w:sz w:val="24"/>
                <w:highlight w:val="none"/>
              </w:rPr>
              <w:t>元为单位递增</w:t>
            </w:r>
            <w:r>
              <w:rPr>
                <w:rFonts w:hint="eastAsia" w:ascii="楷体_GB2312" w:eastAsia="楷体_GB2312"/>
                <w:bCs/>
                <w:color w:val="000000"/>
                <w:sz w:val="24"/>
                <w:highlight w:val="none"/>
              </w:rPr>
              <w:t>。</w:t>
            </w:r>
          </w:p>
          <w:p>
            <w:pPr>
              <w:snapToGrid w:val="0"/>
              <w:rPr>
                <w:rFonts w:hint="eastAsia" w:ascii="楷体_GB2312" w:eastAsia="楷体_GB2312"/>
                <w:bCs/>
                <w:color w:val="000000"/>
                <w:sz w:val="24"/>
                <w:highlight w:val="none"/>
              </w:rPr>
            </w:pPr>
            <w:r>
              <w:rPr>
                <w:rFonts w:hint="eastAsia" w:ascii="楷体_GB2312" w:eastAsia="楷体_GB2312"/>
                <w:bCs/>
                <w:color w:val="auto"/>
                <w:sz w:val="24"/>
                <w:highlight w:val="none"/>
                <w:lang w:val="en-US" w:eastAsia="zh-CN"/>
              </w:rPr>
              <w:t>B类</w:t>
            </w:r>
            <w:r>
              <w:rPr>
                <w:rFonts w:hint="eastAsia" w:ascii="楷体_GB2312" w:eastAsia="楷体_GB2312"/>
                <w:bCs/>
                <w:color w:val="auto"/>
                <w:sz w:val="24"/>
                <w:highlight w:val="none"/>
              </w:rPr>
              <w:t>份额：投资起点为</w:t>
            </w:r>
            <w:r>
              <w:rPr>
                <w:rFonts w:hint="eastAsia" w:ascii="楷体_GB2312" w:eastAsia="楷体_GB2312"/>
                <w:bCs/>
                <w:color w:val="auto"/>
                <w:sz w:val="24"/>
                <w:highlight w:val="none"/>
                <w:lang w:val="en-US" w:eastAsia="zh-CN"/>
              </w:rPr>
              <w:t>300,000.00</w:t>
            </w:r>
            <w:r>
              <w:rPr>
                <w:rFonts w:hint="eastAsia" w:ascii="楷体_GB2312" w:eastAsia="楷体_GB2312"/>
                <w:bCs/>
                <w:color w:val="auto"/>
                <w:sz w:val="24"/>
                <w:highlight w:val="none"/>
              </w:rPr>
              <w:t>元，并以</w:t>
            </w:r>
            <w:r>
              <w:rPr>
                <w:rFonts w:hint="eastAsia" w:ascii="楷体_GB2312" w:eastAsia="楷体_GB2312"/>
                <w:bCs/>
                <w:color w:val="auto"/>
                <w:sz w:val="24"/>
                <w:highlight w:val="none"/>
                <w:lang w:val="en-US" w:eastAsia="zh-CN"/>
              </w:rPr>
              <w:t>0.01</w:t>
            </w:r>
            <w:r>
              <w:rPr>
                <w:rFonts w:hint="eastAsia" w:ascii="楷体_GB2312" w:eastAsia="楷体_GB2312"/>
                <w:bCs/>
                <w:color w:val="auto"/>
                <w:sz w:val="24"/>
                <w:highlight w:val="none"/>
              </w:rPr>
              <w:t>元为单位递增</w:t>
            </w:r>
            <w:r>
              <w:rPr>
                <w:rFonts w:hint="eastAsia" w:ascii="楷体_GB2312" w:eastAsia="楷体_GB2312"/>
                <w:bCs/>
                <w:color w:val="000000"/>
                <w:sz w:val="24"/>
                <w:highlight w:val="none"/>
              </w:rPr>
              <w:t>。</w:t>
            </w:r>
          </w:p>
          <w:p>
            <w:pPr>
              <w:snapToGrid w:val="0"/>
              <w:rPr>
                <w:rFonts w:hint="eastAsia" w:eastAsia="楷体_GB2312"/>
                <w:lang w:val="en-US" w:eastAsia="zh-CN"/>
              </w:rPr>
            </w:pPr>
            <w:r>
              <w:rPr>
                <w:rFonts w:hint="eastAsia" w:ascii="楷体_GB2312" w:hAnsi="宋体" w:eastAsia="楷体_GB2312"/>
                <w:color w:val="auto"/>
                <w:sz w:val="24"/>
                <w:lang w:val="en-US" w:eastAsia="zh-CN"/>
              </w:rPr>
              <w:t>浙BA类</w:t>
            </w:r>
            <w:r>
              <w:rPr>
                <w:rFonts w:hint="eastAsia" w:ascii="楷体_GB2312" w:hAnsi="宋体" w:eastAsia="楷体_GB2312"/>
                <w:color w:val="auto"/>
                <w:sz w:val="24"/>
                <w:highlight w:val="none"/>
              </w:rPr>
              <w:t>份额：</w:t>
            </w:r>
            <w:r>
              <w:rPr>
                <w:rFonts w:hint="eastAsia" w:ascii="楷体_GB2312" w:eastAsia="楷体_GB2312"/>
                <w:bCs/>
                <w:color w:val="auto"/>
                <w:sz w:val="24"/>
                <w:highlight w:val="none"/>
              </w:rPr>
              <w:t>投资起点为</w:t>
            </w:r>
            <w:r>
              <w:rPr>
                <w:rFonts w:hint="eastAsia" w:ascii="楷体_GB2312" w:eastAsia="楷体_GB2312"/>
                <w:bCs/>
                <w:color w:val="auto"/>
                <w:sz w:val="24"/>
                <w:highlight w:val="none"/>
                <w:lang w:val="en-US" w:eastAsia="zh-CN"/>
              </w:rPr>
              <w:t>1.00</w:t>
            </w:r>
            <w:r>
              <w:rPr>
                <w:rFonts w:hint="eastAsia" w:ascii="楷体_GB2312" w:eastAsia="楷体_GB2312"/>
                <w:bCs/>
                <w:color w:val="auto"/>
                <w:sz w:val="24"/>
                <w:highlight w:val="none"/>
              </w:rPr>
              <w:t>元，并以</w:t>
            </w:r>
            <w:r>
              <w:rPr>
                <w:rFonts w:hint="eastAsia" w:ascii="楷体_GB2312" w:eastAsia="楷体_GB2312"/>
                <w:bCs/>
                <w:color w:val="auto"/>
                <w:sz w:val="24"/>
                <w:highlight w:val="none"/>
                <w:lang w:val="en-US" w:eastAsia="zh-CN"/>
              </w:rPr>
              <w:t>0.01</w:t>
            </w:r>
            <w:r>
              <w:rPr>
                <w:rFonts w:hint="eastAsia" w:ascii="楷体_GB2312" w:eastAsia="楷体_GB2312"/>
                <w:bCs/>
                <w:color w:val="auto"/>
                <w:sz w:val="24"/>
                <w:highlight w:val="none"/>
              </w:rPr>
              <w:t>元为单位递增</w:t>
            </w:r>
            <w:r>
              <w:rPr>
                <w:rFonts w:hint="eastAsia" w:ascii="楷体_GB2312" w:eastAsia="楷体_GB2312"/>
                <w:bCs/>
                <w:color w:val="000000"/>
                <w:sz w:val="24"/>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6" w:hRule="atLeast"/>
        </w:trPr>
        <w:tc>
          <w:tcPr>
            <w:tcW w:w="2451" w:type="dxa"/>
            <w:vAlign w:val="center"/>
          </w:tcPr>
          <w:p>
            <w:pPr>
              <w:snapToGrid w:val="0"/>
              <w:rPr>
                <w:rFonts w:hint="eastAsia" w:ascii="楷体_GB2312" w:hAnsi="Times New Roman" w:eastAsia="楷体_GB2312" w:cs="Times New Roman"/>
                <w:bCs/>
                <w:color w:val="auto"/>
                <w:kern w:val="2"/>
                <w:sz w:val="24"/>
                <w:szCs w:val="24"/>
                <w:highlight w:val="none"/>
                <w:lang w:val="en-US" w:eastAsia="zh-CN" w:bidi="ar-SA"/>
              </w:rPr>
            </w:pPr>
            <w:r>
              <w:rPr>
                <w:rFonts w:hint="eastAsia" w:ascii="楷体_GB2312" w:eastAsia="楷体_GB2312"/>
                <w:bCs/>
                <w:color w:val="auto"/>
                <w:sz w:val="24"/>
                <w:highlight w:val="none"/>
                <w:lang w:val="en-US" w:eastAsia="zh-CN"/>
              </w:rPr>
              <w:t>产品募集规模下限</w:t>
            </w:r>
          </w:p>
        </w:tc>
        <w:tc>
          <w:tcPr>
            <w:tcW w:w="6633" w:type="dxa"/>
            <w:vAlign w:val="center"/>
          </w:tcPr>
          <w:p>
            <w:pPr>
              <w:snapToGrid w:val="0"/>
              <w:rPr>
                <w:rFonts w:hint="eastAsia" w:ascii="楷体_GB2312" w:eastAsia="楷体_GB2312"/>
                <w:bCs/>
                <w:color w:val="auto"/>
                <w:sz w:val="24"/>
                <w:highlight w:val="none"/>
                <w:lang w:val="en-US" w:eastAsia="zh-CN"/>
              </w:rPr>
            </w:pPr>
            <w:r>
              <w:rPr>
                <w:rFonts w:hint="eastAsia" w:ascii="楷体_GB2312" w:eastAsia="楷体_GB2312"/>
                <w:bCs/>
                <w:color w:val="auto"/>
                <w:sz w:val="24"/>
                <w:highlight w:val="none"/>
                <w:lang w:val="en-US" w:eastAsia="zh-CN"/>
              </w:rPr>
              <w:t>本理财产品募集规模下限为：不设下限。</w:t>
            </w:r>
          </w:p>
          <w:p>
            <w:pPr>
              <w:snapToGrid w:val="0"/>
              <w:rPr>
                <w:rFonts w:hint="eastAsia" w:ascii="楷体_GB2312" w:hAnsi="Times New Roman" w:eastAsia="楷体_GB2312" w:cs="Times New Roman"/>
                <w:bCs/>
                <w:color w:val="auto"/>
                <w:kern w:val="2"/>
                <w:sz w:val="24"/>
                <w:szCs w:val="24"/>
                <w:highlight w:val="none"/>
                <w:lang w:val="en-US" w:eastAsia="zh-CN" w:bidi="ar-SA"/>
              </w:rPr>
            </w:pPr>
            <w:r>
              <w:rPr>
                <w:rFonts w:hint="eastAsia" w:ascii="楷体_GB2312" w:hAnsi="楷体" w:eastAsia="楷体_GB2312"/>
                <w:color w:val="auto"/>
                <w:sz w:val="24"/>
                <w:highlight w:val="none"/>
              </w:rPr>
              <w:t>★</w:t>
            </w:r>
            <w:r>
              <w:rPr>
                <w:rFonts w:hint="eastAsia" w:ascii="楷体_GB2312" w:hAnsi="宋体" w:eastAsia="楷体_GB2312"/>
                <w:color w:val="auto"/>
                <w:sz w:val="24"/>
                <w:highlight w:val="none"/>
                <w:lang w:val="en-US" w:eastAsia="zh-CN"/>
              </w:rPr>
              <w:t>本理财产品</w:t>
            </w:r>
            <w:r>
              <w:rPr>
                <w:rFonts w:hint="eastAsia" w:ascii="楷体_GB2312" w:hAnsi="宋体" w:eastAsia="楷体_GB2312"/>
                <w:color w:val="auto"/>
                <w:sz w:val="24"/>
                <w:highlight w:val="none"/>
              </w:rPr>
              <w:t>募集期届满或</w:t>
            </w:r>
            <w:r>
              <w:rPr>
                <w:rFonts w:hint="eastAsia" w:ascii="楷体_GB2312" w:hAnsi="宋体" w:eastAsia="楷体_GB2312"/>
                <w:color w:val="auto"/>
                <w:sz w:val="24"/>
                <w:highlight w:val="none"/>
                <w:lang w:eastAsia="zh-CN"/>
              </w:rPr>
              <w:t>产品管理人</w:t>
            </w:r>
            <w:r>
              <w:rPr>
                <w:rFonts w:hint="eastAsia" w:ascii="楷体_GB2312" w:hAnsi="宋体" w:eastAsia="楷体_GB2312"/>
                <w:color w:val="auto"/>
                <w:sz w:val="24"/>
                <w:highlight w:val="none"/>
              </w:rPr>
              <w:t>提前</w:t>
            </w:r>
            <w:r>
              <w:rPr>
                <w:rFonts w:hint="eastAsia" w:ascii="楷体_GB2312" w:hAnsi="宋体" w:eastAsia="楷体_GB2312"/>
                <w:color w:val="auto"/>
                <w:sz w:val="24"/>
                <w:highlight w:val="none"/>
                <w:lang w:val="en-US" w:eastAsia="zh-CN"/>
              </w:rPr>
              <w:t>/延迟</w:t>
            </w:r>
            <w:r>
              <w:rPr>
                <w:rFonts w:hint="eastAsia" w:ascii="楷体_GB2312" w:hAnsi="宋体" w:eastAsia="楷体_GB2312"/>
                <w:color w:val="auto"/>
                <w:sz w:val="24"/>
                <w:highlight w:val="none"/>
              </w:rPr>
              <w:t>结束募集期时，若募集资金达到募集下限，则</w:t>
            </w:r>
            <w:r>
              <w:rPr>
                <w:rFonts w:hint="eastAsia" w:ascii="楷体_GB2312" w:hAnsi="宋体" w:eastAsia="楷体_GB2312"/>
                <w:color w:val="auto"/>
                <w:sz w:val="24"/>
                <w:highlight w:val="none"/>
                <w:lang w:val="en-US" w:eastAsia="zh-CN"/>
              </w:rPr>
              <w:t>本</w:t>
            </w:r>
            <w:r>
              <w:rPr>
                <w:rFonts w:hint="eastAsia" w:ascii="楷体_GB2312" w:hAnsi="宋体" w:eastAsia="楷体_GB2312"/>
                <w:color w:val="auto"/>
                <w:sz w:val="24"/>
                <w:highlight w:val="none"/>
              </w:rPr>
              <w:t>理财产品成立；否则，</w:t>
            </w:r>
            <w:r>
              <w:rPr>
                <w:rFonts w:hint="eastAsia" w:ascii="楷体_GB2312" w:hAnsi="宋体" w:eastAsia="楷体_GB2312"/>
                <w:color w:val="auto"/>
                <w:sz w:val="24"/>
                <w:highlight w:val="none"/>
                <w:lang w:val="en-US" w:eastAsia="zh-CN"/>
              </w:rPr>
              <w:t>本</w:t>
            </w:r>
            <w:r>
              <w:rPr>
                <w:rFonts w:hint="eastAsia" w:ascii="楷体_GB2312" w:hAnsi="宋体" w:eastAsia="楷体_GB2312"/>
                <w:color w:val="auto"/>
                <w:sz w:val="24"/>
                <w:highlight w:val="none"/>
              </w:rPr>
              <w:t>理财产品不成立。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6" w:hRule="atLeast"/>
        </w:trPr>
        <w:tc>
          <w:tcPr>
            <w:tcW w:w="2451" w:type="dxa"/>
            <w:vAlign w:val="center"/>
          </w:tcPr>
          <w:p>
            <w:pPr>
              <w:snapToGrid w:val="0"/>
              <w:rPr>
                <w:rFonts w:hint="eastAsia" w:ascii="楷体_GB2312" w:hAnsi="Times New Roman" w:eastAsia="楷体_GB2312" w:cs="Times New Roman"/>
                <w:bCs/>
                <w:color w:val="auto"/>
                <w:kern w:val="2"/>
                <w:sz w:val="24"/>
                <w:szCs w:val="24"/>
                <w:highlight w:val="none"/>
                <w:lang w:val="en-US" w:eastAsia="zh-CN" w:bidi="ar-SA"/>
              </w:rPr>
            </w:pPr>
            <w:r>
              <w:rPr>
                <w:rFonts w:hint="eastAsia" w:ascii="楷体_GB2312" w:eastAsia="楷体_GB2312"/>
                <w:bCs/>
                <w:color w:val="auto"/>
                <w:sz w:val="24"/>
                <w:highlight w:val="none"/>
                <w:lang w:val="en-US" w:eastAsia="zh-CN"/>
              </w:rPr>
              <w:t>产品募集规模上限</w:t>
            </w:r>
          </w:p>
        </w:tc>
        <w:tc>
          <w:tcPr>
            <w:tcW w:w="6633" w:type="dxa"/>
            <w:vAlign w:val="center"/>
          </w:tcPr>
          <w:p>
            <w:pPr>
              <w:snapToGrid w:val="0"/>
              <w:rPr>
                <w:rFonts w:hint="eastAsia" w:ascii="楷体_GB2312" w:hAnsi="宋体" w:eastAsia="楷体_GB2312" w:cs="Times New Roman"/>
                <w:color w:val="auto"/>
                <w:kern w:val="2"/>
                <w:sz w:val="24"/>
                <w:szCs w:val="24"/>
                <w:highlight w:val="none"/>
                <w:lang w:val="en-US" w:eastAsia="zh-CN" w:bidi="ar-SA"/>
              </w:rPr>
            </w:pPr>
            <w:r>
              <w:rPr>
                <w:rFonts w:hint="eastAsia" w:ascii="楷体_GB2312" w:eastAsia="楷体_GB2312"/>
                <w:bCs/>
                <w:color w:val="auto"/>
                <w:sz w:val="24"/>
                <w:highlight w:val="none"/>
                <w:lang w:val="en-US" w:eastAsia="zh-CN"/>
              </w:rPr>
              <w:t>本理财产品募集规模上限为：500亿元。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2451" w:type="dxa"/>
            <w:vAlign w:val="center"/>
          </w:tcPr>
          <w:p>
            <w:pPr>
              <w:snapToGrid w:val="0"/>
              <w:rPr>
                <w:rFonts w:ascii="楷体_GB2312" w:eastAsia="楷体_GB2312"/>
                <w:bCs/>
                <w:color w:val="000000"/>
                <w:sz w:val="24"/>
                <w:highlight w:val="none"/>
              </w:rPr>
            </w:pPr>
            <w:r>
              <w:rPr>
                <w:rFonts w:hint="eastAsia" w:ascii="楷体_GB2312" w:eastAsia="楷体_GB2312"/>
                <w:bCs/>
                <w:color w:val="000000"/>
                <w:sz w:val="24"/>
                <w:highlight w:val="none"/>
              </w:rPr>
              <w:t>开放日（T日）</w:t>
            </w:r>
          </w:p>
        </w:tc>
        <w:tc>
          <w:tcPr>
            <w:tcW w:w="6633" w:type="dxa"/>
            <w:vAlign w:val="center"/>
          </w:tcPr>
          <w:p>
            <w:pPr>
              <w:rPr>
                <w:rFonts w:ascii="楷体_GB2312" w:eastAsia="楷体_GB2312"/>
                <w:bCs/>
                <w:color w:val="000000"/>
                <w:sz w:val="24"/>
                <w:highlight w:val="none"/>
              </w:rPr>
            </w:pPr>
            <w:r>
              <w:rPr>
                <w:rFonts w:hint="default" w:ascii="楷体_GB2312" w:hAnsi="Times New Roman" w:eastAsia="楷体_GB2312" w:cs="Times New Roman"/>
                <w:bCs/>
                <w:color w:val="auto"/>
                <w:sz w:val="24"/>
                <w:highlight w:val="none"/>
              </w:rPr>
              <w:t>自</w:t>
            </w:r>
            <w:r>
              <w:rPr>
                <w:rFonts w:hint="eastAsia" w:ascii="楷体_GB2312" w:hAnsi="Times New Roman" w:eastAsia="楷体_GB2312" w:cs="Times New Roman"/>
                <w:bCs/>
                <w:color w:val="auto"/>
                <w:sz w:val="24"/>
                <w:highlight w:val="none"/>
                <w:lang w:val="en-US" w:eastAsia="zh-CN"/>
              </w:rPr>
              <w:t>本理财</w:t>
            </w:r>
            <w:r>
              <w:rPr>
                <w:rFonts w:hint="default" w:ascii="楷体_GB2312" w:hAnsi="Times New Roman" w:eastAsia="楷体_GB2312" w:cs="Times New Roman"/>
                <w:bCs/>
                <w:color w:val="auto"/>
                <w:sz w:val="24"/>
                <w:highlight w:val="none"/>
              </w:rPr>
              <w:t>产品成立日起每个证券交易所交易日（如</w:t>
            </w:r>
            <w:r>
              <w:rPr>
                <w:rFonts w:hint="eastAsia" w:ascii="楷体_GB2312" w:hAnsi="Times New Roman" w:eastAsia="楷体_GB2312" w:cs="Times New Roman"/>
                <w:bCs/>
                <w:color w:val="auto"/>
                <w:sz w:val="24"/>
                <w:highlight w:val="none"/>
                <w:lang w:val="en-US" w:eastAsia="zh-CN"/>
              </w:rPr>
              <w:t>该日</w:t>
            </w:r>
            <w:r>
              <w:rPr>
                <w:rFonts w:hint="default" w:ascii="楷体_GB2312" w:hAnsi="Times New Roman" w:eastAsia="楷体_GB2312" w:cs="Times New Roman"/>
                <w:bCs/>
                <w:color w:val="auto"/>
                <w:sz w:val="24"/>
                <w:highlight w:val="none"/>
              </w:rPr>
              <w:t>为节假日则相应顺延至下一交易日）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4" w:hRule="atLeast"/>
        </w:trPr>
        <w:tc>
          <w:tcPr>
            <w:tcW w:w="2451" w:type="dxa"/>
            <w:vAlign w:val="center"/>
          </w:tcPr>
          <w:p>
            <w:pPr>
              <w:snapToGrid w:val="0"/>
              <w:rPr>
                <w:rFonts w:ascii="楷体_GB2312" w:eastAsia="楷体_GB2312"/>
                <w:bCs/>
                <w:color w:val="000000"/>
                <w:sz w:val="24"/>
                <w:highlight w:val="none"/>
              </w:rPr>
            </w:pPr>
            <w:r>
              <w:rPr>
                <w:rFonts w:hint="eastAsia" w:ascii="楷体_GB2312" w:hAnsi="宋体" w:eastAsia="楷体_GB2312"/>
                <w:b w:val="0"/>
                <w:bCs w:val="0"/>
                <w:color w:val="auto"/>
                <w:sz w:val="24"/>
                <w:highlight w:val="none"/>
              </w:rPr>
              <w:t>★</w:t>
            </w:r>
            <w:r>
              <w:rPr>
                <w:rFonts w:hint="eastAsia" w:ascii="楷体_GB2312" w:hAnsi="宋体" w:eastAsia="楷体_GB2312"/>
                <w:color w:val="000000"/>
                <w:sz w:val="24"/>
                <w:highlight w:val="none"/>
              </w:rPr>
              <w:t>最低持有期</w:t>
            </w:r>
          </w:p>
        </w:tc>
        <w:tc>
          <w:tcPr>
            <w:tcW w:w="6633" w:type="dxa"/>
            <w:vAlign w:val="center"/>
          </w:tcPr>
          <w:p>
            <w:pPr>
              <w:rPr>
                <w:rFonts w:hint="eastAsia" w:ascii="楷体_GB2312" w:hAnsi="宋体" w:eastAsia="楷体_GB2312"/>
                <w:b/>
                <w:bCs/>
                <w:color w:val="000000"/>
                <w:sz w:val="24"/>
                <w:highlight w:val="none"/>
              </w:rPr>
            </w:pPr>
            <w:r>
              <w:rPr>
                <w:rFonts w:hint="eastAsia" w:ascii="楷体_GB2312" w:hAnsi="宋体" w:eastAsia="楷体_GB2312"/>
                <w:b/>
                <w:bCs/>
                <w:color w:val="000000"/>
                <w:sz w:val="24"/>
                <w:highlight w:val="none"/>
              </w:rPr>
              <w:t>最低持有期</w:t>
            </w:r>
            <w:r>
              <w:rPr>
                <w:rFonts w:hint="eastAsia" w:ascii="楷体_GB2312" w:hAnsi="宋体" w:eastAsia="楷体_GB2312"/>
                <w:b/>
                <w:bCs/>
                <w:color w:val="000000"/>
                <w:sz w:val="24"/>
                <w:highlight w:val="none"/>
                <w:lang w:val="en-US" w:eastAsia="zh-CN"/>
              </w:rPr>
              <w:t>：指投资者每笔认购/申购的产品份额</w:t>
            </w:r>
            <w:r>
              <w:rPr>
                <w:rFonts w:hint="eastAsia" w:ascii="楷体_GB2312" w:hAnsi="宋体" w:eastAsia="楷体_GB2312"/>
                <w:b/>
                <w:bCs/>
                <w:color w:val="000000"/>
                <w:sz w:val="24"/>
                <w:highlight w:val="none"/>
              </w:rPr>
              <w:t>自认购/申购确认日（含）起</w:t>
            </w:r>
            <w:r>
              <w:rPr>
                <w:rFonts w:hint="eastAsia" w:ascii="楷体_GB2312" w:hAnsi="宋体" w:eastAsia="楷体_GB2312"/>
                <w:b/>
                <w:bCs/>
                <w:color w:val="000000"/>
                <w:sz w:val="24"/>
                <w:highlight w:val="none"/>
                <w:lang w:eastAsia="zh-CN"/>
              </w:rPr>
              <w:t>，</w:t>
            </w:r>
            <w:r>
              <w:rPr>
                <w:rFonts w:hint="eastAsia" w:ascii="楷体_GB2312" w:hAnsi="宋体" w:eastAsia="楷体_GB2312"/>
                <w:b/>
                <w:bCs/>
                <w:color w:val="000000"/>
                <w:sz w:val="24"/>
                <w:highlight w:val="none"/>
                <w:lang w:val="en-US" w:eastAsia="zh-CN"/>
              </w:rPr>
              <w:t>最低需持有7</w:t>
            </w:r>
            <w:r>
              <w:rPr>
                <w:rFonts w:hint="eastAsia" w:ascii="楷体_GB2312" w:hAnsi="宋体" w:eastAsia="楷体_GB2312"/>
                <w:b/>
                <w:bCs/>
                <w:color w:val="000000"/>
                <w:sz w:val="24"/>
                <w:highlight w:val="none"/>
              </w:rPr>
              <w:t>个自然日。</w:t>
            </w:r>
          </w:p>
          <w:p>
            <w:pPr>
              <w:rPr>
                <w:rFonts w:ascii="楷体_GB2312" w:hAnsi="宋体" w:eastAsia="楷体_GB2312"/>
                <w:color w:val="000000"/>
                <w:sz w:val="24"/>
                <w:highlight w:val="none"/>
              </w:rPr>
            </w:pPr>
            <w:r>
              <w:rPr>
                <w:rFonts w:hint="eastAsia" w:ascii="楷体_GB2312" w:hAnsi="宋体" w:eastAsia="楷体_GB2312"/>
                <w:b/>
                <w:bCs/>
                <w:color w:val="000000"/>
                <w:sz w:val="24"/>
                <w:highlight w:val="none"/>
                <w:lang w:val="en-US" w:eastAsia="zh-CN"/>
              </w:rPr>
              <w:t>投资者可在每笔认购/申购的产品份额确认后于最低持有期结束日（含）及后续每个开放日提出赎回申请。最低持有期结束日如遇非开放日，则顺延至下一开放日，投资者最低持有期限实际上可能长于7个自然日。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8" w:hRule="atLeast"/>
        </w:trPr>
        <w:tc>
          <w:tcPr>
            <w:tcW w:w="2451" w:type="dxa"/>
            <w:vAlign w:val="center"/>
          </w:tcPr>
          <w:p>
            <w:pPr>
              <w:snapToGrid w:val="0"/>
              <w:rPr>
                <w:rFonts w:ascii="楷体_GB2312" w:eastAsia="楷体_GB2312"/>
                <w:bCs/>
                <w:color w:val="000000"/>
                <w:sz w:val="24"/>
                <w:highlight w:val="none"/>
              </w:rPr>
            </w:pPr>
            <w:r>
              <w:rPr>
                <w:rFonts w:hint="eastAsia" w:ascii="楷体_GB2312" w:eastAsia="楷体_GB2312"/>
                <w:bCs/>
                <w:color w:val="000000"/>
                <w:sz w:val="24"/>
                <w:highlight w:val="none"/>
              </w:rPr>
              <w:t>申购与赎回</w:t>
            </w:r>
          </w:p>
        </w:tc>
        <w:tc>
          <w:tcPr>
            <w:tcW w:w="6633" w:type="dxa"/>
            <w:vAlign w:val="center"/>
          </w:tcPr>
          <w:p>
            <w:pPr>
              <w:numPr>
                <w:ilvl w:val="0"/>
                <w:numId w:val="0"/>
              </w:numPr>
              <w:snapToGrid w:val="0"/>
              <w:rPr>
                <w:rFonts w:hint="eastAsia" w:ascii="楷体_GB2312" w:hAnsi="Times New Roman" w:eastAsia="楷体_GB2312" w:cs="Times New Roman"/>
                <w:bCs/>
                <w:color w:val="auto"/>
                <w:sz w:val="24"/>
                <w:highlight w:val="none"/>
              </w:rPr>
            </w:pPr>
            <w:r>
              <w:rPr>
                <w:rFonts w:hint="eastAsia" w:ascii="楷体_GB2312" w:hAnsi="Times New Roman" w:eastAsia="楷体_GB2312" w:cs="Times New Roman"/>
                <w:bCs/>
                <w:color w:val="auto"/>
                <w:sz w:val="24"/>
                <w:highlight w:val="none"/>
                <w:lang w:val="en-US" w:eastAsia="zh-CN"/>
              </w:rPr>
              <w:t>1.</w:t>
            </w:r>
            <w:r>
              <w:rPr>
                <w:rFonts w:hint="eastAsia" w:ascii="楷体_GB2312" w:hAnsi="Times New Roman" w:eastAsia="楷体_GB2312" w:cs="Times New Roman"/>
                <w:bCs/>
                <w:color w:val="auto"/>
                <w:sz w:val="24"/>
                <w:highlight w:val="none"/>
              </w:rPr>
              <w:t>申购和赎回的受理：</w:t>
            </w:r>
          </w:p>
          <w:p>
            <w:pPr>
              <w:numPr>
                <w:ilvl w:val="0"/>
                <w:numId w:val="0"/>
              </w:numPr>
              <w:snapToGrid w:val="0"/>
              <w:rPr>
                <w:rFonts w:hint="eastAsia" w:ascii="楷体_GB2312" w:hAnsi="Times New Roman" w:eastAsia="楷体_GB2312" w:cs="Times New Roman"/>
                <w:bCs/>
                <w:color w:val="auto"/>
                <w:sz w:val="24"/>
                <w:highlight w:val="none"/>
              </w:rPr>
            </w:pPr>
            <w:r>
              <w:rPr>
                <w:rFonts w:hint="eastAsia" w:ascii="楷体_GB2312" w:eastAsia="楷体_GB2312"/>
                <w:bCs/>
                <w:color w:val="auto"/>
                <w:sz w:val="24"/>
                <w:highlight w:val="none"/>
              </w:rPr>
              <w:t>投资者可在本理财产品开放日内提出申购申请；投资者可在每笔认购/申购的产品份额确认后于最低持有期结束日（含）及后续每个开放日提出赎回申请。最低持有期结束日如遇非开放日，则顺延至下一开放日。</w:t>
            </w:r>
            <w:r>
              <w:rPr>
                <w:rFonts w:hint="eastAsia" w:ascii="楷体_GB2312" w:hAnsi="Times New Roman" w:eastAsia="楷体_GB2312" w:cs="Times New Roman"/>
                <w:bCs/>
                <w:color w:val="auto"/>
                <w:sz w:val="24"/>
                <w:highlight w:val="none"/>
                <w:lang w:eastAsia="zh-CN"/>
              </w:rPr>
              <w:t>产品管理人</w:t>
            </w:r>
            <w:r>
              <w:rPr>
                <w:rFonts w:hint="eastAsia" w:ascii="楷体_GB2312" w:hAnsi="Times New Roman" w:eastAsia="楷体_GB2312" w:cs="Times New Roman"/>
                <w:bCs/>
                <w:color w:val="auto"/>
                <w:sz w:val="24"/>
                <w:highlight w:val="none"/>
                <w:lang w:eastAsia="zh-Hans"/>
              </w:rPr>
              <w:t>公告暂停开放的日期除外。</w:t>
            </w:r>
          </w:p>
          <w:p>
            <w:pPr>
              <w:numPr>
                <w:ilvl w:val="0"/>
                <w:numId w:val="0"/>
              </w:numPr>
              <w:snapToGrid w:val="0"/>
              <w:rPr>
                <w:rFonts w:hint="eastAsia" w:ascii="楷体_GB2312" w:hAnsi="Times New Roman" w:eastAsia="楷体_GB2312" w:cs="Times New Roman"/>
                <w:bCs/>
                <w:color w:val="auto"/>
                <w:sz w:val="24"/>
                <w:highlight w:val="none"/>
              </w:rPr>
            </w:pPr>
            <w:r>
              <w:rPr>
                <w:rFonts w:hint="eastAsia" w:ascii="楷体_GB2312" w:hAnsi="Times New Roman" w:eastAsia="楷体_GB2312" w:cs="Times New Roman"/>
                <w:bCs/>
                <w:color w:val="auto"/>
                <w:sz w:val="24"/>
                <w:highlight w:val="none"/>
              </w:rPr>
              <w:t>投资者</w:t>
            </w:r>
            <w:r>
              <w:rPr>
                <w:rFonts w:hint="eastAsia" w:ascii="楷体_GB2312" w:hAnsi="宋体" w:eastAsia="楷体_GB2312"/>
                <w:color w:val="auto"/>
                <w:sz w:val="24"/>
                <w:highlight w:val="none"/>
              </w:rPr>
              <w:t>在</w:t>
            </w:r>
            <w:r>
              <w:rPr>
                <w:rFonts w:hint="eastAsia" w:ascii="楷体_GB2312" w:hAnsi="宋体" w:eastAsia="楷体_GB2312"/>
                <w:color w:val="auto"/>
                <w:sz w:val="24"/>
                <w:highlight w:val="none"/>
                <w:lang w:val="en-US" w:eastAsia="zh-CN"/>
              </w:rPr>
              <w:t>本理财</w:t>
            </w:r>
            <w:r>
              <w:rPr>
                <w:rFonts w:hint="eastAsia" w:ascii="楷体_GB2312" w:hAnsi="宋体" w:eastAsia="楷体_GB2312"/>
                <w:color w:val="auto"/>
                <w:sz w:val="24"/>
                <w:highlight w:val="none"/>
              </w:rPr>
              <w:t>产品</w:t>
            </w:r>
            <w:r>
              <w:rPr>
                <w:rFonts w:hint="eastAsia" w:ascii="楷体_GB2312" w:hAnsi="宋体" w:eastAsia="楷体_GB2312"/>
                <w:color w:val="auto"/>
                <w:sz w:val="24"/>
                <w:highlight w:val="none"/>
                <w:lang w:eastAsia="zh-CN"/>
              </w:rPr>
              <w:t>开放日</w:t>
            </w:r>
            <w:r>
              <w:rPr>
                <w:rFonts w:hint="eastAsia" w:ascii="楷体_GB2312" w:hAnsi="宋体" w:eastAsia="楷体_GB2312"/>
                <w:color w:val="auto"/>
                <w:sz w:val="24"/>
                <w:highlight w:val="none"/>
              </w:rPr>
              <w:t>内</w:t>
            </w:r>
            <w:r>
              <w:rPr>
                <w:rFonts w:hint="eastAsia" w:ascii="楷体_GB2312" w:hAnsi="Times New Roman" w:eastAsia="楷体_GB2312" w:cs="Times New Roman"/>
                <w:bCs/>
                <w:color w:val="auto"/>
                <w:sz w:val="24"/>
                <w:highlight w:val="none"/>
              </w:rPr>
              <w:t>提出申购申请后，投资资金将实时冻结，并于申购确认日扣划。</w:t>
            </w:r>
            <w:r>
              <w:rPr>
                <w:rFonts w:hint="eastAsia" w:ascii="楷体_GB2312" w:hAnsi="Times New Roman" w:eastAsia="楷体_GB2312" w:cs="Times New Roman"/>
                <w:b/>
                <w:bCs w:val="0"/>
                <w:color w:val="auto"/>
                <w:sz w:val="24"/>
                <w:highlight w:val="none"/>
              </w:rPr>
              <w:t>资金冻结期间将按照代销机构公布的人民币活期存款利率计算活期存款利息，该利息不作为申购资金扣收。</w:t>
            </w:r>
          </w:p>
          <w:p>
            <w:pPr>
              <w:numPr>
                <w:ilvl w:val="0"/>
                <w:numId w:val="0"/>
              </w:numPr>
              <w:rPr>
                <w:rFonts w:hint="eastAsia" w:ascii="楷体_GB2312" w:hAnsi="Times New Roman" w:eastAsia="楷体_GB2312" w:cs="Times New Roman"/>
                <w:b/>
                <w:bCs w:val="0"/>
                <w:color w:val="000000"/>
                <w:sz w:val="24"/>
                <w:highlight w:val="none"/>
              </w:rPr>
            </w:pPr>
            <w:r>
              <w:rPr>
                <w:rFonts w:hint="eastAsia" w:ascii="楷体_GB2312" w:hAnsi="Times New Roman" w:eastAsia="楷体_GB2312" w:cs="Times New Roman"/>
                <w:b/>
                <w:bCs w:val="0"/>
                <w:color w:val="000000"/>
                <w:sz w:val="24"/>
                <w:highlight w:val="none"/>
              </w:rPr>
              <w:t>2.申购和赎回的确认：投资者在开放日</w:t>
            </w:r>
            <w:r>
              <w:rPr>
                <w:rFonts w:hint="eastAsia" w:ascii="楷体_GB2312" w:eastAsia="楷体_GB2312" w:cs="Times New Roman"/>
                <w:b/>
                <w:bCs w:val="0"/>
                <w:color w:val="000000"/>
                <w:sz w:val="24"/>
                <w:highlight w:val="none"/>
                <w:lang w:val="en-US" w:eastAsia="zh-CN"/>
              </w:rPr>
              <w:t>17:00</w:t>
            </w:r>
            <w:r>
              <w:rPr>
                <w:rFonts w:hint="eastAsia" w:ascii="楷体_GB2312" w:hAnsi="Times New Roman" w:eastAsia="楷体_GB2312" w:cs="Times New Roman"/>
                <w:b/>
                <w:bCs w:val="0"/>
                <w:color w:val="000000"/>
                <w:sz w:val="24"/>
                <w:highlight w:val="none"/>
              </w:rPr>
              <w:t>（不含）之前提出的申购或赎回申请，产品管理人在开放日的下一个交易日（T+1日）对满足条件的有效申购或赎回申请予以确认；投资者在开放日</w:t>
            </w:r>
            <w:r>
              <w:rPr>
                <w:rFonts w:hint="eastAsia" w:ascii="楷体_GB2312" w:eastAsia="楷体_GB2312" w:cs="Times New Roman"/>
                <w:b/>
                <w:bCs w:val="0"/>
                <w:color w:val="000000"/>
                <w:sz w:val="24"/>
                <w:highlight w:val="none"/>
                <w:lang w:val="en-US" w:eastAsia="zh-CN"/>
              </w:rPr>
              <w:t>17:00</w:t>
            </w:r>
            <w:r>
              <w:rPr>
                <w:rFonts w:hint="eastAsia" w:ascii="楷体_GB2312" w:hAnsi="Times New Roman" w:eastAsia="楷体_GB2312" w:cs="Times New Roman"/>
                <w:b/>
                <w:bCs w:val="0"/>
                <w:color w:val="000000"/>
                <w:sz w:val="24"/>
                <w:highlight w:val="none"/>
              </w:rPr>
              <w:t>（含）之后或非开放日提出的申购或赎回申请，产品管理人将在投资者提出申购或赎回申请之后的产品最近一个开放日的下一个交易日（T+</w:t>
            </w:r>
            <w:r>
              <w:rPr>
                <w:rFonts w:hint="eastAsia" w:ascii="楷体_GB2312" w:eastAsia="楷体_GB2312" w:cs="Times New Roman"/>
                <w:b/>
                <w:bCs w:val="0"/>
                <w:color w:val="000000"/>
                <w:sz w:val="24"/>
                <w:highlight w:val="none"/>
                <w:lang w:val="en-US" w:eastAsia="zh-CN"/>
              </w:rPr>
              <w:t>2</w:t>
            </w:r>
            <w:r>
              <w:rPr>
                <w:rFonts w:hint="eastAsia" w:ascii="楷体_GB2312" w:hAnsi="Times New Roman" w:eastAsia="楷体_GB2312" w:cs="Times New Roman"/>
                <w:b/>
                <w:bCs w:val="0"/>
                <w:color w:val="000000"/>
                <w:sz w:val="24"/>
                <w:highlight w:val="none"/>
              </w:rPr>
              <w:t>日）对满足条件的有效申购或赎回申请予以确认。产品管理人确认投资者申购申请的，投资者自申购确认日起持有本理财产品份额；产品管理人确认投资者赎回申请的，投资者自赎回确认日起不再持有本理财产品份额，赎回资金原则上将于赎回确认日当日内</w:t>
            </w:r>
            <w:r>
              <w:rPr>
                <w:rFonts w:hint="eastAsia" w:ascii="楷体_GB2312" w:hAnsi="Times New Roman" w:eastAsia="楷体_GB2312" w:cs="Times New Roman"/>
                <w:b/>
                <w:bCs w:val="0"/>
                <w:color w:val="000000"/>
                <w:sz w:val="24"/>
                <w:highlight w:val="none"/>
                <w:lang w:val="en-US" w:eastAsia="zh-CN"/>
              </w:rPr>
              <w:t>划转至代销机构清算账户</w:t>
            </w:r>
            <w:r>
              <w:rPr>
                <w:rFonts w:hint="eastAsia" w:ascii="楷体_GB2312" w:hAnsi="Times New Roman" w:eastAsia="楷体_GB2312" w:cs="Times New Roman"/>
                <w:b/>
                <w:bCs w:val="0"/>
                <w:color w:val="000000"/>
                <w:sz w:val="24"/>
                <w:highlight w:val="none"/>
              </w:rPr>
              <w:t>，</w:t>
            </w:r>
            <w:r>
              <w:rPr>
                <w:rFonts w:hint="eastAsia" w:ascii="楷体_GB2312" w:hAnsi="Times New Roman" w:eastAsia="楷体_GB2312" w:cs="Times New Roman"/>
                <w:b/>
                <w:bCs w:val="0"/>
                <w:color w:val="000000"/>
                <w:sz w:val="24"/>
                <w:highlight w:val="none"/>
                <w:lang w:val="en-US" w:eastAsia="zh-CN"/>
              </w:rPr>
              <w:t>投资者赎回资金的</w:t>
            </w:r>
            <w:r>
              <w:rPr>
                <w:rFonts w:hint="eastAsia" w:ascii="楷体_GB2312" w:hAnsi="Times New Roman" w:eastAsia="楷体_GB2312" w:cs="Times New Roman"/>
                <w:b/>
                <w:bCs w:val="0"/>
                <w:color w:val="000000"/>
                <w:sz w:val="24"/>
                <w:highlight w:val="none"/>
              </w:rPr>
              <w:t>具体到账时间以代销机构</w:t>
            </w:r>
            <w:r>
              <w:rPr>
                <w:rFonts w:hint="eastAsia" w:ascii="楷体_GB2312" w:hAnsi="Times New Roman" w:eastAsia="楷体_GB2312" w:cs="Times New Roman"/>
                <w:b/>
                <w:bCs w:val="0"/>
                <w:color w:val="000000"/>
                <w:sz w:val="24"/>
                <w:highlight w:val="none"/>
                <w:lang w:val="en-US" w:eastAsia="zh-CN"/>
              </w:rPr>
              <w:t>划付规则</w:t>
            </w:r>
            <w:r>
              <w:rPr>
                <w:rFonts w:hint="eastAsia" w:ascii="楷体_GB2312" w:hAnsi="Times New Roman" w:eastAsia="楷体_GB2312" w:cs="Times New Roman"/>
                <w:b/>
                <w:bCs w:val="0"/>
                <w:color w:val="000000"/>
                <w:sz w:val="24"/>
                <w:highlight w:val="none"/>
              </w:rPr>
              <w:t>为准。</w:t>
            </w:r>
          </w:p>
          <w:p>
            <w:pPr>
              <w:rPr>
                <w:rFonts w:hint="eastAsia" w:ascii="楷体_GB2312" w:hAnsi="Times New Roman" w:eastAsia="楷体_GB2312" w:cs="Times New Roman"/>
                <w:bCs/>
                <w:color w:val="auto"/>
                <w:sz w:val="24"/>
                <w:highlight w:val="none"/>
              </w:rPr>
            </w:pPr>
            <w:r>
              <w:rPr>
                <w:rFonts w:hint="eastAsia" w:ascii="楷体_GB2312" w:hAnsi="Times New Roman" w:eastAsia="楷体_GB2312" w:cs="Times New Roman"/>
                <w:bCs/>
                <w:color w:val="auto"/>
                <w:sz w:val="24"/>
                <w:highlight w:val="none"/>
                <w:lang w:val="en-US" w:eastAsia="zh-CN"/>
              </w:rPr>
              <w:t>3.</w:t>
            </w:r>
            <w:r>
              <w:rPr>
                <w:rFonts w:hint="eastAsia" w:ascii="楷体_GB2312" w:hAnsi="Times New Roman" w:eastAsia="楷体_GB2312" w:cs="Times New Roman"/>
                <w:bCs/>
                <w:color w:val="auto"/>
                <w:sz w:val="24"/>
                <w:highlight w:val="none"/>
              </w:rPr>
              <w:t>申购/赎回价格：</w:t>
            </w:r>
            <w:r>
              <w:rPr>
                <w:rFonts w:hint="eastAsia" w:ascii="楷体_GB2312" w:hAnsi="Times New Roman" w:eastAsia="楷体_GB2312" w:cs="Times New Roman"/>
                <w:bCs/>
                <w:color w:val="auto"/>
                <w:sz w:val="24"/>
                <w:highlight w:val="none"/>
                <w:lang w:val="en-US" w:eastAsia="zh-CN"/>
              </w:rPr>
              <w:t>本理财</w:t>
            </w:r>
            <w:r>
              <w:rPr>
                <w:rFonts w:hint="eastAsia" w:ascii="楷体_GB2312" w:hAnsi="Times New Roman" w:eastAsia="楷体_GB2312" w:cs="Times New Roman"/>
                <w:bCs/>
                <w:color w:val="auto"/>
                <w:sz w:val="24"/>
                <w:highlight w:val="none"/>
              </w:rPr>
              <w:t>产品开放日的产品单位净值。</w:t>
            </w:r>
          </w:p>
          <w:p>
            <w:pPr>
              <w:rPr>
                <w:rFonts w:hint="eastAsia" w:ascii="楷体_GB2312" w:hAnsi="Times New Roman" w:eastAsia="楷体_GB2312" w:cs="Times New Roman"/>
                <w:bCs/>
                <w:color w:val="auto"/>
                <w:sz w:val="24"/>
                <w:highlight w:val="none"/>
              </w:rPr>
            </w:pPr>
            <w:r>
              <w:rPr>
                <w:rFonts w:hint="eastAsia" w:ascii="楷体_GB2312" w:hAnsi="Times New Roman" w:eastAsia="楷体_GB2312" w:cs="Times New Roman"/>
                <w:bCs/>
                <w:color w:val="auto"/>
                <w:sz w:val="24"/>
                <w:highlight w:val="none"/>
                <w:lang w:val="en-US" w:eastAsia="zh-CN"/>
              </w:rPr>
              <w:t>4.</w:t>
            </w:r>
            <w:r>
              <w:rPr>
                <w:rFonts w:hint="eastAsia" w:ascii="楷体_GB2312" w:hAnsi="Times New Roman" w:eastAsia="楷体_GB2312" w:cs="Times New Roman"/>
                <w:bCs/>
                <w:color w:val="auto"/>
                <w:sz w:val="24"/>
                <w:highlight w:val="none"/>
              </w:rPr>
              <w:t>巨额赎回：在</w:t>
            </w:r>
            <w:r>
              <w:rPr>
                <w:rFonts w:hint="eastAsia" w:ascii="楷体_GB2312" w:hAnsi="Times New Roman" w:eastAsia="楷体_GB2312" w:cs="Times New Roman"/>
                <w:bCs/>
                <w:color w:val="auto"/>
                <w:sz w:val="24"/>
                <w:highlight w:val="none"/>
                <w:lang w:val="en-US" w:eastAsia="zh-CN"/>
              </w:rPr>
              <w:t>本理财</w:t>
            </w:r>
            <w:r>
              <w:rPr>
                <w:rFonts w:hint="eastAsia" w:ascii="楷体_GB2312" w:hAnsi="Times New Roman" w:eastAsia="楷体_GB2312" w:cs="Times New Roman"/>
                <w:bCs/>
                <w:color w:val="auto"/>
                <w:sz w:val="24"/>
                <w:highlight w:val="none"/>
              </w:rPr>
              <w:t>产品的单个开放日，净赎回申请（即产品赎回有效申请份额总数扣除产品申购有效申请份额总数后的差额）超过</w:t>
            </w:r>
            <w:r>
              <w:rPr>
                <w:rFonts w:hint="eastAsia" w:ascii="楷体_GB2312" w:hAnsi="Times New Roman" w:eastAsia="楷体_GB2312" w:cs="Times New Roman"/>
                <w:bCs/>
                <w:color w:val="auto"/>
                <w:sz w:val="24"/>
                <w:highlight w:val="none"/>
                <w:lang w:val="en-US" w:eastAsia="zh-CN"/>
              </w:rPr>
              <w:t>前</w:t>
            </w:r>
            <w:r>
              <w:rPr>
                <w:rFonts w:hint="eastAsia" w:ascii="楷体_GB2312" w:hAnsi="Times New Roman" w:eastAsia="楷体_GB2312" w:cs="Times New Roman"/>
                <w:bCs/>
                <w:color w:val="auto"/>
                <w:sz w:val="24"/>
                <w:highlight w:val="none"/>
              </w:rPr>
              <w:t>一日</w:t>
            </w:r>
            <w:r>
              <w:rPr>
                <w:rFonts w:hint="eastAsia" w:ascii="楷体_GB2312" w:hAnsi="Times New Roman" w:eastAsia="楷体_GB2312" w:cs="Times New Roman"/>
                <w:bCs/>
                <w:color w:val="auto"/>
                <w:sz w:val="24"/>
                <w:highlight w:val="none"/>
                <w:lang w:val="en-US" w:eastAsia="zh-CN"/>
              </w:rPr>
              <w:t>终本理财</w:t>
            </w:r>
            <w:r>
              <w:rPr>
                <w:rFonts w:hint="eastAsia" w:ascii="楷体_GB2312" w:hAnsi="Times New Roman" w:eastAsia="楷体_GB2312" w:cs="Times New Roman"/>
                <w:bCs/>
                <w:color w:val="auto"/>
                <w:sz w:val="24"/>
                <w:highlight w:val="none"/>
              </w:rPr>
              <w:t>产品总份额的10％时，即为巨额赎回。</w:t>
            </w:r>
          </w:p>
          <w:p>
            <w:pPr>
              <w:rPr>
                <w:rFonts w:ascii="楷体_GB2312" w:hAnsi="宋体" w:eastAsia="楷体_GB2312"/>
                <w:color w:val="000000"/>
                <w:sz w:val="24"/>
                <w:highlight w:val="none"/>
              </w:rPr>
            </w:pPr>
            <w:r>
              <w:rPr>
                <w:rFonts w:hint="eastAsia" w:ascii="楷体_GB2312" w:hAnsi="宋体" w:eastAsia="楷体_GB2312"/>
                <w:b/>
                <w:bCs/>
                <w:color w:val="auto"/>
                <w:sz w:val="24"/>
                <w:highlight w:val="none"/>
              </w:rPr>
              <w:t>★申购</w:t>
            </w:r>
            <w:r>
              <w:rPr>
                <w:rFonts w:hint="eastAsia" w:ascii="楷体_GB2312" w:hAnsi="宋体" w:eastAsia="楷体_GB2312"/>
                <w:b/>
                <w:bCs/>
                <w:color w:val="auto"/>
                <w:sz w:val="24"/>
                <w:highlight w:val="none"/>
                <w:lang w:val="en-US" w:eastAsia="zh-CN"/>
              </w:rPr>
              <w:t>与</w:t>
            </w:r>
            <w:r>
              <w:rPr>
                <w:rFonts w:hint="eastAsia" w:ascii="楷体_GB2312" w:hAnsi="宋体" w:eastAsia="楷体_GB2312"/>
                <w:b/>
                <w:bCs/>
                <w:color w:val="auto"/>
                <w:sz w:val="24"/>
                <w:highlight w:val="none"/>
              </w:rPr>
              <w:t>赎回</w:t>
            </w:r>
            <w:r>
              <w:rPr>
                <w:rFonts w:hint="eastAsia" w:ascii="楷体_GB2312" w:hAnsi="宋体" w:eastAsia="楷体_GB2312"/>
                <w:b/>
                <w:bCs/>
                <w:color w:val="auto"/>
                <w:sz w:val="24"/>
                <w:highlight w:val="none"/>
                <w:lang w:val="en-US" w:eastAsia="zh-CN"/>
              </w:rPr>
              <w:t>详情请见</w:t>
            </w:r>
            <w:r>
              <w:rPr>
                <w:rFonts w:hint="eastAsia" w:ascii="楷体_GB2312" w:hAnsi="宋体" w:eastAsia="楷体_GB2312"/>
                <w:b/>
                <w:bCs/>
                <w:color w:val="auto"/>
                <w:sz w:val="24"/>
                <w:szCs w:val="24"/>
                <w:highlight w:val="none"/>
                <w:lang w:val="en-US" w:eastAsia="zh-CN"/>
              </w:rPr>
              <w:t>本《</w:t>
            </w:r>
            <w:r>
              <w:rPr>
                <w:rFonts w:hint="eastAsia" w:ascii="楷体_GB2312" w:eastAsia="楷体_GB2312"/>
                <w:b/>
                <w:bCs/>
                <w:color w:val="auto"/>
                <w:sz w:val="24"/>
                <w:highlight w:val="none"/>
                <w:lang w:val="en-US" w:eastAsia="zh-CN"/>
              </w:rPr>
              <w:t>理财产品说明书</w:t>
            </w:r>
            <w:r>
              <w:rPr>
                <w:rFonts w:hint="eastAsia" w:ascii="楷体_GB2312" w:hAnsi="宋体" w:eastAsia="楷体_GB2312"/>
                <w:b/>
                <w:bCs/>
                <w:color w:val="auto"/>
                <w:sz w:val="24"/>
                <w:szCs w:val="24"/>
                <w:highlight w:val="none"/>
                <w:lang w:val="en-US" w:eastAsia="zh-CN"/>
              </w:rPr>
              <w:t>》“</w:t>
            </w:r>
            <w:r>
              <w:rPr>
                <w:rFonts w:hint="eastAsia" w:ascii="楷体_GB2312" w:hAnsi="宋体" w:eastAsia="楷体_GB2312"/>
                <w:b/>
                <w:bCs/>
                <w:color w:val="auto"/>
                <w:sz w:val="24"/>
                <w:highlight w:val="none"/>
              </w:rPr>
              <w:t>六、产品的申购和赎回</w:t>
            </w:r>
            <w:r>
              <w:rPr>
                <w:rFonts w:hint="eastAsia" w:ascii="楷体_GB2312" w:hAnsi="宋体" w:eastAsia="楷体_GB2312"/>
                <w:b/>
                <w:bCs/>
                <w:color w:val="auto"/>
                <w:sz w:val="24"/>
                <w:szCs w:val="24"/>
                <w:highlight w:val="none"/>
                <w:lang w:val="en-US" w:eastAsia="zh-CN"/>
              </w:rPr>
              <w:t>”部分。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8" w:hRule="atLeast"/>
        </w:trPr>
        <w:tc>
          <w:tcPr>
            <w:tcW w:w="2451" w:type="dxa"/>
            <w:vAlign w:val="center"/>
          </w:tcPr>
          <w:p>
            <w:pPr>
              <w:snapToGrid w:val="0"/>
              <w:rPr>
                <w:rFonts w:ascii="楷体_GB2312" w:eastAsia="楷体_GB2312"/>
                <w:bCs/>
                <w:color w:val="000000"/>
                <w:sz w:val="24"/>
              </w:rPr>
            </w:pPr>
            <w:r>
              <w:rPr>
                <w:rFonts w:hint="eastAsia" w:ascii="楷体_GB2312" w:eastAsia="楷体_GB2312"/>
                <w:bCs/>
                <w:color w:val="000000"/>
                <w:sz w:val="24"/>
              </w:rPr>
              <w:t>业绩比较基准</w:t>
            </w:r>
          </w:p>
        </w:tc>
        <w:tc>
          <w:tcPr>
            <w:tcW w:w="6633" w:type="dxa"/>
            <w:vAlign w:val="center"/>
          </w:tcPr>
          <w:p>
            <w:pPr>
              <w:rPr>
                <w:rFonts w:hint="eastAsia" w:ascii="楷体_GB2312" w:hAnsi="宋体" w:eastAsia="楷体_GB2312"/>
                <w:color w:val="000000"/>
                <w:sz w:val="24"/>
                <w:highlight w:val="none"/>
              </w:rPr>
            </w:pPr>
            <w:r>
              <w:rPr>
                <w:rFonts w:hint="eastAsia" w:ascii="楷体_GB2312" w:hAnsi="宋体" w:eastAsia="楷体_GB2312"/>
                <w:color w:val="000000"/>
                <w:sz w:val="24"/>
                <w:highlight w:val="none"/>
              </w:rPr>
              <w:t>本理财产品业绩比较基准为</w:t>
            </w:r>
          </w:p>
          <w:p>
            <w:pPr>
              <w:rPr>
                <w:rFonts w:hint="eastAsia" w:ascii="楷体_GB2312" w:eastAsia="楷体_GB2312"/>
                <w:color w:val="000000"/>
                <w:sz w:val="24"/>
                <w:highlight w:val="none"/>
                <w:lang w:eastAsia="zh-CN"/>
              </w:rPr>
            </w:pPr>
            <w:r>
              <w:rPr>
                <w:rFonts w:hint="eastAsia" w:ascii="楷体_GB2312" w:eastAsia="楷体_GB2312"/>
                <w:color w:val="000000"/>
                <w:sz w:val="24"/>
                <w:highlight w:val="none"/>
                <w:lang w:val="en-US" w:eastAsia="zh-CN"/>
              </w:rPr>
              <w:t>A</w:t>
            </w:r>
            <w:r>
              <w:rPr>
                <w:rFonts w:hint="eastAsia" w:ascii="楷体_GB2312" w:eastAsia="楷体_GB2312"/>
                <w:color w:val="000000"/>
                <w:sz w:val="24"/>
                <w:highlight w:val="none"/>
                <w:lang w:eastAsia="zh-CN"/>
              </w:rPr>
              <w:t>类</w:t>
            </w:r>
            <w:r>
              <w:rPr>
                <w:rFonts w:ascii="楷体_GB2312" w:eastAsia="楷体_GB2312"/>
                <w:color w:val="000000"/>
                <w:sz w:val="24"/>
                <w:highlight w:val="none"/>
              </w:rPr>
              <w:t>份额：</w:t>
            </w:r>
            <w:r>
              <w:rPr>
                <w:rFonts w:hint="eastAsia" w:ascii="楷体_GB2312" w:eastAsia="楷体_GB2312"/>
                <w:color w:val="000000"/>
                <w:sz w:val="24"/>
                <w:highlight w:val="none"/>
                <w:lang w:val="en-US" w:eastAsia="zh-CN"/>
              </w:rPr>
              <w:t>1</w:t>
            </w:r>
            <w:r>
              <w:rPr>
                <w:rFonts w:hint="eastAsia" w:ascii="楷体_GB2312" w:eastAsia="楷体_GB2312"/>
                <w:color w:val="000000"/>
                <w:sz w:val="24"/>
                <w:highlight w:val="none"/>
              </w:rPr>
              <w:t>.</w:t>
            </w:r>
            <w:r>
              <w:rPr>
                <w:rFonts w:hint="eastAsia" w:ascii="楷体_GB2312" w:eastAsia="楷体_GB2312"/>
                <w:color w:val="000000"/>
                <w:sz w:val="24"/>
                <w:highlight w:val="none"/>
                <w:lang w:val="en-US" w:eastAsia="zh-CN"/>
              </w:rPr>
              <w:t>80</w:t>
            </w:r>
            <w:r>
              <w:rPr>
                <w:rFonts w:hint="eastAsia" w:ascii="楷体_GB2312" w:eastAsia="楷体_GB2312"/>
                <w:color w:val="000000"/>
                <w:sz w:val="24"/>
                <w:highlight w:val="none"/>
              </w:rPr>
              <w:t>%-</w:t>
            </w:r>
            <w:r>
              <w:rPr>
                <w:rFonts w:hint="eastAsia" w:ascii="楷体_GB2312" w:eastAsia="楷体_GB2312"/>
                <w:color w:val="000000"/>
                <w:sz w:val="24"/>
                <w:highlight w:val="none"/>
                <w:lang w:val="en-US" w:eastAsia="zh-CN"/>
              </w:rPr>
              <w:t>2.70</w:t>
            </w:r>
            <w:r>
              <w:rPr>
                <w:rFonts w:hint="eastAsia" w:ascii="楷体_GB2312" w:eastAsia="楷体_GB2312"/>
                <w:color w:val="000000"/>
                <w:sz w:val="24"/>
                <w:highlight w:val="none"/>
              </w:rPr>
              <w:t>%</w:t>
            </w:r>
            <w:r>
              <w:rPr>
                <w:rFonts w:hint="eastAsia" w:ascii="楷体_GB2312" w:eastAsia="楷体_GB2312"/>
                <w:color w:val="000000"/>
                <w:sz w:val="24"/>
                <w:highlight w:val="none"/>
                <w:lang w:eastAsia="zh-CN"/>
              </w:rPr>
              <w:t>；</w:t>
            </w:r>
          </w:p>
          <w:p>
            <w:pPr>
              <w:rPr>
                <w:rFonts w:hint="eastAsia" w:ascii="楷体_GB2312" w:eastAsia="楷体_GB2312"/>
                <w:color w:val="000000"/>
                <w:sz w:val="24"/>
                <w:highlight w:val="none"/>
                <w:lang w:eastAsia="zh-CN"/>
              </w:rPr>
            </w:pPr>
            <w:r>
              <w:rPr>
                <w:rFonts w:hint="eastAsia" w:ascii="楷体_GB2312" w:hAnsi="宋体" w:eastAsia="楷体_GB2312" w:cs="Times New Roman"/>
                <w:color w:val="000000"/>
                <w:sz w:val="24"/>
                <w:lang w:val="en-US" w:eastAsia="zh-CN"/>
              </w:rPr>
              <w:t>B</w:t>
            </w:r>
            <w:r>
              <w:rPr>
                <w:rFonts w:hint="eastAsia" w:ascii="楷体_GB2312" w:eastAsia="楷体_GB2312"/>
                <w:color w:val="000000"/>
                <w:sz w:val="24"/>
                <w:highlight w:val="none"/>
                <w:lang w:eastAsia="zh-CN"/>
              </w:rPr>
              <w:t>类</w:t>
            </w:r>
            <w:r>
              <w:rPr>
                <w:rFonts w:ascii="楷体_GB2312" w:eastAsia="楷体_GB2312"/>
                <w:color w:val="000000"/>
                <w:sz w:val="24"/>
                <w:highlight w:val="none"/>
              </w:rPr>
              <w:t>份额：</w:t>
            </w:r>
            <w:r>
              <w:rPr>
                <w:rFonts w:hint="eastAsia" w:ascii="楷体_GB2312" w:eastAsia="楷体_GB2312"/>
                <w:color w:val="000000"/>
                <w:sz w:val="24"/>
                <w:highlight w:val="none"/>
                <w:lang w:val="en-US" w:eastAsia="zh-CN"/>
              </w:rPr>
              <w:t>1</w:t>
            </w:r>
            <w:r>
              <w:rPr>
                <w:rFonts w:hint="eastAsia" w:ascii="楷体_GB2312" w:eastAsia="楷体_GB2312"/>
                <w:color w:val="000000"/>
                <w:sz w:val="24"/>
                <w:highlight w:val="none"/>
              </w:rPr>
              <w:t>.</w:t>
            </w:r>
            <w:r>
              <w:rPr>
                <w:rFonts w:hint="eastAsia" w:ascii="楷体_GB2312" w:eastAsia="楷体_GB2312"/>
                <w:color w:val="000000"/>
                <w:sz w:val="24"/>
                <w:highlight w:val="none"/>
                <w:lang w:val="en-US" w:eastAsia="zh-CN"/>
              </w:rPr>
              <w:t>85</w:t>
            </w:r>
            <w:r>
              <w:rPr>
                <w:rFonts w:hint="eastAsia" w:ascii="楷体_GB2312" w:eastAsia="楷体_GB2312"/>
                <w:color w:val="000000"/>
                <w:sz w:val="24"/>
                <w:highlight w:val="none"/>
              </w:rPr>
              <w:t>%-</w:t>
            </w:r>
            <w:r>
              <w:rPr>
                <w:rFonts w:hint="eastAsia" w:ascii="楷体_GB2312" w:eastAsia="楷体_GB2312"/>
                <w:color w:val="000000"/>
                <w:sz w:val="24"/>
                <w:highlight w:val="none"/>
                <w:lang w:val="en-US" w:eastAsia="zh-CN"/>
              </w:rPr>
              <w:t>2.75</w:t>
            </w:r>
            <w:r>
              <w:rPr>
                <w:rFonts w:hint="eastAsia" w:ascii="楷体_GB2312" w:eastAsia="楷体_GB2312"/>
                <w:color w:val="000000"/>
                <w:sz w:val="24"/>
                <w:highlight w:val="none"/>
              </w:rPr>
              <w:t>%</w:t>
            </w:r>
            <w:r>
              <w:rPr>
                <w:rFonts w:hint="eastAsia" w:ascii="楷体_GB2312" w:eastAsia="楷体_GB2312"/>
                <w:color w:val="000000"/>
                <w:sz w:val="24"/>
                <w:highlight w:val="none"/>
                <w:lang w:eastAsia="zh-CN"/>
              </w:rPr>
              <w:t>；</w:t>
            </w:r>
          </w:p>
          <w:p>
            <w:pPr>
              <w:rPr>
                <w:rFonts w:hint="eastAsia" w:ascii="楷体_GB2312" w:hAnsi="宋体" w:eastAsia="楷体_GB2312" w:cs="Times New Roman"/>
                <w:color w:val="000000"/>
                <w:sz w:val="24"/>
                <w:lang w:val="en-US" w:eastAsia="zh-CN"/>
              </w:rPr>
            </w:pPr>
            <w:r>
              <w:rPr>
                <w:rFonts w:hint="eastAsia" w:ascii="楷体_GB2312" w:eastAsia="楷体_GB2312"/>
                <w:color w:val="000000"/>
                <w:sz w:val="24"/>
                <w:highlight w:val="none"/>
                <w:lang w:val="en-US" w:eastAsia="zh-CN"/>
              </w:rPr>
              <w:t>浙BA</w:t>
            </w:r>
            <w:r>
              <w:rPr>
                <w:rFonts w:hint="eastAsia" w:ascii="楷体_GB2312" w:eastAsia="楷体_GB2312"/>
                <w:color w:val="000000"/>
                <w:sz w:val="24"/>
                <w:highlight w:val="none"/>
                <w:lang w:eastAsia="zh-CN"/>
              </w:rPr>
              <w:t>类</w:t>
            </w:r>
            <w:r>
              <w:rPr>
                <w:rFonts w:ascii="楷体_GB2312" w:eastAsia="楷体_GB2312"/>
                <w:color w:val="000000"/>
                <w:sz w:val="24"/>
                <w:highlight w:val="none"/>
              </w:rPr>
              <w:t>份额：</w:t>
            </w:r>
            <w:r>
              <w:rPr>
                <w:rFonts w:hint="eastAsia" w:ascii="楷体_GB2312" w:eastAsia="楷体_GB2312"/>
                <w:color w:val="000000"/>
                <w:sz w:val="24"/>
                <w:highlight w:val="none"/>
                <w:lang w:val="en-US" w:eastAsia="zh-CN"/>
              </w:rPr>
              <w:t>1</w:t>
            </w:r>
            <w:r>
              <w:rPr>
                <w:rFonts w:hint="eastAsia" w:ascii="楷体_GB2312" w:eastAsia="楷体_GB2312"/>
                <w:color w:val="000000"/>
                <w:sz w:val="24"/>
                <w:highlight w:val="none"/>
              </w:rPr>
              <w:t>.</w:t>
            </w:r>
            <w:r>
              <w:rPr>
                <w:rFonts w:hint="eastAsia" w:ascii="楷体_GB2312" w:eastAsia="楷体_GB2312"/>
                <w:color w:val="000000"/>
                <w:sz w:val="24"/>
                <w:highlight w:val="none"/>
                <w:lang w:val="en-US" w:eastAsia="zh-CN"/>
              </w:rPr>
              <w:t>90</w:t>
            </w:r>
            <w:r>
              <w:rPr>
                <w:rFonts w:hint="eastAsia" w:ascii="楷体_GB2312" w:eastAsia="楷体_GB2312"/>
                <w:color w:val="000000"/>
                <w:sz w:val="24"/>
                <w:highlight w:val="none"/>
              </w:rPr>
              <w:t>%-</w:t>
            </w:r>
            <w:r>
              <w:rPr>
                <w:rFonts w:hint="eastAsia" w:ascii="楷体_GB2312" w:eastAsia="楷体_GB2312"/>
                <w:color w:val="000000"/>
                <w:sz w:val="24"/>
                <w:highlight w:val="none"/>
                <w:lang w:val="en-US" w:eastAsia="zh-CN"/>
              </w:rPr>
              <w:t>2.80</w:t>
            </w:r>
            <w:r>
              <w:rPr>
                <w:rFonts w:hint="eastAsia" w:ascii="楷体_GB2312" w:eastAsia="楷体_GB2312"/>
                <w:color w:val="000000"/>
                <w:sz w:val="24"/>
                <w:highlight w:val="none"/>
              </w:rPr>
              <w:t>%</w:t>
            </w:r>
            <w:r>
              <w:rPr>
                <w:rFonts w:hint="eastAsia" w:ascii="楷体_GB2312" w:eastAsia="楷体_GB2312"/>
                <w:color w:val="000000"/>
                <w:sz w:val="24"/>
                <w:highlight w:val="none"/>
                <w:lang w:eastAsia="zh-CN"/>
              </w:rPr>
              <w:t>；</w:t>
            </w:r>
          </w:p>
          <w:p>
            <w:pPr>
              <w:rPr>
                <w:rFonts w:hint="eastAsia" w:ascii="楷体_GB2312" w:hAnsi="宋体" w:eastAsia="楷体_GB2312" w:cs="Times New Roman"/>
                <w:color w:val="000000"/>
                <w:sz w:val="24"/>
                <w:highlight w:val="none"/>
                <w:lang w:val="en-US" w:eastAsia="zh-CN"/>
              </w:rPr>
            </w:pPr>
            <w:r>
              <w:rPr>
                <w:rFonts w:hint="eastAsia" w:ascii="楷体_GB2312" w:hAnsi="宋体" w:eastAsia="楷体_GB2312" w:cs="Times New Roman"/>
                <w:color w:val="000000"/>
                <w:sz w:val="24"/>
                <w:lang w:val="en-US" w:eastAsia="zh-CN"/>
              </w:rPr>
              <w:t>本理财产品业绩比较基准是产品管理人在本《理财产品说明书》约定的投资范围内，根据产品投资策略、市场环境、各类资产的投</w:t>
            </w:r>
            <w:r>
              <w:rPr>
                <w:rFonts w:hint="eastAsia" w:ascii="楷体_GB2312" w:hAnsi="宋体" w:eastAsia="楷体_GB2312" w:cs="Times New Roman"/>
                <w:color w:val="000000"/>
                <w:sz w:val="24"/>
                <w:highlight w:val="none"/>
                <w:lang w:val="en-US" w:eastAsia="zh-CN"/>
              </w:rPr>
              <w:t>资比例，并同时参考发行时已知的【</w:t>
            </w:r>
            <w:r>
              <w:rPr>
                <w:rFonts w:hint="eastAsia" w:ascii="楷体_GB2312" w:hAnsi="宋体" w:eastAsia="楷体_GB2312"/>
                <w:color w:val="auto"/>
                <w:sz w:val="24"/>
                <w:highlight w:val="none"/>
              </w:rPr>
              <w:t>同业存单、信用债和存款等资产仓位不低于</w:t>
            </w:r>
            <w:r>
              <w:rPr>
                <w:rFonts w:ascii="楷体_GB2312" w:hAnsi="宋体" w:eastAsia="楷体_GB2312"/>
                <w:color w:val="auto"/>
                <w:sz w:val="24"/>
                <w:highlight w:val="none"/>
              </w:rPr>
              <w:t>8</w:t>
            </w:r>
            <w:r>
              <w:rPr>
                <w:rFonts w:hint="default" w:ascii="楷体_GB2312" w:hAnsi="宋体" w:eastAsia="楷体_GB2312"/>
                <w:color w:val="auto"/>
                <w:sz w:val="24"/>
                <w:highlight w:val="none"/>
                <w:lang w:val="en-US"/>
              </w:rPr>
              <w:t>5</w:t>
            </w:r>
            <w:r>
              <w:rPr>
                <w:rFonts w:hint="eastAsia" w:ascii="楷体_GB2312" w:hAnsi="宋体" w:eastAsia="楷体_GB2312"/>
                <w:color w:val="auto"/>
                <w:sz w:val="24"/>
                <w:highlight w:val="none"/>
              </w:rPr>
              <w:t>%为例</w:t>
            </w:r>
            <w:r>
              <w:rPr>
                <w:rFonts w:hint="eastAsia" w:ascii="楷体_GB2312" w:hAnsi="宋体" w:eastAsia="楷体_GB2312"/>
                <w:color w:val="auto"/>
                <w:sz w:val="24"/>
                <w:highlight w:val="none"/>
                <w:lang w:val="en-US" w:eastAsia="zh-CN"/>
              </w:rPr>
              <w:t>及</w:t>
            </w:r>
            <w:r>
              <w:rPr>
                <w:rFonts w:hint="eastAsia" w:ascii="楷体_GB2312" w:hAnsi="宋体" w:eastAsia="楷体_GB2312"/>
                <w:color w:val="auto"/>
                <w:sz w:val="24"/>
                <w:highlight w:val="none"/>
              </w:rPr>
              <w:t>中债-综合财富指数收益率、产品综合费率</w:t>
            </w:r>
            <w:r>
              <w:rPr>
                <w:rFonts w:hint="eastAsia" w:ascii="楷体_GB2312" w:hAnsi="宋体" w:eastAsia="楷体_GB2312" w:cs="Times New Roman"/>
                <w:color w:val="000000"/>
                <w:sz w:val="24"/>
                <w:highlight w:val="none"/>
                <w:lang w:val="en-US" w:eastAsia="zh-CN"/>
              </w:rPr>
              <w:t>】等因素综合测算而得出。</w:t>
            </w:r>
          </w:p>
          <w:p>
            <w:pPr>
              <w:rPr>
                <w:rFonts w:hint="eastAsia" w:ascii="楷体_GB2312" w:hAnsi="宋体" w:eastAsia="楷体_GB2312"/>
                <w:b/>
                <w:bCs/>
                <w:color w:val="000000"/>
                <w:sz w:val="24"/>
                <w:highlight w:val="none"/>
              </w:rPr>
            </w:pPr>
            <w:r>
              <w:rPr>
                <w:rFonts w:hint="eastAsia" w:ascii="楷体_GB2312" w:hAnsi="楷体" w:eastAsia="楷体_GB2312"/>
                <w:sz w:val="24"/>
                <w:highlight w:val="none"/>
              </w:rPr>
              <w:t>★</w:t>
            </w:r>
            <w:r>
              <w:rPr>
                <w:rFonts w:hint="eastAsia" w:ascii="楷体_GB2312" w:hAnsi="宋体" w:eastAsia="楷体_GB2312"/>
                <w:color w:val="000000"/>
                <w:sz w:val="24"/>
                <w:highlight w:val="none"/>
              </w:rPr>
              <w:t>业绩比较基准是</w:t>
            </w:r>
            <w:r>
              <w:rPr>
                <w:rFonts w:hint="eastAsia" w:ascii="楷体_GB2312" w:hAnsi="宋体" w:eastAsia="楷体_GB2312"/>
                <w:color w:val="000000"/>
                <w:sz w:val="24"/>
                <w:highlight w:val="none"/>
                <w:lang w:val="en-US" w:eastAsia="zh-CN"/>
              </w:rPr>
              <w:t>产品</w:t>
            </w:r>
            <w:r>
              <w:rPr>
                <w:rFonts w:hint="eastAsia" w:ascii="楷体_GB2312" w:hAnsi="宋体" w:eastAsia="楷体_GB2312"/>
                <w:color w:val="000000"/>
                <w:sz w:val="24"/>
                <w:highlight w:val="none"/>
              </w:rPr>
              <w:t>管理人基于产品性质、投资策略、过往经验、市场预判等因素对</w:t>
            </w:r>
            <w:r>
              <w:rPr>
                <w:rFonts w:hint="eastAsia" w:ascii="楷体_GB2312" w:hAnsi="宋体" w:eastAsia="楷体_GB2312"/>
                <w:color w:val="000000"/>
                <w:sz w:val="24"/>
                <w:highlight w:val="none"/>
                <w:lang w:val="en-US" w:eastAsia="zh-CN"/>
              </w:rPr>
              <w:t>本理财</w:t>
            </w:r>
            <w:r>
              <w:rPr>
                <w:rFonts w:hint="eastAsia" w:ascii="楷体_GB2312" w:hAnsi="宋体" w:eastAsia="楷体_GB2312"/>
                <w:color w:val="000000"/>
                <w:sz w:val="24"/>
                <w:highlight w:val="none"/>
              </w:rPr>
              <w:t>产品设定的投资目标。</w:t>
            </w:r>
            <w:r>
              <w:rPr>
                <w:rFonts w:hint="eastAsia" w:ascii="楷体_GB2312" w:hAnsi="宋体" w:eastAsia="楷体_GB2312"/>
                <w:b/>
                <w:bCs/>
                <w:color w:val="000000"/>
                <w:sz w:val="24"/>
                <w:highlight w:val="none"/>
              </w:rPr>
              <w:t>业绩比较基准不是预期收益率，不代表产品的未来表现和实际收益，不构成对产品收益的承诺</w:t>
            </w:r>
            <w:r>
              <w:rPr>
                <w:rFonts w:hint="eastAsia" w:ascii="楷体_GB2312" w:hAnsi="宋体" w:eastAsia="楷体_GB2312"/>
                <w:b/>
                <w:bCs/>
                <w:color w:val="000000"/>
                <w:sz w:val="24"/>
                <w:highlight w:val="none"/>
                <w:lang w:eastAsia="zh-Hans"/>
              </w:rPr>
              <w:t>，投资</w:t>
            </w:r>
            <w:r>
              <w:rPr>
                <w:rFonts w:hint="eastAsia" w:ascii="楷体_GB2312" w:hAnsi="宋体" w:eastAsia="楷体_GB2312"/>
                <w:b/>
                <w:bCs/>
                <w:color w:val="000000"/>
                <w:sz w:val="24"/>
                <w:highlight w:val="none"/>
              </w:rPr>
              <w:t>须</w:t>
            </w:r>
            <w:r>
              <w:rPr>
                <w:rFonts w:hint="eastAsia" w:ascii="楷体_GB2312" w:hAnsi="宋体" w:eastAsia="楷体_GB2312"/>
                <w:b/>
                <w:bCs/>
                <w:color w:val="000000"/>
                <w:sz w:val="24"/>
                <w:highlight w:val="none"/>
                <w:lang w:eastAsia="zh-Hans"/>
              </w:rPr>
              <w:t>谨慎</w:t>
            </w:r>
            <w:r>
              <w:rPr>
                <w:rFonts w:hint="eastAsia" w:ascii="楷体_GB2312" w:hAnsi="宋体" w:eastAsia="楷体_GB2312"/>
                <w:b/>
                <w:bCs/>
                <w:color w:val="000000"/>
                <w:sz w:val="24"/>
                <w:highlight w:val="none"/>
              </w:rPr>
              <w:t>。</w:t>
            </w:r>
          </w:p>
          <w:p>
            <w:pPr>
              <w:rPr>
                <w:rFonts w:ascii="楷体_GB2312" w:hAnsi="宋体" w:eastAsia="楷体_GB2312"/>
                <w:color w:val="000000"/>
                <w:sz w:val="24"/>
              </w:rPr>
            </w:pPr>
            <w:r>
              <w:rPr>
                <w:rFonts w:hint="eastAsia" w:ascii="楷体_GB2312" w:hAnsi="宋体" w:eastAsia="楷体_GB2312"/>
                <w:color w:val="000000"/>
                <w:sz w:val="24"/>
                <w:highlight w:val="none"/>
              </w:rPr>
              <w:t>若今后法律法规发生变化，或有其他代表性更强、更科学客观的业绩比较基准适用于本</w:t>
            </w:r>
            <w:r>
              <w:rPr>
                <w:rFonts w:hint="eastAsia" w:ascii="楷体_GB2312" w:hAnsi="宋体" w:eastAsia="楷体_GB2312"/>
                <w:color w:val="000000"/>
                <w:sz w:val="24"/>
                <w:highlight w:val="none"/>
                <w:lang w:val="en-US" w:eastAsia="zh-CN"/>
              </w:rPr>
              <w:t>理财</w:t>
            </w:r>
            <w:r>
              <w:rPr>
                <w:rFonts w:hint="eastAsia" w:ascii="楷体_GB2312" w:hAnsi="宋体" w:eastAsia="楷体_GB2312"/>
                <w:color w:val="000000"/>
                <w:sz w:val="24"/>
                <w:highlight w:val="none"/>
              </w:rPr>
              <w:t>产品时，</w:t>
            </w:r>
            <w:r>
              <w:rPr>
                <w:rFonts w:ascii="楷体_GB2312" w:hAnsi="Times New Roman" w:eastAsia="楷体_GB2312" w:cs="楷体_GB2312"/>
                <w:b w:val="0"/>
                <w:bCs w:val="0"/>
                <w:i w:val="0"/>
                <w:iCs w:val="0"/>
                <w:caps w:val="0"/>
                <w:color w:val="000000"/>
                <w:spacing w:val="0"/>
                <w:sz w:val="24"/>
                <w:szCs w:val="24"/>
                <w:highlight w:val="none"/>
              </w:rPr>
              <w:t>产品管理人应根据市场研判等情况审慎决定业绩比较基准的调整事项。如确需调整，除应通过代销机构网站等常规展示方式向投资者充分、醒目披露调整信息和原因外，还应按照信息披露相关要求及时履行向理财产品持有人的告知义务</w:t>
            </w:r>
            <w:r>
              <w:rPr>
                <w:rFonts w:hint="eastAsia" w:ascii="楷体_GB2312" w:hAnsi="宋体" w:eastAsia="楷体_GB2312"/>
                <w:color w:val="000000"/>
                <w:sz w:val="24"/>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3" w:hRule="atLeast"/>
        </w:trPr>
        <w:tc>
          <w:tcPr>
            <w:tcW w:w="2451" w:type="dxa"/>
            <w:vAlign w:val="center"/>
          </w:tcPr>
          <w:p>
            <w:pPr>
              <w:snapToGrid w:val="0"/>
              <w:rPr>
                <w:rFonts w:ascii="楷体_GB2312" w:eastAsia="楷体_GB2312"/>
                <w:bCs/>
                <w:color w:val="000000"/>
                <w:sz w:val="24"/>
              </w:rPr>
            </w:pPr>
            <w:r>
              <w:rPr>
                <w:rFonts w:hint="eastAsia" w:ascii="楷体_GB2312" w:eastAsia="楷体_GB2312"/>
                <w:bCs/>
                <w:color w:val="auto"/>
                <w:sz w:val="24"/>
                <w:highlight w:val="none"/>
              </w:rPr>
              <w:t>收益分配</w:t>
            </w:r>
            <w:r>
              <w:rPr>
                <w:rFonts w:hint="eastAsia" w:ascii="楷体_GB2312" w:eastAsia="楷体_GB2312"/>
                <w:bCs/>
                <w:color w:val="auto"/>
                <w:sz w:val="24"/>
                <w:highlight w:val="none"/>
                <w:lang w:val="en-US" w:eastAsia="zh-CN"/>
              </w:rPr>
              <w:t>方式</w:t>
            </w:r>
          </w:p>
        </w:tc>
        <w:tc>
          <w:tcPr>
            <w:tcW w:w="6633" w:type="dxa"/>
            <w:vAlign w:val="center"/>
          </w:tcPr>
          <w:p>
            <w:pPr>
              <w:rPr>
                <w:rFonts w:ascii="楷体_GB2312" w:hAnsi="宋体" w:eastAsia="楷体_GB2312"/>
                <w:color w:val="000000"/>
                <w:sz w:val="24"/>
                <w:highlight w:val="none"/>
              </w:rPr>
            </w:pPr>
            <w:r>
              <w:rPr>
                <w:rFonts w:hint="eastAsia" w:ascii="楷体_GB2312" w:hAnsi="宋体" w:eastAsia="楷体_GB2312"/>
                <w:color w:val="000000"/>
                <w:sz w:val="24"/>
                <w:highlight w:val="none"/>
              </w:rPr>
              <w:t>★</w:t>
            </w:r>
            <w:r>
              <w:rPr>
                <w:rFonts w:hint="eastAsia" w:ascii="楷体_GB2312" w:hAnsi="宋体" w:eastAsia="楷体_GB2312"/>
                <w:color w:val="000000"/>
                <w:sz w:val="24"/>
                <w:highlight w:val="none"/>
                <w:lang w:val="en-US" w:eastAsia="zh-CN"/>
              </w:rPr>
              <w:t>产品</w:t>
            </w:r>
            <w:r>
              <w:rPr>
                <w:rFonts w:ascii="楷体_GB2312" w:hAnsi="宋体" w:eastAsia="楷体_GB2312"/>
                <w:color w:val="000000"/>
                <w:sz w:val="24"/>
                <w:highlight w:val="none"/>
              </w:rPr>
              <w:t>管理人将根据收益</w:t>
            </w:r>
            <w:r>
              <w:rPr>
                <w:rFonts w:hint="eastAsia" w:ascii="楷体_GB2312" w:hAnsi="宋体" w:eastAsia="楷体_GB2312"/>
                <w:color w:val="000000"/>
                <w:sz w:val="24"/>
                <w:highlight w:val="none"/>
              </w:rPr>
              <w:t>分配</w:t>
            </w:r>
            <w:r>
              <w:rPr>
                <w:rFonts w:ascii="楷体_GB2312" w:hAnsi="宋体" w:eastAsia="楷体_GB2312"/>
                <w:color w:val="000000"/>
                <w:sz w:val="24"/>
                <w:highlight w:val="none"/>
              </w:rPr>
              <w:t>原则进行不定期分配</w:t>
            </w:r>
            <w:r>
              <w:rPr>
                <w:rFonts w:hint="eastAsia" w:ascii="楷体_GB2312" w:hAnsi="宋体" w:eastAsia="楷体_GB2312"/>
                <w:color w:val="000000"/>
                <w:sz w:val="24"/>
                <w:highlight w:val="none"/>
                <w:lang w:eastAsia="zh-CN"/>
              </w:rPr>
              <w:t>，</w:t>
            </w:r>
            <w:r>
              <w:rPr>
                <w:rFonts w:hint="eastAsia" w:ascii="楷体_GB2312" w:hAnsi="宋体" w:eastAsia="楷体_GB2312"/>
                <w:color w:val="000000"/>
                <w:sz w:val="24"/>
                <w:highlight w:val="none"/>
              </w:rPr>
              <w:t>收益分配方式</w:t>
            </w:r>
            <w:r>
              <w:rPr>
                <w:rFonts w:hint="eastAsia" w:ascii="楷体_GB2312" w:hAnsi="宋体" w:eastAsia="楷体_GB2312"/>
                <w:color w:val="000000"/>
                <w:sz w:val="24"/>
                <w:highlight w:val="none"/>
                <w:lang w:val="en-US" w:eastAsia="zh-CN"/>
              </w:rPr>
              <w:t>仅</w:t>
            </w:r>
            <w:r>
              <w:rPr>
                <w:rFonts w:hint="eastAsia" w:ascii="楷体_GB2312" w:hAnsi="宋体" w:eastAsia="楷体_GB2312"/>
                <w:color w:val="000000"/>
                <w:sz w:val="24"/>
                <w:highlight w:val="none"/>
              </w:rPr>
              <w:t>为现金分红。</w:t>
            </w:r>
            <w:r>
              <w:rPr>
                <w:rFonts w:hint="eastAsia" w:ascii="楷体_GB2312" w:hAnsi="宋体" w:eastAsia="楷体_GB2312"/>
                <w:color w:val="000000"/>
                <w:sz w:val="24"/>
                <w:highlight w:val="none"/>
                <w:lang w:val="en-US" w:eastAsia="zh-CN"/>
              </w:rPr>
              <w:t>分红原则</w:t>
            </w:r>
            <w:r>
              <w:rPr>
                <w:rFonts w:hint="eastAsia" w:ascii="楷体_GB2312" w:hAnsi="宋体" w:eastAsia="楷体_GB2312"/>
                <w:color w:val="000000"/>
                <w:sz w:val="24"/>
                <w:highlight w:val="none"/>
                <w:lang w:eastAsia="zh-Hans"/>
              </w:rPr>
              <w:t>详见</w:t>
            </w:r>
            <w:r>
              <w:rPr>
                <w:rFonts w:hint="eastAsia" w:ascii="楷体_GB2312" w:hAnsi="宋体" w:eastAsia="楷体_GB2312"/>
                <w:bCs w:val="0"/>
                <w:color w:val="000000"/>
                <w:sz w:val="24"/>
                <w:szCs w:val="24"/>
                <w:highlight w:val="none"/>
                <w:lang w:val="en-US" w:eastAsia="zh-CN"/>
              </w:rPr>
              <w:t>本《</w:t>
            </w:r>
            <w:r>
              <w:rPr>
                <w:rFonts w:hint="eastAsia" w:ascii="楷体_GB2312" w:eastAsia="楷体_GB2312"/>
                <w:color w:val="000000"/>
                <w:sz w:val="24"/>
                <w:highlight w:val="none"/>
                <w:lang w:val="en-US" w:eastAsia="zh-CN"/>
              </w:rPr>
              <w:t>理财产品说明书</w:t>
            </w:r>
            <w:r>
              <w:rPr>
                <w:rFonts w:hint="eastAsia" w:ascii="楷体_GB2312" w:hAnsi="宋体" w:eastAsia="楷体_GB2312"/>
                <w:bCs w:val="0"/>
                <w:color w:val="000000"/>
                <w:sz w:val="24"/>
                <w:szCs w:val="24"/>
                <w:highlight w:val="none"/>
                <w:lang w:val="en-US" w:eastAsia="zh-CN"/>
              </w:rPr>
              <w:t>》</w:t>
            </w:r>
            <w:r>
              <w:rPr>
                <w:rFonts w:hint="eastAsia" w:ascii="楷体_GB2312" w:hAnsi="宋体" w:eastAsia="楷体_GB2312"/>
                <w:color w:val="000000"/>
                <w:sz w:val="24"/>
                <w:highlight w:val="none"/>
                <w:lang w:eastAsia="zh-Hans"/>
              </w:rPr>
              <w:t>“</w:t>
            </w:r>
            <w:r>
              <w:rPr>
                <w:rFonts w:hint="eastAsia" w:ascii="楷体_GB2312" w:hAnsi="宋体" w:eastAsia="楷体_GB2312"/>
                <w:color w:val="000000"/>
                <w:sz w:val="24"/>
                <w:highlight w:val="none"/>
                <w:lang w:val="en-US" w:eastAsia="zh-CN"/>
              </w:rPr>
              <w:t>七</w:t>
            </w:r>
            <w:r>
              <w:rPr>
                <w:rFonts w:hint="eastAsia" w:ascii="楷体_GB2312" w:hAnsi="宋体" w:eastAsia="楷体_GB2312"/>
                <w:color w:val="000000"/>
                <w:sz w:val="24"/>
                <w:highlight w:val="none"/>
                <w:lang w:eastAsia="zh-Hans"/>
              </w:rPr>
              <w:t>、</w:t>
            </w:r>
            <w:r>
              <w:rPr>
                <w:rFonts w:hint="eastAsia" w:ascii="楷体_GB2312" w:hAnsi="宋体" w:eastAsia="楷体_GB2312"/>
                <w:color w:val="000000"/>
                <w:sz w:val="24"/>
                <w:highlight w:val="none"/>
              </w:rPr>
              <w:t>产品的收益分配</w:t>
            </w:r>
            <w:r>
              <w:rPr>
                <w:rFonts w:hint="eastAsia" w:ascii="楷体_GB2312" w:hAnsi="宋体" w:eastAsia="楷体_GB2312"/>
                <w:color w:val="000000"/>
                <w:sz w:val="24"/>
                <w:highlight w:val="none"/>
                <w:lang w:eastAsia="zh-Hans"/>
              </w:rPr>
              <w:t>”</w:t>
            </w:r>
            <w:r>
              <w:rPr>
                <w:rFonts w:hint="eastAsia" w:ascii="楷体_GB2312" w:hAnsi="宋体" w:eastAsia="楷体_GB2312"/>
                <w:color w:val="000000"/>
                <w:sz w:val="24"/>
                <w:highlight w:val="none"/>
                <w:lang w:val="en-US" w:eastAsia="zh-CN"/>
              </w:rPr>
              <w:t>中（二）收益分配原则和</w:t>
            </w:r>
            <w:r>
              <w:rPr>
                <w:rFonts w:hint="eastAsia" w:ascii="楷体_GB2312" w:hAnsi="宋体" w:eastAsia="楷体_GB2312"/>
                <w:color w:val="000000"/>
                <w:sz w:val="24"/>
                <w:highlight w:val="none"/>
              </w:rPr>
              <w:t>（</w:t>
            </w:r>
            <w:r>
              <w:rPr>
                <w:rFonts w:hint="eastAsia" w:ascii="楷体_GB2312" w:hAnsi="宋体" w:eastAsia="楷体_GB2312"/>
                <w:color w:val="000000"/>
                <w:sz w:val="24"/>
                <w:highlight w:val="none"/>
                <w:lang w:eastAsia="zh-CN"/>
              </w:rPr>
              <w:t>三</w:t>
            </w:r>
            <w:r>
              <w:rPr>
                <w:rFonts w:hint="eastAsia" w:ascii="楷体_GB2312" w:hAnsi="宋体" w:eastAsia="楷体_GB2312"/>
                <w:color w:val="000000"/>
                <w:sz w:val="24"/>
                <w:highlight w:val="none"/>
              </w:rPr>
              <w:t>）收益分配方案</w:t>
            </w:r>
            <w:r>
              <w:rPr>
                <w:rFonts w:hint="eastAsia" w:ascii="楷体_GB2312" w:hAnsi="宋体" w:eastAsia="楷体_GB2312"/>
                <w:color w:val="000000"/>
                <w:sz w:val="24"/>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8" w:hRule="atLeast"/>
        </w:trPr>
        <w:tc>
          <w:tcPr>
            <w:tcW w:w="2451" w:type="dxa"/>
            <w:vAlign w:val="center"/>
          </w:tcPr>
          <w:p>
            <w:pPr>
              <w:rPr>
                <w:rFonts w:ascii="楷体_GB2312" w:hAnsi="宋体" w:eastAsia="楷体_GB2312"/>
                <w:color w:val="000000"/>
                <w:sz w:val="24"/>
              </w:rPr>
            </w:pPr>
            <w:r>
              <w:rPr>
                <w:rFonts w:hint="eastAsia" w:ascii="楷体_GB2312" w:hAnsi="宋体" w:eastAsia="楷体_GB2312"/>
                <w:b w:val="0"/>
                <w:bCs w:val="0"/>
                <w:color w:val="auto"/>
                <w:sz w:val="24"/>
                <w:highlight w:val="none"/>
              </w:rPr>
              <w:t>★</w:t>
            </w:r>
            <w:r>
              <w:rPr>
                <w:rFonts w:hint="eastAsia" w:ascii="楷体_GB2312" w:hAnsi="宋体" w:eastAsia="楷体_GB2312"/>
                <w:color w:val="000000"/>
                <w:sz w:val="24"/>
              </w:rPr>
              <w:t>产品费用</w:t>
            </w:r>
          </w:p>
        </w:tc>
        <w:tc>
          <w:tcPr>
            <w:tcW w:w="6633" w:type="dxa"/>
            <w:vAlign w:val="center"/>
          </w:tcPr>
          <w:p>
            <w:pPr>
              <w:rPr>
                <w:rFonts w:hint="eastAsia" w:ascii="楷体_GB2312" w:hAnsi="宋体" w:eastAsia="楷体_GB2312"/>
                <w:b/>
                <w:bCs/>
                <w:color w:val="auto"/>
                <w:sz w:val="24"/>
                <w:highlight w:val="none"/>
              </w:rPr>
            </w:pPr>
            <w:r>
              <w:rPr>
                <w:rFonts w:hint="eastAsia" w:ascii="楷体_GB2312" w:hAnsi="宋体" w:eastAsia="楷体_GB2312"/>
                <w:b/>
                <w:bCs/>
                <w:color w:val="auto"/>
                <w:sz w:val="24"/>
                <w:highlight w:val="none"/>
              </w:rPr>
              <w:t>★1</w:t>
            </w:r>
            <w:r>
              <w:rPr>
                <w:rFonts w:ascii="楷体_GB2312" w:hAnsi="宋体" w:eastAsia="楷体_GB2312"/>
                <w:b/>
                <w:bCs/>
                <w:color w:val="auto"/>
                <w:sz w:val="24"/>
                <w:highlight w:val="none"/>
              </w:rPr>
              <w:t>.</w:t>
            </w:r>
            <w:r>
              <w:rPr>
                <w:rFonts w:hint="eastAsia" w:ascii="楷体_GB2312" w:hAnsi="宋体" w:eastAsia="楷体_GB2312"/>
                <w:b/>
                <w:bCs/>
                <w:color w:val="auto"/>
                <w:sz w:val="24"/>
                <w:highlight w:val="none"/>
              </w:rPr>
              <w:t>销售手续费率</w:t>
            </w:r>
            <w:r>
              <w:rPr>
                <w:rFonts w:hint="eastAsia" w:ascii="楷体_GB2312" w:hAnsi="宋体" w:eastAsia="楷体_GB2312"/>
                <w:b/>
                <w:bCs/>
                <w:color w:val="auto"/>
                <w:sz w:val="24"/>
                <w:highlight w:val="none"/>
                <w:lang w:eastAsia="zh-CN"/>
              </w:rPr>
              <w:t>（</w:t>
            </w:r>
            <w:r>
              <w:rPr>
                <w:rFonts w:hint="eastAsia" w:ascii="楷体_GB2312" w:hAnsi="宋体" w:eastAsia="楷体_GB2312"/>
                <w:b/>
                <w:bCs/>
                <w:color w:val="auto"/>
                <w:sz w:val="24"/>
                <w:highlight w:val="none"/>
                <w:lang w:val="en-US" w:eastAsia="zh-CN"/>
              </w:rPr>
              <w:t>代销机构收取）</w:t>
            </w:r>
            <w:r>
              <w:rPr>
                <w:rFonts w:hint="eastAsia" w:ascii="楷体_GB2312" w:hAnsi="宋体" w:eastAsia="楷体_GB2312"/>
                <w:b/>
                <w:bCs/>
                <w:color w:val="auto"/>
                <w:sz w:val="24"/>
                <w:highlight w:val="none"/>
              </w:rPr>
              <w:t>：</w:t>
            </w:r>
          </w:p>
          <w:p>
            <w:pPr>
              <w:rPr>
                <w:rFonts w:hint="eastAsia" w:ascii="楷体_GB2312" w:hAnsi="宋体" w:eastAsia="楷体_GB2312"/>
                <w:color w:val="auto"/>
                <w:sz w:val="24"/>
                <w:highlight w:val="none"/>
                <w:lang w:eastAsia="zh-CN"/>
              </w:rPr>
            </w:pPr>
            <w:r>
              <w:rPr>
                <w:rFonts w:hint="eastAsia" w:ascii="楷体_GB2312" w:hAnsi="宋体" w:eastAsia="楷体_GB2312"/>
                <w:color w:val="auto"/>
                <w:sz w:val="24"/>
                <w:highlight w:val="none"/>
                <w:lang w:val="en-US" w:eastAsia="zh-CN"/>
              </w:rPr>
              <w:t>A类</w:t>
            </w:r>
            <w:r>
              <w:rPr>
                <w:rFonts w:hint="eastAsia" w:ascii="楷体_GB2312" w:hAnsi="宋体" w:eastAsia="楷体_GB2312"/>
                <w:color w:val="auto"/>
                <w:sz w:val="24"/>
                <w:highlight w:val="none"/>
              </w:rPr>
              <w:t>份额：</w:t>
            </w:r>
            <w:r>
              <w:rPr>
                <w:rFonts w:hint="eastAsia" w:ascii="楷体_GB2312" w:hAnsi="宋体" w:eastAsia="楷体_GB2312"/>
                <w:color w:val="auto"/>
                <w:sz w:val="24"/>
                <w:highlight w:val="none"/>
                <w:lang w:val="en-US" w:eastAsia="zh-CN"/>
              </w:rPr>
              <w:t>0.20</w:t>
            </w:r>
            <w:r>
              <w:rPr>
                <w:rFonts w:hint="eastAsia" w:ascii="楷体_GB2312" w:hAnsi="宋体" w:eastAsia="楷体_GB2312"/>
                <w:color w:val="auto"/>
                <w:sz w:val="24"/>
                <w:highlight w:val="none"/>
              </w:rPr>
              <w:t>%/年</w:t>
            </w:r>
            <w:r>
              <w:rPr>
                <w:rFonts w:hint="eastAsia" w:ascii="楷体_GB2312" w:hAnsi="宋体" w:eastAsia="楷体_GB2312"/>
                <w:color w:val="auto"/>
                <w:sz w:val="24"/>
                <w:highlight w:val="none"/>
                <w:lang w:eastAsia="zh-CN"/>
              </w:rPr>
              <w:t>；</w:t>
            </w:r>
          </w:p>
          <w:p>
            <w:pPr>
              <w:rPr>
                <w:rFonts w:hint="eastAsia" w:ascii="楷体_GB2312" w:hAnsi="宋体" w:eastAsia="楷体_GB2312"/>
                <w:color w:val="auto"/>
                <w:sz w:val="24"/>
                <w:highlight w:val="none"/>
                <w:lang w:eastAsia="zh-CN"/>
              </w:rPr>
            </w:pPr>
            <w:r>
              <w:rPr>
                <w:rFonts w:hint="eastAsia" w:ascii="楷体_GB2312" w:hAnsi="宋体" w:eastAsia="楷体_GB2312"/>
                <w:color w:val="auto"/>
                <w:sz w:val="24"/>
                <w:highlight w:val="none"/>
                <w:lang w:val="en-US" w:eastAsia="zh-CN"/>
              </w:rPr>
              <w:t>B类</w:t>
            </w:r>
            <w:r>
              <w:rPr>
                <w:rFonts w:hint="eastAsia" w:ascii="楷体_GB2312" w:hAnsi="宋体" w:eastAsia="楷体_GB2312"/>
                <w:color w:val="auto"/>
                <w:sz w:val="24"/>
                <w:highlight w:val="none"/>
              </w:rPr>
              <w:t>份额：</w:t>
            </w:r>
            <w:r>
              <w:rPr>
                <w:rFonts w:hint="eastAsia" w:ascii="楷体_GB2312" w:hAnsi="宋体" w:eastAsia="楷体_GB2312"/>
                <w:color w:val="auto"/>
                <w:sz w:val="24"/>
                <w:highlight w:val="none"/>
                <w:lang w:val="en-US" w:eastAsia="zh-CN"/>
              </w:rPr>
              <w:t>0.15</w:t>
            </w:r>
            <w:r>
              <w:rPr>
                <w:rFonts w:hint="eastAsia" w:ascii="楷体_GB2312" w:hAnsi="宋体" w:eastAsia="楷体_GB2312"/>
                <w:color w:val="auto"/>
                <w:sz w:val="24"/>
                <w:highlight w:val="none"/>
              </w:rPr>
              <w:t>%/年</w:t>
            </w:r>
            <w:r>
              <w:rPr>
                <w:rFonts w:hint="eastAsia" w:ascii="楷体_GB2312" w:hAnsi="宋体" w:eastAsia="楷体_GB2312"/>
                <w:color w:val="auto"/>
                <w:sz w:val="24"/>
                <w:highlight w:val="none"/>
                <w:lang w:eastAsia="zh-CN"/>
              </w:rPr>
              <w:t>；</w:t>
            </w:r>
          </w:p>
          <w:p>
            <w:pPr>
              <w:rPr>
                <w:rFonts w:hint="eastAsia" w:ascii="楷体_GB2312" w:hAnsi="宋体" w:eastAsia="楷体_GB2312" w:cs="Times New Roman"/>
                <w:color w:val="000000"/>
                <w:sz w:val="24"/>
                <w:lang w:val="en-US" w:eastAsia="zh-CN"/>
              </w:rPr>
            </w:pPr>
            <w:r>
              <w:rPr>
                <w:rFonts w:hint="eastAsia" w:ascii="楷体_GB2312" w:eastAsia="楷体_GB2312"/>
                <w:color w:val="000000"/>
                <w:sz w:val="24"/>
                <w:highlight w:val="none"/>
                <w:lang w:val="en-US" w:eastAsia="zh-CN"/>
              </w:rPr>
              <w:t>浙BA</w:t>
            </w:r>
            <w:r>
              <w:rPr>
                <w:rFonts w:hint="eastAsia" w:ascii="楷体_GB2312" w:eastAsia="楷体_GB2312"/>
                <w:color w:val="000000"/>
                <w:sz w:val="24"/>
                <w:highlight w:val="none"/>
                <w:lang w:eastAsia="zh-CN"/>
              </w:rPr>
              <w:t>类</w:t>
            </w:r>
            <w:r>
              <w:rPr>
                <w:rFonts w:ascii="楷体_GB2312" w:eastAsia="楷体_GB2312"/>
                <w:color w:val="000000"/>
                <w:sz w:val="24"/>
                <w:highlight w:val="none"/>
              </w:rPr>
              <w:t>份额：</w:t>
            </w:r>
            <w:r>
              <w:rPr>
                <w:rFonts w:hint="eastAsia" w:ascii="楷体_GB2312" w:eastAsia="楷体_GB2312"/>
                <w:color w:val="000000"/>
                <w:sz w:val="24"/>
                <w:highlight w:val="none"/>
                <w:lang w:val="en-US" w:eastAsia="zh-CN"/>
              </w:rPr>
              <w:t>0.10%/年</w:t>
            </w:r>
            <w:r>
              <w:rPr>
                <w:rFonts w:hint="eastAsia" w:ascii="楷体_GB2312" w:eastAsia="楷体_GB2312"/>
                <w:color w:val="000000"/>
                <w:sz w:val="24"/>
                <w:highlight w:val="none"/>
                <w:lang w:eastAsia="zh-CN"/>
              </w:rPr>
              <w:t>；</w:t>
            </w:r>
          </w:p>
          <w:p>
            <w:pPr>
              <w:rPr>
                <w:rFonts w:ascii="楷体_GB2312" w:hAnsi="宋体" w:eastAsia="楷体_GB2312"/>
                <w:color w:val="000000"/>
                <w:sz w:val="24"/>
                <w:highlight w:val="none"/>
              </w:rPr>
            </w:pPr>
            <w:r>
              <w:rPr>
                <w:rFonts w:hint="eastAsia" w:ascii="楷体_GB2312" w:hAnsi="宋体" w:eastAsia="楷体_GB2312"/>
                <w:b/>
                <w:bCs/>
                <w:color w:val="auto"/>
                <w:sz w:val="24"/>
                <w:highlight w:val="none"/>
              </w:rPr>
              <w:t>★2</w:t>
            </w:r>
            <w:r>
              <w:rPr>
                <w:rFonts w:ascii="楷体_GB2312" w:hAnsi="宋体" w:eastAsia="楷体_GB2312"/>
                <w:b/>
                <w:bCs/>
                <w:color w:val="auto"/>
                <w:sz w:val="24"/>
                <w:highlight w:val="none"/>
              </w:rPr>
              <w:t>.</w:t>
            </w:r>
            <w:r>
              <w:rPr>
                <w:rFonts w:hint="eastAsia" w:ascii="楷体_GB2312" w:hAnsi="宋体" w:eastAsia="楷体_GB2312"/>
                <w:b/>
                <w:bCs/>
                <w:color w:val="auto"/>
                <w:sz w:val="24"/>
                <w:highlight w:val="none"/>
              </w:rPr>
              <w:t>固定管理费率</w:t>
            </w:r>
            <w:r>
              <w:rPr>
                <w:rFonts w:hint="eastAsia" w:ascii="楷体_GB2312" w:hAnsi="宋体" w:eastAsia="楷体_GB2312"/>
                <w:b/>
                <w:bCs/>
                <w:color w:val="auto"/>
                <w:sz w:val="24"/>
                <w:highlight w:val="none"/>
                <w:lang w:eastAsia="zh-CN"/>
              </w:rPr>
              <w:t>（</w:t>
            </w:r>
            <w:r>
              <w:rPr>
                <w:rFonts w:hint="eastAsia" w:ascii="楷体_GB2312" w:hAnsi="宋体" w:eastAsia="楷体_GB2312"/>
                <w:b/>
                <w:bCs/>
                <w:color w:val="auto"/>
                <w:sz w:val="24"/>
                <w:highlight w:val="none"/>
                <w:lang w:val="en-US" w:eastAsia="zh-CN"/>
              </w:rPr>
              <w:t>产品管理人收取）</w:t>
            </w:r>
            <w:r>
              <w:rPr>
                <w:rFonts w:hint="eastAsia" w:ascii="楷体_GB2312" w:hAnsi="宋体" w:eastAsia="楷体_GB2312"/>
                <w:b/>
                <w:bCs/>
                <w:color w:val="auto"/>
                <w:sz w:val="24"/>
                <w:highlight w:val="none"/>
              </w:rPr>
              <w:t>：</w:t>
            </w:r>
            <w:r>
              <w:rPr>
                <w:rFonts w:hint="eastAsia" w:ascii="楷体_GB2312" w:hAnsi="宋体" w:eastAsia="楷体_GB2312"/>
                <w:color w:val="auto"/>
                <w:sz w:val="24"/>
                <w:highlight w:val="none"/>
                <w:lang w:val="en-US" w:eastAsia="zh-CN"/>
              </w:rPr>
              <w:t>0.16</w:t>
            </w:r>
            <w:r>
              <w:rPr>
                <w:rFonts w:hint="eastAsia" w:ascii="楷体_GB2312" w:hAnsi="宋体" w:eastAsia="楷体_GB2312"/>
                <w:color w:val="auto"/>
                <w:sz w:val="24"/>
                <w:highlight w:val="none"/>
              </w:rPr>
              <w:t>%/年</w:t>
            </w:r>
          </w:p>
          <w:p>
            <w:pPr>
              <w:pStyle w:val="42"/>
              <w:numPr>
                <w:ilvl w:val="-1"/>
                <w:numId w:val="0"/>
              </w:numPr>
              <w:ind w:left="0" w:firstLine="0" w:firstLineChars="0"/>
              <w:rPr>
                <w:rFonts w:ascii="楷体_GB2312" w:hAnsi="宋体" w:eastAsia="楷体_GB2312"/>
                <w:color w:val="000000"/>
                <w:sz w:val="24"/>
                <w:highlight w:val="none"/>
              </w:rPr>
            </w:pPr>
            <w:r>
              <w:rPr>
                <w:rFonts w:hint="eastAsia" w:ascii="楷体_GB2312" w:hAnsi="宋体" w:eastAsia="楷体_GB2312"/>
                <w:b/>
                <w:bCs/>
                <w:color w:val="auto"/>
                <w:sz w:val="24"/>
                <w:highlight w:val="none"/>
              </w:rPr>
              <w:t>★3</w:t>
            </w:r>
            <w:r>
              <w:rPr>
                <w:rFonts w:ascii="楷体_GB2312" w:hAnsi="宋体" w:eastAsia="楷体_GB2312"/>
                <w:b/>
                <w:bCs/>
                <w:color w:val="auto"/>
                <w:sz w:val="24"/>
                <w:highlight w:val="none"/>
              </w:rPr>
              <w:t>.</w:t>
            </w:r>
            <w:r>
              <w:rPr>
                <w:rFonts w:hint="eastAsia" w:ascii="楷体_GB2312" w:hAnsi="宋体" w:eastAsia="楷体_GB2312"/>
                <w:b/>
                <w:bCs/>
                <w:color w:val="auto"/>
                <w:sz w:val="24"/>
                <w:highlight w:val="none"/>
              </w:rPr>
              <w:t>托管费率</w:t>
            </w:r>
            <w:r>
              <w:rPr>
                <w:rFonts w:hint="eastAsia" w:ascii="楷体_GB2312" w:hAnsi="宋体" w:eastAsia="楷体_GB2312"/>
                <w:b/>
                <w:bCs/>
                <w:color w:val="auto"/>
                <w:sz w:val="24"/>
                <w:highlight w:val="none"/>
                <w:lang w:eastAsia="zh-CN"/>
              </w:rPr>
              <w:t>（</w:t>
            </w:r>
            <w:r>
              <w:rPr>
                <w:rFonts w:hint="eastAsia" w:ascii="楷体_GB2312" w:hAnsi="宋体" w:eastAsia="楷体_GB2312"/>
                <w:b/>
                <w:bCs/>
                <w:color w:val="auto"/>
                <w:sz w:val="24"/>
                <w:highlight w:val="none"/>
                <w:lang w:val="en-US" w:eastAsia="zh-CN"/>
              </w:rPr>
              <w:t>产品托管人收取</w:t>
            </w:r>
            <w:r>
              <w:rPr>
                <w:rFonts w:hint="eastAsia" w:ascii="楷体_GB2312" w:hAnsi="宋体" w:eastAsia="楷体_GB2312"/>
                <w:b/>
                <w:bCs/>
                <w:color w:val="auto"/>
                <w:sz w:val="24"/>
                <w:highlight w:val="none"/>
                <w:lang w:eastAsia="zh-CN"/>
              </w:rPr>
              <w:t>）</w:t>
            </w:r>
            <w:r>
              <w:rPr>
                <w:rFonts w:hint="eastAsia" w:ascii="楷体_GB2312" w:hAnsi="宋体" w:eastAsia="楷体_GB2312"/>
                <w:b/>
                <w:bCs/>
                <w:color w:val="auto"/>
                <w:sz w:val="24"/>
                <w:highlight w:val="none"/>
              </w:rPr>
              <w:t>：</w:t>
            </w:r>
            <w:r>
              <w:rPr>
                <w:rFonts w:hint="eastAsia" w:ascii="楷体_GB2312" w:hAnsi="宋体" w:eastAsia="楷体_GB2312"/>
                <w:color w:val="auto"/>
                <w:sz w:val="24"/>
                <w:highlight w:val="none"/>
                <w:lang w:val="en-US" w:eastAsia="zh-CN"/>
              </w:rPr>
              <w:t>0.03</w:t>
            </w:r>
            <w:r>
              <w:rPr>
                <w:rFonts w:hint="eastAsia" w:ascii="楷体_GB2312" w:hAnsi="宋体" w:eastAsia="楷体_GB2312"/>
                <w:color w:val="auto"/>
                <w:sz w:val="24"/>
                <w:highlight w:val="none"/>
              </w:rPr>
              <w:t>%</w:t>
            </w:r>
            <w:r>
              <w:rPr>
                <w:rFonts w:hint="eastAsia" w:ascii="楷体_GB2312" w:hAnsi="宋体" w:eastAsia="楷体_GB2312"/>
                <w:b w:val="0"/>
                <w:bCs w:val="0"/>
                <w:color w:val="000000"/>
                <w:sz w:val="24"/>
                <w:highlight w:val="none"/>
              </w:rPr>
              <w:t>/年</w:t>
            </w:r>
          </w:p>
          <w:p>
            <w:pPr>
              <w:rPr>
                <w:rFonts w:hint="eastAsia" w:ascii="楷体_GB2312" w:hAnsi="宋体" w:eastAsia="楷体_GB2312"/>
                <w:color w:val="auto"/>
                <w:sz w:val="24"/>
                <w:highlight w:val="none"/>
              </w:rPr>
            </w:pPr>
            <w:r>
              <w:rPr>
                <w:rFonts w:hint="eastAsia" w:ascii="楷体_GB2312" w:hAnsi="宋体" w:eastAsia="楷体_GB2312"/>
                <w:b/>
                <w:bCs/>
                <w:color w:val="auto"/>
                <w:sz w:val="24"/>
                <w:highlight w:val="none"/>
              </w:rPr>
              <w:t>★4.</w:t>
            </w:r>
            <w:r>
              <w:rPr>
                <w:rFonts w:hint="eastAsia" w:ascii="楷体_GB2312" w:hAnsi="宋体" w:eastAsia="楷体_GB2312" w:cs="Times New Roman"/>
                <w:b/>
                <w:bCs/>
                <w:color w:val="auto"/>
                <w:sz w:val="24"/>
                <w:highlight w:val="none"/>
              </w:rPr>
              <w:t>管理成本费用</w:t>
            </w:r>
            <w:r>
              <w:rPr>
                <w:rFonts w:hint="eastAsia" w:ascii="楷体_GB2312" w:hAnsi="宋体" w:eastAsia="楷体_GB2312" w:cs="Times New Roman"/>
                <w:b/>
                <w:bCs/>
                <w:color w:val="auto"/>
                <w:sz w:val="24"/>
                <w:highlight w:val="none"/>
                <w:lang w:eastAsia="zh-CN"/>
              </w:rPr>
              <w:t>（</w:t>
            </w:r>
            <w:r>
              <w:rPr>
                <w:rFonts w:hint="eastAsia" w:ascii="楷体_GB2312" w:hAnsi="宋体" w:eastAsia="楷体_GB2312" w:cs="Times New Roman"/>
                <w:b/>
                <w:bCs/>
                <w:color w:val="auto"/>
                <w:sz w:val="24"/>
                <w:highlight w:val="none"/>
                <w:lang w:val="en-US" w:eastAsia="zh-CN"/>
              </w:rPr>
              <w:t>相关机构收取</w:t>
            </w:r>
            <w:r>
              <w:rPr>
                <w:rFonts w:hint="eastAsia" w:ascii="楷体_GB2312" w:hAnsi="宋体" w:eastAsia="楷体_GB2312" w:cs="Times New Roman"/>
                <w:b/>
                <w:bCs/>
                <w:color w:val="auto"/>
                <w:sz w:val="24"/>
                <w:highlight w:val="none"/>
                <w:lang w:eastAsia="zh-CN"/>
              </w:rPr>
              <w:t>）</w:t>
            </w:r>
            <w:r>
              <w:rPr>
                <w:rFonts w:hint="eastAsia" w:ascii="楷体_GB2312" w:hAnsi="宋体" w:eastAsia="楷体_GB2312" w:cs="Times New Roman"/>
                <w:b/>
                <w:bCs/>
                <w:color w:val="auto"/>
                <w:sz w:val="24"/>
                <w:highlight w:val="none"/>
              </w:rPr>
              <w:t>：</w:t>
            </w:r>
            <w:r>
              <w:rPr>
                <w:rFonts w:hint="eastAsia" w:ascii="楷体_GB2312" w:hAnsi="宋体" w:eastAsia="楷体_GB2312"/>
                <w:color w:val="auto"/>
                <w:sz w:val="24"/>
                <w:highlight w:val="none"/>
              </w:rPr>
              <w:t>为本理财产品项下投资交易提供专属信托、保管、托管、咨询、顾问、管理等服务所产生的费用(如基金管理费、投资顾问费、信托保管费、信托报酬、各类信托费用等)和支出均属于本理财产品的管理成本费用，由相关机构(包括但不限于基金公司、信托公司、保管银行等)依照相关法律文件(包括但不限于基金合同、信托合同、保管合同、顾问协议等)约定的标准和条件扣除。</w:t>
            </w:r>
          </w:p>
          <w:p>
            <w:pPr>
              <w:rPr>
                <w:rFonts w:hint="eastAsia" w:ascii="楷体_GB2312" w:hAnsi="宋体" w:eastAsia="楷体_GB2312"/>
                <w:color w:val="auto"/>
                <w:sz w:val="24"/>
                <w:highlight w:val="none"/>
                <w:lang w:val="en-US" w:eastAsia="zh-CN"/>
              </w:rPr>
            </w:pPr>
            <w:r>
              <w:rPr>
                <w:rFonts w:hint="eastAsia" w:ascii="楷体_GB2312" w:hAnsi="宋体" w:eastAsia="楷体_GB2312"/>
                <w:b/>
                <w:bCs/>
                <w:color w:val="auto"/>
                <w:sz w:val="24"/>
                <w:highlight w:val="none"/>
              </w:rPr>
              <w:t>★</w:t>
            </w:r>
            <w:r>
              <w:rPr>
                <w:rFonts w:hint="eastAsia" w:ascii="楷体_GB2312" w:hAnsi="宋体" w:eastAsia="楷体_GB2312"/>
                <w:b/>
                <w:bCs/>
                <w:color w:val="auto"/>
                <w:sz w:val="24"/>
                <w:highlight w:val="none"/>
                <w:lang w:val="en-US" w:eastAsia="zh-CN"/>
              </w:rPr>
              <w:t>5</w:t>
            </w:r>
            <w:r>
              <w:rPr>
                <w:rFonts w:hint="eastAsia" w:ascii="楷体_GB2312" w:hAnsi="宋体" w:eastAsia="楷体_GB2312"/>
                <w:b/>
                <w:bCs/>
                <w:color w:val="auto"/>
                <w:sz w:val="24"/>
                <w:highlight w:val="none"/>
              </w:rPr>
              <w:t>.</w:t>
            </w:r>
            <w:r>
              <w:rPr>
                <w:rFonts w:hint="eastAsia" w:ascii="楷体_GB2312" w:hAnsi="宋体" w:eastAsia="楷体_GB2312" w:cs="Times New Roman"/>
                <w:b/>
                <w:bCs/>
                <w:color w:val="auto"/>
                <w:sz w:val="24"/>
                <w:highlight w:val="none"/>
              </w:rPr>
              <w:t>其他成本费用</w:t>
            </w:r>
            <w:r>
              <w:rPr>
                <w:rFonts w:hint="eastAsia" w:ascii="楷体_GB2312" w:hAnsi="宋体" w:eastAsia="楷体_GB2312" w:cs="Times New Roman"/>
                <w:b/>
                <w:bCs/>
                <w:color w:val="auto"/>
                <w:sz w:val="24"/>
                <w:highlight w:val="none"/>
                <w:lang w:eastAsia="zh-CN"/>
              </w:rPr>
              <w:t>（</w:t>
            </w:r>
            <w:r>
              <w:rPr>
                <w:rFonts w:hint="eastAsia" w:ascii="楷体_GB2312" w:hAnsi="宋体" w:eastAsia="楷体_GB2312" w:cs="Times New Roman"/>
                <w:b/>
                <w:bCs/>
                <w:color w:val="auto"/>
                <w:sz w:val="24"/>
                <w:highlight w:val="none"/>
                <w:lang w:val="en-US" w:eastAsia="zh-CN"/>
              </w:rPr>
              <w:t>产品支付</w:t>
            </w:r>
            <w:r>
              <w:rPr>
                <w:rFonts w:hint="eastAsia" w:ascii="楷体_GB2312" w:hAnsi="宋体" w:eastAsia="楷体_GB2312" w:cs="Times New Roman"/>
                <w:b/>
                <w:bCs/>
                <w:color w:val="auto"/>
                <w:sz w:val="24"/>
                <w:highlight w:val="none"/>
                <w:lang w:eastAsia="zh-CN"/>
              </w:rPr>
              <w:t>）</w:t>
            </w:r>
            <w:r>
              <w:rPr>
                <w:rFonts w:hint="eastAsia" w:ascii="楷体_GB2312" w:hAnsi="宋体" w:eastAsia="楷体_GB2312" w:cs="Times New Roman"/>
                <w:b/>
                <w:bCs/>
                <w:color w:val="auto"/>
                <w:sz w:val="24"/>
                <w:highlight w:val="none"/>
              </w:rPr>
              <w:t>：</w:t>
            </w:r>
            <w:r>
              <w:rPr>
                <w:rFonts w:hint="eastAsia" w:ascii="楷体_GB2312" w:hAnsi="宋体" w:eastAsia="楷体_GB2312"/>
                <w:color w:val="auto"/>
                <w:sz w:val="24"/>
                <w:highlight w:val="none"/>
                <w:lang w:val="en-US" w:eastAsia="zh-CN"/>
              </w:rPr>
              <w:t>本理财产品运作和清算中产生的其他资金汇划费、结算费、交易手续费、注册登记费、账户服务费、进行本理财产品销售文件约定的投资而发生的交易费用、根据国家有关规定应当在本理财产品收益或资产中扣除的法定费用、本理财产品存续期间发生的信息披露费用、与本理财产品相关的会计师费（如审计费等）和律师费以及本理财产品销售文件约定可扣除的其他费用(包括交易发生的税费、手续费等)均属于本理财产品的其他成本费用，由产品管理人依照相关法律文件的约定在向投资者分配资金前从理财产品中支付。</w:t>
            </w:r>
          </w:p>
          <w:p>
            <w:pPr>
              <w:rPr>
                <w:rFonts w:ascii="楷体_GB2312" w:hAnsi="宋体" w:eastAsia="楷体_GB2312"/>
                <w:color w:val="000000"/>
                <w:sz w:val="24"/>
                <w:highlight w:val="none"/>
              </w:rPr>
            </w:pPr>
            <w:r>
              <w:rPr>
                <w:rFonts w:hint="eastAsia" w:ascii="楷体_GB2312" w:hAnsi="宋体" w:eastAsia="楷体_GB2312"/>
                <w:b/>
                <w:bCs/>
                <w:color w:val="auto"/>
                <w:sz w:val="24"/>
                <w:highlight w:val="none"/>
              </w:rPr>
              <w:t>★</w:t>
            </w:r>
            <w:r>
              <w:rPr>
                <w:rFonts w:hint="eastAsia" w:ascii="楷体_GB2312" w:hAnsi="宋体" w:eastAsia="楷体_GB2312"/>
                <w:b/>
                <w:bCs/>
                <w:color w:val="auto"/>
                <w:sz w:val="24"/>
                <w:highlight w:val="none"/>
                <w:lang w:val="en-US" w:eastAsia="zh-CN"/>
              </w:rPr>
              <w:t>产品费用详情请见</w:t>
            </w:r>
            <w:r>
              <w:rPr>
                <w:rFonts w:hint="eastAsia" w:ascii="楷体_GB2312" w:hAnsi="宋体" w:eastAsia="楷体_GB2312"/>
                <w:b/>
                <w:bCs/>
                <w:color w:val="auto"/>
                <w:sz w:val="24"/>
                <w:szCs w:val="24"/>
                <w:highlight w:val="none"/>
                <w:lang w:val="en-US" w:eastAsia="zh-CN"/>
              </w:rPr>
              <w:t>本《</w:t>
            </w:r>
            <w:r>
              <w:rPr>
                <w:rFonts w:hint="eastAsia" w:ascii="楷体_GB2312" w:eastAsia="楷体_GB2312"/>
                <w:b/>
                <w:bCs/>
                <w:color w:val="auto"/>
                <w:sz w:val="24"/>
                <w:highlight w:val="none"/>
                <w:lang w:val="en-US" w:eastAsia="zh-CN"/>
              </w:rPr>
              <w:t>理财产品说明书</w:t>
            </w:r>
            <w:r>
              <w:rPr>
                <w:rFonts w:hint="eastAsia" w:ascii="楷体_GB2312" w:hAnsi="宋体" w:eastAsia="楷体_GB2312"/>
                <w:b/>
                <w:bCs/>
                <w:color w:val="auto"/>
                <w:sz w:val="24"/>
                <w:szCs w:val="24"/>
                <w:highlight w:val="none"/>
                <w:lang w:val="en-US" w:eastAsia="zh-CN"/>
              </w:rPr>
              <w:t>》“</w:t>
            </w:r>
            <w:r>
              <w:rPr>
                <w:rFonts w:hint="eastAsia" w:ascii="楷体_GB2312" w:hAnsi="宋体" w:eastAsia="楷体_GB2312"/>
                <w:b/>
                <w:bCs/>
                <w:color w:val="auto"/>
                <w:sz w:val="24"/>
                <w:highlight w:val="none"/>
              </w:rPr>
              <w:t>九、产品的费用</w:t>
            </w:r>
            <w:r>
              <w:rPr>
                <w:rFonts w:hint="eastAsia" w:ascii="楷体_GB2312" w:hAnsi="宋体" w:eastAsia="楷体_GB2312"/>
                <w:b/>
                <w:bCs/>
                <w:color w:val="auto"/>
                <w:sz w:val="24"/>
                <w:szCs w:val="24"/>
                <w:highlight w:val="none"/>
                <w:lang w:val="en-US" w:eastAsia="zh-CN"/>
              </w:rPr>
              <w:t>”部分。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9" w:hRule="atLeast"/>
        </w:trPr>
        <w:tc>
          <w:tcPr>
            <w:tcW w:w="2451" w:type="dxa"/>
            <w:vAlign w:val="center"/>
          </w:tcPr>
          <w:p>
            <w:pPr>
              <w:snapToGrid w:val="0"/>
              <w:rPr>
                <w:rFonts w:ascii="楷体_GB2312" w:eastAsia="楷体_GB2312"/>
                <w:bCs/>
                <w:color w:val="000000"/>
                <w:sz w:val="24"/>
              </w:rPr>
            </w:pPr>
            <w:r>
              <w:rPr>
                <w:rFonts w:hint="eastAsia" w:ascii="楷体_GB2312" w:eastAsia="楷体_GB2312"/>
                <w:bCs/>
                <w:color w:val="000000"/>
                <w:sz w:val="24"/>
              </w:rPr>
              <w:t>净值及投资报告披露</w:t>
            </w:r>
          </w:p>
        </w:tc>
        <w:tc>
          <w:tcPr>
            <w:tcW w:w="6633" w:type="dxa"/>
            <w:vAlign w:val="center"/>
          </w:tcPr>
          <w:p>
            <w:pPr>
              <w:pStyle w:val="2"/>
              <w:numPr>
                <w:ilvl w:val="0"/>
                <w:numId w:val="0"/>
              </w:numPr>
              <w:ind w:left="0" w:leftChars="0" w:firstLine="0"/>
              <w:rPr>
                <w:color w:val="auto"/>
                <w:highlight w:val="none"/>
              </w:rPr>
            </w:pPr>
            <w:r>
              <w:rPr>
                <w:rFonts w:hint="eastAsia" w:ascii="楷体_GB2312" w:hAnsi="宋体" w:eastAsia="楷体_GB2312"/>
                <w:color w:val="auto"/>
                <w:sz w:val="24"/>
                <w:highlight w:val="none"/>
              </w:rPr>
              <w:t>1.</w:t>
            </w:r>
            <w:r>
              <w:rPr>
                <w:rFonts w:hint="eastAsia" w:ascii="楷体_GB2312" w:hAnsi="宋体" w:eastAsia="楷体_GB2312"/>
                <w:color w:val="auto"/>
                <w:sz w:val="24"/>
                <w:highlight w:val="none"/>
                <w:lang w:eastAsia="zh-CN"/>
              </w:rPr>
              <w:t>本理财</w:t>
            </w:r>
            <w:r>
              <w:rPr>
                <w:rFonts w:hint="eastAsia" w:ascii="楷体_GB2312" w:hAnsi="宋体" w:eastAsia="楷体_GB2312"/>
                <w:color w:val="auto"/>
                <w:sz w:val="24"/>
                <w:highlight w:val="none"/>
              </w:rPr>
              <w:t>产品</w:t>
            </w:r>
            <w:r>
              <w:rPr>
                <w:rFonts w:hint="eastAsia" w:ascii="楷体_GB2312" w:hAnsi="宋体" w:eastAsia="楷体_GB2312"/>
                <w:color w:val="auto"/>
                <w:sz w:val="24"/>
                <w:highlight w:val="none"/>
                <w:lang w:val="en-US" w:eastAsia="zh-CN"/>
              </w:rPr>
              <w:t>每个</w:t>
            </w:r>
            <w:r>
              <w:rPr>
                <w:rFonts w:hint="eastAsia" w:ascii="楷体_GB2312" w:hAnsi="宋体" w:eastAsia="楷体_GB2312"/>
                <w:color w:val="auto"/>
                <w:sz w:val="24"/>
                <w:highlight w:val="none"/>
              </w:rPr>
              <w:t>开放日</w:t>
            </w:r>
            <w:r>
              <w:rPr>
                <w:rFonts w:hint="eastAsia" w:ascii="楷体_GB2312" w:hAnsi="宋体" w:eastAsia="楷体_GB2312"/>
                <w:color w:val="auto"/>
                <w:sz w:val="24"/>
                <w:highlight w:val="none"/>
                <w:lang w:val="en-US" w:eastAsia="zh-CN"/>
              </w:rPr>
              <w:t>结束</w:t>
            </w:r>
            <w:r>
              <w:rPr>
                <w:rFonts w:hint="eastAsia" w:ascii="楷体_GB2312" w:hAnsi="宋体" w:eastAsia="楷体_GB2312"/>
                <w:color w:val="auto"/>
                <w:sz w:val="24"/>
                <w:highlight w:val="none"/>
              </w:rPr>
              <w:t>后2个工作日内披露开放日的产品</w:t>
            </w:r>
            <w:r>
              <w:rPr>
                <w:rFonts w:hint="eastAsia" w:ascii="楷体_GB2312" w:hAnsi="宋体" w:eastAsia="楷体_GB2312"/>
                <w:color w:val="auto"/>
                <w:sz w:val="24"/>
                <w:highlight w:val="none"/>
                <w:lang w:val="en-US" w:eastAsia="zh-CN"/>
              </w:rPr>
              <w:t>份额</w:t>
            </w:r>
            <w:r>
              <w:rPr>
                <w:rFonts w:hint="eastAsia" w:ascii="楷体_GB2312" w:hAnsi="宋体" w:eastAsia="楷体_GB2312"/>
                <w:color w:val="auto"/>
                <w:sz w:val="24"/>
                <w:highlight w:val="none"/>
              </w:rPr>
              <w:t>净值和产品</w:t>
            </w:r>
            <w:r>
              <w:rPr>
                <w:rFonts w:hint="eastAsia" w:ascii="楷体_GB2312" w:hAnsi="宋体" w:eastAsia="楷体_GB2312"/>
                <w:color w:val="auto"/>
                <w:sz w:val="24"/>
                <w:highlight w:val="none"/>
                <w:lang w:val="en-US" w:eastAsia="zh-CN"/>
              </w:rPr>
              <w:t>份额</w:t>
            </w:r>
            <w:r>
              <w:rPr>
                <w:rFonts w:hint="eastAsia" w:ascii="楷体_GB2312" w:hAnsi="宋体" w:eastAsia="楷体_GB2312"/>
                <w:color w:val="auto"/>
                <w:sz w:val="24"/>
                <w:highlight w:val="none"/>
              </w:rPr>
              <w:t>累计净值、</w:t>
            </w:r>
            <w:r>
              <w:rPr>
                <w:rFonts w:hint="eastAsia" w:ascii="楷体_GB2312" w:hAnsi="宋体" w:eastAsia="楷体_GB2312"/>
                <w:color w:val="auto"/>
                <w:sz w:val="24"/>
                <w:highlight w:val="none"/>
                <w:lang w:val="en-US" w:eastAsia="zh-CN"/>
              </w:rPr>
              <w:t>申购价格、赎回价格；</w:t>
            </w:r>
            <w:r>
              <w:rPr>
                <w:rFonts w:hint="eastAsia" w:ascii="楷体_GB2312" w:hAnsi="宋体" w:eastAsia="楷体_GB2312"/>
                <w:color w:val="auto"/>
                <w:sz w:val="24"/>
                <w:highlight w:val="none"/>
              </w:rPr>
              <w:t>在定期报告中披露</w:t>
            </w:r>
            <w:r>
              <w:rPr>
                <w:rFonts w:hint="eastAsia" w:ascii="楷体_GB2312" w:hAnsi="宋体" w:eastAsia="楷体_GB2312"/>
                <w:color w:val="auto"/>
                <w:sz w:val="24"/>
                <w:highlight w:val="none"/>
                <w:lang w:val="en-US" w:eastAsia="zh-CN"/>
              </w:rPr>
              <w:t>本</w:t>
            </w:r>
            <w:r>
              <w:rPr>
                <w:rFonts w:hint="eastAsia" w:ascii="楷体_GB2312" w:hAnsi="宋体" w:eastAsia="楷体_GB2312"/>
                <w:color w:val="auto"/>
                <w:sz w:val="24"/>
                <w:highlight w:val="none"/>
              </w:rPr>
              <w:t>理财产品在季度、半年和年度最后一个市场交易日的</w:t>
            </w:r>
            <w:r>
              <w:rPr>
                <w:rFonts w:hint="eastAsia" w:ascii="楷体_GB2312" w:hAnsi="宋体" w:eastAsia="楷体_GB2312"/>
                <w:color w:val="auto"/>
                <w:sz w:val="24"/>
                <w:highlight w:val="none"/>
                <w:lang w:eastAsia="zh-CN"/>
              </w:rPr>
              <w:t>产品</w:t>
            </w:r>
            <w:r>
              <w:rPr>
                <w:rFonts w:hint="eastAsia" w:ascii="楷体_GB2312" w:hAnsi="宋体" w:eastAsia="楷体_GB2312"/>
                <w:color w:val="auto"/>
                <w:sz w:val="24"/>
                <w:highlight w:val="none"/>
                <w:lang w:val="en-US" w:eastAsia="zh-CN"/>
              </w:rPr>
              <w:t>份额</w:t>
            </w:r>
            <w:r>
              <w:rPr>
                <w:rFonts w:hint="eastAsia" w:ascii="楷体_GB2312" w:hAnsi="宋体" w:eastAsia="楷体_GB2312"/>
                <w:color w:val="auto"/>
                <w:sz w:val="24"/>
                <w:highlight w:val="none"/>
              </w:rPr>
              <w:t>净值、</w:t>
            </w:r>
            <w:r>
              <w:rPr>
                <w:rFonts w:hint="eastAsia" w:ascii="楷体_GB2312" w:hAnsi="宋体" w:eastAsia="楷体_GB2312"/>
                <w:color w:val="auto"/>
                <w:sz w:val="24"/>
                <w:highlight w:val="none"/>
                <w:lang w:eastAsia="zh-CN"/>
              </w:rPr>
              <w:t>产品</w:t>
            </w:r>
            <w:r>
              <w:rPr>
                <w:rFonts w:hint="eastAsia" w:ascii="楷体_GB2312" w:hAnsi="宋体" w:eastAsia="楷体_GB2312"/>
                <w:color w:val="auto"/>
                <w:sz w:val="24"/>
                <w:highlight w:val="none"/>
                <w:lang w:val="en-US" w:eastAsia="zh-CN"/>
              </w:rPr>
              <w:t>份额</w:t>
            </w:r>
            <w:r>
              <w:rPr>
                <w:rFonts w:hint="eastAsia" w:ascii="楷体_GB2312" w:hAnsi="宋体" w:eastAsia="楷体_GB2312"/>
                <w:color w:val="auto"/>
                <w:sz w:val="24"/>
                <w:highlight w:val="none"/>
              </w:rPr>
              <w:t>累计净值和</w:t>
            </w:r>
            <w:r>
              <w:rPr>
                <w:rFonts w:hint="eastAsia" w:ascii="楷体_GB2312" w:hAnsi="宋体" w:eastAsia="楷体_GB2312"/>
                <w:color w:val="auto"/>
                <w:sz w:val="24"/>
                <w:highlight w:val="none"/>
                <w:lang w:val="en-US" w:eastAsia="zh-CN"/>
              </w:rPr>
              <w:t>产品</w:t>
            </w:r>
            <w:r>
              <w:rPr>
                <w:rFonts w:hint="eastAsia" w:ascii="楷体_GB2312" w:hAnsi="宋体" w:eastAsia="楷体_GB2312"/>
                <w:color w:val="auto"/>
                <w:sz w:val="24"/>
                <w:highlight w:val="none"/>
              </w:rPr>
              <w:t>资产净值。</w:t>
            </w:r>
          </w:p>
          <w:p>
            <w:pPr>
              <w:rPr>
                <w:rFonts w:ascii="楷体_GB2312" w:hAnsi="宋体" w:eastAsia="楷体_GB2312"/>
                <w:color w:val="auto"/>
                <w:sz w:val="24"/>
                <w:highlight w:val="none"/>
              </w:rPr>
            </w:pPr>
            <w:r>
              <w:rPr>
                <w:rFonts w:hint="eastAsia" w:ascii="楷体_GB2312" w:hAnsi="宋体" w:eastAsia="楷体_GB2312"/>
                <w:color w:val="auto"/>
                <w:sz w:val="24"/>
                <w:highlight w:val="none"/>
              </w:rPr>
              <w:t>2.每个季度结束之日起15个工作日内、上半年结束之日起60</w:t>
            </w:r>
          </w:p>
          <w:p>
            <w:pPr>
              <w:rPr>
                <w:rFonts w:ascii="楷体_GB2312" w:hAnsi="宋体" w:eastAsia="楷体_GB2312"/>
                <w:color w:val="auto"/>
                <w:sz w:val="24"/>
                <w:highlight w:val="none"/>
              </w:rPr>
            </w:pPr>
            <w:r>
              <w:rPr>
                <w:rFonts w:hint="eastAsia" w:ascii="楷体_GB2312" w:hAnsi="宋体" w:eastAsia="楷体_GB2312"/>
                <w:color w:val="auto"/>
                <w:sz w:val="24"/>
                <w:highlight w:val="none"/>
              </w:rPr>
              <w:t>个工作日内、每年结束之日起90个工作日内</w:t>
            </w:r>
            <w:r>
              <w:rPr>
                <w:rFonts w:ascii="楷体_GB2312" w:hAnsi="宋体" w:eastAsia="楷体_GB2312"/>
                <w:color w:val="auto"/>
                <w:sz w:val="24"/>
                <w:highlight w:val="none"/>
              </w:rPr>
              <w:t>，</w:t>
            </w:r>
            <w:r>
              <w:rPr>
                <w:rFonts w:hint="eastAsia" w:ascii="楷体_GB2312" w:hAnsi="宋体" w:eastAsia="楷体_GB2312"/>
                <w:color w:val="auto"/>
                <w:sz w:val="24"/>
                <w:highlight w:val="none"/>
                <w:lang w:eastAsia="zh-CN"/>
              </w:rPr>
              <w:t>产品管理人</w:t>
            </w:r>
            <w:r>
              <w:rPr>
                <w:rFonts w:hint="eastAsia" w:ascii="楷体_GB2312" w:hAnsi="宋体" w:eastAsia="楷体_GB2312"/>
                <w:color w:val="auto"/>
                <w:sz w:val="24"/>
                <w:highlight w:val="none"/>
              </w:rPr>
              <w:t>编制完成</w:t>
            </w:r>
            <w:r>
              <w:rPr>
                <w:rFonts w:hint="eastAsia" w:ascii="楷体_GB2312" w:hAnsi="宋体" w:eastAsia="楷体_GB2312"/>
                <w:color w:val="auto"/>
                <w:sz w:val="24"/>
                <w:highlight w:val="none"/>
                <w:lang w:eastAsia="zh-CN"/>
              </w:rPr>
              <w:t>本理财产品</w:t>
            </w:r>
            <w:r>
              <w:rPr>
                <w:rFonts w:hint="eastAsia" w:ascii="楷体_GB2312" w:hAnsi="宋体" w:eastAsia="楷体_GB2312"/>
                <w:color w:val="auto"/>
                <w:sz w:val="24"/>
                <w:highlight w:val="none"/>
              </w:rPr>
              <w:t>的季度、半年和年度报告等定期报告，并通过</w:t>
            </w:r>
            <w:r>
              <w:rPr>
                <w:rFonts w:hint="eastAsia" w:ascii="楷体_GB2312" w:hAnsi="宋体" w:eastAsia="楷体_GB2312"/>
                <w:color w:val="auto"/>
                <w:sz w:val="24"/>
                <w:highlight w:val="none"/>
                <w:lang w:val="en-US" w:eastAsia="zh-CN"/>
              </w:rPr>
              <w:t>本理财产品销售文件约定的信息披露渠道</w:t>
            </w:r>
            <w:r>
              <w:rPr>
                <w:rFonts w:hint="eastAsia" w:ascii="楷体_GB2312" w:hAnsi="宋体" w:eastAsia="楷体_GB2312"/>
                <w:color w:val="auto"/>
                <w:sz w:val="24"/>
                <w:highlight w:val="none"/>
              </w:rPr>
              <w:t>向投资者披露。</w:t>
            </w:r>
            <w:r>
              <w:rPr>
                <w:rFonts w:hint="eastAsia" w:ascii="楷体_GB2312" w:hAnsi="宋体" w:eastAsia="楷体_GB2312"/>
                <w:color w:val="auto"/>
                <w:sz w:val="24"/>
                <w:highlight w:val="none"/>
                <w:lang w:val="en-US" w:eastAsia="zh-CN"/>
              </w:rPr>
              <w:t>本</w:t>
            </w:r>
            <w:r>
              <w:rPr>
                <w:rFonts w:hint="eastAsia" w:ascii="楷体_GB2312" w:hAnsi="宋体" w:eastAsia="楷体_GB2312"/>
                <w:color w:val="auto"/>
                <w:sz w:val="24"/>
                <w:highlight w:val="none"/>
              </w:rPr>
              <w:t>理财产品成立不足90</w:t>
            </w:r>
            <w:r>
              <w:rPr>
                <w:rFonts w:hint="eastAsia" w:ascii="楷体_GB2312" w:hAnsi="宋体" w:eastAsia="楷体_GB2312"/>
                <w:color w:val="auto"/>
                <w:sz w:val="24"/>
                <w:highlight w:val="none"/>
                <w:lang w:val="en-US" w:eastAsia="zh-CN"/>
              </w:rPr>
              <w:t>个工作</w:t>
            </w:r>
            <w:r>
              <w:rPr>
                <w:rFonts w:hint="eastAsia" w:ascii="楷体_GB2312" w:hAnsi="宋体" w:eastAsia="楷体_GB2312"/>
                <w:color w:val="auto"/>
                <w:sz w:val="24"/>
                <w:highlight w:val="none"/>
              </w:rPr>
              <w:t>日或者剩余存续期不超过90</w:t>
            </w:r>
            <w:r>
              <w:rPr>
                <w:rFonts w:hint="eastAsia" w:ascii="楷体_GB2312" w:hAnsi="宋体" w:eastAsia="楷体_GB2312"/>
                <w:color w:val="auto"/>
                <w:sz w:val="24"/>
                <w:highlight w:val="none"/>
                <w:lang w:val="en-US" w:eastAsia="zh-CN"/>
              </w:rPr>
              <w:t>个工作</w:t>
            </w:r>
            <w:r>
              <w:rPr>
                <w:rFonts w:hint="eastAsia" w:ascii="楷体_GB2312" w:hAnsi="宋体" w:eastAsia="楷体_GB2312"/>
                <w:color w:val="auto"/>
                <w:sz w:val="24"/>
                <w:highlight w:val="none"/>
              </w:rPr>
              <w:t>日的，</w:t>
            </w:r>
            <w:r>
              <w:rPr>
                <w:rFonts w:hint="eastAsia" w:ascii="楷体_GB2312" w:hAnsi="宋体" w:eastAsia="楷体_GB2312"/>
                <w:color w:val="auto"/>
                <w:sz w:val="24"/>
                <w:highlight w:val="none"/>
                <w:lang w:val="en-US" w:eastAsia="zh-CN"/>
              </w:rPr>
              <w:t>产品管理人</w:t>
            </w:r>
            <w:r>
              <w:rPr>
                <w:rFonts w:hint="eastAsia" w:ascii="楷体_GB2312" w:hAnsi="宋体" w:eastAsia="楷体_GB2312"/>
                <w:color w:val="auto"/>
                <w:sz w:val="24"/>
                <w:highlight w:val="none"/>
              </w:rPr>
              <w:t>可以不编制</w:t>
            </w:r>
            <w:r>
              <w:rPr>
                <w:rFonts w:hint="eastAsia" w:ascii="楷体_GB2312" w:hAnsi="宋体" w:eastAsia="楷体_GB2312"/>
                <w:color w:val="auto"/>
                <w:sz w:val="24"/>
                <w:highlight w:val="none"/>
                <w:lang w:val="en-US" w:eastAsia="zh-CN"/>
              </w:rPr>
              <w:t>本</w:t>
            </w:r>
            <w:r>
              <w:rPr>
                <w:rFonts w:hint="eastAsia" w:ascii="楷体_GB2312" w:hAnsi="宋体" w:eastAsia="楷体_GB2312"/>
                <w:color w:val="auto"/>
                <w:sz w:val="24"/>
                <w:highlight w:val="none"/>
              </w:rPr>
              <w:t>理财产品当期的季度、半年和年度报告。</w:t>
            </w:r>
          </w:p>
          <w:p>
            <w:pPr>
              <w:numPr>
                <w:ilvl w:val="0"/>
                <w:numId w:val="0"/>
              </w:numPr>
              <w:ind w:firstLine="0" w:firstLineChars="0"/>
              <w:rPr>
                <w:rFonts w:hint="eastAsia" w:ascii="楷体_GB2312" w:hAnsi="宋体" w:eastAsia="楷体_GB2312"/>
                <w:color w:val="auto"/>
                <w:sz w:val="24"/>
                <w:highlight w:val="none"/>
              </w:rPr>
            </w:pPr>
            <w:r>
              <w:rPr>
                <w:rFonts w:hint="eastAsia" w:ascii="楷体_GB2312" w:hAnsi="宋体" w:eastAsia="楷体_GB2312"/>
                <w:color w:val="auto"/>
                <w:sz w:val="24"/>
                <w:highlight w:val="none"/>
                <w:lang w:val="en-US" w:eastAsia="zh-CN"/>
              </w:rPr>
              <w:t>3.</w:t>
            </w:r>
            <w:r>
              <w:rPr>
                <w:rFonts w:hint="eastAsia" w:ascii="楷体_GB2312" w:hAnsi="宋体" w:eastAsia="楷体_GB2312"/>
                <w:color w:val="auto"/>
                <w:sz w:val="24"/>
                <w:highlight w:val="none"/>
                <w:lang w:eastAsia="zh-CN"/>
              </w:rPr>
              <w:t>产品管理人</w:t>
            </w:r>
            <w:r>
              <w:rPr>
                <w:rFonts w:hint="eastAsia" w:ascii="楷体_GB2312" w:hAnsi="宋体" w:eastAsia="楷体_GB2312"/>
                <w:color w:val="auto"/>
                <w:sz w:val="24"/>
                <w:highlight w:val="none"/>
              </w:rPr>
              <w:t>保留对</w:t>
            </w:r>
            <w:r>
              <w:rPr>
                <w:rFonts w:hint="eastAsia" w:ascii="楷体_GB2312" w:hAnsi="宋体" w:eastAsia="楷体_GB2312"/>
                <w:color w:val="auto"/>
                <w:sz w:val="24"/>
                <w:highlight w:val="none"/>
                <w:lang w:eastAsia="zh-CN"/>
              </w:rPr>
              <w:t>本理财产品</w:t>
            </w:r>
            <w:r>
              <w:rPr>
                <w:rFonts w:hint="eastAsia" w:ascii="楷体_GB2312" w:hAnsi="宋体" w:eastAsia="楷体_GB2312"/>
                <w:color w:val="auto"/>
                <w:sz w:val="24"/>
                <w:highlight w:val="none"/>
              </w:rPr>
              <w:t>信息披露频率变更的权利。</w:t>
            </w:r>
          </w:p>
          <w:p>
            <w:pPr>
              <w:rPr>
                <w:rFonts w:ascii="楷体_GB2312" w:hAnsi="宋体" w:eastAsia="楷体_GB2312"/>
                <w:color w:val="000000"/>
                <w:sz w:val="24"/>
              </w:rPr>
            </w:pPr>
            <w:r>
              <w:rPr>
                <w:rFonts w:hint="eastAsia" w:ascii="楷体_GB2312" w:hAnsi="宋体" w:eastAsia="楷体_GB2312"/>
                <w:b/>
                <w:bCs/>
                <w:color w:val="auto"/>
                <w:sz w:val="24"/>
                <w:highlight w:val="none"/>
              </w:rPr>
              <w:t>★净值及投资报告披露</w:t>
            </w:r>
            <w:r>
              <w:rPr>
                <w:rFonts w:hint="eastAsia" w:ascii="楷体_GB2312" w:hAnsi="宋体" w:eastAsia="楷体_GB2312"/>
                <w:b/>
                <w:bCs/>
                <w:color w:val="auto"/>
                <w:sz w:val="24"/>
                <w:highlight w:val="none"/>
                <w:lang w:val="en-US" w:eastAsia="zh-CN"/>
              </w:rPr>
              <w:t>详情请见</w:t>
            </w:r>
            <w:r>
              <w:rPr>
                <w:rFonts w:hint="eastAsia" w:ascii="楷体_GB2312" w:hAnsi="宋体" w:eastAsia="楷体_GB2312"/>
                <w:b/>
                <w:bCs/>
                <w:color w:val="auto"/>
                <w:sz w:val="24"/>
                <w:szCs w:val="24"/>
                <w:highlight w:val="none"/>
                <w:lang w:val="en-US" w:eastAsia="zh-CN"/>
              </w:rPr>
              <w:t>本《</w:t>
            </w:r>
            <w:r>
              <w:rPr>
                <w:rFonts w:hint="eastAsia" w:ascii="楷体_GB2312" w:eastAsia="楷体_GB2312"/>
                <w:b/>
                <w:bCs/>
                <w:color w:val="auto"/>
                <w:sz w:val="24"/>
                <w:highlight w:val="none"/>
                <w:lang w:val="en-US" w:eastAsia="zh-CN"/>
              </w:rPr>
              <w:t>理财产品说明书</w:t>
            </w:r>
            <w:r>
              <w:rPr>
                <w:rFonts w:hint="eastAsia" w:ascii="楷体_GB2312" w:hAnsi="宋体" w:eastAsia="楷体_GB2312"/>
                <w:b/>
                <w:bCs/>
                <w:color w:val="auto"/>
                <w:sz w:val="24"/>
                <w:szCs w:val="24"/>
                <w:highlight w:val="none"/>
                <w:lang w:val="en-US" w:eastAsia="zh-CN"/>
              </w:rPr>
              <w:t>》“</w:t>
            </w:r>
            <w:r>
              <w:rPr>
                <w:rFonts w:hint="eastAsia" w:ascii="楷体_GB2312" w:hAnsi="宋体" w:eastAsia="楷体_GB2312"/>
                <w:b/>
                <w:bCs/>
                <w:color w:val="auto"/>
                <w:sz w:val="24"/>
                <w:highlight w:val="none"/>
              </w:rPr>
              <w:t>十一、产品的信息披露</w:t>
            </w:r>
            <w:r>
              <w:rPr>
                <w:rFonts w:hint="eastAsia" w:ascii="楷体_GB2312" w:hAnsi="宋体" w:eastAsia="楷体_GB2312"/>
                <w:b/>
                <w:bCs/>
                <w:color w:val="auto"/>
                <w:sz w:val="24"/>
                <w:szCs w:val="24"/>
                <w:highlight w:val="none"/>
                <w:lang w:val="en-US" w:eastAsia="zh-CN"/>
              </w:rPr>
              <w:t>”部分。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56" w:hRule="atLeast"/>
        </w:trPr>
        <w:tc>
          <w:tcPr>
            <w:tcW w:w="2451" w:type="dxa"/>
            <w:vAlign w:val="center"/>
          </w:tcPr>
          <w:p>
            <w:pPr>
              <w:snapToGrid w:val="0"/>
              <w:rPr>
                <w:rFonts w:ascii="楷体_GB2312" w:eastAsia="楷体_GB2312"/>
                <w:bCs/>
                <w:color w:val="000000"/>
                <w:sz w:val="24"/>
              </w:rPr>
            </w:pPr>
            <w:r>
              <w:rPr>
                <w:rFonts w:hint="eastAsia" w:ascii="楷体_GB2312" w:eastAsia="楷体_GB2312"/>
                <w:bCs/>
                <w:color w:val="000000"/>
                <w:sz w:val="24"/>
              </w:rPr>
              <w:t>税款</w:t>
            </w:r>
          </w:p>
        </w:tc>
        <w:tc>
          <w:tcPr>
            <w:tcW w:w="6633" w:type="dxa"/>
            <w:vAlign w:val="center"/>
          </w:tcPr>
          <w:p>
            <w:pPr>
              <w:rPr>
                <w:rFonts w:ascii="楷体_GB2312" w:hAnsi="宋体" w:eastAsia="楷体_GB2312"/>
                <w:color w:val="000000"/>
                <w:sz w:val="24"/>
              </w:rPr>
            </w:pPr>
            <w:r>
              <w:rPr>
                <w:rFonts w:hint="eastAsia" w:ascii="楷体_GB2312" w:hAnsi="宋体" w:eastAsia="楷体_GB2312"/>
                <w:color w:val="auto"/>
                <w:sz w:val="24"/>
                <w:highlight w:val="none"/>
              </w:rPr>
              <w:t>相关税收法律法规规定，</w:t>
            </w:r>
            <w:r>
              <w:rPr>
                <w:rFonts w:hint="eastAsia" w:ascii="楷体_GB2312" w:hAnsi="宋体" w:eastAsia="楷体_GB2312"/>
                <w:color w:val="auto"/>
                <w:sz w:val="24"/>
                <w:highlight w:val="none"/>
                <w:lang w:eastAsia="zh-CN"/>
              </w:rPr>
              <w:t>本理财产品</w:t>
            </w:r>
            <w:r>
              <w:rPr>
                <w:rFonts w:hint="eastAsia" w:ascii="楷体_GB2312" w:hAnsi="宋体" w:eastAsia="楷体_GB2312"/>
                <w:color w:val="auto"/>
                <w:sz w:val="24"/>
                <w:highlight w:val="none"/>
              </w:rPr>
              <w:t>运营过程中产生的税费，由</w:t>
            </w:r>
            <w:r>
              <w:rPr>
                <w:rFonts w:hint="eastAsia" w:ascii="楷体_GB2312" w:hAnsi="宋体" w:eastAsia="楷体_GB2312"/>
                <w:color w:val="auto"/>
                <w:sz w:val="24"/>
                <w:highlight w:val="none"/>
                <w:lang w:eastAsia="zh-CN"/>
              </w:rPr>
              <w:t>本</w:t>
            </w:r>
            <w:r>
              <w:rPr>
                <w:rFonts w:hint="eastAsia" w:ascii="楷体_GB2312" w:hAnsi="宋体" w:eastAsia="楷体_GB2312"/>
                <w:color w:val="auto"/>
                <w:sz w:val="24"/>
                <w:highlight w:val="none"/>
              </w:rPr>
              <w:t>理财产品承担。投资者从</w:t>
            </w:r>
            <w:r>
              <w:rPr>
                <w:rFonts w:hint="eastAsia" w:ascii="楷体_GB2312" w:hAnsi="宋体" w:eastAsia="楷体_GB2312"/>
                <w:color w:val="auto"/>
                <w:sz w:val="24"/>
                <w:highlight w:val="none"/>
                <w:lang w:eastAsia="zh-CN"/>
              </w:rPr>
              <w:t>本</w:t>
            </w:r>
            <w:r>
              <w:rPr>
                <w:rFonts w:hint="eastAsia" w:ascii="楷体_GB2312" w:hAnsi="宋体" w:eastAsia="楷体_GB2312"/>
                <w:color w:val="auto"/>
                <w:sz w:val="24"/>
                <w:highlight w:val="none"/>
              </w:rPr>
              <w:t>理财产品取得的收益应纳税款由投资者自行申报及缴纳，</w:t>
            </w:r>
            <w:r>
              <w:rPr>
                <w:rFonts w:hint="eastAsia" w:ascii="楷体_GB2312" w:hAnsi="宋体" w:eastAsia="楷体_GB2312"/>
                <w:color w:val="auto"/>
                <w:sz w:val="24"/>
                <w:highlight w:val="none"/>
                <w:lang w:eastAsia="zh-CN"/>
              </w:rPr>
              <w:t>产品管理人</w:t>
            </w:r>
            <w:r>
              <w:rPr>
                <w:rFonts w:hint="eastAsia" w:ascii="楷体_GB2312" w:hAnsi="宋体" w:eastAsia="楷体_GB2312"/>
                <w:color w:val="auto"/>
                <w:sz w:val="24"/>
                <w:highlight w:val="none"/>
              </w:rPr>
              <w:t>不承担相关代扣代缴或纳税义务。</w:t>
            </w:r>
          </w:p>
        </w:tc>
      </w:tr>
    </w:tbl>
    <w:p>
      <w:pPr>
        <w:ind w:firstLine="482" w:firstLineChars="200"/>
        <w:rPr>
          <w:rFonts w:ascii="楷体_GB2312" w:hAnsi="宋体" w:eastAsia="楷体_GB2312"/>
          <w:b/>
          <w:color w:val="000000"/>
          <w:sz w:val="24"/>
        </w:rPr>
      </w:pPr>
      <w:r>
        <w:rPr>
          <w:rFonts w:hint="eastAsia" w:ascii="楷体_GB2312" w:hAnsi="宋体" w:eastAsia="楷体_GB2312"/>
          <w:b/>
          <w:color w:val="000000"/>
          <w:sz w:val="24"/>
        </w:rPr>
        <w:t>四、产品的投资运作</w:t>
      </w:r>
    </w:p>
    <w:p>
      <w:pPr>
        <w:ind w:firstLine="480" w:firstLineChars="200"/>
        <w:rPr>
          <w:rFonts w:ascii="楷体_GB2312" w:hAnsi="宋体" w:eastAsia="楷体_GB2312"/>
          <w:color w:val="000000"/>
          <w:sz w:val="24"/>
        </w:rPr>
      </w:pPr>
      <w:r>
        <w:rPr>
          <w:rFonts w:ascii="楷体_GB2312" w:hAnsi="宋体" w:eastAsia="楷体_GB2312"/>
          <w:color w:val="000000"/>
          <w:sz w:val="24"/>
        </w:rPr>
        <w:t>（一）投资范围</w:t>
      </w:r>
    </w:p>
    <w:p>
      <w:pPr>
        <w:adjustRightInd/>
        <w:snapToGrid/>
        <w:ind w:firstLine="480" w:firstLineChars="200"/>
        <w:rPr>
          <w:rFonts w:hint="eastAsia" w:ascii="楷体_GB2312" w:hAnsi="宋体" w:eastAsia="楷体_GB2312"/>
          <w:color w:val="000000"/>
          <w:sz w:val="24"/>
          <w:szCs w:val="24"/>
          <w:highlight w:val="none"/>
        </w:rPr>
      </w:pPr>
      <w:r>
        <w:rPr>
          <w:rFonts w:hint="eastAsia" w:ascii="楷体_GB2312" w:hAnsi="宋体" w:eastAsia="楷体_GB2312" w:cs="Times New Roman"/>
          <w:color w:val="000000"/>
          <w:sz w:val="24"/>
          <w:szCs w:val="24"/>
          <w:highlight w:val="none"/>
        </w:rPr>
        <w:t>本</w:t>
      </w:r>
      <w:r>
        <w:rPr>
          <w:rFonts w:hint="eastAsia" w:ascii="楷体_GB2312" w:hAnsi="宋体" w:eastAsia="楷体_GB2312" w:cs="Times New Roman"/>
          <w:color w:val="000000"/>
          <w:sz w:val="24"/>
          <w:szCs w:val="24"/>
          <w:highlight w:val="none"/>
          <w:lang w:val="en-US" w:eastAsia="zh-CN"/>
        </w:rPr>
        <w:t>理财</w:t>
      </w:r>
      <w:r>
        <w:rPr>
          <w:rFonts w:hint="eastAsia" w:ascii="楷体_GB2312" w:hAnsi="宋体" w:eastAsia="楷体_GB2312" w:cs="Times New Roman"/>
          <w:color w:val="000000"/>
          <w:sz w:val="24"/>
          <w:szCs w:val="24"/>
          <w:highlight w:val="none"/>
        </w:rPr>
        <w:t>产品</w:t>
      </w:r>
      <w:r>
        <w:rPr>
          <w:rFonts w:hint="eastAsia" w:ascii="楷体_GB2312" w:hAnsi="宋体" w:eastAsia="楷体_GB2312" w:cs="Times New Roman"/>
          <w:color w:val="000000"/>
          <w:sz w:val="24"/>
          <w:szCs w:val="24"/>
          <w:highlight w:val="none"/>
          <w:lang w:val="en-US" w:eastAsia="zh-CN"/>
        </w:rPr>
        <w:t>可</w:t>
      </w:r>
      <w:r>
        <w:rPr>
          <w:rFonts w:hint="eastAsia" w:ascii="楷体_GB2312" w:hAnsi="宋体" w:eastAsia="楷体_GB2312" w:cs="Times New Roman"/>
          <w:color w:val="000000"/>
          <w:sz w:val="24"/>
          <w:szCs w:val="24"/>
          <w:highlight w:val="none"/>
        </w:rPr>
        <w:t>投资于境内外市场发行的固定收益类</w:t>
      </w:r>
      <w:r>
        <w:rPr>
          <w:rFonts w:hint="eastAsia" w:ascii="楷体_GB2312" w:hAnsi="宋体" w:eastAsia="楷体_GB2312" w:cs="Times New Roman"/>
          <w:color w:val="000000"/>
          <w:sz w:val="24"/>
          <w:szCs w:val="24"/>
          <w:highlight w:val="none"/>
          <w:lang w:val="en-US" w:eastAsia="zh-CN"/>
        </w:rPr>
        <w:t>资产</w:t>
      </w:r>
      <w:r>
        <w:rPr>
          <w:rFonts w:hint="eastAsia" w:ascii="楷体_GB2312" w:hAnsi="宋体" w:eastAsia="楷体_GB2312" w:cs="Times New Roman"/>
          <w:color w:val="000000"/>
          <w:sz w:val="24"/>
          <w:szCs w:val="24"/>
          <w:highlight w:val="none"/>
        </w:rPr>
        <w:t>、权益类</w:t>
      </w:r>
      <w:r>
        <w:rPr>
          <w:rFonts w:hint="eastAsia" w:ascii="楷体_GB2312" w:hAnsi="宋体" w:eastAsia="楷体_GB2312" w:cs="Times New Roman"/>
          <w:color w:val="000000"/>
          <w:sz w:val="24"/>
          <w:szCs w:val="24"/>
          <w:highlight w:val="none"/>
          <w:lang w:val="en-US" w:eastAsia="zh-CN"/>
        </w:rPr>
        <w:t>资产和</w:t>
      </w:r>
      <w:r>
        <w:rPr>
          <w:rFonts w:hint="eastAsia" w:ascii="楷体_GB2312" w:hAnsi="宋体" w:eastAsia="楷体_GB2312" w:cs="Times New Roman"/>
          <w:color w:val="000000"/>
          <w:sz w:val="24"/>
          <w:szCs w:val="24"/>
          <w:highlight w:val="none"/>
        </w:rPr>
        <w:t>商品及金融衍生品类资产</w:t>
      </w:r>
      <w:r>
        <w:rPr>
          <w:rFonts w:hint="eastAsia" w:ascii="楷体_GB2312" w:hAnsi="宋体" w:eastAsia="楷体_GB2312" w:cs="Times New Roman"/>
          <w:color w:val="000000"/>
          <w:sz w:val="24"/>
          <w:szCs w:val="24"/>
          <w:highlight w:val="none"/>
          <w:lang w:val="en-US" w:eastAsia="zh-CN"/>
        </w:rPr>
        <w:t>等</w:t>
      </w:r>
      <w:r>
        <w:rPr>
          <w:rFonts w:hint="eastAsia" w:ascii="楷体_GB2312" w:hAnsi="宋体" w:eastAsia="楷体_GB2312" w:cs="Times New Roman"/>
          <w:color w:val="000000"/>
          <w:sz w:val="24"/>
          <w:szCs w:val="24"/>
          <w:highlight w:val="none"/>
        </w:rPr>
        <w:t>，</w:t>
      </w:r>
      <w:r>
        <w:rPr>
          <w:rFonts w:hint="eastAsia" w:ascii="楷体_GB2312" w:hAnsi="宋体" w:eastAsia="楷体_GB2312" w:cs="Times New Roman"/>
          <w:color w:val="000000"/>
          <w:sz w:val="24"/>
          <w:szCs w:val="24"/>
          <w:highlight w:val="none"/>
          <w:lang w:val="en-US" w:eastAsia="zh-CN"/>
        </w:rPr>
        <w:t>具体包括</w:t>
      </w:r>
      <w:r>
        <w:rPr>
          <w:rFonts w:hint="eastAsia" w:ascii="楷体_GB2312" w:hAnsi="宋体" w:eastAsia="楷体_GB2312"/>
          <w:color w:val="000000"/>
          <w:sz w:val="24"/>
          <w:szCs w:val="24"/>
          <w:highlight w:val="none"/>
        </w:rPr>
        <w:t>：</w:t>
      </w:r>
    </w:p>
    <w:p>
      <w:pPr>
        <w:ind w:firstLine="480" w:firstLineChars="200"/>
        <w:rPr>
          <w:rFonts w:hint="eastAsia" w:ascii="楷体_GB2312" w:hAnsi="宋体" w:eastAsia="楷体_GB2312" w:cs="Times New Roman"/>
          <w:color w:val="000000"/>
          <w:sz w:val="24"/>
          <w:highlight w:val="none"/>
        </w:rPr>
      </w:pPr>
      <w:r>
        <w:rPr>
          <w:rFonts w:hint="eastAsia" w:ascii="楷体_GB2312" w:hAnsi="宋体" w:eastAsia="楷体_GB2312" w:cs="Times New Roman"/>
          <w:bCs w:val="0"/>
          <w:color w:val="000000"/>
          <w:sz w:val="24"/>
          <w:szCs w:val="24"/>
          <w:highlight w:val="none"/>
        </w:rPr>
        <w:t>固定收益类资产，包括但不限于银行存款、同业存款、大额存单、资金拆借、债券回购等货币市场工具；国债、政策性金融债、金融债、地方政府债、政府支持机构债券、短期融资券、超短期融资券、中期票据（包括永续中票）、企业债、公司债（包含可续期公司债）、同业存单、非公开定向债务融资工具、资产支持证券、次级债（包括二级资本债）</w:t>
      </w:r>
      <w:r>
        <w:rPr>
          <w:rFonts w:hint="eastAsia" w:ascii="楷体_GB2312" w:hAnsi="宋体" w:eastAsia="楷体_GB2312" w:cs="Times New Roman"/>
          <w:bCs w:val="0"/>
          <w:color w:val="000000"/>
          <w:sz w:val="24"/>
          <w:szCs w:val="24"/>
          <w:highlight w:val="none"/>
          <w:lang w:val="en-US" w:eastAsia="zh-CN"/>
        </w:rPr>
        <w:t>等银行间市场、</w:t>
      </w:r>
      <w:r>
        <w:rPr>
          <w:rFonts w:hint="eastAsia" w:ascii="楷体_GB2312" w:hAnsi="宋体" w:eastAsia="楷体_GB2312" w:cs="Times New Roman"/>
          <w:bCs w:val="0"/>
          <w:color w:val="000000"/>
          <w:sz w:val="24"/>
          <w:szCs w:val="24"/>
          <w:highlight w:val="none"/>
        </w:rPr>
        <w:t>证券交易所市场及经国务院同意设立的其他交易市场的债券及债务融资工具</w:t>
      </w:r>
      <w:r>
        <w:rPr>
          <w:rFonts w:hint="eastAsia" w:ascii="楷体_GB2312" w:hAnsi="宋体" w:eastAsia="楷体_GB2312" w:cs="Times New Roman"/>
          <w:color w:val="000000"/>
          <w:sz w:val="24"/>
          <w:highlight w:val="none"/>
        </w:rPr>
        <w:t>；</w:t>
      </w:r>
    </w:p>
    <w:p>
      <w:pPr>
        <w:ind w:firstLine="480" w:firstLineChars="200"/>
        <w:rPr>
          <w:rFonts w:hint="eastAsia" w:ascii="楷体_GB2312" w:hAnsi="宋体" w:eastAsia="楷体_GB2312" w:cs="Times New Roman"/>
          <w:color w:val="000000"/>
          <w:sz w:val="24"/>
          <w:highlight w:val="none"/>
        </w:rPr>
      </w:pPr>
      <w:r>
        <w:rPr>
          <w:rFonts w:hint="eastAsia" w:ascii="楷体_GB2312" w:hAnsi="宋体" w:eastAsia="楷体_GB2312" w:cs="Times New Roman"/>
          <w:bCs w:val="0"/>
          <w:color w:val="000000"/>
          <w:sz w:val="24"/>
          <w:szCs w:val="24"/>
          <w:highlight w:val="none"/>
          <w:lang w:val="en-US" w:eastAsia="zh-CN"/>
        </w:rPr>
        <w:t>权益</w:t>
      </w:r>
      <w:r>
        <w:rPr>
          <w:rFonts w:hint="eastAsia" w:ascii="楷体_GB2312" w:hAnsi="宋体" w:eastAsia="楷体_GB2312" w:cs="Times New Roman"/>
          <w:bCs w:val="0"/>
          <w:color w:val="000000"/>
          <w:sz w:val="24"/>
          <w:szCs w:val="24"/>
          <w:highlight w:val="none"/>
        </w:rPr>
        <w:t>类资产，</w:t>
      </w:r>
      <w:r>
        <w:rPr>
          <w:rFonts w:hint="eastAsia" w:ascii="楷体_GB2312" w:hAnsi="宋体" w:eastAsia="楷体_GB2312" w:cs="Times New Roman"/>
          <w:bCs w:val="0"/>
          <w:color w:val="000000"/>
          <w:sz w:val="24"/>
          <w:szCs w:val="24"/>
          <w:highlight w:val="none"/>
          <w:lang w:val="en-US" w:eastAsia="zh-CN"/>
        </w:rPr>
        <w:t>仅限于境内外发行的优先股</w:t>
      </w:r>
      <w:r>
        <w:rPr>
          <w:rFonts w:hint="eastAsia" w:ascii="楷体_GB2312" w:hAnsi="宋体" w:eastAsia="楷体_GB2312" w:cs="Times New Roman"/>
          <w:color w:val="000000"/>
          <w:sz w:val="24"/>
          <w:highlight w:val="none"/>
          <w:lang w:eastAsia="zh-CN"/>
        </w:rPr>
        <w:t>；</w:t>
      </w:r>
    </w:p>
    <w:p>
      <w:pPr>
        <w:ind w:firstLine="480" w:firstLineChars="200"/>
        <w:rPr>
          <w:rFonts w:hint="eastAsia" w:ascii="楷体_GB2312" w:hAnsi="宋体" w:eastAsia="楷体_GB2312"/>
          <w:color w:val="000000"/>
          <w:sz w:val="24"/>
          <w:highlight w:val="none"/>
        </w:rPr>
      </w:pPr>
      <w:r>
        <w:rPr>
          <w:rFonts w:hint="eastAsia" w:ascii="楷体_GB2312" w:hAnsi="宋体" w:eastAsia="楷体_GB2312" w:cs="Times New Roman"/>
          <w:bCs w:val="0"/>
          <w:color w:val="000000"/>
          <w:sz w:val="24"/>
          <w:szCs w:val="24"/>
          <w:highlight w:val="none"/>
        </w:rPr>
        <w:t>商品及金融衍生品类资产，包括但不限于期货、期权、远期、互换、风险缓释工具等</w:t>
      </w:r>
      <w:r>
        <w:rPr>
          <w:rFonts w:hint="eastAsia" w:ascii="楷体_GB2312" w:hAnsi="宋体" w:eastAsia="楷体_GB2312"/>
          <w:color w:val="000000"/>
          <w:sz w:val="24"/>
          <w:szCs w:val="24"/>
          <w:highlight w:val="none"/>
        </w:rPr>
        <w:t>。</w:t>
      </w:r>
    </w:p>
    <w:p>
      <w:pPr>
        <w:adjustRightInd/>
        <w:snapToGrid/>
        <w:ind w:firstLine="480" w:firstLineChars="200"/>
        <w:rPr>
          <w:rFonts w:hint="eastAsia" w:ascii="楷体_GB2312" w:hAnsi="宋体" w:eastAsia="楷体_GB2312"/>
          <w:color w:val="000000"/>
          <w:sz w:val="24"/>
          <w:highlight w:val="none"/>
          <w:lang w:val="en-US" w:eastAsia="zh-CN"/>
        </w:rPr>
      </w:pPr>
      <w:r>
        <w:rPr>
          <w:rFonts w:hint="eastAsia" w:ascii="楷体_GB2312" w:hAnsi="宋体" w:eastAsia="楷体_GB2312"/>
          <w:color w:val="000000"/>
          <w:sz w:val="24"/>
          <w:highlight w:val="none"/>
        </w:rPr>
        <w:t>本</w:t>
      </w:r>
      <w:r>
        <w:rPr>
          <w:rFonts w:hint="eastAsia" w:ascii="楷体_GB2312" w:hAnsi="宋体" w:eastAsia="楷体_GB2312"/>
          <w:color w:val="000000"/>
          <w:sz w:val="24"/>
          <w:highlight w:val="none"/>
          <w:lang w:val="en-US" w:eastAsia="zh-CN"/>
        </w:rPr>
        <w:t>理财</w:t>
      </w:r>
      <w:r>
        <w:rPr>
          <w:rFonts w:hint="eastAsia" w:ascii="楷体_GB2312" w:hAnsi="宋体" w:eastAsia="楷体_GB2312"/>
          <w:color w:val="000000"/>
          <w:sz w:val="24"/>
          <w:highlight w:val="none"/>
        </w:rPr>
        <w:t>产品可投资于以上述资产为投资对象的公募证券投资基金及其他资产管理产品。</w:t>
      </w:r>
    </w:p>
    <w:p>
      <w:pPr>
        <w:ind w:firstLine="480" w:firstLineChars="200"/>
        <w:rPr>
          <w:rFonts w:hint="eastAsia" w:ascii="楷体_GB2312" w:hAnsi="楷体" w:eastAsia="楷体_GB2312" w:cs="Times New Roman"/>
          <w:sz w:val="24"/>
        </w:rPr>
      </w:pPr>
      <w:r>
        <w:rPr>
          <w:rFonts w:hint="eastAsia" w:ascii="楷体_GB2312" w:hAnsi="楷体" w:eastAsia="楷体_GB2312" w:cs="Times New Roman"/>
          <w:sz w:val="24"/>
        </w:rPr>
        <w:t>北银理财作为本理财产品的产品管理人，负责在投资范围内对本理财产品的投资进行动态配置，保留对投资目标变更的权利，若发生变更将及时进行信息披露。</w:t>
      </w:r>
    </w:p>
    <w:p>
      <w:pPr>
        <w:numPr>
          <w:ilvl w:val="-1"/>
          <w:numId w:val="0"/>
        </w:numPr>
        <w:ind w:firstLine="480" w:firstLineChars="200"/>
        <w:rPr>
          <w:rFonts w:hint="eastAsia" w:ascii="楷体_GB2312" w:hAnsi="楷体" w:eastAsia="楷体_GB2312" w:cs="Times New Roman"/>
          <w:sz w:val="24"/>
        </w:rPr>
      </w:pPr>
      <w:r>
        <w:rPr>
          <w:rFonts w:hint="eastAsia" w:ascii="楷体_GB2312" w:hAnsi="楷体" w:eastAsia="楷体_GB2312" w:cs="Times New Roman"/>
          <w:sz w:val="24"/>
        </w:rPr>
        <w:t>（二）投资比例</w:t>
      </w:r>
    </w:p>
    <w:p>
      <w:pPr>
        <w:pStyle w:val="2"/>
        <w:ind w:left="0" w:leftChars="0" w:firstLine="480" w:firstLineChars="200"/>
        <w:rPr>
          <w:rFonts w:hint="eastAsia" w:ascii="楷体_GB2312" w:hAnsi="宋体" w:eastAsia="楷体_GB2312" w:cs="Times New Roman"/>
          <w:bCs w:val="0"/>
          <w:color w:val="000000"/>
          <w:sz w:val="24"/>
          <w:szCs w:val="24"/>
          <w:highlight w:val="none"/>
        </w:rPr>
      </w:pPr>
      <w:r>
        <w:rPr>
          <w:rFonts w:hint="eastAsia" w:ascii="楷体_GB2312" w:hAnsi="宋体" w:eastAsia="楷体_GB2312" w:cs="Times New Roman"/>
          <w:bCs w:val="0"/>
          <w:color w:val="000000"/>
          <w:sz w:val="24"/>
          <w:szCs w:val="24"/>
          <w:highlight w:val="none"/>
          <w:lang w:val="en-US" w:eastAsia="zh-CN"/>
        </w:rPr>
        <w:t>1.</w:t>
      </w:r>
      <w:r>
        <w:rPr>
          <w:rFonts w:hint="eastAsia" w:ascii="楷体_GB2312" w:hAnsi="宋体" w:eastAsia="楷体_GB2312" w:cs="Times New Roman"/>
          <w:bCs w:val="0"/>
          <w:color w:val="000000"/>
          <w:sz w:val="24"/>
          <w:szCs w:val="24"/>
          <w:highlight w:val="none"/>
        </w:rPr>
        <w:t>直接或间接投资</w:t>
      </w:r>
      <w:r>
        <w:rPr>
          <w:rFonts w:hint="eastAsia" w:ascii="楷体_GB2312" w:hAnsi="宋体" w:eastAsia="楷体_GB2312" w:cs="Times New Roman"/>
          <w:bCs w:val="0"/>
          <w:color w:val="000000"/>
          <w:sz w:val="24"/>
          <w:szCs w:val="24"/>
          <w:highlight w:val="none"/>
          <w:lang w:val="en-US" w:eastAsia="zh-CN"/>
        </w:rPr>
        <w:t>于</w:t>
      </w:r>
      <w:r>
        <w:rPr>
          <w:rFonts w:hint="eastAsia" w:ascii="楷体_GB2312" w:hAnsi="宋体" w:eastAsia="楷体_GB2312" w:cs="Times New Roman"/>
          <w:bCs w:val="0"/>
          <w:color w:val="000000"/>
          <w:sz w:val="24"/>
          <w:szCs w:val="24"/>
          <w:highlight w:val="none"/>
        </w:rPr>
        <w:t>固定收益类资产的比例为</w:t>
      </w:r>
      <w:r>
        <w:rPr>
          <w:rFonts w:hint="eastAsia" w:ascii="楷体_GB2312" w:hAnsi="宋体" w:eastAsia="楷体_GB2312" w:cs="Times New Roman"/>
          <w:bCs w:val="0"/>
          <w:color w:val="000000"/>
          <w:sz w:val="24"/>
          <w:szCs w:val="24"/>
          <w:highlight w:val="none"/>
          <w:lang w:val="en-US" w:eastAsia="zh-CN"/>
        </w:rPr>
        <w:t>85</w:t>
      </w:r>
      <w:r>
        <w:rPr>
          <w:rFonts w:hint="eastAsia" w:ascii="楷体_GB2312" w:hAnsi="宋体" w:eastAsia="楷体_GB2312" w:cs="Times New Roman"/>
          <w:bCs w:val="0"/>
          <w:color w:val="000000"/>
          <w:sz w:val="24"/>
          <w:szCs w:val="24"/>
          <w:highlight w:val="none"/>
        </w:rPr>
        <w:t>%-</w:t>
      </w:r>
      <w:r>
        <w:rPr>
          <w:rFonts w:hint="eastAsia" w:ascii="楷体_GB2312" w:hAnsi="宋体" w:eastAsia="楷体_GB2312" w:cs="Times New Roman"/>
          <w:bCs w:val="0"/>
          <w:color w:val="000000"/>
          <w:sz w:val="24"/>
          <w:szCs w:val="24"/>
          <w:highlight w:val="none"/>
          <w:lang w:val="en-US" w:eastAsia="zh-CN"/>
        </w:rPr>
        <w:t>100</w:t>
      </w:r>
      <w:r>
        <w:rPr>
          <w:rFonts w:hint="eastAsia" w:ascii="楷体_GB2312" w:hAnsi="宋体" w:eastAsia="楷体_GB2312" w:cs="Times New Roman"/>
          <w:bCs w:val="0"/>
          <w:color w:val="000000"/>
          <w:sz w:val="24"/>
          <w:szCs w:val="24"/>
          <w:highlight w:val="none"/>
        </w:rPr>
        <w:t>%。</w:t>
      </w:r>
    </w:p>
    <w:p>
      <w:pPr>
        <w:pStyle w:val="2"/>
        <w:ind w:left="0" w:leftChars="0" w:firstLine="480" w:firstLineChars="200"/>
        <w:rPr>
          <w:rFonts w:hint="eastAsia" w:ascii="楷体_GB2312" w:hAnsi="宋体" w:eastAsia="楷体_GB2312" w:cs="Times New Roman"/>
          <w:bCs w:val="0"/>
          <w:color w:val="000000"/>
          <w:sz w:val="24"/>
          <w:szCs w:val="24"/>
          <w:highlight w:val="none"/>
        </w:rPr>
      </w:pPr>
      <w:r>
        <w:rPr>
          <w:rFonts w:hint="eastAsia" w:ascii="楷体_GB2312" w:hAnsi="宋体" w:eastAsia="楷体_GB2312" w:cs="Times New Roman"/>
          <w:bCs w:val="0"/>
          <w:color w:val="000000"/>
          <w:sz w:val="24"/>
          <w:szCs w:val="24"/>
          <w:highlight w:val="none"/>
          <w:lang w:val="en-US" w:eastAsia="zh-CN"/>
        </w:rPr>
        <w:t>2.</w:t>
      </w:r>
      <w:r>
        <w:rPr>
          <w:rFonts w:hint="eastAsia" w:ascii="楷体_GB2312" w:hAnsi="宋体" w:eastAsia="楷体_GB2312" w:cs="Times New Roman"/>
          <w:bCs w:val="0"/>
          <w:color w:val="000000"/>
          <w:sz w:val="24"/>
          <w:szCs w:val="24"/>
          <w:highlight w:val="none"/>
        </w:rPr>
        <w:t>直接或间接投资于权益类资产</w:t>
      </w:r>
      <w:r>
        <w:rPr>
          <w:rFonts w:hint="eastAsia" w:ascii="楷体_GB2312" w:hAnsi="宋体" w:eastAsia="楷体_GB2312" w:cs="Times New Roman"/>
          <w:bCs w:val="0"/>
          <w:color w:val="000000"/>
          <w:sz w:val="24"/>
          <w:szCs w:val="24"/>
          <w:highlight w:val="none"/>
          <w:lang w:val="en-US" w:eastAsia="zh-CN"/>
        </w:rPr>
        <w:t>的</w:t>
      </w:r>
      <w:r>
        <w:rPr>
          <w:rFonts w:hint="eastAsia" w:ascii="楷体_GB2312" w:hAnsi="宋体" w:eastAsia="楷体_GB2312" w:cs="Times New Roman"/>
          <w:bCs w:val="0"/>
          <w:color w:val="000000"/>
          <w:sz w:val="24"/>
          <w:szCs w:val="24"/>
          <w:highlight w:val="none"/>
        </w:rPr>
        <w:t>比例为</w:t>
      </w:r>
      <w:r>
        <w:rPr>
          <w:rFonts w:hint="eastAsia" w:ascii="楷体_GB2312" w:hAnsi="宋体" w:eastAsia="楷体_GB2312" w:cs="Times New Roman"/>
          <w:bCs w:val="0"/>
          <w:color w:val="000000"/>
          <w:sz w:val="24"/>
          <w:szCs w:val="24"/>
          <w:highlight w:val="none"/>
          <w:lang w:val="en-US" w:eastAsia="zh-CN"/>
        </w:rPr>
        <w:t>0</w:t>
      </w:r>
      <w:r>
        <w:rPr>
          <w:rFonts w:hint="eastAsia" w:ascii="楷体_GB2312" w:hAnsi="宋体" w:eastAsia="楷体_GB2312" w:cs="Times New Roman"/>
          <w:bCs w:val="0"/>
          <w:color w:val="000000"/>
          <w:sz w:val="24"/>
          <w:szCs w:val="24"/>
          <w:highlight w:val="none"/>
        </w:rPr>
        <w:t>%-</w:t>
      </w:r>
      <w:r>
        <w:rPr>
          <w:rFonts w:hint="eastAsia" w:ascii="楷体_GB2312" w:hAnsi="宋体" w:eastAsia="楷体_GB2312" w:cs="Times New Roman"/>
          <w:bCs w:val="0"/>
          <w:color w:val="000000"/>
          <w:sz w:val="24"/>
          <w:szCs w:val="24"/>
          <w:highlight w:val="none"/>
          <w:lang w:val="en-US" w:eastAsia="zh-CN"/>
        </w:rPr>
        <w:t>15</w:t>
      </w:r>
      <w:r>
        <w:rPr>
          <w:rFonts w:hint="eastAsia" w:ascii="楷体_GB2312" w:hAnsi="宋体" w:eastAsia="楷体_GB2312" w:cs="Times New Roman"/>
          <w:bCs w:val="0"/>
          <w:color w:val="000000"/>
          <w:sz w:val="24"/>
          <w:szCs w:val="24"/>
          <w:highlight w:val="none"/>
        </w:rPr>
        <w:t>%</w:t>
      </w:r>
      <w:r>
        <w:rPr>
          <w:rFonts w:hint="eastAsia" w:ascii="楷体_GB2312" w:hAnsi="宋体" w:eastAsia="楷体_GB2312" w:cs="Times New Roman"/>
          <w:bCs w:val="0"/>
          <w:color w:val="000000"/>
          <w:sz w:val="24"/>
          <w:szCs w:val="24"/>
          <w:highlight w:val="none"/>
          <w:lang w:eastAsia="zh-CN"/>
        </w:rPr>
        <w:t>，</w:t>
      </w:r>
      <w:r>
        <w:rPr>
          <w:rFonts w:hint="eastAsia" w:ascii="楷体_GB2312" w:hAnsi="宋体" w:eastAsia="楷体_GB2312" w:cs="Times New Roman"/>
          <w:bCs w:val="0"/>
          <w:color w:val="000000"/>
          <w:sz w:val="24"/>
          <w:szCs w:val="24"/>
          <w:highlight w:val="none"/>
          <w:lang w:val="en-US" w:eastAsia="zh-CN"/>
        </w:rPr>
        <w:t>且仅能投资于境内外发行的优先股</w:t>
      </w:r>
      <w:r>
        <w:rPr>
          <w:rFonts w:hint="eastAsia" w:ascii="楷体_GB2312" w:hAnsi="宋体" w:eastAsia="楷体_GB2312" w:cs="Times New Roman"/>
          <w:bCs w:val="0"/>
          <w:color w:val="000000"/>
          <w:sz w:val="24"/>
          <w:szCs w:val="24"/>
          <w:highlight w:val="none"/>
        </w:rPr>
        <w:t>。</w:t>
      </w:r>
    </w:p>
    <w:p>
      <w:pPr>
        <w:pStyle w:val="2"/>
        <w:ind w:left="0" w:leftChars="0" w:firstLine="480" w:firstLineChars="200"/>
        <w:rPr>
          <w:rFonts w:hint="eastAsia" w:ascii="楷体_GB2312" w:hAnsi="宋体" w:eastAsia="楷体_GB2312" w:cs="Times New Roman"/>
          <w:bCs w:val="0"/>
          <w:color w:val="000000"/>
          <w:sz w:val="24"/>
          <w:szCs w:val="24"/>
          <w:highlight w:val="none"/>
        </w:rPr>
      </w:pPr>
      <w:r>
        <w:rPr>
          <w:rFonts w:hint="eastAsia" w:ascii="楷体_GB2312" w:hAnsi="宋体" w:eastAsia="楷体_GB2312" w:cs="Times New Roman"/>
          <w:bCs w:val="0"/>
          <w:color w:val="000000"/>
          <w:sz w:val="24"/>
          <w:szCs w:val="24"/>
          <w:highlight w:val="none"/>
          <w:lang w:val="en-US" w:eastAsia="zh-CN"/>
        </w:rPr>
        <w:t>3.</w:t>
      </w:r>
      <w:r>
        <w:rPr>
          <w:rFonts w:hint="eastAsia" w:ascii="楷体_GB2312" w:hAnsi="宋体" w:eastAsia="楷体_GB2312" w:cs="Times New Roman"/>
          <w:color w:val="000000"/>
          <w:sz w:val="24"/>
          <w:szCs w:val="24"/>
          <w:highlight w:val="none"/>
        </w:rPr>
        <w:t>直接或间接投资</w:t>
      </w:r>
      <w:r>
        <w:rPr>
          <w:rFonts w:hint="eastAsia" w:ascii="楷体_GB2312" w:hAnsi="宋体" w:eastAsia="楷体_GB2312" w:cs="Times New Roman"/>
          <w:color w:val="000000"/>
          <w:sz w:val="24"/>
          <w:szCs w:val="24"/>
          <w:highlight w:val="none"/>
          <w:lang w:eastAsia="zh-CN"/>
        </w:rPr>
        <w:t>于</w:t>
      </w:r>
      <w:r>
        <w:rPr>
          <w:rFonts w:hint="eastAsia" w:ascii="楷体_GB2312" w:hAnsi="宋体" w:eastAsia="楷体_GB2312" w:cs="Times New Roman"/>
          <w:color w:val="000000"/>
          <w:sz w:val="24"/>
          <w:szCs w:val="24"/>
          <w:highlight w:val="none"/>
          <w:lang w:val="en-US" w:eastAsia="zh-CN"/>
        </w:rPr>
        <w:t>商品及</w:t>
      </w:r>
      <w:r>
        <w:rPr>
          <w:rFonts w:hint="eastAsia" w:ascii="楷体_GB2312" w:hAnsi="宋体" w:eastAsia="楷体_GB2312" w:cs="Times New Roman"/>
          <w:color w:val="000000"/>
          <w:sz w:val="24"/>
          <w:szCs w:val="24"/>
          <w:highlight w:val="none"/>
        </w:rPr>
        <w:t>金融衍生品类资产的比例为</w:t>
      </w:r>
      <w:r>
        <w:rPr>
          <w:rFonts w:hint="eastAsia" w:ascii="楷体_GB2312" w:hAnsi="宋体" w:eastAsia="楷体_GB2312" w:cs="Times New Roman"/>
          <w:color w:val="000000"/>
          <w:sz w:val="24"/>
          <w:szCs w:val="24"/>
          <w:highlight w:val="none"/>
          <w:lang w:val="en-US" w:eastAsia="zh-CN"/>
        </w:rPr>
        <w:t>0</w:t>
      </w:r>
      <w:r>
        <w:rPr>
          <w:rFonts w:hint="eastAsia" w:ascii="楷体_GB2312" w:hAnsi="宋体" w:eastAsia="楷体_GB2312" w:cs="Times New Roman"/>
          <w:color w:val="000000"/>
          <w:sz w:val="24"/>
          <w:szCs w:val="24"/>
          <w:highlight w:val="none"/>
        </w:rPr>
        <w:t>%-</w:t>
      </w:r>
      <w:r>
        <w:rPr>
          <w:rFonts w:hint="eastAsia" w:ascii="楷体_GB2312" w:hAnsi="宋体" w:eastAsia="楷体_GB2312" w:cs="Times New Roman"/>
          <w:color w:val="000000"/>
          <w:sz w:val="24"/>
          <w:szCs w:val="24"/>
          <w:highlight w:val="none"/>
          <w:lang w:val="en-US" w:eastAsia="zh-CN"/>
        </w:rPr>
        <w:t>15</w:t>
      </w:r>
      <w:r>
        <w:rPr>
          <w:rFonts w:hint="eastAsia" w:ascii="楷体_GB2312" w:hAnsi="宋体" w:eastAsia="楷体_GB2312" w:cs="Times New Roman"/>
          <w:color w:val="000000"/>
          <w:sz w:val="24"/>
          <w:szCs w:val="24"/>
          <w:highlight w:val="none"/>
        </w:rPr>
        <w:t>%</w:t>
      </w:r>
      <w:r>
        <w:rPr>
          <w:rFonts w:hint="eastAsia" w:ascii="楷体_GB2312" w:hAnsi="宋体" w:eastAsia="楷体_GB2312" w:cs="Times New Roman"/>
          <w:color w:val="000000"/>
          <w:sz w:val="24"/>
          <w:szCs w:val="24"/>
          <w:highlight w:val="none"/>
          <w:lang w:eastAsia="zh-CN"/>
        </w:rPr>
        <w:t>，</w:t>
      </w:r>
      <w:r>
        <w:rPr>
          <w:rFonts w:hint="eastAsia" w:ascii="楷体_GB2312" w:hAnsi="宋体" w:eastAsia="楷体_GB2312" w:cs="Times New Roman"/>
          <w:color w:val="000000"/>
          <w:sz w:val="24"/>
          <w:szCs w:val="24"/>
          <w:highlight w:val="none"/>
          <w:lang w:val="en-US" w:eastAsia="zh-CN"/>
        </w:rPr>
        <w:t>且</w:t>
      </w:r>
      <w:r>
        <w:rPr>
          <w:rFonts w:hint="eastAsia" w:ascii="楷体_GB2312" w:hAnsi="宋体" w:eastAsia="楷体_GB2312" w:cs="Times New Roman"/>
          <w:color w:val="000000"/>
          <w:sz w:val="24"/>
          <w:szCs w:val="24"/>
          <w:highlight w:val="none"/>
        </w:rPr>
        <w:t>只能从事套期保值类衍生产品交易</w:t>
      </w:r>
      <w:r>
        <w:rPr>
          <w:rFonts w:hint="eastAsia" w:ascii="楷体_GB2312" w:hAnsi="宋体" w:eastAsia="楷体_GB2312" w:cs="Times New Roman"/>
          <w:color w:val="000000"/>
          <w:sz w:val="24"/>
          <w:szCs w:val="24"/>
          <w:highlight w:val="none"/>
          <w:lang w:eastAsia="zh-CN"/>
        </w:rPr>
        <w:t>。</w:t>
      </w:r>
    </w:p>
    <w:p>
      <w:pPr>
        <w:ind w:firstLine="480" w:firstLineChars="200"/>
        <w:rPr>
          <w:rFonts w:hint="eastAsia" w:ascii="楷体_GB2312" w:hAnsi="宋体" w:eastAsia="楷体_GB2312"/>
          <w:color w:val="000000"/>
          <w:sz w:val="24"/>
        </w:rPr>
      </w:pPr>
      <w:r>
        <w:rPr>
          <w:rFonts w:hint="eastAsia" w:ascii="楷体_GB2312" w:hAnsi="楷体" w:eastAsia="楷体_GB2312"/>
          <w:sz w:val="24"/>
        </w:rPr>
        <w:t>★</w:t>
      </w:r>
      <w:r>
        <w:rPr>
          <w:rFonts w:hint="eastAsia" w:ascii="楷体_GB2312" w:hAnsi="宋体" w:eastAsia="楷体_GB2312"/>
          <w:color w:val="000000"/>
          <w:sz w:val="24"/>
        </w:rPr>
        <w:t>特别提示：</w:t>
      </w:r>
    </w:p>
    <w:p>
      <w:pPr>
        <w:numPr>
          <w:ilvl w:val="-1"/>
          <w:numId w:val="0"/>
        </w:numPr>
        <w:ind w:firstLine="480" w:firstLineChars="200"/>
        <w:rPr>
          <w:rFonts w:hint="eastAsia" w:ascii="楷体_GB2312" w:hAnsi="楷体" w:eastAsia="楷体_GB2312" w:cs="Times New Roman"/>
          <w:sz w:val="24"/>
        </w:rPr>
      </w:pPr>
      <w:r>
        <w:rPr>
          <w:rFonts w:hint="eastAsia" w:ascii="楷体_GB2312" w:hAnsi="宋体" w:eastAsia="楷体_GB2312"/>
          <w:color w:val="000000"/>
          <w:sz w:val="24"/>
          <w:lang w:val="en-US" w:eastAsia="zh-CN"/>
        </w:rPr>
        <w:t>1.</w:t>
      </w:r>
      <w:r>
        <w:rPr>
          <w:rFonts w:hint="eastAsia" w:ascii="楷体_GB2312" w:hAnsi="楷体" w:eastAsia="楷体_GB2312" w:cs="Times New Roman"/>
          <w:sz w:val="24"/>
        </w:rPr>
        <w:t>非因产品管理人原因导致本理财产品销售文件项下理财产品投资突破前述投资比例限制的，产品管理人将在所投资的流动性受限资产可出售、可转让或者恢复交易之日起15个交易日内调整至上述投资比例内；</w:t>
      </w:r>
    </w:p>
    <w:p>
      <w:pPr>
        <w:numPr>
          <w:ilvl w:val="-1"/>
          <w:numId w:val="0"/>
        </w:numPr>
        <w:ind w:firstLine="480" w:firstLineChars="200"/>
        <w:rPr>
          <w:rFonts w:hint="eastAsia" w:ascii="楷体_GB2312" w:hAnsi="楷体" w:eastAsia="楷体_GB2312"/>
          <w:sz w:val="24"/>
        </w:rPr>
      </w:pPr>
      <w:r>
        <w:rPr>
          <w:rFonts w:hint="eastAsia" w:ascii="楷体_GB2312" w:hAnsi="楷体" w:eastAsia="楷体_GB2312" w:cs="Times New Roman"/>
          <w:sz w:val="24"/>
          <w:lang w:val="en-US" w:eastAsia="zh-CN"/>
        </w:rPr>
        <w:t>2.</w:t>
      </w:r>
      <w:r>
        <w:rPr>
          <w:rFonts w:hint="eastAsia" w:ascii="楷体_GB2312" w:hAnsi="楷体" w:eastAsia="楷体_GB2312" w:cs="Times New Roman"/>
          <w:sz w:val="24"/>
        </w:rPr>
        <w:t>在本理财产品存续期内，金融市场发生重大变化导致前述投资比例暂时超出浮动区间且可能对本理财产品收益产生重大影响的，产品管理人将根据本理财产品销售文件约定向投资者进行信息披露；</w:t>
      </w:r>
    </w:p>
    <w:p>
      <w:pPr>
        <w:numPr>
          <w:ilvl w:val="-1"/>
          <w:numId w:val="0"/>
        </w:numPr>
        <w:ind w:firstLine="480" w:firstLineChars="200"/>
        <w:rPr>
          <w:rFonts w:ascii="楷体_GB2312" w:hAnsi="宋体" w:eastAsia="楷体_GB2312"/>
          <w:color w:val="000000"/>
          <w:sz w:val="24"/>
        </w:rPr>
      </w:pPr>
      <w:r>
        <w:rPr>
          <w:rFonts w:hint="eastAsia" w:ascii="楷体_GB2312" w:hAnsi="楷体" w:eastAsia="楷体_GB2312" w:cs="Times New Roman"/>
          <w:sz w:val="24"/>
          <w:lang w:val="en-US" w:eastAsia="zh-CN"/>
        </w:rPr>
        <w:t>3.</w:t>
      </w:r>
      <w:r>
        <w:rPr>
          <w:rFonts w:hint="eastAsia" w:ascii="楷体_GB2312" w:hAnsi="楷体" w:eastAsia="楷体_GB2312" w:cs="Times New Roman"/>
          <w:sz w:val="24"/>
        </w:rPr>
        <w:t>本理财产品将会在产品成立日之后的</w:t>
      </w:r>
      <w:r>
        <w:rPr>
          <w:rFonts w:hint="eastAsia" w:ascii="楷体_GB2312" w:hAnsi="楷体" w:eastAsia="楷体_GB2312" w:cs="Times New Roman"/>
          <w:sz w:val="24"/>
          <w:lang w:val="en-US" w:eastAsia="zh-CN"/>
        </w:rPr>
        <w:t>5个交易日内使资产配置比例符合上述规定</w:t>
      </w:r>
      <w:r>
        <w:rPr>
          <w:rFonts w:hint="eastAsia" w:ascii="楷体_GB2312" w:hAnsi="楷体" w:eastAsia="楷体_GB2312" w:cs="Times New Roman"/>
          <w:sz w:val="24"/>
        </w:rPr>
        <w:t>。</w:t>
      </w:r>
    </w:p>
    <w:p>
      <w:pPr>
        <w:ind w:firstLine="480" w:firstLineChars="200"/>
        <w:rPr>
          <w:rFonts w:ascii="楷体_GB2312" w:hAnsi="宋体" w:eastAsia="楷体_GB2312"/>
          <w:color w:val="000000"/>
          <w:sz w:val="24"/>
        </w:rPr>
      </w:pPr>
      <w:r>
        <w:rPr>
          <w:rFonts w:ascii="楷体_GB2312" w:hAnsi="宋体" w:eastAsia="楷体_GB2312"/>
          <w:color w:val="000000"/>
          <w:sz w:val="24"/>
        </w:rPr>
        <w:t>（</w:t>
      </w:r>
      <w:r>
        <w:rPr>
          <w:rFonts w:hint="eastAsia" w:ascii="楷体_GB2312" w:hAnsi="宋体" w:eastAsia="楷体_GB2312"/>
          <w:color w:val="000000"/>
          <w:sz w:val="24"/>
        </w:rPr>
        <w:t>三</w:t>
      </w:r>
      <w:r>
        <w:rPr>
          <w:rFonts w:ascii="楷体_GB2312" w:hAnsi="宋体" w:eastAsia="楷体_GB2312"/>
          <w:color w:val="000000"/>
          <w:sz w:val="24"/>
        </w:rPr>
        <w:t>）投资策略</w:t>
      </w:r>
    </w:p>
    <w:p>
      <w:pPr>
        <w:ind w:firstLine="480" w:firstLineChars="200"/>
        <w:rPr>
          <w:rFonts w:hint="eastAsia" w:ascii="楷体_GB2312" w:hAnsi="宋体" w:eastAsia="楷体_GB2312" w:cs="Times New Roman"/>
          <w:color w:val="000000"/>
          <w:sz w:val="24"/>
        </w:rPr>
      </w:pPr>
      <w:r>
        <w:rPr>
          <w:rFonts w:hint="eastAsia" w:ascii="楷体_GB2312" w:hAnsi="宋体" w:eastAsia="楷体_GB2312" w:cs="Times New Roman"/>
          <w:color w:val="000000"/>
          <w:sz w:val="24"/>
        </w:rPr>
        <w:t>本理财产品在综合分析国家宏观经济形势、财政以及货币政策的基础上，采用“配置为主、交易增强”的投资策略，产品运作期间，视资金成本情况，适度采用杠杆策略，以获取超额收益。</w:t>
      </w:r>
    </w:p>
    <w:p>
      <w:pPr>
        <w:ind w:firstLine="480" w:firstLineChars="200"/>
        <w:rPr>
          <w:rFonts w:hint="eastAsia" w:ascii="楷体_GB2312" w:hAnsi="宋体" w:eastAsia="楷体_GB2312" w:cs="Times New Roman"/>
          <w:color w:val="000000"/>
          <w:sz w:val="24"/>
        </w:rPr>
      </w:pPr>
      <w:r>
        <w:rPr>
          <w:rFonts w:hint="eastAsia" w:ascii="楷体_GB2312" w:hAnsi="宋体" w:eastAsia="楷体_GB2312" w:cs="Times New Roman"/>
          <w:color w:val="000000"/>
          <w:sz w:val="24"/>
          <w:lang w:val="en-US" w:eastAsia="zh-CN"/>
        </w:rPr>
        <w:t>1.</w:t>
      </w:r>
      <w:r>
        <w:rPr>
          <w:rFonts w:hint="eastAsia" w:ascii="楷体_GB2312" w:hAnsi="宋体" w:eastAsia="楷体_GB2312" w:cs="Times New Roman"/>
          <w:color w:val="000000"/>
          <w:sz w:val="24"/>
        </w:rPr>
        <w:t>资产配置策略</w:t>
      </w:r>
    </w:p>
    <w:p>
      <w:pPr>
        <w:ind w:firstLine="480" w:firstLineChars="200"/>
        <w:rPr>
          <w:rFonts w:hint="eastAsia" w:ascii="楷体_GB2312" w:hAnsi="宋体" w:eastAsia="楷体_GB2312" w:cs="Times New Roman"/>
          <w:color w:val="000000"/>
          <w:sz w:val="24"/>
        </w:rPr>
      </w:pPr>
      <w:r>
        <w:rPr>
          <w:rFonts w:hint="eastAsia" w:ascii="楷体_GB2312" w:hAnsi="宋体" w:eastAsia="楷体_GB2312" w:cs="Times New Roman"/>
          <w:color w:val="000000"/>
          <w:sz w:val="24"/>
        </w:rPr>
        <w:t>从宏观环境、政策因素、资金供求因素、证券市场基本面等角度进行综合分析，判断各类资产的市场趋势和预期风险收益，在严格控制风险的前提下，确定投资组合在债券、基金、现金、衍生工具等资产类别的投资比例，并根据宏观经济形势和市场时机的变化适时进行动态调整。</w:t>
      </w:r>
    </w:p>
    <w:p>
      <w:pPr>
        <w:ind w:firstLine="480" w:firstLineChars="200"/>
        <w:rPr>
          <w:rFonts w:hint="eastAsia" w:ascii="楷体_GB2312" w:hAnsi="宋体" w:eastAsia="楷体_GB2312" w:cs="Times New Roman"/>
          <w:color w:val="000000"/>
          <w:sz w:val="24"/>
        </w:rPr>
      </w:pPr>
      <w:r>
        <w:rPr>
          <w:rFonts w:hint="eastAsia" w:ascii="楷体_GB2312" w:hAnsi="宋体" w:eastAsia="楷体_GB2312" w:cs="Times New Roman"/>
          <w:color w:val="000000"/>
          <w:sz w:val="24"/>
          <w:lang w:val="en-US" w:eastAsia="zh-CN"/>
        </w:rPr>
        <w:t>2.</w:t>
      </w:r>
      <w:r>
        <w:rPr>
          <w:rFonts w:hint="eastAsia" w:ascii="楷体_GB2312" w:hAnsi="宋体" w:eastAsia="楷体_GB2312" w:cs="Times New Roman"/>
          <w:color w:val="000000"/>
          <w:sz w:val="24"/>
        </w:rPr>
        <w:t>信用投资策略</w:t>
      </w:r>
    </w:p>
    <w:p>
      <w:pPr>
        <w:ind w:firstLine="480" w:firstLineChars="200"/>
        <w:rPr>
          <w:rFonts w:hint="eastAsia" w:ascii="楷体_GB2312" w:hAnsi="宋体" w:eastAsia="楷体_GB2312" w:cs="Times New Roman"/>
          <w:color w:val="000000"/>
          <w:sz w:val="24"/>
        </w:rPr>
      </w:pPr>
      <w:r>
        <w:rPr>
          <w:rFonts w:hint="eastAsia" w:ascii="楷体_GB2312" w:hAnsi="宋体" w:eastAsia="楷体_GB2312" w:cs="Times New Roman"/>
          <w:color w:val="000000"/>
          <w:sz w:val="24"/>
        </w:rPr>
        <w:t>根据</w:t>
      </w:r>
      <w:r>
        <w:rPr>
          <w:rFonts w:hint="eastAsia" w:ascii="楷体_GB2312" w:hAnsi="宋体" w:eastAsia="楷体_GB2312" w:cs="Times New Roman"/>
          <w:color w:val="000000"/>
          <w:sz w:val="24"/>
          <w:lang w:val="en-US" w:eastAsia="zh-CN"/>
        </w:rPr>
        <w:t>产品</w:t>
      </w:r>
      <w:r>
        <w:rPr>
          <w:rFonts w:hint="eastAsia" w:ascii="楷体_GB2312" w:hAnsi="宋体" w:eastAsia="楷体_GB2312" w:cs="Times New Roman"/>
          <w:color w:val="000000"/>
          <w:sz w:val="24"/>
        </w:rPr>
        <w:t>管理人的内部信用评级标准，辅以外部信用评级，研究债权资产发行主体的信用状况，平衡风险与收益选择信用风险适当的主体和券种作为投资对象。</w:t>
      </w:r>
    </w:p>
    <w:p>
      <w:pPr>
        <w:ind w:firstLine="480" w:firstLineChars="200"/>
        <w:rPr>
          <w:rFonts w:hint="eastAsia" w:ascii="楷体_GB2312" w:hAnsi="宋体" w:eastAsia="楷体_GB2312" w:cs="Times New Roman"/>
          <w:color w:val="000000"/>
          <w:sz w:val="24"/>
        </w:rPr>
      </w:pPr>
      <w:r>
        <w:rPr>
          <w:rFonts w:hint="eastAsia" w:ascii="楷体_GB2312" w:hAnsi="宋体" w:eastAsia="楷体_GB2312" w:cs="Times New Roman"/>
          <w:color w:val="000000"/>
          <w:sz w:val="24"/>
          <w:lang w:val="en-US" w:eastAsia="zh-CN"/>
        </w:rPr>
        <w:t>3.</w:t>
      </w:r>
      <w:r>
        <w:rPr>
          <w:rFonts w:hint="eastAsia" w:ascii="楷体_GB2312" w:hAnsi="宋体" w:eastAsia="楷体_GB2312" w:cs="Times New Roman"/>
          <w:color w:val="000000"/>
          <w:sz w:val="24"/>
        </w:rPr>
        <w:t>久期配置策略</w:t>
      </w:r>
    </w:p>
    <w:p>
      <w:pPr>
        <w:ind w:firstLine="480" w:firstLineChars="200"/>
        <w:rPr>
          <w:rFonts w:hint="eastAsia" w:ascii="楷体_GB2312" w:hAnsi="宋体" w:eastAsia="楷体_GB2312" w:cs="Times New Roman"/>
          <w:color w:val="000000"/>
          <w:sz w:val="24"/>
        </w:rPr>
      </w:pPr>
      <w:r>
        <w:rPr>
          <w:rFonts w:hint="eastAsia" w:ascii="楷体_GB2312" w:hAnsi="宋体" w:eastAsia="楷体_GB2312" w:cs="Times New Roman"/>
          <w:color w:val="000000"/>
          <w:sz w:val="24"/>
        </w:rPr>
        <w:t>本理财产品将基于对市场利率变化趋势的预判，分析债券市场的反映，并据此对债券组合的久期进行调整，从而获取利率下行导致债券价格上升带来的收益，并缓解利率上行导致债券价格下降的风险。</w:t>
      </w:r>
    </w:p>
    <w:p>
      <w:pPr>
        <w:ind w:firstLine="480" w:firstLineChars="200"/>
        <w:rPr>
          <w:rFonts w:hint="eastAsia" w:ascii="楷体_GB2312" w:hAnsi="宋体" w:eastAsia="楷体_GB2312" w:cs="Times New Roman"/>
          <w:color w:val="000000"/>
          <w:sz w:val="24"/>
        </w:rPr>
      </w:pPr>
      <w:r>
        <w:rPr>
          <w:rFonts w:hint="eastAsia" w:ascii="楷体_GB2312" w:hAnsi="宋体" w:eastAsia="楷体_GB2312" w:cs="Times New Roman"/>
          <w:color w:val="000000"/>
          <w:sz w:val="24"/>
          <w:lang w:val="en-US" w:eastAsia="zh-CN"/>
        </w:rPr>
        <w:t>4.</w:t>
      </w:r>
      <w:r>
        <w:rPr>
          <w:rFonts w:hint="eastAsia" w:ascii="楷体_GB2312" w:hAnsi="宋体" w:eastAsia="楷体_GB2312" w:cs="Times New Roman"/>
          <w:color w:val="000000"/>
          <w:sz w:val="24"/>
        </w:rPr>
        <w:t>杠杆配置策略</w:t>
      </w:r>
    </w:p>
    <w:p>
      <w:pPr>
        <w:ind w:firstLine="480" w:firstLineChars="200"/>
        <w:rPr>
          <w:rFonts w:hint="eastAsia" w:ascii="楷体_GB2312" w:hAnsi="宋体" w:eastAsia="楷体_GB2312" w:cs="Times New Roman"/>
          <w:color w:val="000000"/>
          <w:sz w:val="24"/>
        </w:rPr>
      </w:pPr>
      <w:r>
        <w:rPr>
          <w:rFonts w:hint="eastAsia" w:ascii="楷体_GB2312" w:hAnsi="宋体" w:eastAsia="楷体_GB2312" w:cs="Times New Roman"/>
          <w:color w:val="000000"/>
          <w:sz w:val="24"/>
          <w:lang w:val="en-US" w:eastAsia="zh-CN"/>
        </w:rPr>
        <w:t>产品</w:t>
      </w:r>
      <w:r>
        <w:rPr>
          <w:rFonts w:hint="eastAsia" w:ascii="楷体_GB2312" w:hAnsi="宋体" w:eastAsia="楷体_GB2312" w:cs="Times New Roman"/>
          <w:color w:val="000000"/>
          <w:sz w:val="24"/>
        </w:rPr>
        <w:t>管理人根据对未来资金成本预测，通过融入短期资金，适度运用杠杆策略增厚组合收益，从而获得杠杆放大收益；</w:t>
      </w:r>
      <w:r>
        <w:rPr>
          <w:rFonts w:hint="eastAsia" w:ascii="楷体_GB2312" w:hAnsi="宋体" w:eastAsia="楷体_GB2312" w:cs="Times New Roman"/>
          <w:color w:val="000000"/>
          <w:sz w:val="24"/>
          <w:lang w:val="en-US" w:eastAsia="zh-CN"/>
        </w:rPr>
        <w:t>产品</w:t>
      </w:r>
      <w:r>
        <w:rPr>
          <w:rFonts w:hint="eastAsia" w:ascii="楷体_GB2312" w:hAnsi="宋体" w:eastAsia="楷体_GB2312" w:cs="Times New Roman"/>
          <w:color w:val="000000"/>
          <w:sz w:val="24"/>
        </w:rPr>
        <w:t>管理人将根据市场利率水平以及对利率期限结构的预期等，对杠杆比例适时进行调整，尽可能平滑投资组合的净值波动。</w:t>
      </w:r>
    </w:p>
    <w:p>
      <w:pPr>
        <w:ind w:firstLine="480" w:firstLineChars="200"/>
        <w:rPr>
          <w:rFonts w:hint="eastAsia" w:ascii="楷体_GB2312" w:hAnsi="宋体" w:eastAsia="楷体_GB2312" w:cs="Times New Roman"/>
          <w:color w:val="000000"/>
          <w:sz w:val="24"/>
          <w:lang w:val="en-US" w:eastAsia="zh-CN"/>
        </w:rPr>
      </w:pPr>
      <w:r>
        <w:rPr>
          <w:rFonts w:hint="eastAsia" w:ascii="楷体_GB2312" w:hAnsi="宋体" w:eastAsia="楷体_GB2312" w:cs="Times New Roman"/>
          <w:color w:val="000000"/>
          <w:sz w:val="24"/>
          <w:lang w:val="en-US" w:eastAsia="zh-CN"/>
        </w:rPr>
        <w:t>5.衍生品对冲策略</w:t>
      </w:r>
    </w:p>
    <w:p>
      <w:pPr>
        <w:ind w:firstLine="480" w:firstLineChars="200"/>
        <w:rPr>
          <w:rFonts w:hint="default" w:ascii="楷体_GB2312" w:hAnsi="宋体" w:eastAsia="楷体_GB2312" w:cs="Times New Roman"/>
          <w:color w:val="000000"/>
          <w:sz w:val="24"/>
          <w:lang w:val="en-US" w:eastAsia="zh-CN"/>
        </w:rPr>
      </w:pPr>
      <w:r>
        <w:rPr>
          <w:rFonts w:hint="eastAsia" w:ascii="楷体_GB2312" w:hAnsi="宋体" w:eastAsia="楷体_GB2312" w:cs="Times New Roman"/>
          <w:color w:val="000000"/>
          <w:sz w:val="24"/>
          <w:lang w:val="en-US" w:eastAsia="zh-CN"/>
        </w:rPr>
        <w:t>产品管理人根据对未来市场利率走势的判断，择机使用一定仓位的衍生品对冲，以期降低组合的久期暴露从而减少净值波动。</w:t>
      </w:r>
    </w:p>
    <w:p>
      <w:pPr>
        <w:ind w:firstLine="480" w:firstLineChars="200"/>
        <w:rPr>
          <w:rFonts w:ascii="楷体_GB2312" w:hAnsi="宋体" w:eastAsia="楷体_GB2312"/>
          <w:color w:val="000000"/>
          <w:sz w:val="24"/>
        </w:rPr>
      </w:pPr>
      <w:r>
        <w:rPr>
          <w:rFonts w:hint="eastAsia" w:ascii="楷体_GB2312" w:hAnsi="宋体" w:eastAsia="楷体_GB2312"/>
          <w:color w:val="000000"/>
          <w:sz w:val="24"/>
        </w:rPr>
        <w:t>（四）投资限制</w:t>
      </w:r>
    </w:p>
    <w:p>
      <w:pPr>
        <w:ind w:firstLine="480" w:firstLineChars="200"/>
        <w:rPr>
          <w:rFonts w:hint="eastAsia" w:ascii="楷体_GB2312" w:hAnsi="宋体" w:eastAsia="楷体_GB2312" w:cs="Times New Roman"/>
          <w:color w:val="000000"/>
          <w:sz w:val="24"/>
        </w:rPr>
      </w:pPr>
      <w:r>
        <w:rPr>
          <w:rFonts w:hint="eastAsia" w:ascii="楷体_GB2312" w:hAnsi="宋体" w:eastAsia="楷体_GB2312" w:cs="Times New Roman"/>
          <w:color w:val="000000"/>
          <w:sz w:val="24"/>
        </w:rPr>
        <w:t>1.本理财产品投资于单只证券或者单只公募证券投资基金的市值不得超过本理财产品净资产的10%。投资于国债、地方政府债券、中央银行票据、政府机构债券、政策性金融债券以及完全按照有关指数的构成比例进行投资的除外。</w:t>
      </w:r>
    </w:p>
    <w:p>
      <w:pPr>
        <w:ind w:firstLine="480" w:firstLineChars="200"/>
        <w:rPr>
          <w:rFonts w:hint="eastAsia" w:ascii="楷体_GB2312" w:hAnsi="宋体" w:eastAsia="楷体_GB2312" w:cs="Times New Roman"/>
          <w:color w:val="000000"/>
          <w:sz w:val="24"/>
        </w:rPr>
      </w:pPr>
      <w:r>
        <w:rPr>
          <w:rFonts w:hint="eastAsia" w:ascii="楷体_GB2312" w:hAnsi="宋体" w:eastAsia="楷体_GB2312" w:cs="Times New Roman"/>
          <w:color w:val="000000"/>
          <w:sz w:val="24"/>
        </w:rPr>
        <w:t>2.产品管理人发行的全部公募理财产品持有单只证券或单只公募证券投资基金的市值，不得超过该证券市值或该公募证券投资基金市值的30%。其中，产品管理人发行的全部开放式公募理财产品投资单一上市公司发行的股票不得超过该上市公司可流通股票的15%。投资于国债、地方政府债券、中央银行票据、政府机构债券、政策性金融债券以及完全按照有关指数的构成比例进行投资的除外。</w:t>
      </w:r>
    </w:p>
    <w:p>
      <w:pPr>
        <w:ind w:firstLine="480" w:firstLineChars="200"/>
        <w:rPr>
          <w:rFonts w:hint="eastAsia" w:ascii="楷体_GB2312" w:hAnsi="宋体" w:eastAsia="楷体_GB2312" w:cs="Times New Roman"/>
          <w:color w:val="000000"/>
          <w:sz w:val="24"/>
        </w:rPr>
      </w:pPr>
      <w:r>
        <w:rPr>
          <w:rFonts w:hint="eastAsia" w:ascii="楷体_GB2312" w:hAnsi="宋体" w:eastAsia="楷体_GB2312" w:cs="Times New Roman"/>
          <w:color w:val="000000"/>
          <w:sz w:val="24"/>
        </w:rPr>
        <w:t>3.产品管理人发行的全部理财产品投资单一上市公司发行的股票，不得超过该上市公司可流通股票的30%。投资于国债、地方政府债券、中央银行票据、政府机构债券、政策性金融债券以及完全按照有关指数的构成比例进行投资的除外。</w:t>
      </w:r>
    </w:p>
    <w:p>
      <w:pPr>
        <w:ind w:firstLine="480" w:firstLineChars="200"/>
        <w:rPr>
          <w:rFonts w:hint="eastAsia" w:ascii="楷体_GB2312" w:hAnsi="宋体" w:eastAsia="楷体_GB2312" w:cs="Times New Roman"/>
          <w:color w:val="000000"/>
          <w:sz w:val="24"/>
        </w:rPr>
      </w:pPr>
      <w:r>
        <w:rPr>
          <w:rFonts w:hint="eastAsia" w:ascii="楷体_GB2312" w:hAnsi="宋体" w:eastAsia="楷体_GB2312" w:cs="Times New Roman"/>
          <w:color w:val="000000"/>
          <w:sz w:val="24"/>
          <w:lang w:val="en-US" w:eastAsia="zh-CN"/>
        </w:rPr>
        <w:t>4.</w:t>
      </w:r>
      <w:r>
        <w:rPr>
          <w:rFonts w:hint="eastAsia" w:ascii="楷体_GB2312" w:hAnsi="宋体" w:eastAsia="楷体_GB2312" w:cs="Times New Roman"/>
          <w:color w:val="000000"/>
          <w:sz w:val="24"/>
        </w:rPr>
        <w:t>本理财产品</w:t>
      </w:r>
      <w:r>
        <w:rPr>
          <w:rFonts w:hint="eastAsia" w:ascii="楷体_GB2312" w:hAnsi="宋体" w:eastAsia="楷体_GB2312"/>
          <w:color w:val="000000"/>
          <w:sz w:val="24"/>
        </w:rPr>
        <w:t>的杠杆水平不得超过</w:t>
      </w:r>
      <w:r>
        <w:rPr>
          <w:rFonts w:hint="eastAsia" w:ascii="楷体_GB2312" w:hAnsi="宋体" w:eastAsia="楷体_GB2312" w:cs="Times New Roman"/>
          <w:color w:val="000000"/>
          <w:sz w:val="24"/>
        </w:rPr>
        <w:t>140%。</w:t>
      </w:r>
    </w:p>
    <w:p>
      <w:pPr>
        <w:ind w:firstLine="480" w:firstLineChars="200"/>
        <w:rPr>
          <w:rFonts w:hint="eastAsia" w:ascii="楷体_GB2312" w:hAnsi="宋体" w:eastAsia="楷体_GB2312" w:cs="Times New Roman"/>
          <w:color w:val="000000"/>
          <w:sz w:val="24"/>
          <w:lang w:eastAsia="zh-CN"/>
        </w:rPr>
      </w:pPr>
      <w:r>
        <w:rPr>
          <w:rFonts w:hint="eastAsia" w:ascii="楷体_GB2312" w:hAnsi="宋体" w:eastAsia="楷体_GB2312" w:cs="Times New Roman"/>
          <w:color w:val="000000"/>
          <w:sz w:val="24"/>
          <w:lang w:val="en-US" w:eastAsia="zh-CN"/>
        </w:rPr>
        <w:t>5.本理财产品持有</w:t>
      </w:r>
      <w:r>
        <w:rPr>
          <w:rFonts w:hint="eastAsia" w:ascii="楷体_GB2312" w:hAnsi="宋体" w:eastAsia="楷体_GB2312" w:cs="Times New Roman"/>
          <w:color w:val="000000"/>
          <w:sz w:val="24"/>
        </w:rPr>
        <w:t>现金或者到期日在一年以内的国债、中央银行票据和政策性金融债券</w:t>
      </w:r>
      <w:r>
        <w:rPr>
          <w:rFonts w:hint="eastAsia" w:ascii="楷体_GB2312" w:hAnsi="宋体" w:eastAsia="楷体_GB2312" w:cs="Times New Roman"/>
          <w:color w:val="000000"/>
          <w:sz w:val="24"/>
          <w:lang w:val="en-US" w:eastAsia="zh-CN"/>
        </w:rPr>
        <w:t>的比例不低于本</w:t>
      </w:r>
      <w:r>
        <w:rPr>
          <w:rFonts w:hint="eastAsia" w:ascii="楷体_GB2312" w:hAnsi="宋体" w:eastAsia="楷体_GB2312" w:cs="Times New Roman"/>
          <w:color w:val="000000"/>
          <w:sz w:val="24"/>
        </w:rPr>
        <w:t>理财产品资产净值</w:t>
      </w:r>
      <w:r>
        <w:rPr>
          <w:rFonts w:hint="eastAsia" w:ascii="楷体_GB2312" w:hAnsi="宋体" w:eastAsia="楷体_GB2312" w:cs="Times New Roman"/>
          <w:color w:val="000000"/>
          <w:sz w:val="24"/>
          <w:lang w:val="en-US" w:eastAsia="zh-CN"/>
        </w:rPr>
        <w:t>的</w:t>
      </w:r>
      <w:r>
        <w:rPr>
          <w:rFonts w:hint="eastAsia" w:ascii="楷体_GB2312" w:hAnsi="宋体" w:eastAsia="楷体_GB2312" w:cs="Times New Roman"/>
          <w:color w:val="000000"/>
          <w:sz w:val="24"/>
        </w:rPr>
        <w:t>5%</w:t>
      </w:r>
      <w:r>
        <w:rPr>
          <w:rFonts w:hint="eastAsia" w:ascii="楷体_GB2312" w:hAnsi="宋体" w:eastAsia="楷体_GB2312" w:cs="Times New Roman"/>
          <w:color w:val="000000"/>
          <w:sz w:val="24"/>
          <w:lang w:eastAsia="zh-CN"/>
        </w:rPr>
        <w:t>。</w:t>
      </w:r>
    </w:p>
    <w:p>
      <w:pPr>
        <w:ind w:firstLine="480" w:firstLineChars="200"/>
        <w:rPr>
          <w:rFonts w:hint="eastAsia" w:ascii="楷体_GB2312" w:hAnsi="宋体" w:eastAsia="楷体_GB2312" w:cs="Times New Roman"/>
          <w:color w:val="000000"/>
          <w:sz w:val="24"/>
        </w:rPr>
      </w:pPr>
      <w:r>
        <w:rPr>
          <w:rFonts w:hint="eastAsia" w:ascii="楷体_GB2312" w:hAnsi="宋体" w:eastAsia="楷体_GB2312" w:cs="Times New Roman"/>
          <w:color w:val="000000"/>
          <w:sz w:val="24"/>
          <w:lang w:val="en-US" w:eastAsia="zh-CN"/>
        </w:rPr>
        <w:t>6.本</w:t>
      </w:r>
      <w:r>
        <w:rPr>
          <w:rFonts w:hint="eastAsia" w:ascii="楷体_GB2312" w:hAnsi="宋体" w:eastAsia="楷体_GB2312" w:cs="Times New Roman"/>
          <w:color w:val="000000"/>
          <w:sz w:val="24"/>
        </w:rPr>
        <w:t>理财产品直接投资于流动性受限资产的市值在开放日不得超过</w:t>
      </w:r>
      <w:r>
        <w:rPr>
          <w:rFonts w:hint="eastAsia" w:ascii="楷体_GB2312" w:hAnsi="宋体" w:eastAsia="楷体_GB2312" w:cs="Times New Roman"/>
          <w:color w:val="000000"/>
          <w:sz w:val="24"/>
          <w:lang w:val="en-US" w:eastAsia="zh-CN"/>
        </w:rPr>
        <w:t>本</w:t>
      </w:r>
      <w:r>
        <w:rPr>
          <w:rFonts w:hint="eastAsia" w:ascii="楷体_GB2312" w:hAnsi="宋体" w:eastAsia="楷体_GB2312" w:cs="Times New Roman"/>
          <w:color w:val="000000"/>
          <w:sz w:val="24"/>
        </w:rPr>
        <w:t>理财产品资产净值的15%。</w:t>
      </w:r>
    </w:p>
    <w:p>
      <w:pPr>
        <w:ind w:firstLine="480" w:firstLineChars="200"/>
        <w:rPr>
          <w:rFonts w:hint="default" w:ascii="楷体_GB2312" w:hAnsi="宋体" w:eastAsia="楷体_GB2312" w:cs="Times New Roman"/>
          <w:color w:val="000000"/>
          <w:sz w:val="24"/>
          <w:lang w:val="en-US" w:eastAsia="zh-CN"/>
        </w:rPr>
      </w:pPr>
      <w:r>
        <w:rPr>
          <w:rFonts w:hint="eastAsia" w:ascii="楷体_GB2312" w:hAnsi="宋体" w:eastAsia="楷体_GB2312" w:cs="Times New Roman"/>
          <w:color w:val="000000"/>
          <w:sz w:val="24"/>
          <w:lang w:val="en-US" w:eastAsia="zh-CN"/>
        </w:rPr>
        <w:t>7.</w:t>
      </w:r>
      <w:r>
        <w:rPr>
          <w:rFonts w:hint="eastAsia" w:ascii="楷体_GB2312" w:hAnsi="宋体" w:eastAsia="楷体_GB2312" w:cs="Times New Roman"/>
          <w:color w:val="000000"/>
          <w:sz w:val="24"/>
        </w:rPr>
        <w:t>在开放日前一工作日内，</w:t>
      </w:r>
      <w:r>
        <w:rPr>
          <w:rFonts w:hint="eastAsia" w:ascii="楷体_GB2312" w:hAnsi="宋体" w:eastAsia="楷体_GB2312" w:cs="Times New Roman"/>
          <w:color w:val="000000"/>
          <w:sz w:val="24"/>
          <w:lang w:val="en-US" w:eastAsia="zh-CN"/>
        </w:rPr>
        <w:t>本</w:t>
      </w:r>
      <w:r>
        <w:rPr>
          <w:rFonts w:hint="eastAsia" w:ascii="楷体_GB2312" w:hAnsi="宋体" w:eastAsia="楷体_GB2312" w:cs="Times New Roman"/>
          <w:color w:val="000000"/>
          <w:sz w:val="24"/>
        </w:rPr>
        <w:t>理财产品7个工作日可变现资产的可变现价值应当不低于</w:t>
      </w:r>
      <w:r>
        <w:rPr>
          <w:rFonts w:hint="eastAsia" w:ascii="楷体_GB2312" w:hAnsi="宋体" w:eastAsia="楷体_GB2312" w:cs="Times New Roman"/>
          <w:color w:val="000000"/>
          <w:sz w:val="24"/>
          <w:lang w:val="en-US" w:eastAsia="zh-CN"/>
        </w:rPr>
        <w:t>本</w:t>
      </w:r>
      <w:r>
        <w:rPr>
          <w:rFonts w:hint="eastAsia" w:ascii="楷体_GB2312" w:hAnsi="宋体" w:eastAsia="楷体_GB2312" w:cs="Times New Roman"/>
          <w:color w:val="000000"/>
          <w:sz w:val="24"/>
        </w:rPr>
        <w:t>理财产品资产净值的10%。</w:t>
      </w:r>
    </w:p>
    <w:p>
      <w:pPr>
        <w:ind w:firstLine="480" w:firstLineChars="200"/>
        <w:rPr>
          <w:rFonts w:hint="eastAsia" w:ascii="楷体_GB2312" w:hAnsi="宋体" w:eastAsia="楷体_GB2312" w:cs="Times New Roman"/>
          <w:color w:val="000000"/>
          <w:sz w:val="24"/>
          <w:lang w:val="en-US" w:eastAsia="zh-CN"/>
        </w:rPr>
      </w:pPr>
      <w:r>
        <w:rPr>
          <w:rFonts w:hint="eastAsia" w:ascii="楷体_GB2312" w:hAnsi="宋体" w:eastAsia="楷体_GB2312" w:cs="Times New Roman"/>
          <w:color w:val="000000"/>
          <w:sz w:val="24"/>
          <w:lang w:val="en-US" w:eastAsia="zh-CN"/>
        </w:rPr>
        <w:t>8.本理财产品投资于</w:t>
      </w:r>
      <w:r>
        <w:rPr>
          <w:rFonts w:hint="eastAsia" w:ascii="楷体_GB2312" w:hAnsi="宋体" w:eastAsia="楷体_GB2312" w:cs="Times New Roman"/>
          <w:color w:val="000000"/>
          <w:sz w:val="24"/>
        </w:rPr>
        <w:t>不存在活跃交易市场并且需要采用估值技术确定公允价值的资产</w:t>
      </w:r>
      <w:r>
        <w:rPr>
          <w:rFonts w:hint="eastAsia" w:ascii="楷体_GB2312" w:hAnsi="宋体" w:eastAsia="楷体_GB2312" w:cs="Times New Roman"/>
          <w:color w:val="000000"/>
          <w:sz w:val="24"/>
          <w:lang w:val="en-US" w:eastAsia="zh-CN"/>
        </w:rPr>
        <w:t>的比例应低于本理财产品净资产的50%。</w:t>
      </w:r>
    </w:p>
    <w:p>
      <w:pPr>
        <w:ind w:firstLine="480" w:firstLineChars="200"/>
        <w:rPr>
          <w:rFonts w:hint="eastAsia" w:ascii="楷体_GB2312" w:hAnsi="宋体" w:eastAsia="楷体_GB2312" w:cs="Times New Roman"/>
          <w:color w:val="000000"/>
          <w:sz w:val="24"/>
          <w:lang w:eastAsia="zh-CN"/>
        </w:rPr>
      </w:pPr>
      <w:r>
        <w:rPr>
          <w:rFonts w:hint="eastAsia" w:ascii="楷体_GB2312" w:hAnsi="宋体" w:eastAsia="楷体_GB2312" w:cs="Times New Roman"/>
          <w:color w:val="000000"/>
          <w:sz w:val="24"/>
          <w:lang w:val="en-US" w:eastAsia="zh-CN"/>
        </w:rPr>
        <w:t>9.</w:t>
      </w:r>
      <w:bookmarkStart w:id="1" w:name="_Hlk146066476"/>
      <w:r>
        <w:rPr>
          <w:rFonts w:hint="eastAsia" w:ascii="楷体_GB2312" w:hAnsi="宋体" w:eastAsia="楷体_GB2312" w:cs="Times New Roman"/>
          <w:color w:val="000000"/>
          <w:sz w:val="24"/>
        </w:rPr>
        <w:t>法律法规及国家金融监督管理总局规定的其他投资限制。</w:t>
      </w:r>
      <w:bookmarkEnd w:id="1"/>
    </w:p>
    <w:p>
      <w:pPr>
        <w:ind w:firstLine="480" w:firstLineChars="200"/>
        <w:rPr>
          <w:rFonts w:hint="eastAsia" w:ascii="楷体_GB2312" w:hAnsi="宋体" w:eastAsia="楷体_GB2312" w:cs="Times New Roman"/>
          <w:color w:val="000000"/>
          <w:sz w:val="24"/>
        </w:rPr>
      </w:pPr>
      <w:r>
        <w:rPr>
          <w:rFonts w:hint="eastAsia" w:ascii="楷体_GB2312" w:hAnsi="宋体" w:eastAsia="楷体_GB2312" w:cs="Times New Roman"/>
          <w:color w:val="000000"/>
          <w:sz w:val="24"/>
        </w:rPr>
        <w:t>★特别提示：</w:t>
      </w:r>
    </w:p>
    <w:p>
      <w:pPr>
        <w:ind w:firstLine="480" w:firstLineChars="200"/>
        <w:rPr>
          <w:rFonts w:hint="eastAsia" w:ascii="楷体_GB2312" w:hAnsi="宋体" w:eastAsia="楷体_GB2312" w:cs="Times New Roman"/>
          <w:color w:val="000000"/>
          <w:sz w:val="24"/>
        </w:rPr>
      </w:pPr>
      <w:r>
        <w:rPr>
          <w:rFonts w:hint="eastAsia" w:ascii="楷体_GB2312" w:hAnsi="宋体" w:eastAsia="楷体_GB2312" w:cs="Times New Roman"/>
          <w:color w:val="000000"/>
          <w:sz w:val="24"/>
          <w:lang w:val="en-US" w:eastAsia="zh-CN"/>
        </w:rPr>
        <w:t>1.</w:t>
      </w:r>
      <w:r>
        <w:rPr>
          <w:rFonts w:hint="eastAsia" w:ascii="楷体_GB2312" w:hAnsi="宋体" w:eastAsia="楷体_GB2312" w:cs="Times New Roman"/>
          <w:color w:val="000000"/>
          <w:sz w:val="24"/>
        </w:rPr>
        <w:t>非因产品管理人主观因素导致本理财产品突破前述第1、2、3点比例限制的，本理财产品的产品管理人将在所投资的流动性受限资产可出售、可转让或者恢复交易之日起10个交易日内调整至符合上述投资限制。</w:t>
      </w:r>
    </w:p>
    <w:p>
      <w:pPr>
        <w:ind w:firstLine="480" w:firstLineChars="200"/>
        <w:rPr>
          <w:rFonts w:hint="eastAsia" w:ascii="楷体_GB2312" w:hAnsi="宋体" w:eastAsia="楷体_GB2312" w:cs="Times New Roman"/>
          <w:color w:val="000000"/>
          <w:sz w:val="24"/>
        </w:rPr>
      </w:pPr>
      <w:r>
        <w:rPr>
          <w:rFonts w:hint="eastAsia" w:ascii="楷体_GB2312" w:hAnsi="宋体" w:eastAsia="楷体_GB2312" w:cs="Times New Roman"/>
          <w:color w:val="000000"/>
          <w:sz w:val="24"/>
        </w:rPr>
        <w:t>2.因证券市场波动、上市公司股票停牌、理财产品规模变动等因素导致</w:t>
      </w:r>
      <w:r>
        <w:rPr>
          <w:rFonts w:hint="eastAsia" w:ascii="楷体_GB2312" w:hAnsi="宋体" w:eastAsia="楷体_GB2312" w:cs="Times New Roman"/>
          <w:color w:val="000000"/>
          <w:sz w:val="24"/>
          <w:lang w:val="en-US" w:eastAsia="zh-CN"/>
        </w:rPr>
        <w:t>本</w:t>
      </w:r>
      <w:r>
        <w:rPr>
          <w:rFonts w:hint="eastAsia" w:ascii="楷体_GB2312" w:hAnsi="宋体" w:eastAsia="楷体_GB2312" w:cs="Times New Roman"/>
          <w:color w:val="000000"/>
          <w:sz w:val="24"/>
        </w:rPr>
        <w:t>理财产品不符合第</w:t>
      </w:r>
      <w:r>
        <w:rPr>
          <w:rFonts w:hint="eastAsia" w:ascii="楷体_GB2312" w:hAnsi="宋体" w:eastAsia="楷体_GB2312" w:cs="Times New Roman"/>
          <w:color w:val="000000"/>
          <w:sz w:val="24"/>
          <w:lang w:val="en-US" w:eastAsia="zh-CN"/>
        </w:rPr>
        <w:t>6</w:t>
      </w:r>
      <w:r>
        <w:rPr>
          <w:rFonts w:hint="eastAsia" w:ascii="楷体_GB2312" w:hAnsi="宋体" w:eastAsia="楷体_GB2312" w:cs="Times New Roman"/>
          <w:color w:val="000000"/>
          <w:sz w:val="24"/>
        </w:rPr>
        <w:t>点比例限制的，产品管理人不得主动新增投资流动性受限资产。</w:t>
      </w:r>
    </w:p>
    <w:p>
      <w:pPr>
        <w:ind w:firstLine="480" w:firstLineChars="200"/>
        <w:rPr>
          <w:rFonts w:hint="eastAsia" w:ascii="楷体_GB2312" w:hAnsi="宋体" w:eastAsia="楷体_GB2312" w:cs="Times New Roman"/>
          <w:color w:val="000000"/>
          <w:sz w:val="24"/>
        </w:rPr>
      </w:pPr>
      <w:r>
        <w:rPr>
          <w:rFonts w:hint="eastAsia" w:ascii="楷体_GB2312" w:hAnsi="宋体" w:eastAsia="楷体_GB2312" w:cs="Times New Roman"/>
          <w:color w:val="000000"/>
          <w:sz w:val="24"/>
          <w:lang w:val="en-US" w:eastAsia="zh-CN"/>
        </w:rPr>
        <w:t>3.</w:t>
      </w:r>
      <w:r>
        <w:rPr>
          <w:rFonts w:hint="eastAsia" w:ascii="楷体_GB2312" w:hAnsi="宋体" w:eastAsia="楷体_GB2312" w:cs="Times New Roman"/>
          <w:color w:val="000000"/>
          <w:sz w:val="24"/>
        </w:rPr>
        <w:t>非因产品管理人主观因素导致本理财产品突破前述第</w:t>
      </w:r>
      <w:r>
        <w:rPr>
          <w:rFonts w:hint="eastAsia" w:ascii="楷体_GB2312" w:hAnsi="宋体" w:eastAsia="楷体_GB2312" w:cs="Times New Roman"/>
          <w:color w:val="000000"/>
          <w:sz w:val="24"/>
          <w:lang w:val="en-US" w:eastAsia="zh-CN"/>
        </w:rPr>
        <w:t>8</w:t>
      </w:r>
      <w:r>
        <w:rPr>
          <w:rFonts w:hint="eastAsia" w:ascii="楷体_GB2312" w:hAnsi="宋体" w:eastAsia="楷体_GB2312" w:cs="Times New Roman"/>
          <w:color w:val="000000"/>
          <w:sz w:val="24"/>
        </w:rPr>
        <w:t>点比例限制的</w:t>
      </w:r>
      <w:r>
        <w:rPr>
          <w:rFonts w:hint="eastAsia" w:ascii="楷体_GB2312" w:hAnsi="宋体" w:eastAsia="楷体_GB2312" w:cs="Times New Roman"/>
          <w:color w:val="000000"/>
          <w:sz w:val="24"/>
          <w:lang w:eastAsia="zh-CN"/>
        </w:rPr>
        <w:t>，</w:t>
      </w:r>
      <w:r>
        <w:rPr>
          <w:rFonts w:hint="eastAsia" w:ascii="楷体_GB2312" w:hAnsi="宋体" w:eastAsia="楷体_GB2312" w:cs="Times New Roman"/>
          <w:color w:val="000000"/>
          <w:sz w:val="24"/>
          <w:lang w:val="en-US" w:eastAsia="zh-CN"/>
        </w:rPr>
        <w:t>本</w:t>
      </w:r>
      <w:r>
        <w:rPr>
          <w:rFonts w:hint="eastAsia" w:ascii="楷体_GB2312" w:hAnsi="宋体" w:eastAsia="楷体_GB2312" w:cs="Times New Roman"/>
          <w:color w:val="000000"/>
          <w:sz w:val="24"/>
        </w:rPr>
        <w:t>理财产品不得新增投资不存在活跃交易市场并且需要采用估值技术确定公允价值的资产。</w:t>
      </w:r>
    </w:p>
    <w:p>
      <w:pPr>
        <w:ind w:firstLine="480" w:firstLineChars="200"/>
        <w:rPr>
          <w:rFonts w:hint="eastAsia" w:ascii="楷体_GB2312" w:hAnsi="宋体" w:eastAsia="楷体_GB2312" w:cs="Times New Roman"/>
          <w:color w:val="000000"/>
          <w:sz w:val="24"/>
        </w:rPr>
      </w:pPr>
      <w:r>
        <w:rPr>
          <w:rFonts w:hint="eastAsia" w:ascii="楷体_GB2312" w:hAnsi="宋体" w:eastAsia="楷体_GB2312" w:cs="Times New Roman"/>
          <w:color w:val="000000"/>
          <w:sz w:val="24"/>
          <w:lang w:val="en-US" w:eastAsia="zh-CN"/>
        </w:rPr>
        <w:t>4.</w:t>
      </w:r>
      <w:r>
        <w:rPr>
          <w:rFonts w:hint="eastAsia" w:ascii="楷体_GB2312" w:hAnsi="宋体" w:eastAsia="楷体_GB2312" w:cs="Times New Roman"/>
          <w:color w:val="000000"/>
          <w:sz w:val="24"/>
        </w:rPr>
        <w:t>本理财产品的上述投资限制将有可能随国家法律法规及监管政策的变化而产生变化，如发生变化，产品管理人将及时进行信息披露。</w:t>
      </w:r>
    </w:p>
    <w:p>
      <w:pPr>
        <w:ind w:firstLine="480" w:firstLineChars="200"/>
        <w:rPr>
          <w:rFonts w:hint="eastAsia" w:ascii="楷体_GB2312" w:hAnsi="宋体" w:eastAsia="楷体_GB2312" w:cs="Times New Roman"/>
          <w:color w:val="000000"/>
          <w:sz w:val="24"/>
        </w:rPr>
      </w:pPr>
      <w:r>
        <w:rPr>
          <w:rFonts w:hint="eastAsia" w:ascii="楷体_GB2312" w:hAnsi="宋体" w:eastAsia="楷体_GB2312" w:cs="Times New Roman"/>
          <w:color w:val="000000"/>
          <w:sz w:val="24"/>
        </w:rPr>
        <w:t>（五）投资目标</w:t>
      </w:r>
    </w:p>
    <w:p>
      <w:pPr>
        <w:pStyle w:val="2"/>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ascii="楷体_GB2312" w:hAnsi="宋体" w:eastAsia="楷体_GB2312"/>
          <w:color w:val="000000"/>
          <w:sz w:val="24"/>
        </w:rPr>
      </w:pPr>
      <w:r>
        <w:rPr>
          <w:rFonts w:ascii="楷体_GB2312" w:hAnsi="宋体" w:eastAsia="楷体_GB2312"/>
          <w:color w:val="000000"/>
          <w:sz w:val="24"/>
        </w:rPr>
        <w:t>以投资价值分析为基础，宏观与微观、定性与定量相结合，进行主动式管理，在追求理财投资资产稳定增值的基础上，为投资者获得较高的收益。</w:t>
      </w:r>
    </w:p>
    <w:p>
      <w:pPr>
        <w:pStyle w:val="2"/>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eastAsia" w:ascii="楷体_GB2312" w:hAnsi="宋体" w:eastAsia="楷体_GB2312"/>
          <w:color w:val="000000"/>
          <w:sz w:val="24"/>
          <w:highlight w:val="none"/>
          <w:lang w:eastAsia="zh-CN"/>
        </w:rPr>
      </w:pPr>
      <w:r>
        <w:rPr>
          <w:rFonts w:hint="eastAsia" w:ascii="楷体_GB2312" w:eastAsia="楷体_GB2312"/>
          <w:color w:val="000000"/>
          <w:kern w:val="0"/>
          <w:sz w:val="24"/>
          <w:highlight w:val="none"/>
          <w:lang w:bidi="bn-IN"/>
        </w:rPr>
        <w:t>★</w:t>
      </w:r>
      <w:r>
        <w:rPr>
          <w:rFonts w:hint="eastAsia" w:ascii="楷体_GB2312" w:hAnsi="宋体" w:eastAsia="楷体_GB2312"/>
          <w:color w:val="000000"/>
          <w:sz w:val="24"/>
          <w:highlight w:val="none"/>
          <w:lang w:eastAsia="zh-CN"/>
        </w:rPr>
        <w:t>（</w:t>
      </w:r>
      <w:r>
        <w:rPr>
          <w:rFonts w:hint="eastAsia" w:ascii="楷体_GB2312" w:hAnsi="宋体" w:eastAsia="楷体_GB2312"/>
          <w:color w:val="000000"/>
          <w:sz w:val="24"/>
          <w:highlight w:val="none"/>
          <w:lang w:val="en-US" w:eastAsia="zh-CN"/>
        </w:rPr>
        <w:t>六</w:t>
      </w:r>
      <w:r>
        <w:rPr>
          <w:rFonts w:hint="eastAsia" w:ascii="楷体_GB2312" w:hAnsi="宋体" w:eastAsia="楷体_GB2312"/>
          <w:color w:val="000000"/>
          <w:sz w:val="24"/>
          <w:highlight w:val="none"/>
          <w:lang w:eastAsia="zh-CN"/>
        </w:rPr>
        <w:t>）风险分析及风险控制措施</w:t>
      </w:r>
    </w:p>
    <w:p>
      <w:pPr>
        <w:pStyle w:val="2"/>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textAlignment w:val="auto"/>
        <w:rPr>
          <w:rFonts w:hint="eastAsia" w:ascii="楷体_GB2312" w:hAnsi="宋体" w:eastAsia="楷体_GB2312"/>
          <w:color w:val="000000"/>
          <w:sz w:val="24"/>
          <w:highlight w:val="none"/>
          <w:lang w:eastAsia="zh-CN"/>
        </w:rPr>
      </w:pPr>
      <w:r>
        <w:rPr>
          <w:rFonts w:hint="eastAsia" w:ascii="楷体_GB2312" w:hAnsi="宋体" w:eastAsia="楷体_GB2312"/>
          <w:color w:val="000000"/>
          <w:sz w:val="24"/>
          <w:highlight w:val="none"/>
          <w:lang w:eastAsia="zh-CN"/>
        </w:rPr>
        <w:t>本理财产品投资于</w:t>
      </w:r>
      <w:r>
        <w:rPr>
          <w:rFonts w:hint="eastAsia" w:ascii="楷体_GB2312" w:hAnsi="宋体" w:eastAsia="楷体_GB2312"/>
          <w:color w:val="000000"/>
          <w:sz w:val="24"/>
          <w:highlight w:val="none"/>
          <w:lang w:val="en-US" w:eastAsia="zh-CN"/>
        </w:rPr>
        <w:t>境内外市场发行的</w:t>
      </w:r>
      <w:r>
        <w:rPr>
          <w:rFonts w:hint="eastAsia" w:ascii="楷体_GB2312" w:hAnsi="宋体" w:eastAsia="楷体_GB2312"/>
          <w:color w:val="000000"/>
          <w:sz w:val="24"/>
          <w:highlight w:val="none"/>
          <w:lang w:eastAsia="zh-CN"/>
        </w:rPr>
        <w:t>固定收益类资产、</w:t>
      </w:r>
      <w:r>
        <w:rPr>
          <w:rFonts w:hint="eastAsia" w:ascii="楷体_GB2312" w:hAnsi="宋体" w:eastAsia="楷体_GB2312"/>
          <w:color w:val="000000"/>
          <w:sz w:val="24"/>
          <w:highlight w:val="none"/>
          <w:lang w:val="en-US" w:eastAsia="zh-CN"/>
        </w:rPr>
        <w:t>权益类资产</w:t>
      </w:r>
      <w:r>
        <w:rPr>
          <w:rFonts w:hint="eastAsia" w:ascii="楷体_GB2312" w:hAnsi="宋体" w:eastAsia="楷体_GB2312"/>
          <w:color w:val="000000"/>
          <w:sz w:val="24"/>
          <w:highlight w:val="none"/>
          <w:lang w:eastAsia="zh-CN"/>
        </w:rPr>
        <w:t>和商品及金融衍生品类资产，面临的主要风险为市场风险、流动性风险、信用风险、衍生风险和其他风险。</w:t>
      </w:r>
    </w:p>
    <w:p>
      <w:pPr>
        <w:pStyle w:val="2"/>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ascii="楷体_GB2312" w:hAnsi="宋体" w:eastAsia="楷体_GB2312"/>
          <w:color w:val="000000"/>
          <w:sz w:val="24"/>
          <w:highlight w:val="none"/>
          <w:lang w:eastAsia="zh-CN"/>
        </w:rPr>
      </w:pPr>
      <w:r>
        <w:rPr>
          <w:rFonts w:hint="eastAsia" w:ascii="楷体_GB2312" w:hAnsi="宋体" w:eastAsia="楷体_GB2312"/>
          <w:color w:val="000000"/>
          <w:sz w:val="24"/>
          <w:highlight w:val="none"/>
          <w:lang w:eastAsia="zh-CN"/>
        </w:rPr>
        <w:t>1.市场风险分析及市场风险控制措施</w:t>
      </w:r>
    </w:p>
    <w:p>
      <w:pPr>
        <w:pStyle w:val="2"/>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ascii="楷体_GB2312" w:hAnsi="宋体" w:eastAsia="楷体_GB2312"/>
          <w:color w:val="000000"/>
          <w:sz w:val="24"/>
          <w:highlight w:val="none"/>
          <w:lang w:eastAsia="zh-CN"/>
        </w:rPr>
      </w:pPr>
      <w:r>
        <w:rPr>
          <w:rFonts w:hint="eastAsia" w:ascii="楷体_GB2312" w:hAnsi="宋体" w:eastAsia="楷体_GB2312"/>
          <w:color w:val="000000"/>
          <w:sz w:val="24"/>
          <w:highlight w:val="none"/>
          <w:lang w:eastAsia="zh-CN"/>
        </w:rPr>
        <w:t>风险分析：本理财产品投资收益来源于本理财产品对应投资组合的运作和回报，因国家政策、经济周期、利率、汇率等因素可能发生变化，导致投资品种的市场价格发生波动，由此可能影响本理财产品的收益水平，则投资者可能面临本金和收益遭受部分甚至全部损失的风险。</w:t>
      </w:r>
    </w:p>
    <w:p>
      <w:pPr>
        <w:pStyle w:val="2"/>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ascii="楷体_GB2312" w:hAnsi="宋体" w:eastAsia="楷体_GB2312"/>
          <w:color w:val="000000"/>
          <w:sz w:val="24"/>
          <w:highlight w:val="none"/>
          <w:lang w:eastAsia="zh-CN"/>
        </w:rPr>
      </w:pPr>
      <w:r>
        <w:rPr>
          <w:rFonts w:hint="eastAsia" w:ascii="楷体_GB2312" w:hAnsi="宋体" w:eastAsia="楷体_GB2312"/>
          <w:color w:val="000000"/>
          <w:sz w:val="24"/>
          <w:highlight w:val="none"/>
          <w:lang w:eastAsia="zh-CN"/>
        </w:rPr>
        <w:t>风险控制措施：</w:t>
      </w:r>
    </w:p>
    <w:p>
      <w:pPr>
        <w:pStyle w:val="2"/>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ascii="楷体_GB2312" w:hAnsi="宋体" w:eastAsia="楷体_GB2312"/>
          <w:color w:val="000000"/>
          <w:sz w:val="24"/>
          <w:highlight w:val="none"/>
          <w:lang w:eastAsia="zh-CN"/>
        </w:rPr>
      </w:pPr>
      <w:r>
        <w:rPr>
          <w:rFonts w:hint="eastAsia" w:ascii="楷体_GB2312" w:hAnsi="宋体" w:eastAsia="楷体_GB2312"/>
          <w:color w:val="000000"/>
          <w:sz w:val="24"/>
          <w:highlight w:val="none"/>
          <w:lang w:eastAsia="zh-CN"/>
        </w:rPr>
        <w:t>（1）本理财产品投资结构根据投资决策委员会的相关决策执行，定期召开资产配置会议，调整投资策略，调整债券组合久期，控制市场风险。</w:t>
      </w:r>
    </w:p>
    <w:p>
      <w:pPr>
        <w:pStyle w:val="2"/>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ascii="楷体_GB2312" w:hAnsi="宋体" w:eastAsia="楷体_GB2312"/>
          <w:color w:val="000000"/>
          <w:sz w:val="24"/>
          <w:highlight w:val="none"/>
          <w:lang w:eastAsia="zh-CN"/>
        </w:rPr>
      </w:pPr>
      <w:r>
        <w:rPr>
          <w:rFonts w:hint="eastAsia" w:ascii="楷体_GB2312" w:hAnsi="宋体" w:eastAsia="楷体_GB2312"/>
          <w:color w:val="000000"/>
          <w:sz w:val="24"/>
          <w:highlight w:val="none"/>
          <w:lang w:eastAsia="zh-CN"/>
        </w:rPr>
        <w:t>（2）运用定量风险模型，分析各投资组合市场风险的来源和暴露。利用敏感性分析，找出影响投资组合收益的关键因素。运用情景分析和压力测试技术，定期评估投资组合对于大幅和极端市场波动的承受能力。</w:t>
      </w:r>
    </w:p>
    <w:p>
      <w:pPr>
        <w:pStyle w:val="2"/>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ascii="楷体_GB2312" w:hAnsi="宋体" w:eastAsia="楷体_GB2312"/>
          <w:color w:val="000000"/>
          <w:sz w:val="24"/>
          <w:highlight w:val="none"/>
          <w:lang w:eastAsia="zh-CN"/>
        </w:rPr>
      </w:pPr>
      <w:r>
        <w:rPr>
          <w:rFonts w:hint="eastAsia" w:ascii="楷体_GB2312" w:hAnsi="宋体" w:eastAsia="楷体_GB2312"/>
          <w:color w:val="000000"/>
          <w:sz w:val="24"/>
          <w:highlight w:val="none"/>
          <w:lang w:eastAsia="zh-CN"/>
        </w:rPr>
        <w:t>2.流动性风险分析及流动性风险控制措施</w:t>
      </w:r>
    </w:p>
    <w:p>
      <w:pPr>
        <w:pStyle w:val="2"/>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ascii="楷体_GB2312" w:hAnsi="宋体" w:eastAsia="楷体_GB2312"/>
          <w:color w:val="000000"/>
          <w:sz w:val="24"/>
          <w:highlight w:val="none"/>
          <w:lang w:eastAsia="zh-CN"/>
        </w:rPr>
      </w:pPr>
      <w:r>
        <w:rPr>
          <w:rFonts w:hint="eastAsia" w:ascii="楷体_GB2312" w:hAnsi="宋体" w:eastAsia="楷体_GB2312"/>
          <w:color w:val="000000"/>
          <w:sz w:val="24"/>
          <w:highlight w:val="none"/>
          <w:lang w:eastAsia="zh-CN"/>
        </w:rPr>
        <w:t>风险分析：流动性风险是指理财产品无法通过变现资产等途径以合理成本及时获得充足资金，用于满足该理财产品的投资者赎回需求、履行其他支付义务的风险。</w:t>
      </w:r>
    </w:p>
    <w:p>
      <w:pPr>
        <w:pStyle w:val="2"/>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ascii="楷体_GB2312" w:hAnsi="宋体" w:eastAsia="楷体_GB2312"/>
          <w:color w:val="000000"/>
          <w:sz w:val="24"/>
          <w:highlight w:val="none"/>
          <w:lang w:eastAsia="zh-CN"/>
        </w:rPr>
      </w:pPr>
      <w:r>
        <w:rPr>
          <w:rFonts w:hint="eastAsia" w:ascii="楷体_GB2312" w:hAnsi="宋体" w:eastAsia="楷体_GB2312"/>
          <w:color w:val="000000"/>
          <w:sz w:val="24"/>
          <w:highlight w:val="none"/>
          <w:lang w:eastAsia="zh-CN"/>
        </w:rPr>
        <w:t>风险控制措施：</w:t>
      </w:r>
    </w:p>
    <w:p>
      <w:pPr>
        <w:pStyle w:val="2"/>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ascii="楷体_GB2312" w:hAnsi="宋体" w:eastAsia="楷体_GB2312"/>
          <w:color w:val="000000"/>
          <w:sz w:val="24"/>
          <w:highlight w:val="none"/>
          <w:lang w:eastAsia="zh-CN"/>
        </w:rPr>
      </w:pPr>
      <w:r>
        <w:rPr>
          <w:rFonts w:hint="eastAsia" w:ascii="楷体_GB2312" w:hAnsi="宋体" w:eastAsia="楷体_GB2312"/>
          <w:color w:val="000000"/>
          <w:sz w:val="24"/>
          <w:highlight w:val="none"/>
          <w:lang w:eastAsia="zh-CN"/>
        </w:rPr>
        <w:t>（1）严格执行资管新规和流动性新规的要求，本理财产品的产品管理人将定期评估投资组合的流动性风险水平，使得流动性资产配置比例保持在适当水平下，综合匹配投资收益和产品期限设置。</w:t>
      </w:r>
    </w:p>
    <w:p>
      <w:pPr>
        <w:pStyle w:val="2"/>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ascii="楷体_GB2312" w:hAnsi="宋体" w:eastAsia="楷体_GB2312"/>
          <w:color w:val="000000"/>
          <w:sz w:val="24"/>
          <w:highlight w:val="none"/>
          <w:lang w:eastAsia="zh-CN"/>
        </w:rPr>
      </w:pPr>
      <w:r>
        <w:rPr>
          <w:rFonts w:hint="eastAsia" w:ascii="楷体_GB2312" w:hAnsi="宋体" w:eastAsia="楷体_GB2312"/>
          <w:color w:val="000000"/>
          <w:sz w:val="24"/>
          <w:highlight w:val="none"/>
          <w:lang w:eastAsia="zh-CN"/>
        </w:rPr>
        <w:t>（2）为防范和应对本理财产品发生流动性风险事件，产品管理人可启用下列措施：①设定单一投资者持有金额上限；②巨额赎回情形下产品管理人有权采取全额赎回、部分赎回等措施；③拒绝或暂停申购；④拒绝或暂停赎回；⑤延期办理赎回申请；⑥延缓支付赎回款项；⑦收取短期赎回费；⑧暂停理财产品估值；⑨国家金融监督管理总局规定的其他措施。</w:t>
      </w:r>
    </w:p>
    <w:p>
      <w:pPr>
        <w:pStyle w:val="2"/>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ascii="楷体_GB2312" w:hAnsi="宋体" w:eastAsia="楷体_GB2312"/>
          <w:color w:val="000000"/>
          <w:sz w:val="24"/>
          <w:highlight w:val="none"/>
          <w:lang w:eastAsia="zh-CN"/>
        </w:rPr>
      </w:pPr>
      <w:r>
        <w:rPr>
          <w:rFonts w:hint="eastAsia" w:ascii="楷体_GB2312" w:hAnsi="宋体" w:eastAsia="楷体_GB2312"/>
          <w:color w:val="000000"/>
          <w:sz w:val="24"/>
          <w:highlight w:val="none"/>
          <w:lang w:eastAsia="zh-CN"/>
        </w:rPr>
        <w:t>3.信用风险分析及信用风险控制措施</w:t>
      </w:r>
    </w:p>
    <w:p>
      <w:pPr>
        <w:pStyle w:val="2"/>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ascii="楷体_GB2312" w:hAnsi="宋体" w:eastAsia="楷体_GB2312"/>
          <w:color w:val="000000"/>
          <w:sz w:val="24"/>
          <w:highlight w:val="none"/>
          <w:lang w:eastAsia="zh-CN"/>
        </w:rPr>
      </w:pPr>
      <w:r>
        <w:rPr>
          <w:rFonts w:hint="eastAsia" w:ascii="楷体_GB2312" w:hAnsi="宋体" w:eastAsia="楷体_GB2312"/>
          <w:color w:val="000000"/>
          <w:sz w:val="24"/>
          <w:highlight w:val="none"/>
          <w:lang w:eastAsia="zh-CN"/>
        </w:rPr>
        <w:t>风险分析：本理财产品所投资的债券、债权资产等金融产品涉及融资人的信用风险，若融资人发生信用风险事件，将导致相应金融产品的市场价值下跌或收益、到期本金等无法足额按时偿还，则投资者可能面临本金和收益遭受部分甚至全部损失的风险。</w:t>
      </w:r>
    </w:p>
    <w:p>
      <w:pPr>
        <w:pStyle w:val="2"/>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ascii="楷体_GB2312" w:hAnsi="宋体" w:eastAsia="楷体_GB2312"/>
          <w:color w:val="000000"/>
          <w:sz w:val="24"/>
          <w:highlight w:val="none"/>
          <w:lang w:eastAsia="zh-CN"/>
        </w:rPr>
      </w:pPr>
      <w:r>
        <w:rPr>
          <w:rFonts w:hint="eastAsia" w:ascii="楷体_GB2312" w:hAnsi="宋体" w:eastAsia="楷体_GB2312"/>
          <w:color w:val="000000"/>
          <w:sz w:val="24"/>
          <w:highlight w:val="none"/>
          <w:lang w:eastAsia="zh-CN"/>
        </w:rPr>
        <w:t>风险控制措施：</w:t>
      </w:r>
    </w:p>
    <w:p>
      <w:pPr>
        <w:pStyle w:val="2"/>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ascii="楷体_GB2312" w:hAnsi="宋体" w:eastAsia="楷体_GB2312"/>
          <w:color w:val="000000"/>
          <w:sz w:val="24"/>
          <w:highlight w:val="none"/>
          <w:lang w:eastAsia="zh-CN"/>
        </w:rPr>
      </w:pPr>
      <w:r>
        <w:rPr>
          <w:rFonts w:hint="eastAsia" w:ascii="楷体_GB2312" w:hAnsi="宋体" w:eastAsia="楷体_GB2312"/>
          <w:color w:val="000000"/>
          <w:sz w:val="24"/>
          <w:highlight w:val="none"/>
          <w:lang w:eastAsia="zh-CN"/>
        </w:rPr>
        <w:t>（1）产品管理人建立投前、投中、投后信用风险管理体系，严格遵照“三道防线”相关要求开展信用债投后管理各项工作，通过下列措施严控信用风险：</w:t>
      </w:r>
    </w:p>
    <w:p>
      <w:pPr>
        <w:pStyle w:val="2"/>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ascii="楷体_GB2312" w:hAnsi="宋体" w:eastAsia="楷体_GB2312"/>
          <w:color w:val="000000"/>
          <w:sz w:val="24"/>
          <w:highlight w:val="none"/>
          <w:lang w:eastAsia="zh-CN"/>
        </w:rPr>
      </w:pPr>
      <w:r>
        <w:rPr>
          <w:rFonts w:hint="eastAsia" w:ascii="楷体_GB2312" w:hAnsi="宋体" w:eastAsia="楷体_GB2312"/>
          <w:color w:val="000000"/>
          <w:sz w:val="24"/>
          <w:highlight w:val="none"/>
          <w:lang w:eastAsia="zh-CN"/>
        </w:rPr>
        <w:t>①定期宏观基本面的跟踪分析：监控基本面关键指标、各行业基本面指标以及债券细分敞口溢价走势，研判个券信用风险，在此基础上形成产品债券投资备选库。</w:t>
      </w:r>
    </w:p>
    <w:p>
      <w:pPr>
        <w:pStyle w:val="2"/>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ascii="楷体_GB2312" w:hAnsi="宋体" w:eastAsia="楷体_GB2312"/>
          <w:color w:val="000000"/>
          <w:sz w:val="24"/>
          <w:highlight w:val="none"/>
          <w:lang w:eastAsia="zh-CN"/>
        </w:rPr>
      </w:pPr>
      <w:r>
        <w:rPr>
          <w:rFonts w:hint="eastAsia" w:ascii="楷体_GB2312" w:hAnsi="宋体" w:eastAsia="楷体_GB2312"/>
          <w:color w:val="000000"/>
          <w:sz w:val="24"/>
          <w:highlight w:val="none"/>
          <w:lang w:eastAsia="zh-CN"/>
        </w:rPr>
        <w:t>②内部风险监测机制：通过风险预警以及资产配置系统进行舆情监控，定期对持仓资产进行整体回顾、检视，分析组合资产配置情况，对持仓个券开展持续债券信用风险追踪，排查负面舆情、价格异动等风险事件，降低信用风险暴露。</w:t>
      </w:r>
    </w:p>
    <w:p>
      <w:pPr>
        <w:pStyle w:val="2"/>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ascii="楷体_GB2312" w:hAnsi="宋体" w:eastAsia="楷体_GB2312"/>
          <w:color w:val="000000"/>
          <w:sz w:val="24"/>
          <w:highlight w:val="none"/>
          <w:lang w:eastAsia="zh-CN"/>
        </w:rPr>
      </w:pPr>
      <w:r>
        <w:rPr>
          <w:rFonts w:hint="eastAsia" w:ascii="楷体_GB2312" w:hAnsi="宋体" w:eastAsia="楷体_GB2312"/>
          <w:color w:val="000000"/>
          <w:sz w:val="24"/>
          <w:highlight w:val="none"/>
          <w:lang w:eastAsia="zh-CN"/>
        </w:rPr>
        <w:t>（2）发生信用风险的债券通过折价卖出或破产清算回收部分本金。</w:t>
      </w:r>
    </w:p>
    <w:p>
      <w:pPr>
        <w:pStyle w:val="2"/>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ascii="楷体_GB2312" w:hAnsi="宋体" w:eastAsia="楷体_GB2312"/>
          <w:color w:val="000000"/>
          <w:sz w:val="24"/>
          <w:highlight w:val="none"/>
          <w:lang w:eastAsia="zh-CN"/>
        </w:rPr>
      </w:pPr>
      <w:r>
        <w:rPr>
          <w:rFonts w:hint="eastAsia" w:ascii="楷体_GB2312" w:hAnsi="宋体" w:eastAsia="楷体_GB2312"/>
          <w:color w:val="000000"/>
          <w:sz w:val="24"/>
          <w:highlight w:val="none"/>
          <w:lang w:eastAsia="zh-CN"/>
        </w:rPr>
        <w:t>4.衍生风险分析及衍生风险控制措施</w:t>
      </w:r>
    </w:p>
    <w:p>
      <w:pPr>
        <w:pStyle w:val="2"/>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ascii="楷体_GB2312" w:hAnsi="宋体" w:eastAsia="楷体_GB2312"/>
          <w:color w:val="000000"/>
          <w:sz w:val="24"/>
          <w:highlight w:val="none"/>
          <w:lang w:eastAsia="zh-CN"/>
        </w:rPr>
      </w:pPr>
      <w:r>
        <w:rPr>
          <w:rFonts w:hint="eastAsia" w:ascii="楷体_GB2312" w:hAnsi="宋体" w:eastAsia="楷体_GB2312"/>
          <w:color w:val="000000"/>
          <w:sz w:val="24"/>
          <w:highlight w:val="none"/>
          <w:lang w:eastAsia="zh-CN"/>
        </w:rPr>
        <w:t>风险分析：本理财产品所投资的衍生金融工具可能面临市场风险、基差风险、流动性风险、政策风险和交易对手不能履约等风险，在最不利的情况下，可能会损失投资该衍生品对应的部分甚至全部本金。</w:t>
      </w:r>
    </w:p>
    <w:p>
      <w:pPr>
        <w:pStyle w:val="2"/>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ascii="楷体_GB2312" w:hAnsi="宋体" w:eastAsia="楷体_GB2312"/>
          <w:color w:val="000000"/>
          <w:sz w:val="24"/>
          <w:highlight w:val="none"/>
          <w:lang w:eastAsia="zh-CN"/>
        </w:rPr>
      </w:pPr>
      <w:r>
        <w:rPr>
          <w:rFonts w:hint="eastAsia" w:ascii="楷体_GB2312" w:hAnsi="宋体" w:eastAsia="楷体_GB2312"/>
          <w:color w:val="000000"/>
          <w:sz w:val="24"/>
          <w:highlight w:val="none"/>
          <w:lang w:eastAsia="zh-CN"/>
        </w:rPr>
        <w:t>风险控制措施：持续跟踪并分析潜在的市场、流动性、交易对手等风险，设计相匹配的风险管理策略，合理控制衍生风险敞口。建立监测与报告机制，评估风险管理效果，持续优化投资策略。</w:t>
      </w:r>
    </w:p>
    <w:p>
      <w:pPr>
        <w:pStyle w:val="2"/>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ascii="楷体_GB2312" w:hAnsi="宋体" w:eastAsia="楷体_GB2312"/>
          <w:color w:val="000000"/>
          <w:sz w:val="24"/>
          <w:highlight w:val="none"/>
          <w:lang w:eastAsia="zh-CN"/>
        </w:rPr>
      </w:pPr>
      <w:r>
        <w:rPr>
          <w:rFonts w:hint="eastAsia" w:ascii="楷体_GB2312" w:hAnsi="宋体" w:eastAsia="楷体_GB2312"/>
          <w:color w:val="000000"/>
          <w:sz w:val="24"/>
          <w:highlight w:val="none"/>
          <w:lang w:eastAsia="zh-CN"/>
        </w:rPr>
        <w:t>5.其他风险分析及风险控制措施</w:t>
      </w:r>
    </w:p>
    <w:p>
      <w:pPr>
        <w:pStyle w:val="2"/>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ascii="楷体_GB2312" w:hAnsi="宋体" w:eastAsia="楷体_GB2312"/>
          <w:color w:val="000000"/>
          <w:sz w:val="24"/>
          <w:highlight w:val="none"/>
          <w:lang w:eastAsia="zh-CN"/>
        </w:rPr>
      </w:pPr>
      <w:r>
        <w:rPr>
          <w:rFonts w:hint="eastAsia" w:ascii="楷体_GB2312" w:hAnsi="宋体" w:eastAsia="楷体_GB2312"/>
          <w:color w:val="000000"/>
          <w:sz w:val="24"/>
          <w:highlight w:val="none"/>
          <w:lang w:eastAsia="zh-CN"/>
        </w:rPr>
        <w:t>风险分析：本理财产品的其他风险主要包括操作风险、管理风险以及可能面临的一些特殊风险。</w:t>
      </w:r>
    </w:p>
    <w:p>
      <w:pPr>
        <w:pStyle w:val="2"/>
        <w:ind w:left="0" w:leftChars="0" w:firstLine="480" w:firstLineChars="200"/>
        <w:rPr>
          <w:rFonts w:ascii="楷体_GB2312" w:hAnsi="宋体" w:eastAsia="楷体_GB2312"/>
          <w:color w:val="000000"/>
          <w:sz w:val="24"/>
        </w:rPr>
      </w:pPr>
      <w:r>
        <w:rPr>
          <w:rFonts w:hint="eastAsia" w:ascii="楷体_GB2312" w:hAnsi="宋体" w:eastAsia="楷体_GB2312"/>
          <w:color w:val="000000"/>
          <w:sz w:val="24"/>
          <w:highlight w:val="none"/>
          <w:lang w:eastAsia="zh-CN"/>
        </w:rPr>
        <w:t>风险控制措施：对本理财产品面临的其他风险，由北银理财相关部门进行识别、测量、分析、监控、报告和管理工作，设定投资风险管理要求、风险策略、 风险管理指标、风险限额等，并追踪执行情况。</w:t>
      </w:r>
    </w:p>
    <w:p>
      <w:pPr>
        <w:ind w:firstLine="482" w:firstLineChars="200"/>
        <w:rPr>
          <w:rFonts w:ascii="楷体_GB2312" w:hAnsi="宋体" w:eastAsia="楷体_GB2312"/>
          <w:b/>
          <w:color w:val="000000"/>
          <w:sz w:val="24"/>
        </w:rPr>
      </w:pPr>
      <w:r>
        <w:rPr>
          <w:rFonts w:hint="eastAsia" w:ascii="楷体_GB2312" w:hAnsi="宋体" w:eastAsia="楷体_GB2312"/>
          <w:b/>
          <w:color w:val="000000"/>
          <w:sz w:val="24"/>
        </w:rPr>
        <w:t>五、产品的</w:t>
      </w:r>
      <w:r>
        <w:rPr>
          <w:rFonts w:hint="eastAsia" w:ascii="楷体_GB2312" w:hAnsi="宋体" w:eastAsia="楷体_GB2312"/>
          <w:b/>
          <w:color w:val="000000"/>
          <w:sz w:val="24"/>
          <w:highlight w:val="none"/>
          <w:lang w:val="en-US" w:eastAsia="zh-CN"/>
        </w:rPr>
        <w:t>募集</w:t>
      </w:r>
      <w:r>
        <w:rPr>
          <w:rFonts w:hint="eastAsia" w:ascii="楷体_GB2312" w:hAnsi="宋体" w:eastAsia="楷体_GB2312"/>
          <w:b/>
          <w:color w:val="000000"/>
          <w:sz w:val="24"/>
          <w:highlight w:val="none"/>
        </w:rPr>
        <w:t>和</w:t>
      </w:r>
      <w:r>
        <w:rPr>
          <w:rFonts w:hint="eastAsia" w:ascii="楷体_GB2312" w:hAnsi="宋体" w:eastAsia="楷体_GB2312"/>
          <w:b/>
          <w:color w:val="000000"/>
          <w:sz w:val="24"/>
          <w:highlight w:val="none"/>
          <w:lang w:val="en-US" w:eastAsia="zh-CN"/>
        </w:rPr>
        <w:t>认购</w:t>
      </w:r>
    </w:p>
    <w:p>
      <w:pPr>
        <w:ind w:firstLine="480" w:firstLineChars="200"/>
        <w:rPr>
          <w:rFonts w:hint="eastAsia" w:ascii="楷体_GB2312" w:hAnsi="宋体" w:eastAsia="楷体_GB2312"/>
          <w:color w:val="000000"/>
          <w:sz w:val="24"/>
          <w:highlight w:val="none"/>
        </w:rPr>
      </w:pPr>
      <w:r>
        <w:rPr>
          <w:rFonts w:hint="eastAsia" w:ascii="楷体_GB2312" w:hAnsi="宋体" w:eastAsia="楷体_GB2312"/>
          <w:color w:val="000000"/>
          <w:sz w:val="24"/>
          <w:highlight w:val="none"/>
        </w:rPr>
        <w:t>（一）投资者在指定向北银理财申请购买本理财产品销售文件项下的理财产品时应已经在代销机构开立活期存款账户。</w:t>
      </w:r>
    </w:p>
    <w:p>
      <w:pPr>
        <w:ind w:firstLine="480" w:firstLineChars="200"/>
        <w:rPr>
          <w:highlight w:val="none"/>
        </w:rPr>
      </w:pPr>
      <w:r>
        <w:rPr>
          <w:rFonts w:hint="eastAsia" w:ascii="楷体_GB2312" w:hAnsi="宋体" w:eastAsia="楷体_GB2312"/>
          <w:color w:val="000000"/>
          <w:sz w:val="24"/>
          <w:highlight w:val="none"/>
          <w:lang w:eastAsia="zh-CN"/>
        </w:rPr>
        <w:t>（</w:t>
      </w:r>
      <w:r>
        <w:rPr>
          <w:rFonts w:hint="eastAsia" w:ascii="楷体_GB2312" w:hAnsi="宋体" w:eastAsia="楷体_GB2312"/>
          <w:color w:val="000000"/>
          <w:sz w:val="24"/>
          <w:highlight w:val="none"/>
          <w:lang w:val="en-US" w:eastAsia="zh-CN"/>
        </w:rPr>
        <w:t>二</w:t>
      </w:r>
      <w:r>
        <w:rPr>
          <w:rFonts w:hint="eastAsia" w:ascii="楷体_GB2312" w:hAnsi="宋体" w:eastAsia="楷体_GB2312"/>
          <w:color w:val="000000"/>
          <w:sz w:val="24"/>
          <w:highlight w:val="none"/>
          <w:lang w:eastAsia="zh-CN"/>
        </w:rPr>
        <w:t>）</w:t>
      </w:r>
      <w:r>
        <w:rPr>
          <w:rFonts w:hint="eastAsia" w:ascii="楷体_GB2312" w:hAnsi="宋体" w:eastAsia="楷体_GB2312"/>
          <w:color w:val="000000"/>
          <w:sz w:val="24"/>
          <w:highlight w:val="none"/>
        </w:rPr>
        <w:t>投资者应指定其开立在代销机构的相关账户作为清算账户。该账户用于</w:t>
      </w:r>
      <w:r>
        <w:rPr>
          <w:rFonts w:hint="eastAsia" w:ascii="楷体_GB2312" w:hAnsi="宋体" w:eastAsia="楷体_GB2312"/>
          <w:color w:val="000000"/>
          <w:sz w:val="24"/>
          <w:highlight w:val="none"/>
          <w:lang w:eastAsia="zh-CN"/>
        </w:rPr>
        <w:t>产品管理人</w:t>
      </w:r>
      <w:r>
        <w:rPr>
          <w:rFonts w:hint="eastAsia" w:ascii="楷体_GB2312" w:hAnsi="宋体" w:eastAsia="楷体_GB2312"/>
          <w:color w:val="000000"/>
          <w:sz w:val="24"/>
          <w:highlight w:val="none"/>
        </w:rPr>
        <w:t>和投资者之间根据本理财产品销售文件办理的投资金额与清算分配金额等款项收付。投资者同意，代销机构制作的该账户收款、付款记录是证明该账户项下款项收付的有效凭证。</w:t>
      </w:r>
    </w:p>
    <w:p>
      <w:pPr>
        <w:snapToGrid/>
        <w:ind w:firstLine="480" w:firstLineChars="200"/>
        <w:rPr>
          <w:rFonts w:hint="eastAsia" w:ascii="楷体_GB2312" w:hAnsi="宋体" w:eastAsia="楷体_GB2312"/>
          <w:color w:val="000000"/>
          <w:sz w:val="24"/>
          <w:lang w:val="en-US" w:eastAsia="zh-CN"/>
        </w:rPr>
      </w:pPr>
      <w:r>
        <w:rPr>
          <w:rFonts w:hint="eastAsia" w:ascii="楷体_GB2312" w:hAnsi="宋体" w:eastAsia="楷体_GB2312"/>
          <w:color w:val="000000"/>
          <w:sz w:val="24"/>
          <w:highlight w:val="none"/>
        </w:rPr>
        <w:t>（</w:t>
      </w:r>
      <w:r>
        <w:rPr>
          <w:rFonts w:hint="eastAsia" w:ascii="楷体_GB2312" w:hAnsi="宋体" w:eastAsia="楷体_GB2312"/>
          <w:color w:val="000000"/>
          <w:sz w:val="24"/>
          <w:highlight w:val="none"/>
          <w:lang w:val="en-US" w:eastAsia="zh-CN"/>
        </w:rPr>
        <w:t>三</w:t>
      </w:r>
      <w:r>
        <w:rPr>
          <w:rFonts w:hint="eastAsia" w:ascii="楷体_GB2312" w:hAnsi="宋体" w:eastAsia="楷体_GB2312"/>
          <w:color w:val="000000"/>
          <w:sz w:val="24"/>
          <w:highlight w:val="none"/>
        </w:rPr>
        <w:t>）</w:t>
      </w:r>
      <w:r>
        <w:rPr>
          <w:rFonts w:hint="eastAsia" w:ascii="楷体_GB2312" w:hAnsi="宋体" w:eastAsia="楷体_GB2312"/>
          <w:color w:val="000000"/>
          <w:sz w:val="24"/>
          <w:highlight w:val="none"/>
          <w:lang w:eastAsia="zh-CN"/>
        </w:rPr>
        <w:t>本理财产品</w:t>
      </w:r>
      <w:r>
        <w:rPr>
          <w:rFonts w:hint="eastAsia" w:ascii="楷体_GB2312" w:hAnsi="宋体" w:eastAsia="楷体_GB2312"/>
          <w:color w:val="000000"/>
          <w:sz w:val="24"/>
          <w:highlight w:val="none"/>
        </w:rPr>
        <w:t>认购金额要求：投资者购买本理财产品</w:t>
      </w:r>
      <w:r>
        <w:rPr>
          <w:rFonts w:hint="eastAsia" w:ascii="楷体_GB2312" w:hAnsi="宋体" w:eastAsia="楷体_GB2312"/>
          <w:color w:val="auto"/>
          <w:sz w:val="24"/>
          <w:highlight w:val="none"/>
          <w:lang w:val="en-US" w:eastAsia="zh-CN"/>
        </w:rPr>
        <w:t>A</w:t>
      </w:r>
      <w:r>
        <w:rPr>
          <w:rFonts w:hint="eastAsia" w:ascii="楷体_GB2312" w:hAnsi="宋体" w:eastAsia="楷体_GB2312"/>
          <w:color w:val="000000"/>
          <w:sz w:val="24"/>
          <w:highlight w:val="none"/>
        </w:rPr>
        <w:t>类份额的投资起点为人民币</w:t>
      </w:r>
      <w:r>
        <w:rPr>
          <w:rFonts w:hint="eastAsia" w:ascii="楷体_GB2312" w:hAnsi="宋体" w:eastAsia="楷体_GB2312"/>
          <w:color w:val="auto"/>
          <w:sz w:val="24"/>
          <w:highlight w:val="none"/>
          <w:lang w:val="en-US" w:eastAsia="zh-CN"/>
        </w:rPr>
        <w:t>1</w:t>
      </w:r>
      <w:r>
        <w:rPr>
          <w:rFonts w:hint="eastAsia" w:ascii="楷体_GB2312" w:hAnsi="宋体" w:eastAsia="楷体_GB2312"/>
          <w:color w:val="auto"/>
          <w:sz w:val="24"/>
          <w:highlight w:val="none"/>
        </w:rPr>
        <w:t>元</w:t>
      </w:r>
      <w:r>
        <w:rPr>
          <w:rFonts w:hint="eastAsia" w:ascii="楷体_GB2312" w:hAnsi="宋体" w:eastAsia="楷体_GB2312"/>
          <w:color w:val="000000"/>
          <w:sz w:val="24"/>
          <w:highlight w:val="none"/>
        </w:rPr>
        <w:t>，并以</w:t>
      </w:r>
      <w:r>
        <w:rPr>
          <w:rFonts w:hint="eastAsia" w:ascii="楷体_GB2312" w:hAnsi="宋体" w:eastAsia="楷体_GB2312"/>
          <w:color w:val="000000"/>
          <w:sz w:val="24"/>
          <w:highlight w:val="none"/>
          <w:lang w:val="en-US" w:eastAsia="zh-CN"/>
        </w:rPr>
        <w:t>0.01</w:t>
      </w:r>
      <w:r>
        <w:rPr>
          <w:rFonts w:hint="eastAsia" w:ascii="楷体_GB2312" w:hAnsi="宋体" w:eastAsia="楷体_GB2312"/>
          <w:color w:val="000000"/>
          <w:sz w:val="24"/>
          <w:highlight w:val="none"/>
        </w:rPr>
        <w:t>元为单位递增</w:t>
      </w:r>
      <w:r>
        <w:rPr>
          <w:rFonts w:hint="eastAsia" w:ascii="楷体_GB2312" w:eastAsia="楷体_GB2312"/>
          <w:bCs/>
          <w:color w:val="000000"/>
          <w:sz w:val="24"/>
          <w:lang w:eastAsia="zh-CN"/>
        </w:rPr>
        <w:t>；</w:t>
      </w:r>
      <w:r>
        <w:rPr>
          <w:rFonts w:hint="eastAsia" w:ascii="楷体_GB2312" w:hAnsi="宋体" w:eastAsia="楷体_GB2312"/>
          <w:color w:val="auto"/>
          <w:sz w:val="24"/>
          <w:highlight w:val="none"/>
          <w:lang w:val="en-US" w:eastAsia="zh-CN"/>
        </w:rPr>
        <w:t>B</w:t>
      </w:r>
      <w:r>
        <w:rPr>
          <w:rFonts w:hint="eastAsia" w:ascii="楷体_GB2312" w:hAnsi="宋体" w:eastAsia="楷体_GB2312"/>
          <w:color w:val="000000"/>
          <w:sz w:val="24"/>
          <w:highlight w:val="none"/>
        </w:rPr>
        <w:t>类份额的投资起点为人民币</w:t>
      </w:r>
      <w:r>
        <w:rPr>
          <w:rFonts w:hint="eastAsia" w:ascii="楷体_GB2312" w:hAnsi="宋体" w:eastAsia="楷体_GB2312"/>
          <w:color w:val="auto"/>
          <w:sz w:val="24"/>
          <w:highlight w:val="none"/>
          <w:lang w:val="en-US" w:eastAsia="zh-CN"/>
        </w:rPr>
        <w:t>300，000.00</w:t>
      </w:r>
      <w:r>
        <w:rPr>
          <w:rFonts w:hint="eastAsia" w:ascii="楷体_GB2312" w:hAnsi="宋体" w:eastAsia="楷体_GB2312"/>
          <w:color w:val="auto"/>
          <w:sz w:val="24"/>
          <w:highlight w:val="none"/>
        </w:rPr>
        <w:t>元</w:t>
      </w:r>
      <w:r>
        <w:rPr>
          <w:rFonts w:hint="eastAsia" w:ascii="楷体_GB2312" w:hAnsi="宋体" w:eastAsia="楷体_GB2312"/>
          <w:color w:val="000000"/>
          <w:sz w:val="24"/>
          <w:highlight w:val="none"/>
        </w:rPr>
        <w:t>，并以</w:t>
      </w:r>
      <w:r>
        <w:rPr>
          <w:rFonts w:hint="eastAsia" w:ascii="楷体_GB2312" w:hAnsi="宋体" w:eastAsia="楷体_GB2312"/>
          <w:color w:val="000000"/>
          <w:sz w:val="24"/>
          <w:highlight w:val="none"/>
          <w:lang w:val="en-US" w:eastAsia="zh-CN"/>
        </w:rPr>
        <w:t>0.01</w:t>
      </w:r>
      <w:r>
        <w:rPr>
          <w:rFonts w:hint="eastAsia" w:ascii="楷体_GB2312" w:hAnsi="宋体" w:eastAsia="楷体_GB2312"/>
          <w:color w:val="000000"/>
          <w:sz w:val="24"/>
          <w:highlight w:val="none"/>
        </w:rPr>
        <w:t>元为单位递增</w:t>
      </w:r>
      <w:r>
        <w:rPr>
          <w:rFonts w:hint="eastAsia" w:ascii="楷体_GB2312" w:hAnsi="宋体" w:eastAsia="楷体_GB2312"/>
          <w:color w:val="000000"/>
          <w:sz w:val="24"/>
          <w:highlight w:val="none"/>
          <w:lang w:eastAsia="zh-CN"/>
        </w:rPr>
        <w:t>；</w:t>
      </w:r>
      <w:r>
        <w:rPr>
          <w:rFonts w:hint="eastAsia" w:ascii="楷体_GB2312" w:hAnsi="宋体" w:eastAsia="楷体_GB2312"/>
          <w:color w:val="000000"/>
          <w:sz w:val="24"/>
          <w:highlight w:val="none"/>
          <w:lang w:val="en-US" w:eastAsia="zh-CN"/>
        </w:rPr>
        <w:t>浙B</w:t>
      </w:r>
      <w:r>
        <w:rPr>
          <w:rFonts w:hint="eastAsia" w:ascii="楷体_GB2312" w:hAnsi="宋体" w:eastAsia="楷体_GB2312"/>
          <w:color w:val="auto"/>
          <w:sz w:val="24"/>
          <w:highlight w:val="none"/>
          <w:lang w:val="en-US" w:eastAsia="zh-CN"/>
        </w:rPr>
        <w:t>A</w:t>
      </w:r>
      <w:r>
        <w:rPr>
          <w:rFonts w:hint="eastAsia" w:ascii="楷体_GB2312" w:hAnsi="宋体" w:eastAsia="楷体_GB2312"/>
          <w:color w:val="000000"/>
          <w:sz w:val="24"/>
          <w:highlight w:val="none"/>
        </w:rPr>
        <w:t>类份额的投资起点为人民币</w:t>
      </w:r>
      <w:r>
        <w:rPr>
          <w:rFonts w:hint="eastAsia" w:ascii="楷体_GB2312" w:hAnsi="宋体" w:eastAsia="楷体_GB2312"/>
          <w:color w:val="auto"/>
          <w:sz w:val="24"/>
          <w:highlight w:val="none"/>
          <w:lang w:val="en-US" w:eastAsia="zh-CN"/>
        </w:rPr>
        <w:t>1</w:t>
      </w:r>
      <w:r>
        <w:rPr>
          <w:rFonts w:hint="eastAsia" w:ascii="楷体_GB2312" w:hAnsi="宋体" w:eastAsia="楷体_GB2312"/>
          <w:color w:val="auto"/>
          <w:sz w:val="24"/>
          <w:highlight w:val="none"/>
        </w:rPr>
        <w:t>元</w:t>
      </w:r>
      <w:r>
        <w:rPr>
          <w:rFonts w:hint="eastAsia" w:ascii="楷体_GB2312" w:hAnsi="宋体" w:eastAsia="楷体_GB2312"/>
          <w:color w:val="000000"/>
          <w:sz w:val="24"/>
          <w:highlight w:val="none"/>
        </w:rPr>
        <w:t>，并以</w:t>
      </w:r>
      <w:r>
        <w:rPr>
          <w:rFonts w:hint="eastAsia" w:ascii="楷体_GB2312" w:hAnsi="宋体" w:eastAsia="楷体_GB2312"/>
          <w:color w:val="000000"/>
          <w:sz w:val="24"/>
          <w:highlight w:val="none"/>
          <w:lang w:val="en-US" w:eastAsia="zh-CN"/>
        </w:rPr>
        <w:t>0.01</w:t>
      </w:r>
      <w:r>
        <w:rPr>
          <w:rFonts w:hint="eastAsia" w:ascii="楷体_GB2312" w:hAnsi="宋体" w:eastAsia="楷体_GB2312"/>
          <w:color w:val="000000"/>
          <w:sz w:val="24"/>
          <w:highlight w:val="none"/>
        </w:rPr>
        <w:t>元为单位递增</w:t>
      </w:r>
      <w:r>
        <w:rPr>
          <w:rFonts w:hint="eastAsia" w:ascii="楷体_GB2312" w:hAnsi="宋体" w:eastAsia="楷体_GB2312"/>
          <w:color w:val="000000"/>
          <w:sz w:val="24"/>
          <w:highlight w:val="none"/>
          <w:lang w:eastAsia="zh-CN"/>
        </w:rPr>
        <w:t>。</w:t>
      </w:r>
    </w:p>
    <w:p>
      <w:pPr>
        <w:ind w:firstLine="480" w:firstLineChars="200"/>
        <w:rPr>
          <w:rFonts w:hint="eastAsia" w:ascii="楷体_GB2312" w:hAnsi="宋体" w:eastAsia="楷体_GB2312"/>
          <w:color w:val="000000"/>
          <w:sz w:val="24"/>
          <w:highlight w:val="none"/>
        </w:rPr>
      </w:pPr>
      <w:r>
        <w:rPr>
          <w:rFonts w:hint="eastAsia" w:ascii="楷体_GB2312" w:hAnsi="宋体" w:eastAsia="楷体_GB2312"/>
          <w:color w:val="000000"/>
          <w:sz w:val="24"/>
          <w:highlight w:val="none"/>
        </w:rPr>
        <w:t>（</w:t>
      </w:r>
      <w:r>
        <w:rPr>
          <w:rFonts w:hint="eastAsia" w:ascii="楷体_GB2312" w:hAnsi="宋体" w:eastAsia="楷体_GB2312"/>
          <w:color w:val="000000"/>
          <w:sz w:val="24"/>
          <w:highlight w:val="none"/>
          <w:lang w:val="en-US" w:eastAsia="zh-CN"/>
        </w:rPr>
        <w:t>四</w:t>
      </w:r>
      <w:r>
        <w:rPr>
          <w:rFonts w:hint="eastAsia" w:ascii="楷体_GB2312" w:hAnsi="宋体" w:eastAsia="楷体_GB2312"/>
          <w:color w:val="000000"/>
          <w:sz w:val="24"/>
          <w:highlight w:val="none"/>
        </w:rPr>
        <w:t>）认购份额的计算：认购份额=认购金额/产品单位面值，</w:t>
      </w:r>
      <w:r>
        <w:rPr>
          <w:rFonts w:hint="eastAsia" w:ascii="楷体_GB2312" w:hAnsi="宋体" w:eastAsia="楷体_GB2312"/>
          <w:color w:val="000000"/>
          <w:sz w:val="24"/>
          <w:highlight w:val="none"/>
          <w:lang w:eastAsia="zh-CN"/>
        </w:rPr>
        <w:t>本理财</w:t>
      </w:r>
      <w:r>
        <w:rPr>
          <w:rFonts w:hint="eastAsia" w:ascii="楷体_GB2312" w:hAnsi="宋体" w:eastAsia="楷体_GB2312"/>
          <w:color w:val="000000"/>
          <w:sz w:val="24"/>
          <w:highlight w:val="none"/>
        </w:rPr>
        <w:t>产品成立</w:t>
      </w:r>
      <w:r>
        <w:rPr>
          <w:rFonts w:hint="eastAsia" w:ascii="楷体_GB2312" w:hAnsi="宋体" w:eastAsia="楷体_GB2312"/>
          <w:color w:val="000000"/>
          <w:sz w:val="24"/>
          <w:highlight w:val="none"/>
          <w:lang w:eastAsia="zh-CN"/>
        </w:rPr>
        <w:t>日的</w:t>
      </w:r>
      <w:r>
        <w:rPr>
          <w:rFonts w:hint="eastAsia" w:ascii="楷体_GB2312" w:hAnsi="宋体" w:eastAsia="楷体_GB2312"/>
          <w:color w:val="000000"/>
          <w:sz w:val="24"/>
          <w:highlight w:val="none"/>
          <w:lang w:val="en-US" w:eastAsia="zh-CN"/>
        </w:rPr>
        <w:t>产品</w:t>
      </w:r>
      <w:r>
        <w:rPr>
          <w:rFonts w:hint="eastAsia" w:ascii="楷体_GB2312" w:hAnsi="宋体" w:eastAsia="楷体_GB2312"/>
          <w:color w:val="000000"/>
          <w:sz w:val="24"/>
          <w:highlight w:val="none"/>
        </w:rPr>
        <w:t>单位面值为1</w:t>
      </w:r>
      <w:r>
        <w:rPr>
          <w:rFonts w:hint="default" w:ascii="楷体_GB2312" w:hAnsi="宋体" w:eastAsia="楷体_GB2312"/>
          <w:color w:val="000000"/>
          <w:sz w:val="24"/>
          <w:highlight w:val="none"/>
          <w:lang w:val="en-US"/>
        </w:rPr>
        <w:t>.00</w:t>
      </w:r>
      <w:r>
        <w:rPr>
          <w:rFonts w:hint="eastAsia" w:ascii="楷体_GB2312" w:hAnsi="宋体" w:eastAsia="楷体_GB2312"/>
          <w:color w:val="000000"/>
          <w:sz w:val="24"/>
          <w:highlight w:val="none"/>
          <w:lang w:val="en-US" w:eastAsia="zh-CN"/>
        </w:rPr>
        <w:t>元</w:t>
      </w:r>
      <w:r>
        <w:rPr>
          <w:rFonts w:hint="eastAsia" w:ascii="楷体_GB2312" w:hAnsi="宋体" w:eastAsia="楷体_GB2312"/>
          <w:color w:val="000000"/>
          <w:sz w:val="24"/>
          <w:highlight w:val="none"/>
        </w:rPr>
        <w:t>，</w:t>
      </w:r>
      <w:r>
        <w:rPr>
          <w:rFonts w:hint="eastAsia" w:ascii="楷体_GB2312" w:hAnsi="仿宋" w:eastAsia="楷体_GB2312"/>
          <w:color w:val="000000"/>
          <w:sz w:val="24"/>
          <w:highlight w:val="none"/>
        </w:rPr>
        <w:t>认购份额以四舍五入的方法保留到小数点后两位。</w:t>
      </w:r>
      <w:r>
        <w:rPr>
          <w:rFonts w:hint="eastAsia" w:ascii="楷体_GB2312" w:hAnsi="宋体" w:eastAsia="楷体_GB2312"/>
          <w:color w:val="000000"/>
          <w:sz w:val="24"/>
          <w:highlight w:val="none"/>
        </w:rPr>
        <w:t>实际认购份额以</w:t>
      </w:r>
      <w:r>
        <w:rPr>
          <w:rFonts w:hint="eastAsia" w:ascii="楷体_GB2312" w:hAnsi="宋体" w:eastAsia="楷体_GB2312"/>
          <w:color w:val="000000"/>
          <w:sz w:val="24"/>
          <w:highlight w:val="none"/>
          <w:lang w:eastAsia="zh-CN"/>
        </w:rPr>
        <w:t>产品管理人</w:t>
      </w:r>
      <w:r>
        <w:rPr>
          <w:rFonts w:hint="eastAsia" w:ascii="楷体_GB2312" w:hAnsi="宋体" w:eastAsia="楷体_GB2312"/>
          <w:color w:val="000000"/>
          <w:sz w:val="24"/>
          <w:highlight w:val="none"/>
        </w:rPr>
        <w:t>确认的份额为准。</w:t>
      </w:r>
    </w:p>
    <w:p>
      <w:pPr>
        <w:ind w:firstLine="480" w:firstLineChars="200"/>
        <w:rPr>
          <w:highlight w:val="none"/>
        </w:rPr>
      </w:pPr>
      <w:r>
        <w:rPr>
          <w:rFonts w:hint="eastAsia" w:ascii="楷体_GB2312" w:hAnsi="宋体" w:eastAsia="楷体_GB2312"/>
          <w:color w:val="000000"/>
          <w:sz w:val="24"/>
          <w:highlight w:val="none"/>
        </w:rPr>
        <w:t>（</w:t>
      </w:r>
      <w:r>
        <w:rPr>
          <w:rFonts w:hint="eastAsia" w:ascii="楷体_GB2312" w:hAnsi="宋体" w:eastAsia="楷体_GB2312"/>
          <w:color w:val="000000"/>
          <w:sz w:val="24"/>
          <w:highlight w:val="none"/>
          <w:lang w:val="en-US" w:eastAsia="zh-CN"/>
        </w:rPr>
        <w:t>五</w:t>
      </w:r>
      <w:r>
        <w:rPr>
          <w:rFonts w:hint="eastAsia" w:ascii="楷体_GB2312" w:hAnsi="宋体" w:eastAsia="楷体_GB2312"/>
          <w:color w:val="000000"/>
          <w:sz w:val="24"/>
          <w:highlight w:val="none"/>
        </w:rPr>
        <w:t>）</w:t>
      </w:r>
      <w:r>
        <w:rPr>
          <w:rFonts w:hint="eastAsia" w:ascii="楷体_GB2312" w:hAnsi="宋体" w:eastAsia="楷体_GB2312"/>
          <w:color w:val="000000"/>
          <w:sz w:val="24"/>
          <w:highlight w:val="none"/>
          <w:lang w:val="en-US" w:eastAsia="zh-CN"/>
        </w:rPr>
        <w:t>认购费用：</w:t>
      </w:r>
      <w:r>
        <w:rPr>
          <w:rFonts w:hint="eastAsia" w:ascii="楷体_GB2312" w:hAnsi="Arial" w:eastAsia="楷体_GB2312"/>
          <w:color w:val="000000"/>
          <w:sz w:val="24"/>
          <w:highlight w:val="none"/>
        </w:rPr>
        <w:t>本</w:t>
      </w:r>
      <w:r>
        <w:rPr>
          <w:rFonts w:hint="eastAsia" w:ascii="楷体_GB2312" w:hAnsi="宋体" w:eastAsia="楷体_GB2312"/>
          <w:color w:val="000000"/>
          <w:sz w:val="24"/>
          <w:highlight w:val="none"/>
          <w:lang w:val="en-US" w:eastAsia="zh-CN"/>
        </w:rPr>
        <w:t>理财</w:t>
      </w:r>
      <w:r>
        <w:rPr>
          <w:rFonts w:hint="eastAsia" w:ascii="楷体_GB2312" w:hAnsi="Arial" w:eastAsia="楷体_GB2312"/>
          <w:color w:val="000000"/>
          <w:sz w:val="24"/>
          <w:highlight w:val="none"/>
        </w:rPr>
        <w:t>产品暂不收取认购费</w:t>
      </w:r>
      <w:r>
        <w:rPr>
          <w:rFonts w:hint="eastAsia" w:ascii="楷体_GB2312" w:hAnsi="Arial" w:eastAsia="楷体_GB2312"/>
          <w:color w:val="000000"/>
          <w:sz w:val="24"/>
          <w:highlight w:val="none"/>
          <w:lang w:val="en-US" w:eastAsia="zh-CN"/>
        </w:rPr>
        <w:t>用。</w:t>
      </w:r>
    </w:p>
    <w:p>
      <w:pPr>
        <w:ind w:firstLine="480" w:firstLineChars="200"/>
        <w:rPr>
          <w:rFonts w:ascii="楷体_GB2312" w:hAnsi="宋体" w:eastAsia="楷体_GB2312"/>
          <w:color w:val="000000"/>
          <w:sz w:val="24"/>
          <w:highlight w:val="none"/>
        </w:rPr>
      </w:pPr>
      <w:r>
        <w:rPr>
          <w:rFonts w:hint="eastAsia" w:ascii="楷体_GB2312" w:hAnsi="宋体" w:eastAsia="楷体_GB2312"/>
          <w:color w:val="000000"/>
          <w:sz w:val="24"/>
          <w:highlight w:val="none"/>
        </w:rPr>
        <w:t>（</w:t>
      </w:r>
      <w:r>
        <w:rPr>
          <w:rFonts w:hint="eastAsia" w:ascii="楷体_GB2312" w:hAnsi="宋体" w:eastAsia="楷体_GB2312"/>
          <w:color w:val="000000"/>
          <w:sz w:val="24"/>
          <w:highlight w:val="none"/>
          <w:lang w:val="en-US" w:eastAsia="zh-CN"/>
        </w:rPr>
        <w:t>六</w:t>
      </w:r>
      <w:r>
        <w:rPr>
          <w:rFonts w:hint="eastAsia" w:ascii="楷体_GB2312" w:hAnsi="宋体" w:eastAsia="楷体_GB2312"/>
          <w:color w:val="000000"/>
          <w:sz w:val="24"/>
          <w:highlight w:val="none"/>
        </w:rPr>
        <w:t>）受理时间和确认时间：投资者可在</w:t>
      </w:r>
      <w:r>
        <w:rPr>
          <w:rFonts w:hint="eastAsia" w:ascii="楷体_GB2312" w:hAnsi="宋体" w:eastAsia="楷体_GB2312"/>
          <w:color w:val="000000"/>
          <w:sz w:val="24"/>
          <w:highlight w:val="none"/>
          <w:lang w:val="en-US" w:eastAsia="zh-CN"/>
        </w:rPr>
        <w:t>本理财</w:t>
      </w:r>
      <w:r>
        <w:rPr>
          <w:rFonts w:hint="eastAsia" w:ascii="楷体_GB2312" w:hAnsi="宋体" w:eastAsia="楷体_GB2312"/>
          <w:color w:val="000000"/>
          <w:sz w:val="24"/>
          <w:highlight w:val="none"/>
        </w:rPr>
        <w:t>产品募集期</w:t>
      </w:r>
      <w:r>
        <w:rPr>
          <w:rFonts w:hint="eastAsia" w:ascii="楷体_GB2312" w:hAnsi="宋体" w:eastAsia="楷体_GB2312"/>
          <w:color w:val="000000"/>
          <w:sz w:val="24"/>
          <w:highlight w:val="none"/>
          <w:lang w:val="en-US" w:eastAsia="zh-CN"/>
        </w:rPr>
        <w:t>规定时间</w:t>
      </w:r>
      <w:r>
        <w:rPr>
          <w:rFonts w:hint="eastAsia" w:ascii="楷体_GB2312" w:hAnsi="宋体" w:eastAsia="楷体_GB2312"/>
          <w:color w:val="000000"/>
          <w:sz w:val="24"/>
          <w:highlight w:val="none"/>
        </w:rPr>
        <w:t>内购买本</w:t>
      </w:r>
      <w:r>
        <w:rPr>
          <w:rFonts w:hint="eastAsia" w:ascii="楷体_GB2312" w:hAnsi="宋体" w:eastAsia="楷体_GB2312"/>
          <w:color w:val="000000"/>
          <w:sz w:val="24"/>
          <w:highlight w:val="none"/>
          <w:lang w:val="en-US" w:eastAsia="zh-CN"/>
        </w:rPr>
        <w:t>理财</w:t>
      </w:r>
      <w:r>
        <w:rPr>
          <w:rFonts w:hint="eastAsia" w:ascii="楷体_GB2312" w:hAnsi="宋体" w:eastAsia="楷体_GB2312"/>
          <w:color w:val="000000"/>
          <w:sz w:val="24"/>
          <w:highlight w:val="none"/>
        </w:rPr>
        <w:t>产品，投资者认购资金将被实时冻结，并于</w:t>
      </w:r>
      <w:r>
        <w:rPr>
          <w:rFonts w:hint="eastAsia" w:ascii="楷体_GB2312" w:hAnsi="宋体" w:eastAsia="楷体_GB2312"/>
          <w:color w:val="000000"/>
          <w:sz w:val="24"/>
          <w:highlight w:val="none"/>
          <w:lang w:val="en-US" w:eastAsia="zh-CN"/>
        </w:rPr>
        <w:t>本理财</w:t>
      </w:r>
      <w:r>
        <w:rPr>
          <w:rFonts w:hint="eastAsia" w:ascii="楷体_GB2312" w:hAnsi="宋体" w:eastAsia="楷体_GB2312"/>
          <w:color w:val="000000"/>
          <w:sz w:val="24"/>
          <w:highlight w:val="none"/>
        </w:rPr>
        <w:t>产品成立日由代销机构划款，</w:t>
      </w:r>
      <w:r>
        <w:rPr>
          <w:rFonts w:hint="eastAsia" w:ascii="楷体_GB2312" w:hAnsi="宋体" w:eastAsia="楷体_GB2312"/>
          <w:color w:val="000000"/>
          <w:sz w:val="24"/>
          <w:highlight w:val="none"/>
          <w:lang w:eastAsia="zh-CN"/>
        </w:rPr>
        <w:t>产品管理人</w:t>
      </w:r>
      <w:r>
        <w:rPr>
          <w:rFonts w:hint="eastAsia" w:ascii="楷体_GB2312" w:hAnsi="宋体" w:eastAsia="楷体_GB2312"/>
          <w:color w:val="000000"/>
          <w:sz w:val="24"/>
          <w:highlight w:val="none"/>
        </w:rPr>
        <w:t>在</w:t>
      </w:r>
      <w:r>
        <w:rPr>
          <w:rFonts w:hint="eastAsia" w:ascii="楷体_GB2312" w:hAnsi="宋体" w:eastAsia="楷体_GB2312"/>
          <w:color w:val="000000"/>
          <w:sz w:val="24"/>
          <w:highlight w:val="none"/>
          <w:lang w:val="en-US" w:eastAsia="zh-CN"/>
        </w:rPr>
        <w:t>本理财</w:t>
      </w:r>
      <w:r>
        <w:rPr>
          <w:rFonts w:hint="eastAsia" w:ascii="楷体_GB2312" w:hAnsi="宋体" w:eastAsia="楷体_GB2312"/>
          <w:color w:val="000000"/>
          <w:sz w:val="24"/>
          <w:highlight w:val="none"/>
        </w:rPr>
        <w:t>产品成立日确认产品份额。</w:t>
      </w:r>
    </w:p>
    <w:p>
      <w:pPr>
        <w:ind w:firstLine="482" w:firstLineChars="200"/>
        <w:rPr>
          <w:rFonts w:ascii="楷体_GB2312" w:hAnsi="宋体" w:eastAsia="楷体_GB2312"/>
          <w:color w:val="000000"/>
          <w:sz w:val="24"/>
          <w:highlight w:val="none"/>
        </w:rPr>
      </w:pPr>
      <w:r>
        <w:rPr>
          <w:rFonts w:hint="eastAsia" w:ascii="楷体_GB2312" w:hAnsi="楷体" w:eastAsia="楷体_GB2312"/>
          <w:b/>
          <w:bCs/>
          <w:sz w:val="24"/>
          <w:highlight w:val="none"/>
        </w:rPr>
        <w:t>★</w:t>
      </w:r>
      <w:r>
        <w:rPr>
          <w:rFonts w:hint="eastAsia" w:ascii="楷体_GB2312" w:hAnsi="宋体" w:eastAsia="楷体_GB2312"/>
          <w:color w:val="000000"/>
          <w:sz w:val="24"/>
          <w:highlight w:val="none"/>
        </w:rPr>
        <w:t>（</w:t>
      </w:r>
      <w:r>
        <w:rPr>
          <w:rFonts w:hint="eastAsia" w:ascii="楷体_GB2312" w:hAnsi="宋体" w:eastAsia="楷体_GB2312"/>
          <w:color w:val="000000"/>
          <w:sz w:val="24"/>
          <w:highlight w:val="none"/>
          <w:lang w:val="en-US" w:eastAsia="zh-CN"/>
        </w:rPr>
        <w:t>七</w:t>
      </w:r>
      <w:r>
        <w:rPr>
          <w:rFonts w:hint="eastAsia" w:ascii="楷体_GB2312" w:hAnsi="宋体" w:eastAsia="楷体_GB2312"/>
          <w:color w:val="000000"/>
          <w:sz w:val="24"/>
          <w:highlight w:val="none"/>
        </w:rPr>
        <w:t>）募集期的利息计算：募集期内，认购资金在投资者交存至投资者清算账户后，扣划之前按代销机构公布的人民币活期存款利率计算利息，该利息不作为认购资金扣收。</w:t>
      </w:r>
    </w:p>
    <w:p>
      <w:pPr>
        <w:ind w:firstLine="480" w:firstLineChars="200"/>
        <w:rPr>
          <w:rFonts w:hint="eastAsia" w:ascii="楷体_GB2312" w:hAnsi="宋体" w:eastAsia="楷体_GB2312"/>
          <w:color w:val="000000"/>
          <w:sz w:val="24"/>
          <w:highlight w:val="none"/>
          <w:lang w:eastAsia="zh-CN"/>
        </w:rPr>
      </w:pPr>
      <w:r>
        <w:rPr>
          <w:rFonts w:hint="eastAsia" w:ascii="楷体_GB2312" w:hAnsi="宋体" w:eastAsia="楷体_GB2312"/>
          <w:color w:val="000000"/>
          <w:sz w:val="24"/>
          <w:highlight w:val="none"/>
        </w:rPr>
        <w:t>（</w:t>
      </w:r>
      <w:r>
        <w:rPr>
          <w:rFonts w:hint="eastAsia" w:ascii="楷体_GB2312" w:hAnsi="宋体" w:eastAsia="楷体_GB2312"/>
          <w:color w:val="000000"/>
          <w:sz w:val="24"/>
          <w:highlight w:val="none"/>
          <w:lang w:val="en-US" w:eastAsia="zh-CN"/>
        </w:rPr>
        <w:t>八</w:t>
      </w:r>
      <w:r>
        <w:rPr>
          <w:rFonts w:hint="eastAsia" w:ascii="楷体_GB2312" w:hAnsi="宋体" w:eastAsia="楷体_GB2312"/>
          <w:color w:val="000000"/>
          <w:sz w:val="24"/>
          <w:highlight w:val="none"/>
        </w:rPr>
        <w:t>）受理渠道：投资者可通过代销机构各营业网点、代销机构手机银行等电子渠道办理理财账户的开户手续，可通过代销机构各营业网点、代销机构手机银行等电子渠道办理</w:t>
      </w:r>
      <w:r>
        <w:rPr>
          <w:rFonts w:hint="eastAsia" w:ascii="楷体_GB2312" w:hAnsi="宋体" w:eastAsia="楷体_GB2312"/>
          <w:color w:val="000000"/>
          <w:sz w:val="24"/>
          <w:highlight w:val="none"/>
          <w:lang w:val="en-US" w:eastAsia="zh-CN"/>
        </w:rPr>
        <w:t>本</w:t>
      </w:r>
      <w:r>
        <w:rPr>
          <w:rFonts w:hint="eastAsia" w:ascii="楷体_GB2312" w:hAnsi="宋体" w:eastAsia="楷体_GB2312"/>
          <w:color w:val="000000"/>
          <w:sz w:val="24"/>
          <w:highlight w:val="none"/>
        </w:rPr>
        <w:t>理财产品的购买手续</w:t>
      </w:r>
      <w:r>
        <w:rPr>
          <w:rFonts w:hint="eastAsia" w:ascii="楷体_GB2312" w:hAnsi="宋体" w:eastAsia="楷体_GB2312"/>
          <w:color w:val="000000"/>
          <w:sz w:val="24"/>
          <w:highlight w:val="none"/>
          <w:lang w:eastAsia="zh-CN"/>
        </w:rPr>
        <w:t>（</w:t>
      </w:r>
      <w:r>
        <w:rPr>
          <w:rFonts w:hint="eastAsia" w:ascii="楷体_GB2312" w:hAnsi="宋体" w:eastAsia="楷体_GB2312"/>
          <w:color w:val="000000"/>
          <w:sz w:val="24"/>
          <w:highlight w:val="none"/>
          <w:lang w:val="en-US" w:eastAsia="zh-CN"/>
        </w:rPr>
        <w:t>具体</w:t>
      </w:r>
      <w:r>
        <w:rPr>
          <w:rFonts w:hint="eastAsia" w:ascii="楷体_GB2312" w:hAnsi="宋体" w:eastAsia="楷体_GB2312"/>
          <w:color w:val="000000"/>
          <w:sz w:val="24"/>
          <w:highlight w:val="none"/>
        </w:rPr>
        <w:t>以代销机构要求为准</w:t>
      </w:r>
      <w:r>
        <w:rPr>
          <w:rFonts w:hint="eastAsia" w:ascii="楷体_GB2312" w:hAnsi="宋体" w:eastAsia="楷体_GB2312"/>
          <w:color w:val="000000"/>
          <w:sz w:val="24"/>
          <w:highlight w:val="none"/>
          <w:lang w:eastAsia="zh-CN"/>
        </w:rPr>
        <w:t>）</w:t>
      </w:r>
      <w:r>
        <w:rPr>
          <w:rFonts w:hint="eastAsia" w:ascii="楷体_GB2312" w:hAnsi="宋体" w:eastAsia="楷体_GB2312"/>
          <w:color w:val="000000"/>
          <w:sz w:val="24"/>
          <w:highlight w:val="none"/>
        </w:rPr>
        <w:t>。</w:t>
      </w:r>
    </w:p>
    <w:p>
      <w:pPr>
        <w:ind w:firstLine="482" w:firstLineChars="200"/>
        <w:rPr>
          <w:rFonts w:ascii="楷体_GB2312" w:hAnsi="宋体" w:eastAsia="楷体_GB2312"/>
          <w:color w:val="000000"/>
          <w:sz w:val="24"/>
          <w:highlight w:val="none"/>
        </w:rPr>
      </w:pPr>
      <w:r>
        <w:rPr>
          <w:rFonts w:hint="eastAsia" w:ascii="楷体_GB2312" w:hAnsi="楷体" w:eastAsia="楷体_GB2312"/>
          <w:b/>
          <w:bCs/>
          <w:sz w:val="24"/>
          <w:highlight w:val="none"/>
        </w:rPr>
        <w:t>★</w:t>
      </w:r>
      <w:r>
        <w:rPr>
          <w:rFonts w:hint="eastAsia" w:ascii="楷体_GB2312" w:hAnsi="宋体" w:eastAsia="楷体_GB2312"/>
          <w:color w:val="000000"/>
          <w:sz w:val="24"/>
          <w:highlight w:val="none"/>
        </w:rPr>
        <w:t>（</w:t>
      </w:r>
      <w:r>
        <w:rPr>
          <w:rFonts w:hint="eastAsia" w:ascii="楷体_GB2312" w:hAnsi="宋体" w:eastAsia="楷体_GB2312"/>
          <w:color w:val="000000"/>
          <w:sz w:val="24"/>
          <w:highlight w:val="none"/>
          <w:lang w:val="en-US" w:eastAsia="zh-CN"/>
        </w:rPr>
        <w:t>九</w:t>
      </w:r>
      <w:r>
        <w:rPr>
          <w:rFonts w:hint="eastAsia" w:ascii="楷体_GB2312" w:hAnsi="宋体" w:eastAsia="楷体_GB2312"/>
          <w:color w:val="000000"/>
          <w:sz w:val="24"/>
          <w:highlight w:val="none"/>
        </w:rPr>
        <w:t>）购买撤销：投资者可在</w:t>
      </w:r>
      <w:r>
        <w:rPr>
          <w:rFonts w:hint="eastAsia" w:ascii="楷体_GB2312" w:hAnsi="宋体" w:eastAsia="楷体_GB2312"/>
          <w:color w:val="000000"/>
          <w:sz w:val="24"/>
          <w:highlight w:val="none"/>
          <w:lang w:val="en-US" w:eastAsia="zh-CN"/>
        </w:rPr>
        <w:t>本</w:t>
      </w:r>
      <w:r>
        <w:rPr>
          <w:rFonts w:hint="eastAsia" w:ascii="楷体_GB2312" w:hAnsi="宋体" w:eastAsia="楷体_GB2312"/>
          <w:color w:val="000000"/>
          <w:sz w:val="24"/>
          <w:highlight w:val="none"/>
        </w:rPr>
        <w:t>理财产品募集期最后一日的</w:t>
      </w:r>
      <w:r>
        <w:rPr>
          <w:rFonts w:hint="eastAsia" w:ascii="楷体_GB2312" w:hAnsi="宋体" w:eastAsia="楷体_GB2312"/>
          <w:color w:val="000000"/>
          <w:sz w:val="24"/>
          <w:highlight w:val="none"/>
          <w:lang w:val="en-US" w:eastAsia="zh-CN"/>
        </w:rPr>
        <w:t>17:00</w:t>
      </w:r>
      <w:r>
        <w:rPr>
          <w:rFonts w:hint="eastAsia" w:ascii="楷体_GB2312" w:hAnsi="宋体" w:eastAsia="楷体_GB2312"/>
          <w:color w:val="000000"/>
          <w:sz w:val="24"/>
          <w:highlight w:val="none"/>
        </w:rPr>
        <w:t>前撤销认购交易，撤销后的资金原则上将于</w:t>
      </w:r>
      <w:r>
        <w:rPr>
          <w:rFonts w:hint="eastAsia" w:ascii="楷体_GB2312" w:hAnsi="宋体" w:eastAsia="楷体_GB2312"/>
          <w:color w:val="auto"/>
          <w:sz w:val="24"/>
          <w:highlight w:val="none"/>
          <w:lang w:val="en-US" w:eastAsia="zh-CN"/>
        </w:rPr>
        <w:t>2</w:t>
      </w:r>
      <w:r>
        <w:rPr>
          <w:rFonts w:hint="eastAsia" w:ascii="楷体_GB2312" w:hAnsi="宋体" w:eastAsia="楷体_GB2312"/>
          <w:color w:val="000000"/>
          <w:sz w:val="24"/>
          <w:highlight w:val="none"/>
        </w:rPr>
        <w:t>个工作日内到账，具体到账时间以代销机构提示为准。</w:t>
      </w:r>
      <w:r>
        <w:rPr>
          <w:rFonts w:hint="eastAsia" w:ascii="楷体_GB2312" w:hAnsi="宋体" w:eastAsia="楷体_GB2312"/>
          <w:b/>
          <w:bCs/>
          <w:color w:val="000000"/>
          <w:sz w:val="24"/>
          <w:highlight w:val="none"/>
          <w:u w:val="single"/>
          <w:lang w:val="en-US" w:eastAsia="zh-CN"/>
        </w:rPr>
        <w:t>本</w:t>
      </w:r>
      <w:r>
        <w:rPr>
          <w:rFonts w:hint="eastAsia" w:ascii="楷体_GB2312" w:hAnsi="宋体" w:eastAsia="楷体_GB2312"/>
          <w:b/>
          <w:bCs/>
          <w:color w:val="000000"/>
          <w:sz w:val="24"/>
          <w:highlight w:val="none"/>
          <w:u w:val="single"/>
        </w:rPr>
        <w:t>理财产品募集期结束后，投资者不能撤销购买</w:t>
      </w:r>
      <w:r>
        <w:rPr>
          <w:rFonts w:hint="eastAsia" w:ascii="楷体_GB2312" w:hAnsi="宋体" w:eastAsia="楷体_GB2312"/>
          <w:b/>
          <w:bCs/>
          <w:color w:val="000000"/>
          <w:sz w:val="24"/>
          <w:highlight w:val="none"/>
          <w:u w:val="single"/>
          <w:lang w:eastAsia="zh-CN"/>
        </w:rPr>
        <w:t>本理财产品</w:t>
      </w:r>
      <w:r>
        <w:rPr>
          <w:rFonts w:hint="eastAsia" w:ascii="楷体_GB2312" w:hAnsi="宋体" w:eastAsia="楷体_GB2312"/>
          <w:b/>
          <w:bCs/>
          <w:color w:val="000000"/>
          <w:sz w:val="24"/>
          <w:highlight w:val="none"/>
          <w:u w:val="single"/>
        </w:rPr>
        <w:t>。</w:t>
      </w:r>
    </w:p>
    <w:p>
      <w:pPr>
        <w:ind w:firstLine="480" w:firstLineChars="200"/>
        <w:rPr>
          <w:rFonts w:hint="eastAsia" w:ascii="楷体_GB2312" w:hAnsi="宋体" w:eastAsia="楷体_GB2312"/>
          <w:color w:val="000000"/>
          <w:sz w:val="24"/>
          <w:highlight w:val="none"/>
        </w:rPr>
      </w:pPr>
      <w:r>
        <w:rPr>
          <w:rFonts w:hint="eastAsia" w:ascii="楷体_GB2312" w:hAnsi="宋体" w:eastAsia="楷体_GB2312"/>
          <w:color w:val="000000"/>
          <w:sz w:val="24"/>
          <w:highlight w:val="none"/>
        </w:rPr>
        <w:t>（</w:t>
      </w:r>
      <w:r>
        <w:rPr>
          <w:rFonts w:hint="eastAsia" w:ascii="楷体_GB2312" w:hAnsi="宋体" w:eastAsia="楷体_GB2312"/>
          <w:color w:val="000000"/>
          <w:sz w:val="24"/>
          <w:highlight w:val="none"/>
          <w:lang w:val="en-US" w:eastAsia="zh-CN"/>
        </w:rPr>
        <w:t>十</w:t>
      </w:r>
      <w:r>
        <w:rPr>
          <w:rFonts w:hint="eastAsia" w:ascii="楷体_GB2312" w:hAnsi="宋体" w:eastAsia="楷体_GB2312"/>
          <w:color w:val="000000"/>
          <w:sz w:val="24"/>
          <w:highlight w:val="none"/>
        </w:rPr>
        <w:t>）产品成立：</w:t>
      </w:r>
      <w:r>
        <w:rPr>
          <w:rFonts w:hint="eastAsia" w:ascii="楷体_GB2312" w:hAnsi="宋体" w:eastAsia="楷体_GB2312"/>
          <w:color w:val="000000"/>
          <w:sz w:val="24"/>
          <w:highlight w:val="none"/>
          <w:lang w:eastAsia="zh-CN"/>
        </w:rPr>
        <w:t>本理财产品募集期届满或产品管理人提前/延迟结束募集期时，若募集资金</w:t>
      </w:r>
      <w:r>
        <w:rPr>
          <w:rFonts w:hint="eastAsia" w:ascii="楷体_GB2312" w:hAnsi="宋体" w:eastAsia="楷体_GB2312"/>
          <w:color w:val="000000"/>
          <w:sz w:val="24"/>
          <w:highlight w:val="none"/>
          <w:lang w:val="en-US" w:eastAsia="zh-CN"/>
        </w:rPr>
        <w:t>满足产品</w:t>
      </w:r>
      <w:r>
        <w:rPr>
          <w:rFonts w:hint="eastAsia" w:ascii="楷体_GB2312" w:hAnsi="宋体" w:eastAsia="楷体_GB2312"/>
          <w:color w:val="000000"/>
          <w:sz w:val="24"/>
          <w:highlight w:val="none"/>
          <w:lang w:eastAsia="zh-CN"/>
        </w:rPr>
        <w:t>募集</w:t>
      </w:r>
      <w:r>
        <w:rPr>
          <w:rFonts w:hint="eastAsia" w:ascii="楷体_GB2312" w:hAnsi="宋体" w:eastAsia="楷体_GB2312"/>
          <w:color w:val="000000"/>
          <w:sz w:val="24"/>
          <w:highlight w:val="none"/>
          <w:lang w:val="en-US" w:eastAsia="zh-CN"/>
        </w:rPr>
        <w:t>规模</w:t>
      </w:r>
      <w:r>
        <w:rPr>
          <w:rFonts w:hint="eastAsia" w:ascii="楷体_GB2312" w:hAnsi="楷体" w:eastAsia="楷体_GB2312"/>
          <w:sz w:val="24"/>
          <w:highlight w:val="none"/>
        </w:rPr>
        <w:t>上限或/及下限</w:t>
      </w:r>
      <w:r>
        <w:rPr>
          <w:rFonts w:hint="eastAsia" w:ascii="楷体_GB2312" w:hAnsi="楷体" w:eastAsia="楷体_GB2312"/>
          <w:sz w:val="24"/>
          <w:highlight w:val="none"/>
          <w:lang w:val="en-US" w:eastAsia="zh-CN"/>
        </w:rPr>
        <w:t>的要求</w:t>
      </w:r>
      <w:r>
        <w:rPr>
          <w:rFonts w:hint="eastAsia" w:ascii="楷体_GB2312" w:hAnsi="楷体" w:eastAsia="楷体_GB2312"/>
          <w:sz w:val="24"/>
          <w:highlight w:val="none"/>
          <w:lang w:eastAsia="zh-CN"/>
        </w:rPr>
        <w:t>，</w:t>
      </w:r>
      <w:r>
        <w:rPr>
          <w:rFonts w:hint="eastAsia" w:ascii="楷体_GB2312" w:hAnsi="楷体" w:eastAsia="楷体_GB2312"/>
          <w:sz w:val="24"/>
          <w:highlight w:val="none"/>
          <w:lang w:val="en-US" w:eastAsia="zh-CN"/>
        </w:rPr>
        <w:t>且不存在其他因素导致产品不成立的</w:t>
      </w:r>
      <w:r>
        <w:rPr>
          <w:rFonts w:hint="eastAsia" w:ascii="楷体_GB2312" w:hAnsi="宋体" w:eastAsia="楷体_GB2312"/>
          <w:color w:val="000000"/>
          <w:sz w:val="24"/>
          <w:highlight w:val="none"/>
          <w:lang w:eastAsia="zh-CN"/>
        </w:rPr>
        <w:t>，则本理财产品成立；否则，本理财产品不成立。</w:t>
      </w:r>
      <w:r>
        <w:rPr>
          <w:rFonts w:hint="eastAsia" w:ascii="楷体_GB2312" w:hAnsi="宋体" w:eastAsia="楷体_GB2312"/>
          <w:color w:val="000000"/>
          <w:sz w:val="24"/>
          <w:highlight w:val="none"/>
        </w:rPr>
        <w:t>若</w:t>
      </w:r>
      <w:r>
        <w:rPr>
          <w:rFonts w:hint="eastAsia" w:ascii="楷体_GB2312" w:hAnsi="宋体" w:eastAsia="楷体_GB2312"/>
          <w:color w:val="000000"/>
          <w:sz w:val="24"/>
          <w:highlight w:val="none"/>
          <w:lang w:val="en-US" w:eastAsia="zh-CN"/>
        </w:rPr>
        <w:t>本</w:t>
      </w:r>
      <w:r>
        <w:rPr>
          <w:rFonts w:hint="eastAsia" w:ascii="楷体_GB2312" w:hAnsi="宋体" w:eastAsia="楷体_GB2312"/>
          <w:color w:val="000000"/>
          <w:sz w:val="24"/>
          <w:highlight w:val="none"/>
        </w:rPr>
        <w:t>理财产品不成立，</w:t>
      </w:r>
      <w:r>
        <w:rPr>
          <w:rFonts w:hint="eastAsia" w:ascii="楷体_GB2312" w:hAnsi="宋体" w:eastAsia="楷体_GB2312"/>
          <w:color w:val="000000"/>
          <w:sz w:val="24"/>
          <w:highlight w:val="none"/>
          <w:lang w:eastAsia="zh-CN"/>
        </w:rPr>
        <w:t>产品管理人</w:t>
      </w:r>
      <w:r>
        <w:rPr>
          <w:rFonts w:hint="eastAsia" w:ascii="楷体_GB2312" w:hAnsi="宋体" w:eastAsia="楷体_GB2312"/>
          <w:color w:val="000000"/>
          <w:sz w:val="24"/>
          <w:highlight w:val="none"/>
        </w:rPr>
        <w:t>将于原定</w:t>
      </w:r>
      <w:r>
        <w:rPr>
          <w:rFonts w:hint="eastAsia" w:ascii="楷体_GB2312" w:hAnsi="宋体" w:eastAsia="楷体_GB2312"/>
          <w:color w:val="000000"/>
          <w:sz w:val="24"/>
          <w:highlight w:val="none"/>
          <w:lang w:eastAsia="zh-CN"/>
        </w:rPr>
        <w:t>本理财</w:t>
      </w:r>
      <w:r>
        <w:rPr>
          <w:rFonts w:hint="eastAsia" w:ascii="楷体_GB2312" w:hAnsi="宋体" w:eastAsia="楷体_GB2312"/>
          <w:color w:val="000000"/>
          <w:sz w:val="24"/>
          <w:highlight w:val="none"/>
        </w:rPr>
        <w:t>产品成立日起的</w:t>
      </w:r>
      <w:r>
        <w:rPr>
          <w:rFonts w:hint="eastAsia" w:ascii="楷体_GB2312" w:hAnsi="宋体" w:eastAsia="楷体_GB2312"/>
          <w:color w:val="auto"/>
          <w:sz w:val="24"/>
          <w:highlight w:val="none"/>
          <w:lang w:val="en-US" w:eastAsia="zh-CN"/>
        </w:rPr>
        <w:t>2</w:t>
      </w:r>
      <w:r>
        <w:rPr>
          <w:rFonts w:hint="eastAsia" w:ascii="楷体_GB2312" w:hAnsi="宋体" w:eastAsia="楷体_GB2312"/>
          <w:color w:val="000000"/>
          <w:sz w:val="24"/>
          <w:highlight w:val="none"/>
        </w:rPr>
        <w:t>个工作日内将投资者</w:t>
      </w:r>
      <w:r>
        <w:rPr>
          <w:rFonts w:hint="eastAsia" w:ascii="楷体_GB2312" w:hAnsi="宋体" w:eastAsia="楷体_GB2312"/>
          <w:color w:val="000000"/>
          <w:sz w:val="24"/>
          <w:highlight w:val="none"/>
          <w:lang w:val="en-US" w:eastAsia="zh-CN"/>
        </w:rPr>
        <w:t>的</w:t>
      </w:r>
      <w:r>
        <w:rPr>
          <w:rFonts w:hint="eastAsia" w:ascii="楷体_GB2312" w:hAnsi="宋体" w:eastAsia="楷体_GB2312"/>
          <w:color w:val="000000"/>
          <w:sz w:val="24"/>
          <w:highlight w:val="none"/>
        </w:rPr>
        <w:t>理财</w:t>
      </w:r>
      <w:r>
        <w:rPr>
          <w:rFonts w:hint="eastAsia" w:ascii="楷体_GB2312" w:hAnsi="宋体" w:eastAsia="楷体_GB2312"/>
          <w:color w:val="000000"/>
          <w:sz w:val="24"/>
          <w:highlight w:val="none"/>
          <w:lang w:val="en-US" w:eastAsia="zh-CN"/>
        </w:rPr>
        <w:t>投资</w:t>
      </w:r>
      <w:r>
        <w:rPr>
          <w:rFonts w:hint="eastAsia" w:ascii="楷体_GB2312" w:hAnsi="宋体" w:eastAsia="楷体_GB2312"/>
          <w:color w:val="000000"/>
          <w:sz w:val="24"/>
          <w:highlight w:val="none"/>
        </w:rPr>
        <w:t>资金退回代销机构，由代销机构退回投资者，</w:t>
      </w:r>
      <w:r>
        <w:rPr>
          <w:rFonts w:hint="eastAsia" w:ascii="楷体_GB2312" w:hAnsi="宋体" w:eastAsia="楷体_GB2312"/>
          <w:b/>
          <w:bCs/>
          <w:color w:val="000000"/>
          <w:sz w:val="24"/>
          <w:highlight w:val="none"/>
          <w:lang w:val="en-US" w:eastAsia="zh-CN"/>
        </w:rPr>
        <w:t>本理财产品</w:t>
      </w:r>
      <w:r>
        <w:rPr>
          <w:rFonts w:hint="eastAsia" w:ascii="楷体_GB2312" w:hAnsi="宋体" w:eastAsia="楷体_GB2312"/>
          <w:b/>
          <w:bCs/>
          <w:color w:val="000000"/>
          <w:sz w:val="24"/>
          <w:highlight w:val="none"/>
        </w:rPr>
        <w:t>募集期结束后至理财</w:t>
      </w:r>
      <w:r>
        <w:rPr>
          <w:rFonts w:hint="eastAsia" w:ascii="楷体_GB2312" w:hAnsi="宋体" w:eastAsia="楷体_GB2312"/>
          <w:b/>
          <w:bCs/>
          <w:color w:val="000000"/>
          <w:sz w:val="24"/>
          <w:highlight w:val="none"/>
          <w:lang w:val="en-US" w:eastAsia="zh-CN"/>
        </w:rPr>
        <w:t>投资</w:t>
      </w:r>
      <w:r>
        <w:rPr>
          <w:rFonts w:hint="eastAsia" w:ascii="楷体_GB2312" w:hAnsi="宋体" w:eastAsia="楷体_GB2312"/>
          <w:b/>
          <w:bCs/>
          <w:color w:val="000000"/>
          <w:sz w:val="24"/>
          <w:highlight w:val="none"/>
        </w:rPr>
        <w:t>资金退回到账日期间不计付利息</w:t>
      </w:r>
      <w:r>
        <w:rPr>
          <w:rFonts w:hint="eastAsia" w:ascii="楷体_GB2312" w:hAnsi="宋体" w:eastAsia="楷体_GB2312"/>
          <w:color w:val="000000"/>
          <w:sz w:val="24"/>
          <w:highlight w:val="none"/>
        </w:rPr>
        <w:t>。</w:t>
      </w:r>
    </w:p>
    <w:p>
      <w:pPr>
        <w:ind w:firstLine="482" w:firstLineChars="200"/>
        <w:rPr>
          <w:rFonts w:ascii="楷体_GB2312" w:hAnsi="宋体" w:eastAsia="楷体_GB2312"/>
          <w:b/>
          <w:color w:val="000000"/>
          <w:sz w:val="24"/>
        </w:rPr>
      </w:pPr>
      <w:r>
        <w:rPr>
          <w:rFonts w:hint="eastAsia" w:ascii="楷体_GB2312" w:hAnsi="宋体" w:eastAsia="楷体_GB2312"/>
          <w:b/>
          <w:color w:val="000000"/>
          <w:sz w:val="24"/>
        </w:rPr>
        <w:t>六、产品的申购和赎回</w:t>
      </w:r>
    </w:p>
    <w:p>
      <w:pPr>
        <w:ind w:firstLine="480" w:firstLineChars="200"/>
        <w:rPr>
          <w:rFonts w:ascii="楷体_GB2312" w:hAnsi="宋体" w:eastAsia="楷体_GB2312"/>
          <w:color w:val="000000"/>
          <w:sz w:val="24"/>
        </w:rPr>
      </w:pPr>
      <w:r>
        <w:rPr>
          <w:rFonts w:hint="eastAsia" w:ascii="楷体_GB2312" w:hAnsi="宋体" w:eastAsia="楷体_GB2312"/>
          <w:color w:val="000000"/>
          <w:sz w:val="24"/>
        </w:rPr>
        <w:t>（一）申购/赎回规则</w:t>
      </w:r>
    </w:p>
    <w:p>
      <w:pPr>
        <w:ind w:firstLine="480" w:firstLineChars="200"/>
        <w:rPr>
          <w:rFonts w:hint="eastAsia" w:ascii="楷体_GB2312" w:hAnsi="宋体" w:eastAsia="楷体_GB2312"/>
          <w:color w:val="000000"/>
          <w:sz w:val="24"/>
          <w:highlight w:val="none"/>
        </w:rPr>
      </w:pPr>
      <w:r>
        <w:rPr>
          <w:rFonts w:hint="eastAsia" w:ascii="楷体_GB2312" w:hAnsi="宋体" w:eastAsia="楷体_GB2312"/>
          <w:color w:val="000000"/>
          <w:sz w:val="24"/>
        </w:rPr>
        <w:t>1.本理财产品采用金额申购、份额赎回的原则，即申购以金额申请，赎回以份</w:t>
      </w:r>
      <w:r>
        <w:rPr>
          <w:rFonts w:hint="eastAsia" w:ascii="楷体_GB2312" w:hAnsi="宋体" w:eastAsia="楷体_GB2312"/>
          <w:color w:val="000000"/>
          <w:sz w:val="24"/>
          <w:highlight w:val="none"/>
        </w:rPr>
        <w:t>额申请。</w:t>
      </w:r>
    </w:p>
    <w:p>
      <w:pPr>
        <w:ind w:firstLine="480" w:firstLineChars="200"/>
        <w:rPr>
          <w:rFonts w:hint="eastAsia" w:ascii="楷体_GB2312" w:hAnsi="宋体" w:eastAsia="楷体_GB2312"/>
          <w:color w:val="000000"/>
          <w:sz w:val="24"/>
          <w:highlight w:val="none"/>
        </w:rPr>
      </w:pPr>
      <w:r>
        <w:rPr>
          <w:rFonts w:hint="eastAsia" w:ascii="楷体_GB2312" w:hAnsi="宋体" w:eastAsia="楷体_GB2312"/>
          <w:color w:val="000000"/>
          <w:sz w:val="24"/>
          <w:highlight w:val="none"/>
        </w:rPr>
        <w:t>2.</w:t>
      </w:r>
      <w:r>
        <w:rPr>
          <w:rFonts w:hint="eastAsia" w:ascii="楷体_GB2312" w:hAnsi="宋体" w:eastAsia="楷体_GB2312"/>
          <w:b w:val="0"/>
          <w:bCs w:val="0"/>
          <w:color w:val="000000"/>
          <w:sz w:val="24"/>
          <w:highlight w:val="none"/>
        </w:rPr>
        <w:t>投资者可在本理财产品开放日内提出</w:t>
      </w:r>
      <w:r>
        <w:rPr>
          <w:rFonts w:hint="eastAsia" w:ascii="楷体_GB2312" w:hAnsi="宋体" w:eastAsia="楷体_GB2312"/>
          <w:b w:val="0"/>
          <w:bCs w:val="0"/>
          <w:color w:val="000000"/>
          <w:sz w:val="24"/>
          <w:highlight w:val="none"/>
          <w:lang w:val="en-US" w:eastAsia="zh-CN"/>
        </w:rPr>
        <w:t>申购</w:t>
      </w:r>
      <w:r>
        <w:rPr>
          <w:rFonts w:hint="eastAsia" w:ascii="楷体_GB2312" w:hAnsi="宋体" w:eastAsia="楷体_GB2312"/>
          <w:b w:val="0"/>
          <w:bCs w:val="0"/>
          <w:color w:val="000000"/>
          <w:sz w:val="24"/>
          <w:highlight w:val="none"/>
        </w:rPr>
        <w:t>申请</w:t>
      </w:r>
      <w:r>
        <w:rPr>
          <w:rFonts w:hint="eastAsia" w:ascii="楷体_GB2312" w:hAnsi="宋体" w:eastAsia="楷体_GB2312"/>
          <w:b w:val="0"/>
          <w:bCs w:val="0"/>
          <w:color w:val="000000"/>
          <w:sz w:val="24"/>
          <w:highlight w:val="none"/>
          <w:lang w:eastAsia="zh-CN"/>
        </w:rPr>
        <w:t>；</w:t>
      </w:r>
      <w:r>
        <w:rPr>
          <w:rFonts w:hint="eastAsia" w:ascii="楷体_GB2312" w:hAnsi="宋体" w:eastAsia="楷体_GB2312"/>
          <w:b w:val="0"/>
          <w:bCs w:val="0"/>
          <w:color w:val="000000"/>
          <w:sz w:val="24"/>
          <w:highlight w:val="none"/>
          <w:lang w:val="en-US" w:eastAsia="zh-CN"/>
        </w:rPr>
        <w:t>投资者可在每笔认购/申购的产品份额确认后于最低持有期结束日（含）及后续每个开放日提出赎回申请。最低持有期结束日如遇非开放日，则顺延至下一开放日。</w:t>
      </w:r>
      <w:r>
        <w:rPr>
          <w:rFonts w:hint="eastAsia" w:ascii="楷体_GB2312" w:hAnsi="宋体" w:eastAsia="楷体_GB2312"/>
          <w:b w:val="0"/>
          <w:bCs w:val="0"/>
          <w:color w:val="000000"/>
          <w:sz w:val="24"/>
          <w:highlight w:val="none"/>
        </w:rPr>
        <w:t>产品管理人公告暂停开放的日期除外。</w:t>
      </w:r>
    </w:p>
    <w:p>
      <w:pPr>
        <w:ind w:firstLine="480" w:firstLineChars="200"/>
        <w:rPr>
          <w:rFonts w:hint="eastAsia" w:ascii="楷体_GB2312" w:hAnsi="宋体" w:eastAsia="楷体_GB2312"/>
          <w:color w:val="000000"/>
          <w:sz w:val="24"/>
        </w:rPr>
      </w:pPr>
      <w:r>
        <w:rPr>
          <w:rFonts w:hint="eastAsia" w:ascii="楷体_GB2312" w:hAnsi="宋体" w:eastAsia="楷体_GB2312"/>
          <w:color w:val="000000"/>
          <w:sz w:val="24"/>
          <w:highlight w:val="none"/>
        </w:rPr>
        <w:t>投资者在</w:t>
      </w:r>
      <w:r>
        <w:rPr>
          <w:rFonts w:hint="eastAsia" w:ascii="楷体_GB2312" w:hAnsi="宋体" w:eastAsia="楷体_GB2312"/>
          <w:color w:val="000000"/>
          <w:sz w:val="24"/>
        </w:rPr>
        <w:t>开放日内提出的申购/赎回申请，在开放日17：00之前可以撤销，具体是否可撤销以代销机构提示为准。撤销后的申购资金将于</w:t>
      </w:r>
      <w:r>
        <w:rPr>
          <w:rFonts w:hint="eastAsia" w:ascii="楷体_GB2312" w:hAnsi="宋体" w:eastAsia="楷体_GB2312"/>
          <w:color w:val="auto"/>
          <w:sz w:val="24"/>
          <w:highlight w:val="none"/>
          <w:lang w:val="en-US" w:eastAsia="zh-CN"/>
        </w:rPr>
        <w:t>2</w:t>
      </w:r>
      <w:r>
        <w:rPr>
          <w:rFonts w:hint="eastAsia" w:ascii="楷体_GB2312" w:hAnsi="宋体" w:eastAsia="楷体_GB2312"/>
          <w:color w:val="000000"/>
          <w:sz w:val="24"/>
        </w:rPr>
        <w:t>个工作日内到账，具体到账时间以代销机构提示为准。</w:t>
      </w:r>
    </w:p>
    <w:p>
      <w:pPr>
        <w:ind w:firstLine="480" w:firstLineChars="200"/>
        <w:rPr>
          <w:rFonts w:hint="eastAsia" w:ascii="楷体_GB2312" w:hAnsi="宋体" w:eastAsia="楷体_GB2312"/>
          <w:color w:val="000000"/>
          <w:sz w:val="24"/>
        </w:rPr>
      </w:pPr>
      <w:r>
        <w:rPr>
          <w:rFonts w:hint="eastAsia" w:ascii="楷体_GB2312" w:hAnsi="宋体" w:eastAsia="楷体_GB2312"/>
          <w:color w:val="000000"/>
          <w:sz w:val="24"/>
        </w:rPr>
        <w:t>投资者在开放日内提出的申购/赎回申请，在开放日17：00之后不能撤销。</w:t>
      </w:r>
    </w:p>
    <w:p>
      <w:pPr>
        <w:ind w:firstLine="480" w:firstLineChars="200"/>
        <w:rPr>
          <w:rFonts w:hint="eastAsia" w:ascii="楷体_GB2312" w:hAnsi="宋体" w:eastAsia="楷体_GB2312"/>
          <w:color w:val="000000"/>
          <w:sz w:val="24"/>
        </w:rPr>
      </w:pPr>
      <w:r>
        <w:rPr>
          <w:rFonts w:hint="eastAsia" w:ascii="楷体_GB2312" w:hAnsi="宋体" w:eastAsia="楷体_GB2312"/>
          <w:color w:val="000000"/>
          <w:sz w:val="24"/>
        </w:rPr>
        <w:t>3.投资者申购、赎回本理财产品时，采用“未知价原则”，即本理财产品申购申请和赎回申请提交时，适用的产品单位净值都是未知的。</w:t>
      </w:r>
    </w:p>
    <w:p>
      <w:pPr>
        <w:ind w:firstLine="480" w:firstLineChars="200"/>
        <w:rPr>
          <w:rFonts w:ascii="楷体_GB2312" w:hAnsi="宋体" w:eastAsia="楷体_GB2312"/>
          <w:color w:val="000000"/>
          <w:sz w:val="24"/>
        </w:rPr>
      </w:pPr>
      <w:r>
        <w:rPr>
          <w:rFonts w:hint="eastAsia" w:ascii="楷体_GB2312" w:hAnsi="宋体" w:eastAsia="楷体_GB2312"/>
          <w:color w:val="000000"/>
          <w:sz w:val="24"/>
        </w:rPr>
        <w:t>（二）申购/赎回的数额限制</w:t>
      </w:r>
    </w:p>
    <w:p>
      <w:pPr>
        <w:ind w:firstLine="480" w:firstLineChars="200"/>
        <w:rPr>
          <w:rFonts w:ascii="楷体_GB2312" w:hAnsi="宋体" w:eastAsia="楷体_GB2312"/>
          <w:color w:val="000000"/>
          <w:sz w:val="24"/>
          <w:highlight w:val="none"/>
        </w:rPr>
      </w:pPr>
      <w:r>
        <w:rPr>
          <w:rFonts w:hint="eastAsia" w:ascii="楷体_GB2312" w:hAnsi="宋体" w:eastAsia="楷体_GB2312"/>
          <w:color w:val="000000"/>
          <w:sz w:val="24"/>
        </w:rPr>
        <w:t>1.申购金额要求：</w:t>
      </w:r>
      <w:r>
        <w:rPr>
          <w:rFonts w:hint="eastAsia" w:ascii="楷体_GB2312" w:hAnsi="宋体" w:eastAsia="楷体_GB2312"/>
          <w:color w:val="000000"/>
          <w:sz w:val="24"/>
          <w:highlight w:val="none"/>
        </w:rPr>
        <w:t>本理财产品</w:t>
      </w:r>
      <w:r>
        <w:rPr>
          <w:rFonts w:hint="eastAsia" w:ascii="楷体_GB2312" w:hAnsi="宋体" w:eastAsia="楷体_GB2312"/>
          <w:color w:val="000000"/>
          <w:sz w:val="24"/>
          <w:highlight w:val="none"/>
          <w:lang w:val="en-US" w:eastAsia="zh-CN"/>
        </w:rPr>
        <w:t>A</w:t>
      </w:r>
      <w:r>
        <w:rPr>
          <w:rFonts w:hint="eastAsia" w:ascii="楷体_GB2312" w:hAnsi="宋体" w:eastAsia="楷体_GB2312"/>
          <w:color w:val="000000"/>
          <w:sz w:val="24"/>
          <w:highlight w:val="none"/>
        </w:rPr>
        <w:t>类份额申购起点金额为</w:t>
      </w:r>
      <w:r>
        <w:rPr>
          <w:rFonts w:hint="eastAsia" w:ascii="楷体_GB2312" w:hAnsi="宋体" w:eastAsia="楷体_GB2312"/>
          <w:color w:val="000000"/>
          <w:sz w:val="24"/>
          <w:highlight w:val="none"/>
          <w:lang w:val="en-US" w:eastAsia="zh-CN"/>
        </w:rPr>
        <w:t>1</w:t>
      </w:r>
      <w:r>
        <w:rPr>
          <w:rFonts w:hint="eastAsia" w:ascii="楷体_GB2312" w:hAnsi="宋体" w:eastAsia="楷体_GB2312"/>
          <w:color w:val="000000"/>
          <w:sz w:val="24"/>
          <w:highlight w:val="none"/>
        </w:rPr>
        <w:t>元，并以</w:t>
      </w:r>
      <w:r>
        <w:rPr>
          <w:rFonts w:hint="eastAsia" w:ascii="楷体_GB2312" w:hAnsi="宋体" w:eastAsia="楷体_GB2312"/>
          <w:color w:val="000000"/>
          <w:sz w:val="24"/>
          <w:highlight w:val="none"/>
          <w:lang w:val="en-US" w:eastAsia="zh-CN"/>
        </w:rPr>
        <w:t>0.01</w:t>
      </w:r>
      <w:r>
        <w:rPr>
          <w:rFonts w:hint="eastAsia" w:ascii="楷体_GB2312" w:hAnsi="宋体" w:eastAsia="楷体_GB2312"/>
          <w:color w:val="000000"/>
          <w:sz w:val="24"/>
          <w:highlight w:val="none"/>
        </w:rPr>
        <w:t>元为单位递增</w:t>
      </w:r>
      <w:r>
        <w:rPr>
          <w:rFonts w:hint="eastAsia" w:ascii="楷体_GB2312" w:hAnsi="宋体" w:eastAsia="楷体_GB2312"/>
          <w:color w:val="000000"/>
          <w:sz w:val="24"/>
          <w:highlight w:val="none"/>
          <w:lang w:eastAsia="zh-CN"/>
        </w:rPr>
        <w:t>；</w:t>
      </w:r>
      <w:r>
        <w:rPr>
          <w:rFonts w:hint="eastAsia" w:ascii="楷体_GB2312" w:hAnsi="宋体" w:eastAsia="楷体_GB2312"/>
          <w:color w:val="000000"/>
          <w:sz w:val="24"/>
          <w:highlight w:val="none"/>
          <w:lang w:val="en-US" w:eastAsia="zh-CN"/>
        </w:rPr>
        <w:t>B</w:t>
      </w:r>
      <w:r>
        <w:rPr>
          <w:rFonts w:hint="eastAsia" w:ascii="楷体_GB2312" w:hAnsi="宋体" w:eastAsia="楷体_GB2312"/>
          <w:color w:val="000000"/>
          <w:sz w:val="24"/>
          <w:highlight w:val="none"/>
        </w:rPr>
        <w:t>类份额申购起点金额为</w:t>
      </w:r>
      <w:r>
        <w:rPr>
          <w:rFonts w:hint="eastAsia" w:ascii="楷体_GB2312" w:hAnsi="宋体" w:eastAsia="楷体_GB2312"/>
          <w:color w:val="000000"/>
          <w:sz w:val="24"/>
          <w:highlight w:val="none"/>
          <w:lang w:val="en-US" w:eastAsia="zh-CN"/>
        </w:rPr>
        <w:t>300,000.00</w:t>
      </w:r>
      <w:r>
        <w:rPr>
          <w:rFonts w:hint="eastAsia" w:ascii="楷体_GB2312" w:hAnsi="宋体" w:eastAsia="楷体_GB2312"/>
          <w:color w:val="000000"/>
          <w:sz w:val="24"/>
          <w:highlight w:val="none"/>
        </w:rPr>
        <w:t>元，并以</w:t>
      </w:r>
      <w:r>
        <w:rPr>
          <w:rFonts w:hint="eastAsia" w:ascii="楷体_GB2312" w:hAnsi="宋体" w:eastAsia="楷体_GB2312"/>
          <w:color w:val="000000"/>
          <w:sz w:val="24"/>
          <w:highlight w:val="none"/>
          <w:lang w:val="en-US" w:eastAsia="zh-CN"/>
        </w:rPr>
        <w:t>0.01</w:t>
      </w:r>
      <w:r>
        <w:rPr>
          <w:rFonts w:hint="eastAsia" w:ascii="楷体_GB2312" w:hAnsi="宋体" w:eastAsia="楷体_GB2312"/>
          <w:color w:val="000000"/>
          <w:sz w:val="24"/>
          <w:highlight w:val="none"/>
        </w:rPr>
        <w:t>元为单位递增</w:t>
      </w:r>
      <w:r>
        <w:rPr>
          <w:rFonts w:hint="eastAsia" w:ascii="楷体_GB2312" w:hAnsi="宋体" w:eastAsia="楷体_GB2312"/>
          <w:color w:val="000000"/>
          <w:sz w:val="24"/>
          <w:highlight w:val="none"/>
          <w:lang w:eastAsia="zh-CN"/>
        </w:rPr>
        <w:t>；</w:t>
      </w:r>
      <w:r>
        <w:rPr>
          <w:rFonts w:hint="eastAsia" w:ascii="楷体_GB2312" w:hAnsi="宋体" w:eastAsia="楷体_GB2312"/>
          <w:color w:val="000000"/>
          <w:sz w:val="24"/>
          <w:highlight w:val="none"/>
          <w:lang w:val="en-US" w:eastAsia="zh-CN"/>
        </w:rPr>
        <w:t>浙BA</w:t>
      </w:r>
      <w:r>
        <w:rPr>
          <w:rFonts w:hint="eastAsia" w:ascii="楷体_GB2312" w:hAnsi="宋体" w:eastAsia="楷体_GB2312"/>
          <w:color w:val="000000"/>
          <w:sz w:val="24"/>
          <w:highlight w:val="none"/>
        </w:rPr>
        <w:t>类份额申购起点金额为</w:t>
      </w:r>
      <w:r>
        <w:rPr>
          <w:rFonts w:hint="eastAsia" w:ascii="楷体_GB2312" w:hAnsi="宋体" w:eastAsia="楷体_GB2312"/>
          <w:color w:val="000000"/>
          <w:sz w:val="24"/>
          <w:highlight w:val="none"/>
          <w:lang w:val="en-US" w:eastAsia="zh-CN"/>
        </w:rPr>
        <w:t>1</w:t>
      </w:r>
      <w:r>
        <w:rPr>
          <w:rFonts w:hint="eastAsia" w:ascii="楷体_GB2312" w:hAnsi="宋体" w:eastAsia="楷体_GB2312"/>
          <w:color w:val="000000"/>
          <w:sz w:val="24"/>
          <w:highlight w:val="none"/>
        </w:rPr>
        <w:t>元，并以</w:t>
      </w:r>
      <w:r>
        <w:rPr>
          <w:rFonts w:hint="eastAsia" w:ascii="楷体_GB2312" w:hAnsi="宋体" w:eastAsia="楷体_GB2312"/>
          <w:color w:val="000000"/>
          <w:sz w:val="24"/>
          <w:highlight w:val="none"/>
          <w:lang w:val="en-US" w:eastAsia="zh-CN"/>
        </w:rPr>
        <w:t>0.01</w:t>
      </w:r>
      <w:r>
        <w:rPr>
          <w:rFonts w:hint="eastAsia" w:ascii="楷体_GB2312" w:hAnsi="宋体" w:eastAsia="楷体_GB2312"/>
          <w:color w:val="000000"/>
          <w:sz w:val="24"/>
          <w:highlight w:val="none"/>
        </w:rPr>
        <w:t>元为单位递增</w:t>
      </w:r>
      <w:r>
        <w:rPr>
          <w:rFonts w:hint="eastAsia" w:ascii="楷体_GB2312" w:hAnsi="宋体" w:eastAsia="楷体_GB2312"/>
          <w:color w:val="000000"/>
          <w:sz w:val="24"/>
          <w:highlight w:val="none"/>
          <w:lang w:eastAsia="zh-CN"/>
        </w:rPr>
        <w:t>。</w:t>
      </w:r>
    </w:p>
    <w:p>
      <w:pPr>
        <w:ind w:firstLine="480" w:firstLineChars="200"/>
        <w:rPr>
          <w:rFonts w:hint="eastAsia" w:ascii="楷体_GB2312" w:hAnsi="宋体" w:eastAsia="楷体_GB2312"/>
          <w:color w:val="000000"/>
          <w:sz w:val="24"/>
          <w:highlight w:val="none"/>
        </w:rPr>
      </w:pPr>
      <w:r>
        <w:rPr>
          <w:rFonts w:hint="eastAsia" w:ascii="楷体_GB2312" w:hAnsi="宋体" w:eastAsia="楷体_GB2312"/>
          <w:color w:val="000000"/>
          <w:sz w:val="24"/>
        </w:rPr>
        <w:t>2.赎回份额要求：</w:t>
      </w:r>
      <w:r>
        <w:rPr>
          <w:rFonts w:hint="eastAsia" w:ascii="楷体_GB2312" w:hAnsi="宋体" w:eastAsia="楷体_GB2312"/>
          <w:color w:val="000000"/>
          <w:sz w:val="24"/>
          <w:highlight w:val="none"/>
        </w:rPr>
        <w:t>投资者可以选择全部赎回或部分赎回本理财产品，本理财产品</w:t>
      </w:r>
      <w:r>
        <w:rPr>
          <w:rFonts w:hint="eastAsia" w:ascii="楷体_GB2312" w:hAnsi="宋体" w:eastAsia="楷体_GB2312"/>
          <w:color w:val="000000"/>
          <w:sz w:val="24"/>
          <w:highlight w:val="none"/>
          <w:lang w:val="en-US" w:eastAsia="zh-CN"/>
        </w:rPr>
        <w:t>A</w:t>
      </w:r>
      <w:r>
        <w:rPr>
          <w:rFonts w:ascii="楷体_GB2312" w:hAnsi="宋体" w:eastAsia="楷体_GB2312"/>
          <w:color w:val="000000"/>
          <w:sz w:val="24"/>
          <w:highlight w:val="none"/>
        </w:rPr>
        <w:t>类</w:t>
      </w:r>
      <w:r>
        <w:rPr>
          <w:rFonts w:hint="eastAsia" w:ascii="楷体_GB2312" w:hAnsi="宋体" w:eastAsia="楷体_GB2312"/>
          <w:color w:val="000000"/>
          <w:sz w:val="24"/>
          <w:highlight w:val="none"/>
        </w:rPr>
        <w:t>份额最低赎回份额为</w:t>
      </w:r>
      <w:r>
        <w:rPr>
          <w:rFonts w:hint="eastAsia" w:ascii="楷体_GB2312" w:hAnsi="宋体" w:eastAsia="楷体_GB2312"/>
          <w:color w:val="000000"/>
          <w:sz w:val="24"/>
          <w:highlight w:val="none"/>
          <w:lang w:val="en-US" w:eastAsia="zh-CN"/>
        </w:rPr>
        <w:t>0.01</w:t>
      </w:r>
      <w:r>
        <w:rPr>
          <w:rFonts w:hint="eastAsia" w:ascii="楷体_GB2312" w:hAnsi="宋体" w:eastAsia="楷体_GB2312"/>
          <w:color w:val="000000"/>
          <w:sz w:val="24"/>
          <w:highlight w:val="none"/>
        </w:rPr>
        <w:t>份，投资者最低持有份额为</w:t>
      </w:r>
      <w:r>
        <w:rPr>
          <w:rFonts w:hint="eastAsia" w:ascii="楷体_GB2312" w:hAnsi="宋体" w:eastAsia="楷体_GB2312"/>
          <w:color w:val="000000"/>
          <w:sz w:val="24"/>
          <w:highlight w:val="none"/>
          <w:lang w:val="en-US" w:eastAsia="zh-CN"/>
        </w:rPr>
        <w:t>0.01</w:t>
      </w:r>
      <w:r>
        <w:rPr>
          <w:rFonts w:hint="eastAsia" w:ascii="楷体_GB2312" w:hAnsi="宋体" w:eastAsia="楷体_GB2312"/>
          <w:color w:val="000000"/>
          <w:sz w:val="24"/>
          <w:highlight w:val="none"/>
        </w:rPr>
        <w:t>份</w:t>
      </w:r>
      <w:r>
        <w:rPr>
          <w:rFonts w:hint="eastAsia" w:ascii="楷体_GB2312" w:hAnsi="宋体" w:eastAsia="楷体_GB2312"/>
          <w:color w:val="000000"/>
          <w:sz w:val="24"/>
          <w:highlight w:val="none"/>
          <w:lang w:eastAsia="zh-CN"/>
        </w:rPr>
        <w:t>；</w:t>
      </w:r>
      <w:r>
        <w:rPr>
          <w:rFonts w:hint="eastAsia" w:ascii="楷体_GB2312" w:hAnsi="宋体" w:eastAsia="楷体_GB2312"/>
          <w:color w:val="000000"/>
          <w:sz w:val="24"/>
          <w:highlight w:val="none"/>
          <w:lang w:val="en-US" w:eastAsia="zh-CN"/>
        </w:rPr>
        <w:t>B</w:t>
      </w:r>
      <w:r>
        <w:rPr>
          <w:rFonts w:ascii="楷体_GB2312" w:hAnsi="宋体" w:eastAsia="楷体_GB2312"/>
          <w:color w:val="000000"/>
          <w:sz w:val="24"/>
          <w:highlight w:val="none"/>
        </w:rPr>
        <w:t>类</w:t>
      </w:r>
      <w:r>
        <w:rPr>
          <w:rFonts w:hint="eastAsia" w:ascii="楷体_GB2312" w:hAnsi="宋体" w:eastAsia="楷体_GB2312"/>
          <w:color w:val="000000"/>
          <w:sz w:val="24"/>
          <w:highlight w:val="none"/>
        </w:rPr>
        <w:t>份额最低赎回份额为</w:t>
      </w:r>
      <w:r>
        <w:rPr>
          <w:rFonts w:hint="eastAsia" w:ascii="楷体_GB2312" w:hAnsi="宋体" w:eastAsia="楷体_GB2312"/>
          <w:color w:val="000000"/>
          <w:sz w:val="24"/>
          <w:highlight w:val="none"/>
          <w:lang w:val="en-US" w:eastAsia="zh-CN"/>
        </w:rPr>
        <w:t>0.01</w:t>
      </w:r>
      <w:r>
        <w:rPr>
          <w:rFonts w:hint="eastAsia" w:ascii="楷体_GB2312" w:hAnsi="宋体" w:eastAsia="楷体_GB2312"/>
          <w:color w:val="000000"/>
          <w:sz w:val="24"/>
          <w:highlight w:val="none"/>
        </w:rPr>
        <w:t>份，投资者最低持有份额为</w:t>
      </w:r>
      <w:r>
        <w:rPr>
          <w:rFonts w:hint="eastAsia" w:ascii="楷体_GB2312" w:hAnsi="宋体" w:eastAsia="楷体_GB2312"/>
          <w:color w:val="000000"/>
          <w:sz w:val="24"/>
          <w:highlight w:val="none"/>
          <w:lang w:val="en-US" w:eastAsia="zh-CN"/>
        </w:rPr>
        <w:t>0.01</w:t>
      </w:r>
      <w:r>
        <w:rPr>
          <w:rFonts w:hint="eastAsia" w:ascii="楷体_GB2312" w:hAnsi="宋体" w:eastAsia="楷体_GB2312"/>
          <w:color w:val="000000"/>
          <w:sz w:val="24"/>
          <w:highlight w:val="none"/>
        </w:rPr>
        <w:t>份</w:t>
      </w:r>
      <w:r>
        <w:rPr>
          <w:rFonts w:hint="eastAsia" w:ascii="楷体_GB2312" w:hAnsi="宋体" w:eastAsia="楷体_GB2312"/>
          <w:color w:val="000000"/>
          <w:sz w:val="24"/>
          <w:highlight w:val="none"/>
          <w:lang w:eastAsia="zh-CN"/>
        </w:rPr>
        <w:t>；</w:t>
      </w:r>
      <w:r>
        <w:rPr>
          <w:rFonts w:hint="eastAsia" w:ascii="楷体_GB2312" w:hAnsi="宋体" w:eastAsia="楷体_GB2312"/>
          <w:color w:val="000000"/>
          <w:sz w:val="24"/>
          <w:highlight w:val="none"/>
          <w:lang w:val="en-US" w:eastAsia="zh-CN"/>
        </w:rPr>
        <w:t>浙BA</w:t>
      </w:r>
      <w:r>
        <w:rPr>
          <w:rFonts w:ascii="楷体_GB2312" w:hAnsi="宋体" w:eastAsia="楷体_GB2312"/>
          <w:color w:val="000000"/>
          <w:sz w:val="24"/>
          <w:highlight w:val="none"/>
        </w:rPr>
        <w:t>类</w:t>
      </w:r>
      <w:r>
        <w:rPr>
          <w:rFonts w:hint="eastAsia" w:ascii="楷体_GB2312" w:hAnsi="宋体" w:eastAsia="楷体_GB2312"/>
          <w:color w:val="000000"/>
          <w:sz w:val="24"/>
          <w:highlight w:val="none"/>
        </w:rPr>
        <w:t>份额最低赎回份额为</w:t>
      </w:r>
      <w:r>
        <w:rPr>
          <w:rFonts w:hint="eastAsia" w:ascii="楷体_GB2312" w:hAnsi="宋体" w:eastAsia="楷体_GB2312"/>
          <w:color w:val="000000"/>
          <w:sz w:val="24"/>
          <w:highlight w:val="none"/>
          <w:lang w:val="en-US" w:eastAsia="zh-CN"/>
        </w:rPr>
        <w:t>0.01</w:t>
      </w:r>
      <w:r>
        <w:rPr>
          <w:rFonts w:hint="eastAsia" w:ascii="楷体_GB2312" w:hAnsi="宋体" w:eastAsia="楷体_GB2312"/>
          <w:color w:val="000000"/>
          <w:sz w:val="24"/>
          <w:highlight w:val="none"/>
        </w:rPr>
        <w:t>份，投资者最低持有份额为</w:t>
      </w:r>
      <w:r>
        <w:rPr>
          <w:rFonts w:hint="eastAsia" w:ascii="楷体_GB2312" w:hAnsi="宋体" w:eastAsia="楷体_GB2312"/>
          <w:color w:val="000000"/>
          <w:sz w:val="24"/>
          <w:highlight w:val="none"/>
          <w:lang w:val="en-US" w:eastAsia="zh-CN"/>
        </w:rPr>
        <w:t>0.01</w:t>
      </w:r>
      <w:r>
        <w:rPr>
          <w:rFonts w:hint="eastAsia" w:ascii="楷体_GB2312" w:hAnsi="宋体" w:eastAsia="楷体_GB2312"/>
          <w:color w:val="000000"/>
          <w:sz w:val="24"/>
          <w:highlight w:val="none"/>
        </w:rPr>
        <w:t>份。若投资者申请部分赎回后，其持有的剩余产品份额少于</w:t>
      </w:r>
      <w:r>
        <w:rPr>
          <w:rFonts w:hint="eastAsia" w:ascii="楷体_GB2312" w:hAnsi="宋体" w:eastAsia="楷体_GB2312"/>
          <w:color w:val="000000"/>
          <w:sz w:val="24"/>
          <w:highlight w:val="none"/>
          <w:lang w:val="en-US" w:eastAsia="zh-CN"/>
        </w:rPr>
        <w:t>最低持有</w:t>
      </w:r>
      <w:r>
        <w:rPr>
          <w:rFonts w:hint="eastAsia" w:ascii="楷体_GB2312" w:hAnsi="宋体" w:eastAsia="楷体_GB2312"/>
          <w:color w:val="000000"/>
          <w:sz w:val="24"/>
          <w:highlight w:val="none"/>
        </w:rPr>
        <w:t>份</w:t>
      </w:r>
      <w:r>
        <w:rPr>
          <w:rFonts w:hint="eastAsia" w:ascii="楷体_GB2312" w:hAnsi="宋体" w:eastAsia="楷体_GB2312"/>
          <w:color w:val="000000"/>
          <w:sz w:val="24"/>
          <w:highlight w:val="none"/>
          <w:lang w:eastAsia="zh-CN"/>
        </w:rPr>
        <w:t>额</w:t>
      </w:r>
      <w:r>
        <w:rPr>
          <w:rFonts w:hint="eastAsia" w:ascii="楷体_GB2312" w:hAnsi="宋体" w:eastAsia="楷体_GB2312"/>
          <w:color w:val="000000"/>
          <w:sz w:val="24"/>
          <w:highlight w:val="none"/>
        </w:rPr>
        <w:t>，投资者应申请全额赎回</w:t>
      </w:r>
      <w:r>
        <w:rPr>
          <w:rFonts w:hint="eastAsia" w:ascii="楷体_GB2312" w:hAnsi="宋体" w:eastAsia="楷体_GB2312"/>
          <w:color w:val="000000"/>
          <w:sz w:val="24"/>
          <w:highlight w:val="none"/>
          <w:lang w:val="en-US" w:eastAsia="zh-CN"/>
        </w:rPr>
        <w:t>本</w:t>
      </w:r>
      <w:r>
        <w:rPr>
          <w:rFonts w:hint="eastAsia" w:ascii="楷体_GB2312" w:hAnsi="宋体" w:eastAsia="楷体_GB2312"/>
          <w:color w:val="000000"/>
          <w:sz w:val="24"/>
          <w:highlight w:val="none"/>
        </w:rPr>
        <w:t>理财产品，否则该部分赎回申请将不被受理。</w:t>
      </w:r>
    </w:p>
    <w:p>
      <w:pPr>
        <w:ind w:firstLine="480" w:firstLineChars="200"/>
        <w:rPr>
          <w:rFonts w:ascii="楷体_GB2312" w:hAnsi="仿宋" w:eastAsia="楷体_GB2312"/>
          <w:color w:val="000000"/>
          <w:sz w:val="24"/>
          <w:highlight w:val="none"/>
        </w:rPr>
      </w:pPr>
      <w:r>
        <w:rPr>
          <w:rFonts w:ascii="楷体_GB2312" w:hAnsi="宋体" w:eastAsia="楷体_GB2312"/>
          <w:color w:val="000000"/>
          <w:sz w:val="24"/>
          <w:highlight w:val="none"/>
        </w:rPr>
        <w:t>3</w:t>
      </w:r>
      <w:r>
        <w:rPr>
          <w:rFonts w:hint="eastAsia" w:ascii="楷体_GB2312" w:hAnsi="宋体" w:eastAsia="楷体_GB2312"/>
          <w:color w:val="000000"/>
          <w:sz w:val="24"/>
          <w:highlight w:val="none"/>
        </w:rPr>
        <w:t>.对于可能</w:t>
      </w:r>
      <w:r>
        <w:rPr>
          <w:rFonts w:hint="eastAsia" w:ascii="楷体_GB2312" w:hAnsi="仿宋" w:eastAsia="楷体_GB2312"/>
          <w:color w:val="000000"/>
          <w:sz w:val="24"/>
          <w:highlight w:val="none"/>
        </w:rPr>
        <w:t>导致</w:t>
      </w:r>
      <w:r>
        <w:rPr>
          <w:rFonts w:hint="eastAsia" w:ascii="楷体_GB2312" w:hAnsi="宋体" w:eastAsia="楷体_GB2312"/>
          <w:color w:val="000000"/>
          <w:sz w:val="24"/>
          <w:highlight w:val="none"/>
        </w:rPr>
        <w:t>单一投资者持有份额超过本理财产品总份额的50%</w:t>
      </w:r>
      <w:r>
        <w:rPr>
          <w:rFonts w:hint="eastAsia" w:ascii="楷体_GB2312" w:hAnsi="宋体" w:eastAsia="楷体_GB2312"/>
          <w:color w:val="000000"/>
          <w:sz w:val="24"/>
          <w:highlight w:val="none"/>
          <w:lang w:val="en-US" w:eastAsia="zh-CN"/>
        </w:rPr>
        <w:t>的</w:t>
      </w:r>
      <w:r>
        <w:rPr>
          <w:rFonts w:hint="eastAsia" w:ascii="楷体_GB2312" w:hAnsi="仿宋" w:eastAsia="楷体_GB2312"/>
          <w:color w:val="000000"/>
          <w:sz w:val="24"/>
          <w:highlight w:val="none"/>
        </w:rPr>
        <w:t>申购申请，</w:t>
      </w:r>
      <w:r>
        <w:rPr>
          <w:rFonts w:hint="eastAsia" w:ascii="楷体_GB2312" w:hAnsi="仿宋" w:eastAsia="楷体_GB2312"/>
          <w:color w:val="000000"/>
          <w:sz w:val="24"/>
          <w:highlight w:val="none"/>
          <w:lang w:val="en-US" w:eastAsia="zh-CN"/>
        </w:rPr>
        <w:t>产品</w:t>
      </w:r>
      <w:r>
        <w:rPr>
          <w:rFonts w:hint="eastAsia" w:ascii="楷体_GB2312" w:hAnsi="仿宋" w:eastAsia="楷体_GB2312"/>
          <w:color w:val="000000"/>
          <w:sz w:val="24"/>
          <w:highlight w:val="none"/>
        </w:rPr>
        <w:t>管理人有权拒绝接受或部分接受，确保单一投资者持有份额不超过</w:t>
      </w:r>
      <w:r>
        <w:rPr>
          <w:rFonts w:hint="eastAsia" w:ascii="楷体_GB2312" w:hAnsi="宋体" w:eastAsia="楷体_GB2312"/>
          <w:color w:val="000000"/>
          <w:sz w:val="24"/>
          <w:highlight w:val="none"/>
        </w:rPr>
        <w:t>本理财产品总份额的50%</w:t>
      </w:r>
      <w:r>
        <w:rPr>
          <w:rFonts w:hint="eastAsia" w:ascii="楷体_GB2312" w:hAnsi="仿宋" w:eastAsia="楷体_GB2312"/>
          <w:color w:val="000000"/>
          <w:sz w:val="24"/>
          <w:highlight w:val="none"/>
        </w:rPr>
        <w:t>。</w:t>
      </w:r>
    </w:p>
    <w:p>
      <w:pPr>
        <w:ind w:firstLine="480" w:firstLineChars="200"/>
        <w:rPr>
          <w:rFonts w:hint="eastAsia" w:ascii="楷体_GB2312" w:hAnsi="仿宋" w:eastAsia="楷体_GB2312"/>
          <w:color w:val="000000"/>
          <w:sz w:val="24"/>
          <w:highlight w:val="none"/>
        </w:rPr>
      </w:pPr>
      <w:r>
        <w:rPr>
          <w:rFonts w:hint="eastAsia" w:ascii="楷体_GB2312" w:hAnsi="宋体" w:eastAsia="楷体_GB2312"/>
          <w:color w:val="000000"/>
          <w:sz w:val="24"/>
          <w:highlight w:val="none"/>
          <w:lang w:val="en-US" w:eastAsia="zh-CN"/>
        </w:rPr>
        <w:t>4</w:t>
      </w:r>
      <w:r>
        <w:rPr>
          <w:rFonts w:ascii="楷体_GB2312" w:hAnsi="宋体" w:eastAsia="楷体_GB2312"/>
          <w:color w:val="000000"/>
          <w:sz w:val="24"/>
          <w:highlight w:val="none"/>
        </w:rPr>
        <w:t>.</w:t>
      </w:r>
      <w:r>
        <w:rPr>
          <w:rFonts w:hint="eastAsia" w:ascii="楷体_GB2312" w:hAnsi="仿宋" w:eastAsia="楷体_GB2312"/>
          <w:color w:val="000000"/>
          <w:sz w:val="24"/>
          <w:highlight w:val="none"/>
          <w:lang w:eastAsia="zh-CN"/>
        </w:rPr>
        <w:t>产品管理人</w:t>
      </w:r>
      <w:r>
        <w:rPr>
          <w:rFonts w:hint="eastAsia" w:ascii="楷体_GB2312" w:hAnsi="仿宋" w:eastAsia="楷体_GB2312"/>
          <w:color w:val="000000"/>
          <w:sz w:val="24"/>
          <w:highlight w:val="none"/>
        </w:rPr>
        <w:t>在不损害理财产品份额持有人权益的情况下有权更改上述原则，但最迟须在新的原则实施前</w:t>
      </w:r>
      <w:r>
        <w:rPr>
          <w:rFonts w:hint="default" w:ascii="楷体_GB2312" w:hAnsi="仿宋" w:eastAsia="楷体_GB2312"/>
          <w:color w:val="000000"/>
          <w:sz w:val="24"/>
          <w:highlight w:val="none"/>
          <w:lang w:val="en-US"/>
        </w:rPr>
        <w:t>1</w:t>
      </w:r>
      <w:r>
        <w:rPr>
          <w:rFonts w:hint="eastAsia" w:ascii="楷体_GB2312" w:hAnsi="仿宋" w:eastAsia="楷体_GB2312"/>
          <w:color w:val="000000"/>
          <w:sz w:val="24"/>
          <w:highlight w:val="none"/>
        </w:rPr>
        <w:t>个工作日予以公告。</w:t>
      </w:r>
    </w:p>
    <w:p>
      <w:pPr>
        <w:ind w:firstLine="480" w:firstLineChars="200"/>
        <w:rPr>
          <w:rFonts w:ascii="楷体_GB2312" w:hAnsi="宋体" w:eastAsia="楷体_GB2312"/>
          <w:color w:val="000000"/>
          <w:sz w:val="24"/>
          <w:highlight w:val="none"/>
        </w:rPr>
      </w:pPr>
      <w:r>
        <w:rPr>
          <w:rFonts w:hint="eastAsia" w:ascii="楷体_GB2312" w:hAnsi="宋体" w:eastAsia="楷体_GB2312"/>
          <w:color w:val="000000"/>
          <w:sz w:val="24"/>
          <w:highlight w:val="none"/>
        </w:rPr>
        <w:t>（三）申购/赎回的受理和确认</w:t>
      </w:r>
    </w:p>
    <w:p>
      <w:pPr>
        <w:pStyle w:val="9"/>
        <w:rPr>
          <w:rFonts w:ascii="楷体_GB2312" w:hAnsi="宋体" w:eastAsia="楷体_GB2312"/>
          <w:color w:val="000000"/>
          <w:sz w:val="24"/>
          <w:highlight w:val="none"/>
        </w:rPr>
      </w:pPr>
      <w:r>
        <w:rPr>
          <w:rFonts w:hint="eastAsia" w:ascii="楷体_GB2312" w:hAnsi="宋体" w:eastAsia="楷体_GB2312"/>
          <w:color w:val="000000"/>
          <w:sz w:val="24"/>
          <w:highlight w:val="none"/>
        </w:rPr>
        <w:t xml:space="preserve">    1.投资者在提交申购</w:t>
      </w:r>
      <w:r>
        <w:rPr>
          <w:rFonts w:hint="eastAsia" w:ascii="楷体_GB2312" w:hAnsi="宋体" w:eastAsia="楷体_GB2312"/>
          <w:color w:val="000000"/>
          <w:sz w:val="24"/>
          <w:highlight w:val="none"/>
          <w:lang w:val="en-US" w:eastAsia="zh-CN"/>
        </w:rPr>
        <w:t>申请</w:t>
      </w:r>
      <w:r>
        <w:rPr>
          <w:rFonts w:hint="eastAsia" w:ascii="楷体_GB2312" w:hAnsi="宋体" w:eastAsia="楷体_GB2312"/>
          <w:color w:val="000000"/>
          <w:sz w:val="24"/>
          <w:highlight w:val="none"/>
        </w:rPr>
        <w:t>时须按代</w:t>
      </w:r>
      <w:r>
        <w:rPr>
          <w:rFonts w:hint="eastAsia" w:ascii="楷体_GB2312" w:hAnsi="宋体" w:eastAsia="楷体_GB2312"/>
          <w:color w:val="000000"/>
          <w:sz w:val="24"/>
          <w:highlight w:val="none"/>
          <w:lang w:val="en-US" w:eastAsia="zh-CN"/>
        </w:rPr>
        <w:t>销机构</w:t>
      </w:r>
      <w:r>
        <w:rPr>
          <w:rFonts w:hint="eastAsia" w:ascii="楷体_GB2312" w:hAnsi="宋体" w:eastAsia="楷体_GB2312"/>
          <w:color w:val="000000"/>
          <w:sz w:val="24"/>
          <w:highlight w:val="none"/>
        </w:rPr>
        <w:t>规定的方式备足申购资金，投资者在提交赎回申请时须持有足够的理财产品份额，否则所提交的申购</w:t>
      </w:r>
      <w:r>
        <w:rPr>
          <w:rFonts w:hint="default" w:ascii="楷体_GB2312" w:hAnsi="宋体" w:eastAsia="楷体_GB2312"/>
          <w:color w:val="000000"/>
          <w:sz w:val="24"/>
          <w:highlight w:val="none"/>
          <w:lang w:val="en-US"/>
        </w:rPr>
        <w:t>/</w:t>
      </w:r>
      <w:r>
        <w:rPr>
          <w:rFonts w:hint="eastAsia" w:ascii="楷体_GB2312" w:hAnsi="宋体" w:eastAsia="楷体_GB2312"/>
          <w:color w:val="000000"/>
          <w:sz w:val="24"/>
          <w:highlight w:val="none"/>
        </w:rPr>
        <w:t>赎回申请将失败。</w:t>
      </w:r>
    </w:p>
    <w:p>
      <w:pPr>
        <w:numPr>
          <w:ilvl w:val="-1"/>
          <w:numId w:val="0"/>
        </w:numPr>
        <w:ind w:firstLine="480" w:firstLineChars="200"/>
        <w:rPr>
          <w:rFonts w:ascii="楷体_GB2312" w:hAnsi="仿宋" w:eastAsia="楷体_GB2312"/>
          <w:color w:val="000000"/>
          <w:sz w:val="24"/>
          <w:highlight w:val="none"/>
        </w:rPr>
      </w:pPr>
      <w:r>
        <w:rPr>
          <w:rFonts w:hint="eastAsia" w:ascii="楷体_GB2312" w:hAnsi="宋体" w:eastAsia="楷体_GB2312"/>
          <w:color w:val="000000"/>
          <w:sz w:val="24"/>
          <w:highlight w:val="none"/>
        </w:rPr>
        <w:t>2.申购采用全额缴款方式。若申购不成功，</w:t>
      </w:r>
      <w:r>
        <w:rPr>
          <w:rFonts w:hint="eastAsia" w:ascii="楷体_GB2312" w:hAnsi="宋体" w:eastAsia="楷体_GB2312"/>
          <w:color w:val="000000"/>
          <w:sz w:val="24"/>
          <w:highlight w:val="none"/>
          <w:lang w:eastAsia="zh-CN"/>
        </w:rPr>
        <w:t>产品管理人</w:t>
      </w:r>
      <w:r>
        <w:rPr>
          <w:rFonts w:hint="eastAsia" w:ascii="楷体_GB2312" w:hAnsi="宋体" w:eastAsia="楷体_GB2312"/>
          <w:color w:val="000000"/>
          <w:sz w:val="24"/>
          <w:highlight w:val="none"/>
        </w:rPr>
        <w:t>将投资者已缴付的申购款项退还给投资者。</w:t>
      </w:r>
    </w:p>
    <w:p>
      <w:pPr>
        <w:ind w:firstLine="480" w:firstLineChars="200"/>
        <w:rPr>
          <w:rFonts w:ascii="楷体_GB2312" w:hAnsi="宋体" w:eastAsia="楷体_GB2312"/>
          <w:color w:val="000000"/>
          <w:sz w:val="24"/>
          <w:highlight w:val="none"/>
        </w:rPr>
      </w:pPr>
      <w:r>
        <w:rPr>
          <w:rFonts w:hint="eastAsia" w:ascii="楷体_GB2312" w:hAnsi="宋体" w:eastAsia="楷体_GB2312"/>
          <w:color w:val="000000"/>
          <w:sz w:val="24"/>
          <w:highlight w:val="none"/>
        </w:rPr>
        <w:t>3.申购的扣款和确认时间</w:t>
      </w:r>
    </w:p>
    <w:p>
      <w:pPr>
        <w:ind w:firstLine="482" w:firstLineChars="200"/>
        <w:rPr>
          <w:rFonts w:hint="eastAsia" w:ascii="楷体_GB2312" w:hAnsi="宋体" w:eastAsia="楷体_GB2312"/>
          <w:color w:val="000000"/>
          <w:sz w:val="24"/>
          <w:highlight w:val="none"/>
        </w:rPr>
      </w:pPr>
      <w:r>
        <w:rPr>
          <w:rFonts w:hint="eastAsia" w:ascii="楷体_GB2312" w:hAnsi="楷体" w:eastAsia="楷体_GB2312"/>
          <w:b/>
          <w:bCs/>
          <w:sz w:val="24"/>
          <w:highlight w:val="none"/>
        </w:rPr>
        <w:t>★</w:t>
      </w:r>
      <w:r>
        <w:rPr>
          <w:rFonts w:hint="eastAsia" w:ascii="楷体_GB2312" w:hAnsi="宋体" w:eastAsia="楷体_GB2312"/>
          <w:color w:val="000000"/>
          <w:sz w:val="24"/>
          <w:highlight w:val="none"/>
        </w:rPr>
        <w:t>投资者在</w:t>
      </w:r>
      <w:r>
        <w:rPr>
          <w:rFonts w:hint="eastAsia" w:ascii="楷体_GB2312" w:hAnsi="宋体" w:eastAsia="楷体_GB2312"/>
          <w:color w:val="000000"/>
          <w:sz w:val="24"/>
          <w:highlight w:val="none"/>
          <w:lang w:val="en-US" w:eastAsia="zh-CN"/>
        </w:rPr>
        <w:t>本理财</w:t>
      </w:r>
      <w:r>
        <w:rPr>
          <w:rFonts w:hint="eastAsia" w:ascii="楷体_GB2312" w:hAnsi="宋体" w:eastAsia="楷体_GB2312"/>
          <w:color w:val="000000"/>
          <w:sz w:val="24"/>
          <w:highlight w:val="none"/>
        </w:rPr>
        <w:t>产品</w:t>
      </w:r>
      <w:r>
        <w:rPr>
          <w:rFonts w:hint="eastAsia" w:ascii="楷体_GB2312" w:hAnsi="宋体" w:eastAsia="楷体_GB2312"/>
          <w:color w:val="000000"/>
          <w:sz w:val="24"/>
          <w:highlight w:val="none"/>
          <w:lang w:eastAsia="zh-CN"/>
        </w:rPr>
        <w:t>开放日</w:t>
      </w:r>
      <w:r>
        <w:rPr>
          <w:rFonts w:hint="eastAsia" w:ascii="楷体_GB2312" w:hAnsi="宋体" w:eastAsia="楷体_GB2312"/>
          <w:color w:val="000000"/>
          <w:sz w:val="24"/>
          <w:highlight w:val="none"/>
        </w:rPr>
        <w:t>内提出申购申请后，投资资金将实时冻结，并于申购确认日扣划，资金冻结期间将按照代销机构公布的人民币活期存款利率计算活期存款利息，该利息不作为申购资金扣收。</w:t>
      </w:r>
    </w:p>
    <w:p>
      <w:pPr>
        <w:ind w:firstLine="480" w:firstLineChars="200"/>
        <w:rPr>
          <w:rFonts w:hint="eastAsia" w:ascii="楷体_GB2312" w:hAnsi="宋体" w:eastAsia="楷体_GB2312"/>
          <w:color w:val="000000"/>
          <w:sz w:val="24"/>
          <w:highlight w:val="none"/>
        </w:rPr>
      </w:pPr>
      <w:r>
        <w:rPr>
          <w:rFonts w:hint="eastAsia" w:ascii="楷体_GB2312" w:hAnsi="宋体" w:eastAsia="楷体_GB2312"/>
          <w:color w:val="000000"/>
          <w:sz w:val="24"/>
          <w:highlight w:val="none"/>
        </w:rPr>
        <w:t>投资者在开放日</w:t>
      </w:r>
      <w:r>
        <w:rPr>
          <w:rFonts w:hint="eastAsia" w:ascii="楷体_GB2312" w:hAnsi="宋体" w:eastAsia="楷体_GB2312"/>
          <w:color w:val="000000"/>
          <w:sz w:val="24"/>
        </w:rPr>
        <w:t>17：00</w:t>
      </w:r>
      <w:r>
        <w:rPr>
          <w:rFonts w:hint="eastAsia" w:ascii="楷体_GB2312" w:hAnsi="宋体" w:eastAsia="楷体_GB2312"/>
          <w:color w:val="000000"/>
          <w:sz w:val="24"/>
          <w:highlight w:val="none"/>
        </w:rPr>
        <w:t>（不含）之前提出的申购申请，申购申请日为开放日当日，产品管理人在开放日的下一个交易日对满足条件的有效申购申请予以确认；投资者在开放日</w:t>
      </w:r>
      <w:r>
        <w:rPr>
          <w:rFonts w:hint="eastAsia" w:ascii="楷体_GB2312" w:hAnsi="宋体" w:eastAsia="楷体_GB2312"/>
          <w:color w:val="000000"/>
          <w:sz w:val="24"/>
        </w:rPr>
        <w:t>17：00</w:t>
      </w:r>
      <w:r>
        <w:rPr>
          <w:rFonts w:hint="eastAsia" w:ascii="楷体_GB2312" w:hAnsi="宋体" w:eastAsia="楷体_GB2312"/>
          <w:color w:val="000000"/>
          <w:sz w:val="24"/>
          <w:highlight w:val="none"/>
        </w:rPr>
        <w:t>（含）之后或非开放日提出的申购申请，申购申请日为投资者提出申购申请之后的产品最近一个开放日，产品管理人将在投资者提出申购申请之后的产品最近一个开放日的下一个交易日对满足条件的有效申购申请予以确认。</w:t>
      </w:r>
    </w:p>
    <w:p>
      <w:pPr>
        <w:ind w:firstLine="480" w:firstLineChars="200"/>
        <w:rPr>
          <w:rFonts w:ascii="楷体_GB2312" w:hAnsi="宋体" w:eastAsia="楷体_GB2312"/>
          <w:color w:val="000000"/>
          <w:sz w:val="24"/>
          <w:highlight w:val="none"/>
        </w:rPr>
      </w:pPr>
      <w:r>
        <w:rPr>
          <w:rFonts w:hint="eastAsia" w:ascii="楷体_GB2312" w:hAnsi="宋体" w:eastAsia="楷体_GB2312"/>
          <w:color w:val="000000"/>
          <w:sz w:val="24"/>
          <w:highlight w:val="none"/>
        </w:rPr>
        <w:t>产品管理人确认投资者申购申请的，投资者自申购确认日起持有本理财产品份额。投资者实际申购份额以产品管理人确认份额为准。申购份额=申购金额÷申购价格，申购价格为申购申请日的产品单位净值，申购份额以四舍五入的方法保留到小数点后两位。</w:t>
      </w:r>
    </w:p>
    <w:p>
      <w:pPr>
        <w:ind w:firstLine="480" w:firstLineChars="200"/>
        <w:rPr>
          <w:rFonts w:ascii="楷体_GB2312" w:hAnsi="宋体" w:eastAsia="楷体_GB2312"/>
          <w:color w:val="000000"/>
          <w:sz w:val="24"/>
          <w:highlight w:val="none"/>
        </w:rPr>
      </w:pPr>
      <w:r>
        <w:rPr>
          <w:rFonts w:hint="eastAsia" w:ascii="楷体_GB2312" w:hAnsi="宋体" w:eastAsia="楷体_GB2312"/>
          <w:color w:val="000000"/>
          <w:sz w:val="24"/>
          <w:highlight w:val="none"/>
        </w:rPr>
        <w:t>4.赎回的确认和到账时间</w:t>
      </w:r>
    </w:p>
    <w:p>
      <w:pPr>
        <w:ind w:firstLine="480" w:firstLineChars="200"/>
        <w:rPr>
          <w:rFonts w:hint="eastAsia" w:ascii="楷体_GB2312" w:hAnsi="宋体" w:eastAsia="楷体_GB2312"/>
          <w:color w:val="000000"/>
          <w:sz w:val="24"/>
          <w:highlight w:val="none"/>
        </w:rPr>
      </w:pPr>
      <w:r>
        <w:rPr>
          <w:rFonts w:hint="eastAsia" w:ascii="楷体_GB2312" w:hAnsi="宋体" w:eastAsia="楷体_GB2312"/>
          <w:color w:val="000000"/>
          <w:sz w:val="24"/>
          <w:highlight w:val="none"/>
        </w:rPr>
        <w:t>投资者在开放日</w:t>
      </w:r>
      <w:r>
        <w:rPr>
          <w:rFonts w:hint="eastAsia" w:ascii="楷体_GB2312" w:hAnsi="宋体" w:eastAsia="楷体_GB2312"/>
          <w:color w:val="000000"/>
          <w:sz w:val="24"/>
        </w:rPr>
        <w:t>17：00</w:t>
      </w:r>
      <w:r>
        <w:rPr>
          <w:rFonts w:hint="eastAsia" w:ascii="楷体_GB2312" w:hAnsi="宋体" w:eastAsia="楷体_GB2312"/>
          <w:color w:val="000000"/>
          <w:sz w:val="24"/>
          <w:highlight w:val="none"/>
        </w:rPr>
        <w:t>（不含）之前提出的赎回申请，赎回申请日为开放日当日，产品管理人在开放日的下一个交易日对满足条件的有效赎回申请予以确认；投资者在开放日</w:t>
      </w:r>
      <w:r>
        <w:rPr>
          <w:rFonts w:hint="eastAsia" w:ascii="楷体_GB2312" w:hAnsi="宋体" w:eastAsia="楷体_GB2312"/>
          <w:color w:val="000000"/>
          <w:sz w:val="24"/>
        </w:rPr>
        <w:t>17：00</w:t>
      </w:r>
      <w:r>
        <w:rPr>
          <w:rFonts w:hint="eastAsia" w:ascii="楷体_GB2312" w:hAnsi="宋体" w:eastAsia="楷体_GB2312"/>
          <w:color w:val="000000"/>
          <w:sz w:val="24"/>
          <w:highlight w:val="none"/>
        </w:rPr>
        <w:t>（含）之后或非开放日提出的赎回申请，赎回申请日为投资者提出赎回申请之后的产品最近一个开放日，产品管理人将在投资者提出赎回申请之后的产品最近一个开放日的下一个交易日对满足条件的有效赎回申请予以确认。</w:t>
      </w:r>
    </w:p>
    <w:p>
      <w:pPr>
        <w:ind w:firstLine="480" w:firstLineChars="200"/>
        <w:rPr>
          <w:rFonts w:hint="eastAsia" w:ascii="楷体_GB2312" w:hAnsi="宋体" w:eastAsia="楷体_GB2312"/>
          <w:color w:val="000000"/>
          <w:sz w:val="24"/>
          <w:highlight w:val="none"/>
        </w:rPr>
      </w:pPr>
      <w:r>
        <w:rPr>
          <w:rFonts w:hint="eastAsia" w:ascii="楷体_GB2312" w:hAnsi="宋体" w:eastAsia="楷体_GB2312"/>
          <w:color w:val="000000"/>
          <w:sz w:val="24"/>
          <w:highlight w:val="none"/>
        </w:rPr>
        <w:t>投资者实际赎回份额以产品管理人确认份额为准，赎回金额=赎回份额×赎回价格，赎回价格为赎回申请日的产品单位净值，赎回金额以四舍五入的方法保留到小数点后两位。产品管理人确认投资者赎回申请的，投资者自赎回确认日起不再持有本理财产品份额，赎回资金原则上将于赎回确认日当日内划转至代销机构清算账户，投资者赎回资金的具体到账时间以代销机构划付规则为准。</w:t>
      </w:r>
    </w:p>
    <w:p>
      <w:pPr>
        <w:ind w:firstLine="480" w:firstLineChars="200"/>
        <w:rPr>
          <w:highlight w:val="none"/>
        </w:rPr>
      </w:pPr>
      <w:r>
        <w:rPr>
          <w:rFonts w:hint="eastAsia" w:ascii="楷体_GB2312" w:hAnsi="宋体" w:eastAsia="楷体_GB2312"/>
          <w:color w:val="000000"/>
          <w:sz w:val="24"/>
          <w:highlight w:val="none"/>
        </w:rPr>
        <w:t>★</w:t>
      </w:r>
      <w:r>
        <w:rPr>
          <w:rFonts w:hint="eastAsia" w:ascii="楷体_GB2312" w:hAnsi="宋体" w:eastAsia="楷体_GB2312"/>
          <w:color w:val="000000"/>
          <w:sz w:val="24"/>
          <w:highlight w:val="none"/>
          <w:lang w:val="en-US" w:eastAsia="zh-CN"/>
        </w:rPr>
        <w:t>5.</w:t>
      </w:r>
      <w:r>
        <w:rPr>
          <w:rFonts w:hint="eastAsia" w:ascii="楷体_GB2312" w:hAnsi="宋体" w:eastAsia="楷体_GB2312"/>
          <w:color w:val="000000"/>
          <w:sz w:val="24"/>
          <w:highlight w:val="none"/>
        </w:rPr>
        <w:t>本理财产品</w:t>
      </w:r>
      <w:r>
        <w:rPr>
          <w:rFonts w:hint="eastAsia" w:ascii="楷体_GB2312" w:hAnsi="宋体" w:eastAsia="楷体_GB2312"/>
          <w:color w:val="000000"/>
          <w:sz w:val="24"/>
          <w:highlight w:val="none"/>
          <w:lang w:val="en-US" w:eastAsia="zh-CN"/>
        </w:rPr>
        <w:t>存续期内</w:t>
      </w:r>
      <w:r>
        <w:rPr>
          <w:rFonts w:hint="eastAsia" w:ascii="楷体_GB2312" w:hAnsi="宋体" w:eastAsia="楷体_GB2312"/>
          <w:color w:val="000000"/>
          <w:sz w:val="24"/>
          <w:highlight w:val="none"/>
        </w:rPr>
        <w:t>，如遇有权机关冻结投资者持有的本理财产品份额的，产品管理人应按照有权机关要求进行操作。</w:t>
      </w:r>
    </w:p>
    <w:p>
      <w:pPr>
        <w:ind w:firstLine="480" w:firstLineChars="200"/>
        <w:rPr>
          <w:rFonts w:hint="eastAsia" w:ascii="楷体_GB2312" w:hAnsi="宋体" w:eastAsia="楷体_GB2312"/>
          <w:color w:val="000000"/>
          <w:sz w:val="24"/>
          <w:highlight w:val="none"/>
        </w:rPr>
      </w:pPr>
      <w:r>
        <w:rPr>
          <w:rFonts w:hint="eastAsia" w:ascii="楷体_GB2312" w:hAnsi="宋体" w:eastAsia="楷体_GB2312"/>
          <w:color w:val="000000"/>
          <w:sz w:val="24"/>
          <w:highlight w:val="none"/>
        </w:rPr>
        <w:t>（四）巨额赎回</w:t>
      </w:r>
    </w:p>
    <w:p>
      <w:pPr>
        <w:ind w:firstLine="480" w:firstLineChars="200"/>
        <w:rPr>
          <w:rFonts w:hint="eastAsia" w:ascii="楷体_GB2312" w:hAnsi="宋体" w:eastAsia="楷体_GB2312"/>
          <w:color w:val="000000"/>
          <w:sz w:val="24"/>
          <w:highlight w:val="none"/>
        </w:rPr>
      </w:pPr>
      <w:r>
        <w:rPr>
          <w:rFonts w:hint="eastAsia" w:ascii="楷体_GB2312" w:hAnsi="宋体" w:eastAsia="楷体_GB2312"/>
          <w:color w:val="000000"/>
          <w:sz w:val="24"/>
          <w:highlight w:val="none"/>
        </w:rPr>
        <w:t>1.巨额赎回的认定</w:t>
      </w:r>
    </w:p>
    <w:p>
      <w:pPr>
        <w:ind w:firstLine="480" w:firstLineChars="200"/>
        <w:rPr>
          <w:rFonts w:hint="eastAsia" w:ascii="楷体_GB2312" w:hAnsi="宋体" w:eastAsia="楷体_GB2312"/>
          <w:color w:val="000000"/>
          <w:sz w:val="24"/>
          <w:highlight w:val="none"/>
        </w:rPr>
      </w:pPr>
      <w:r>
        <w:rPr>
          <w:rFonts w:hint="eastAsia" w:ascii="楷体_GB2312" w:hAnsi="宋体" w:eastAsia="楷体_GB2312"/>
          <w:color w:val="000000"/>
          <w:sz w:val="24"/>
          <w:highlight w:val="none"/>
        </w:rPr>
        <w:t>在本理财产品的单个开放日，净赎回申请（即产品赎回有效申请份额总数扣除</w:t>
      </w:r>
      <w:r>
        <w:rPr>
          <w:rFonts w:hint="eastAsia" w:ascii="楷体_GB2312" w:hAnsi="宋体" w:eastAsia="楷体_GB2312"/>
          <w:color w:val="000000"/>
          <w:sz w:val="24"/>
          <w:highlight w:val="none"/>
          <w:lang w:val="en-US" w:eastAsia="zh-CN"/>
        </w:rPr>
        <w:t>产品</w:t>
      </w:r>
      <w:r>
        <w:rPr>
          <w:rFonts w:hint="eastAsia" w:ascii="楷体_GB2312" w:hAnsi="宋体" w:eastAsia="楷体_GB2312"/>
          <w:color w:val="000000"/>
          <w:sz w:val="24"/>
          <w:highlight w:val="none"/>
        </w:rPr>
        <w:t>申购有效申请份额总数后的差额）超过前一日终</w:t>
      </w:r>
      <w:r>
        <w:rPr>
          <w:rFonts w:hint="eastAsia" w:ascii="楷体_GB2312" w:hAnsi="宋体" w:eastAsia="楷体_GB2312"/>
          <w:color w:val="000000"/>
          <w:sz w:val="24"/>
          <w:highlight w:val="none"/>
          <w:lang w:val="en-US" w:eastAsia="zh-CN"/>
        </w:rPr>
        <w:t>本</w:t>
      </w:r>
      <w:r>
        <w:rPr>
          <w:rFonts w:hint="eastAsia" w:ascii="楷体_GB2312" w:hAnsi="宋体" w:eastAsia="楷体_GB2312"/>
          <w:color w:val="000000"/>
          <w:sz w:val="24"/>
          <w:highlight w:val="none"/>
        </w:rPr>
        <w:t>理财产品总份额的10％时，为巨额赎回。</w:t>
      </w:r>
    </w:p>
    <w:p>
      <w:pPr>
        <w:ind w:firstLine="480" w:firstLineChars="200"/>
        <w:rPr>
          <w:rFonts w:hint="eastAsia" w:ascii="楷体_GB2312" w:hAnsi="宋体" w:eastAsia="楷体_GB2312"/>
          <w:color w:val="000000"/>
          <w:sz w:val="24"/>
          <w:highlight w:val="none"/>
        </w:rPr>
      </w:pPr>
      <w:r>
        <w:rPr>
          <w:rFonts w:hint="eastAsia" w:ascii="楷体_GB2312" w:hAnsi="宋体" w:eastAsia="楷体_GB2312"/>
          <w:color w:val="000000"/>
          <w:sz w:val="24"/>
          <w:highlight w:val="none"/>
        </w:rPr>
        <w:t>2.巨额赎回的处理方式</w:t>
      </w:r>
    </w:p>
    <w:p>
      <w:pPr>
        <w:ind w:firstLine="480" w:firstLineChars="200"/>
        <w:rPr>
          <w:rFonts w:hint="eastAsia" w:ascii="楷体_GB2312" w:hAnsi="宋体" w:eastAsia="楷体_GB2312"/>
          <w:color w:val="000000"/>
          <w:sz w:val="24"/>
          <w:highlight w:val="none"/>
        </w:rPr>
      </w:pPr>
      <w:r>
        <w:rPr>
          <w:rFonts w:hint="eastAsia" w:ascii="楷体_GB2312" w:hAnsi="宋体" w:eastAsia="楷体_GB2312"/>
          <w:color w:val="000000"/>
          <w:sz w:val="24"/>
          <w:highlight w:val="none"/>
        </w:rPr>
        <w:t>本理财产品在</w:t>
      </w:r>
      <w:r>
        <w:rPr>
          <w:rFonts w:hint="eastAsia" w:ascii="楷体_GB2312" w:hAnsi="宋体" w:eastAsia="楷体_GB2312"/>
          <w:color w:val="000000"/>
          <w:sz w:val="24"/>
          <w:highlight w:val="none"/>
          <w:lang w:eastAsia="zh-CN"/>
        </w:rPr>
        <w:t>开放日</w:t>
      </w:r>
      <w:r>
        <w:rPr>
          <w:rFonts w:hint="eastAsia" w:ascii="楷体_GB2312" w:hAnsi="宋体" w:eastAsia="楷体_GB2312"/>
          <w:color w:val="000000"/>
          <w:sz w:val="24"/>
          <w:highlight w:val="none"/>
        </w:rPr>
        <w:t>发生巨额赎回时，产品管理人有权根据本理财产品当时的投资运作情况决定采取全额赎回、部分赎回等流动性风险应对措施。关于巨额赎回的相关情况，产品管理人将在巨额赎回发生后3个交易日内通过</w:t>
      </w:r>
      <w:r>
        <w:rPr>
          <w:rFonts w:hint="eastAsia" w:ascii="楷体_GB2312" w:hAnsi="宋体" w:eastAsia="楷体_GB2312"/>
          <w:color w:val="auto"/>
          <w:sz w:val="24"/>
          <w:highlight w:val="none"/>
          <w:lang w:val="en-US" w:eastAsia="zh-CN"/>
        </w:rPr>
        <w:t>本理财产品销售文件约定的信息披露渠道</w:t>
      </w:r>
      <w:r>
        <w:rPr>
          <w:rFonts w:hint="eastAsia" w:ascii="楷体_GB2312" w:hAnsi="宋体" w:eastAsia="楷体_GB2312"/>
          <w:color w:val="000000"/>
          <w:sz w:val="24"/>
          <w:highlight w:val="none"/>
        </w:rPr>
        <w:t>向投资者披露。</w:t>
      </w:r>
    </w:p>
    <w:p>
      <w:pPr>
        <w:ind w:firstLine="480" w:firstLineChars="200"/>
        <w:rPr>
          <w:rFonts w:hint="eastAsia" w:ascii="楷体_GB2312" w:hAnsi="宋体" w:eastAsia="楷体_GB2312"/>
          <w:color w:val="000000"/>
          <w:sz w:val="24"/>
          <w:highlight w:val="none"/>
        </w:rPr>
      </w:pPr>
      <w:r>
        <w:rPr>
          <w:rFonts w:hint="eastAsia" w:ascii="楷体_GB2312" w:hAnsi="宋体" w:eastAsia="楷体_GB2312"/>
          <w:color w:val="000000"/>
          <w:sz w:val="24"/>
          <w:highlight w:val="none"/>
        </w:rPr>
        <w:t>（1）全额赎回：当本理财产品可以兑付投资者（或称“份额持有人”）的全部赎回申请时，将在赎回确认日按投资者申请赎回份额执行正常赎回程序。</w:t>
      </w:r>
    </w:p>
    <w:p>
      <w:pPr>
        <w:ind w:firstLine="480" w:firstLineChars="200"/>
        <w:rPr>
          <w:rFonts w:ascii="楷体_GB2312" w:hAnsi="宋体" w:eastAsia="楷体_GB2312"/>
          <w:color w:val="000000"/>
          <w:sz w:val="24"/>
          <w:highlight w:val="none"/>
        </w:rPr>
      </w:pPr>
      <w:r>
        <w:rPr>
          <w:rFonts w:hint="eastAsia" w:ascii="楷体_GB2312" w:hAnsi="宋体" w:eastAsia="楷体_GB2312"/>
          <w:color w:val="000000"/>
          <w:sz w:val="24"/>
          <w:highlight w:val="none"/>
        </w:rPr>
        <w:t>（2）部分赎回：产品管理人在赎回确认日当日办理的赎回份额不低于前一日终本理财产品总份额的10%的前提下，对其余赎回申请有权暂停接受或延期办理。本理财产品连续2个以上开放日发生巨额赎回的，除有权采取以上措施外，对于已经接受的赎回申请，产品管理人有权延缓支付赎回款项，但延缓期限不得超过20个工作日。对该理财产品单个份额持有人的赎回申请，产品管理人有权按照其申请赎回份额占赎回确认日当日申请赎回总份额的比例，确定该单个份额持有人当日办理的赎回份额。</w:t>
      </w:r>
      <w:r>
        <w:rPr>
          <w:rFonts w:hint="eastAsia" w:ascii="楷体_GB2312" w:hAnsi="宋体" w:eastAsia="楷体_GB2312"/>
          <w:color w:val="000000"/>
          <w:sz w:val="24"/>
          <w:highlight w:val="none"/>
          <w:lang w:val="en-US" w:eastAsia="zh-CN"/>
        </w:rPr>
        <w:t>本理财产品份额持有人可以在</w:t>
      </w:r>
      <w:r>
        <w:rPr>
          <w:rFonts w:hint="eastAsia" w:ascii="楷体_GB2312" w:hAnsi="宋体" w:eastAsia="楷体_GB2312"/>
          <w:color w:val="000000"/>
          <w:sz w:val="24"/>
          <w:highlight w:val="none"/>
        </w:rPr>
        <w:t>申请赎回时选择将当日未获办理部分予以撤销（具体交易功能以</w:t>
      </w:r>
      <w:r>
        <w:rPr>
          <w:rFonts w:hint="eastAsia" w:ascii="楷体_GB2312" w:hAnsi="宋体" w:eastAsia="楷体_GB2312"/>
          <w:color w:val="000000"/>
          <w:sz w:val="24"/>
          <w:highlight w:val="none"/>
          <w:lang w:val="en-US" w:eastAsia="zh-CN"/>
        </w:rPr>
        <w:t>代销机构</w:t>
      </w:r>
      <w:r>
        <w:rPr>
          <w:rFonts w:hint="eastAsia" w:ascii="楷体_GB2312" w:hAnsi="宋体" w:eastAsia="楷体_GB2312"/>
          <w:color w:val="000000"/>
          <w:sz w:val="24"/>
          <w:highlight w:val="none"/>
        </w:rPr>
        <w:t>规定为准），</w:t>
      </w:r>
      <w:r>
        <w:rPr>
          <w:rFonts w:hint="eastAsia" w:ascii="楷体_GB2312" w:hAnsi="宋体" w:eastAsia="楷体_GB2312"/>
          <w:color w:val="000000"/>
          <w:sz w:val="24"/>
          <w:highlight w:val="none"/>
          <w:lang w:val="en-US" w:eastAsia="zh-CN"/>
        </w:rPr>
        <w:t>未选择撤销的，</w:t>
      </w:r>
      <w:r>
        <w:rPr>
          <w:rFonts w:hint="eastAsia" w:ascii="楷体_GB2312" w:hAnsi="宋体" w:eastAsia="楷体_GB2312"/>
          <w:color w:val="000000"/>
          <w:sz w:val="24"/>
          <w:highlight w:val="none"/>
        </w:rPr>
        <w:t>产品管理人有权</w:t>
      </w:r>
      <w:r>
        <w:rPr>
          <w:rFonts w:hint="eastAsia" w:ascii="楷体_GB2312" w:hAnsi="宋体" w:eastAsia="楷体_GB2312"/>
          <w:color w:val="000000"/>
          <w:sz w:val="24"/>
          <w:highlight w:val="none"/>
          <w:lang w:val="en-US" w:eastAsia="zh-CN"/>
        </w:rPr>
        <w:t>将</w:t>
      </w:r>
      <w:r>
        <w:rPr>
          <w:rFonts w:hint="eastAsia" w:ascii="楷体_GB2312" w:hAnsi="宋体" w:eastAsia="楷体_GB2312"/>
          <w:color w:val="000000"/>
          <w:sz w:val="24"/>
          <w:highlight w:val="none"/>
        </w:rPr>
        <w:t>当日未获办理部分延迟至下一个开放日办理（赎回价格为下一个开放日</w:t>
      </w:r>
      <w:r>
        <w:rPr>
          <w:rFonts w:hint="eastAsia" w:ascii="楷体_GB2312" w:hAnsi="宋体" w:eastAsia="楷体_GB2312"/>
          <w:color w:val="000000"/>
          <w:sz w:val="24"/>
          <w:highlight w:val="none"/>
          <w:lang w:val="en-US" w:eastAsia="zh-CN"/>
        </w:rPr>
        <w:t>当日</w:t>
      </w:r>
      <w:r>
        <w:rPr>
          <w:rFonts w:hint="eastAsia" w:ascii="楷体_GB2312" w:hAnsi="宋体" w:eastAsia="楷体_GB2312"/>
          <w:color w:val="000000"/>
          <w:sz w:val="24"/>
          <w:highlight w:val="none"/>
        </w:rPr>
        <w:t>的产品单位净值）或暂停接受当日未获办理</w:t>
      </w:r>
      <w:r>
        <w:rPr>
          <w:rFonts w:hint="eastAsia" w:ascii="楷体_GB2312" w:hAnsi="宋体" w:eastAsia="楷体_GB2312"/>
          <w:color w:val="000000"/>
          <w:sz w:val="24"/>
          <w:highlight w:val="none"/>
          <w:lang w:val="en-US" w:eastAsia="zh-CN"/>
        </w:rPr>
        <w:t>的</w:t>
      </w:r>
      <w:r>
        <w:rPr>
          <w:rFonts w:hint="eastAsia" w:ascii="楷体_GB2312" w:hAnsi="宋体" w:eastAsia="楷体_GB2312"/>
          <w:color w:val="000000"/>
          <w:sz w:val="24"/>
          <w:highlight w:val="none"/>
        </w:rPr>
        <w:t>赎回申请。</w:t>
      </w:r>
    </w:p>
    <w:p>
      <w:pPr>
        <w:ind w:firstLine="480" w:firstLineChars="200"/>
        <w:rPr>
          <w:rFonts w:ascii="楷体_GB2312" w:hAnsi="宋体" w:eastAsia="楷体_GB2312"/>
          <w:color w:val="000000"/>
          <w:sz w:val="24"/>
          <w:highlight w:val="none"/>
        </w:rPr>
      </w:pPr>
      <w:r>
        <w:rPr>
          <w:rFonts w:hint="eastAsia" w:ascii="楷体_GB2312" w:hAnsi="楷体" w:eastAsia="楷体_GB2312"/>
          <w:sz w:val="24"/>
          <w:highlight w:val="none"/>
        </w:rPr>
        <w:t>★</w:t>
      </w:r>
      <w:r>
        <w:rPr>
          <w:rFonts w:hint="eastAsia" w:ascii="楷体_GB2312" w:hAnsi="宋体" w:eastAsia="楷体_GB2312"/>
          <w:color w:val="000000"/>
          <w:sz w:val="24"/>
          <w:highlight w:val="none"/>
        </w:rPr>
        <w:t>（五）拒绝或暂停申购</w:t>
      </w:r>
    </w:p>
    <w:p>
      <w:pPr>
        <w:ind w:firstLine="480" w:firstLineChars="200"/>
        <w:rPr>
          <w:rFonts w:ascii="楷体_GB2312" w:hAnsi="宋体" w:eastAsia="楷体_GB2312"/>
          <w:color w:val="000000"/>
          <w:sz w:val="24"/>
          <w:highlight w:val="none"/>
        </w:rPr>
      </w:pPr>
      <w:r>
        <w:rPr>
          <w:rFonts w:hint="eastAsia" w:ascii="楷体_GB2312" w:hAnsi="宋体" w:eastAsia="楷体_GB2312"/>
          <w:color w:val="000000"/>
          <w:sz w:val="24"/>
          <w:highlight w:val="none"/>
        </w:rPr>
        <w:t>当出现下列情形时，</w:t>
      </w:r>
      <w:r>
        <w:rPr>
          <w:rFonts w:hint="eastAsia" w:ascii="楷体_GB2312" w:hAnsi="宋体" w:eastAsia="楷体_GB2312"/>
          <w:color w:val="000000"/>
          <w:sz w:val="24"/>
          <w:highlight w:val="none"/>
          <w:lang w:eastAsia="zh-CN"/>
        </w:rPr>
        <w:t>产品管理人</w:t>
      </w:r>
      <w:r>
        <w:rPr>
          <w:rFonts w:hint="eastAsia" w:ascii="楷体_GB2312" w:hAnsi="宋体" w:eastAsia="楷体_GB2312"/>
          <w:color w:val="000000"/>
          <w:sz w:val="24"/>
          <w:highlight w:val="none"/>
        </w:rPr>
        <w:t>有权</w:t>
      </w:r>
      <w:r>
        <w:rPr>
          <w:rFonts w:hint="eastAsia" w:ascii="楷体_GB2312" w:hAnsi="宋体" w:eastAsia="楷体_GB2312"/>
          <w:color w:val="000000"/>
          <w:sz w:val="24"/>
          <w:highlight w:val="none"/>
          <w:lang w:val="en-US" w:eastAsia="zh-CN"/>
        </w:rPr>
        <w:t>选择</w:t>
      </w:r>
      <w:r>
        <w:rPr>
          <w:rFonts w:hint="eastAsia" w:ascii="楷体_GB2312" w:hAnsi="宋体" w:eastAsia="楷体_GB2312"/>
          <w:color w:val="000000"/>
          <w:sz w:val="24"/>
          <w:highlight w:val="none"/>
        </w:rPr>
        <w:t>拒绝接受或暂停接受投资者的申购申请：</w:t>
      </w:r>
    </w:p>
    <w:p>
      <w:pPr>
        <w:ind w:firstLine="480" w:firstLineChars="200"/>
        <w:rPr>
          <w:rFonts w:ascii="楷体_GB2312" w:hAnsi="宋体" w:eastAsia="楷体_GB2312"/>
          <w:color w:val="000000"/>
          <w:sz w:val="24"/>
          <w:highlight w:val="none"/>
        </w:rPr>
      </w:pPr>
      <w:r>
        <w:rPr>
          <w:rFonts w:hint="eastAsia" w:ascii="楷体_GB2312" w:hAnsi="宋体" w:eastAsia="楷体_GB2312"/>
          <w:color w:val="000000"/>
          <w:sz w:val="24"/>
          <w:highlight w:val="none"/>
        </w:rPr>
        <w:t>1.不可抗力</w:t>
      </w:r>
      <w:r>
        <w:rPr>
          <w:rFonts w:hint="eastAsia" w:ascii="楷体_GB2312" w:hAnsi="宋体" w:eastAsia="楷体_GB2312"/>
          <w:color w:val="000000"/>
          <w:sz w:val="24"/>
          <w:highlight w:val="none"/>
          <w:lang w:val="en-US" w:eastAsia="zh-CN"/>
        </w:rPr>
        <w:t>及/或意外事件</w:t>
      </w:r>
      <w:r>
        <w:rPr>
          <w:rFonts w:hint="eastAsia" w:ascii="楷体_GB2312" w:hAnsi="宋体" w:eastAsia="楷体_GB2312"/>
          <w:color w:val="000000"/>
          <w:sz w:val="24"/>
          <w:highlight w:val="none"/>
        </w:rPr>
        <w:t>等原因导致</w:t>
      </w:r>
      <w:r>
        <w:rPr>
          <w:rFonts w:hint="eastAsia" w:ascii="楷体_GB2312" w:hAnsi="宋体" w:eastAsia="楷体_GB2312"/>
          <w:color w:val="000000"/>
          <w:sz w:val="24"/>
          <w:highlight w:val="none"/>
          <w:lang w:val="en-US" w:eastAsia="zh-CN"/>
        </w:rPr>
        <w:t>本理财</w:t>
      </w:r>
      <w:r>
        <w:rPr>
          <w:rFonts w:hint="eastAsia" w:ascii="楷体_GB2312" w:hAnsi="宋体" w:eastAsia="楷体_GB2312"/>
          <w:color w:val="000000"/>
          <w:sz w:val="24"/>
          <w:highlight w:val="none"/>
        </w:rPr>
        <w:t>产品无法正常运作；</w:t>
      </w:r>
    </w:p>
    <w:p>
      <w:pPr>
        <w:ind w:firstLine="480" w:firstLineChars="200"/>
        <w:rPr>
          <w:rFonts w:hint="eastAsia" w:ascii="楷体_GB2312" w:hAnsi="仿宋" w:eastAsia="楷体_GB2312"/>
          <w:color w:val="000000"/>
          <w:sz w:val="24"/>
          <w:highlight w:val="none"/>
        </w:rPr>
      </w:pPr>
      <w:r>
        <w:rPr>
          <w:rFonts w:hint="eastAsia" w:ascii="楷体_GB2312" w:hAnsi="宋体" w:eastAsia="楷体_GB2312"/>
          <w:color w:val="000000"/>
          <w:sz w:val="24"/>
          <w:highlight w:val="none"/>
        </w:rPr>
        <w:t>2.</w:t>
      </w:r>
      <w:r>
        <w:rPr>
          <w:rFonts w:hint="eastAsia" w:ascii="楷体_GB2312" w:hAnsi="仿宋" w:eastAsia="楷体_GB2312"/>
          <w:color w:val="000000"/>
          <w:sz w:val="24"/>
          <w:highlight w:val="none"/>
        </w:rPr>
        <w:t>证券交易场所依法决定临时停市，导致</w:t>
      </w:r>
      <w:r>
        <w:rPr>
          <w:rFonts w:hint="eastAsia" w:ascii="楷体_GB2312" w:hAnsi="仿宋" w:eastAsia="楷体_GB2312"/>
          <w:color w:val="000000"/>
          <w:sz w:val="24"/>
          <w:highlight w:val="none"/>
          <w:lang w:val="en-US" w:eastAsia="zh-CN"/>
        </w:rPr>
        <w:t>产品</w:t>
      </w:r>
      <w:r>
        <w:rPr>
          <w:rFonts w:hint="eastAsia" w:ascii="楷体_GB2312" w:hAnsi="仿宋" w:eastAsia="楷体_GB2312"/>
          <w:color w:val="000000"/>
          <w:sz w:val="24"/>
          <w:highlight w:val="none"/>
        </w:rPr>
        <w:t>管理人无法计算当日产品资产净值；</w:t>
      </w:r>
    </w:p>
    <w:p>
      <w:pPr>
        <w:ind w:firstLine="480" w:firstLineChars="200"/>
        <w:rPr>
          <w:rFonts w:ascii="楷体_GB2312" w:hAnsi="宋体" w:eastAsia="楷体_GB2312"/>
          <w:color w:val="000000"/>
          <w:sz w:val="24"/>
          <w:highlight w:val="none"/>
        </w:rPr>
      </w:pPr>
      <w:r>
        <w:rPr>
          <w:rFonts w:hint="eastAsia" w:ascii="楷体_GB2312" w:hAnsi="宋体" w:eastAsia="楷体_GB2312"/>
          <w:color w:val="000000"/>
          <w:sz w:val="24"/>
          <w:highlight w:val="none"/>
          <w:lang w:val="en-US" w:eastAsia="zh-CN"/>
        </w:rPr>
        <w:t>3.</w:t>
      </w:r>
      <w:r>
        <w:rPr>
          <w:rFonts w:hint="eastAsia" w:ascii="楷体_GB2312" w:hAnsi="宋体" w:eastAsia="楷体_GB2312"/>
          <w:color w:val="000000"/>
          <w:sz w:val="24"/>
          <w:highlight w:val="none"/>
        </w:rPr>
        <w:t>超过</w:t>
      </w:r>
      <w:r>
        <w:rPr>
          <w:rFonts w:hint="eastAsia" w:ascii="楷体_GB2312" w:hAnsi="宋体" w:eastAsia="楷体_GB2312"/>
          <w:color w:val="000000"/>
          <w:sz w:val="24"/>
          <w:highlight w:val="none"/>
          <w:lang w:val="en-US" w:eastAsia="zh-CN"/>
        </w:rPr>
        <w:t>本理财</w:t>
      </w:r>
      <w:r>
        <w:rPr>
          <w:rFonts w:hint="eastAsia" w:ascii="楷体_GB2312" w:hAnsi="宋体" w:eastAsia="楷体_GB2312"/>
          <w:color w:val="000000"/>
          <w:sz w:val="24"/>
          <w:highlight w:val="none"/>
        </w:rPr>
        <w:t>产品募集规模上限；</w:t>
      </w:r>
    </w:p>
    <w:p>
      <w:pPr>
        <w:ind w:firstLine="480" w:firstLineChars="200"/>
        <w:rPr>
          <w:rFonts w:ascii="楷体_GB2312" w:hAnsi="宋体" w:eastAsia="楷体_GB2312"/>
          <w:color w:val="000000"/>
          <w:sz w:val="24"/>
          <w:highlight w:val="none"/>
        </w:rPr>
      </w:pPr>
      <w:r>
        <w:rPr>
          <w:rFonts w:hint="eastAsia" w:ascii="楷体_GB2312" w:hAnsi="宋体" w:eastAsia="楷体_GB2312"/>
          <w:color w:val="000000"/>
          <w:sz w:val="24"/>
          <w:highlight w:val="none"/>
          <w:lang w:val="en-US" w:eastAsia="zh-CN"/>
        </w:rPr>
        <w:t>4</w:t>
      </w:r>
      <w:r>
        <w:rPr>
          <w:rFonts w:hint="eastAsia" w:ascii="楷体_GB2312" w:hAnsi="宋体" w:eastAsia="楷体_GB2312"/>
          <w:color w:val="000000"/>
          <w:sz w:val="24"/>
          <w:highlight w:val="none"/>
        </w:rPr>
        <w:t>.投资者申购超过个人</w:t>
      </w:r>
      <w:r>
        <w:rPr>
          <w:rFonts w:ascii="楷体_GB2312" w:hAnsi="宋体" w:eastAsia="楷体_GB2312"/>
          <w:color w:val="000000"/>
          <w:sz w:val="24"/>
          <w:highlight w:val="none"/>
        </w:rPr>
        <w:t>/</w:t>
      </w:r>
      <w:r>
        <w:rPr>
          <w:rFonts w:hint="eastAsia" w:ascii="楷体_GB2312" w:hAnsi="宋体" w:eastAsia="楷体_GB2312"/>
          <w:color w:val="000000"/>
          <w:sz w:val="24"/>
          <w:highlight w:val="none"/>
        </w:rPr>
        <w:t>机构投资者持有上限；</w:t>
      </w:r>
    </w:p>
    <w:p>
      <w:pPr>
        <w:ind w:firstLine="480" w:firstLineChars="200"/>
        <w:rPr>
          <w:rFonts w:ascii="楷体_GB2312" w:hAnsi="宋体" w:eastAsia="楷体_GB2312"/>
          <w:color w:val="000000"/>
          <w:sz w:val="24"/>
          <w:highlight w:val="none"/>
        </w:rPr>
      </w:pPr>
      <w:r>
        <w:rPr>
          <w:rFonts w:hint="eastAsia" w:ascii="楷体_GB2312" w:hAnsi="宋体" w:eastAsia="楷体_GB2312"/>
          <w:color w:val="000000"/>
          <w:sz w:val="24"/>
          <w:highlight w:val="none"/>
          <w:lang w:val="en-US" w:eastAsia="zh-CN"/>
        </w:rPr>
        <w:t>5</w:t>
      </w:r>
      <w:r>
        <w:rPr>
          <w:rFonts w:hint="eastAsia" w:ascii="楷体_GB2312" w:hAnsi="宋体" w:eastAsia="楷体_GB2312"/>
          <w:color w:val="000000"/>
          <w:sz w:val="24"/>
          <w:highlight w:val="none"/>
        </w:rPr>
        <w:t>.</w:t>
      </w:r>
      <w:r>
        <w:rPr>
          <w:rFonts w:hint="eastAsia" w:ascii="楷体_GB2312" w:hAnsi="宋体" w:eastAsia="楷体_GB2312"/>
          <w:color w:val="000000"/>
          <w:sz w:val="24"/>
          <w:highlight w:val="none"/>
          <w:lang w:val="en-US" w:eastAsia="zh-CN"/>
        </w:rPr>
        <w:t>本理财</w:t>
      </w:r>
      <w:r>
        <w:rPr>
          <w:rFonts w:hint="eastAsia" w:ascii="楷体_GB2312" w:hAnsi="宋体" w:eastAsia="楷体_GB2312"/>
          <w:color w:val="000000"/>
          <w:sz w:val="24"/>
          <w:highlight w:val="none"/>
        </w:rPr>
        <w:t>产品资产规模过大，</w:t>
      </w:r>
      <w:r>
        <w:rPr>
          <w:rFonts w:hint="eastAsia" w:ascii="楷体_GB2312" w:hAnsi="宋体" w:eastAsia="楷体_GB2312"/>
          <w:color w:val="000000"/>
          <w:sz w:val="24"/>
          <w:highlight w:val="none"/>
          <w:lang w:eastAsia="zh-CN"/>
        </w:rPr>
        <w:t>产品管理人</w:t>
      </w:r>
      <w:r>
        <w:rPr>
          <w:rFonts w:hint="eastAsia" w:ascii="楷体_GB2312" w:hAnsi="宋体" w:eastAsia="楷体_GB2312"/>
          <w:color w:val="000000"/>
          <w:sz w:val="24"/>
          <w:highlight w:val="none"/>
        </w:rPr>
        <w:t>无法找到合适的投资品种，或继续接受申购可能对</w:t>
      </w:r>
      <w:r>
        <w:rPr>
          <w:rFonts w:hint="eastAsia" w:ascii="楷体_GB2312" w:hAnsi="宋体" w:eastAsia="楷体_GB2312"/>
          <w:color w:val="000000"/>
          <w:sz w:val="24"/>
          <w:highlight w:val="none"/>
          <w:lang w:val="en-US" w:eastAsia="zh-CN"/>
        </w:rPr>
        <w:t>本理财产品的</w:t>
      </w:r>
      <w:r>
        <w:rPr>
          <w:rFonts w:hint="eastAsia" w:ascii="楷体_GB2312" w:hAnsi="宋体" w:eastAsia="楷体_GB2312"/>
          <w:color w:val="000000"/>
          <w:sz w:val="24"/>
          <w:highlight w:val="none"/>
        </w:rPr>
        <w:t>业绩产生负面影响，从而损害现有产品份额持有人利益；</w:t>
      </w:r>
    </w:p>
    <w:p>
      <w:pPr>
        <w:ind w:firstLine="480" w:firstLineChars="200"/>
        <w:rPr>
          <w:rFonts w:ascii="楷体_GB2312" w:hAnsi="宋体" w:eastAsia="楷体_GB2312"/>
          <w:color w:val="000000"/>
          <w:sz w:val="24"/>
          <w:highlight w:val="none"/>
        </w:rPr>
      </w:pPr>
      <w:r>
        <w:rPr>
          <w:rFonts w:hint="eastAsia" w:ascii="楷体_GB2312" w:hAnsi="宋体" w:eastAsia="楷体_GB2312"/>
          <w:color w:val="000000"/>
          <w:sz w:val="24"/>
          <w:highlight w:val="none"/>
          <w:lang w:val="en-US" w:eastAsia="zh-CN"/>
        </w:rPr>
        <w:t>6</w:t>
      </w:r>
      <w:r>
        <w:rPr>
          <w:rFonts w:hint="eastAsia" w:ascii="楷体_GB2312" w:hAnsi="宋体" w:eastAsia="楷体_GB2312"/>
          <w:color w:val="000000"/>
          <w:sz w:val="24"/>
          <w:highlight w:val="none"/>
        </w:rPr>
        <w:t>.当</w:t>
      </w:r>
      <w:r>
        <w:rPr>
          <w:rFonts w:hint="eastAsia" w:ascii="楷体_GB2312" w:hAnsi="宋体" w:eastAsia="楷体_GB2312"/>
          <w:color w:val="000000"/>
          <w:sz w:val="24"/>
          <w:highlight w:val="none"/>
          <w:lang w:eastAsia="zh-CN"/>
        </w:rPr>
        <w:t>产品管理人</w:t>
      </w:r>
      <w:r>
        <w:rPr>
          <w:rFonts w:hint="eastAsia" w:ascii="楷体_GB2312" w:hAnsi="宋体" w:eastAsia="楷体_GB2312"/>
          <w:color w:val="000000"/>
          <w:sz w:val="24"/>
          <w:highlight w:val="none"/>
        </w:rPr>
        <w:t>认为接受申购申请可能对</w:t>
      </w:r>
      <w:r>
        <w:rPr>
          <w:rFonts w:hint="eastAsia" w:ascii="楷体_GB2312" w:hAnsi="宋体" w:eastAsia="楷体_GB2312"/>
          <w:color w:val="000000"/>
          <w:sz w:val="24"/>
          <w:highlight w:val="none"/>
          <w:lang w:val="en-US" w:eastAsia="zh-CN"/>
        </w:rPr>
        <w:t>本</w:t>
      </w:r>
      <w:r>
        <w:rPr>
          <w:rFonts w:hint="eastAsia" w:ascii="楷体_GB2312" w:hAnsi="宋体" w:eastAsia="楷体_GB2312"/>
          <w:color w:val="000000"/>
          <w:sz w:val="24"/>
          <w:highlight w:val="none"/>
        </w:rPr>
        <w:t>理财产品存量投资者利益构成重大不利影响时，或者基于投资运作与风险控制需要；</w:t>
      </w:r>
    </w:p>
    <w:p>
      <w:pPr>
        <w:ind w:firstLine="480" w:firstLineChars="200"/>
        <w:rPr>
          <w:rFonts w:ascii="楷体_GB2312" w:hAnsi="宋体" w:eastAsia="楷体_GB2312"/>
          <w:color w:val="000000"/>
          <w:sz w:val="24"/>
          <w:highlight w:val="none"/>
        </w:rPr>
      </w:pPr>
      <w:bookmarkStart w:id="2" w:name="_Hlk146069622"/>
      <w:r>
        <w:rPr>
          <w:rFonts w:hint="eastAsia" w:ascii="楷体_GB2312" w:hAnsi="宋体" w:eastAsia="楷体_GB2312"/>
          <w:color w:val="000000"/>
          <w:sz w:val="24"/>
          <w:highlight w:val="none"/>
          <w:lang w:val="en-US" w:eastAsia="zh-CN"/>
        </w:rPr>
        <w:t>7</w:t>
      </w:r>
      <w:r>
        <w:rPr>
          <w:rFonts w:ascii="楷体_GB2312" w:hAnsi="宋体" w:eastAsia="楷体_GB2312"/>
          <w:color w:val="000000"/>
          <w:sz w:val="24"/>
          <w:highlight w:val="none"/>
        </w:rPr>
        <w:t>.</w:t>
      </w:r>
      <w:r>
        <w:rPr>
          <w:rFonts w:hint="eastAsia" w:ascii="楷体_GB2312" w:hAnsi="宋体" w:eastAsia="楷体_GB2312"/>
          <w:color w:val="000000"/>
          <w:sz w:val="24"/>
          <w:highlight w:val="none"/>
        </w:rPr>
        <w:t>本理财产品不允许单一投资者持有份额超过本理财产品总份额的50%</w:t>
      </w:r>
      <w:r>
        <w:rPr>
          <w:rFonts w:hint="eastAsia" w:ascii="楷体_GB2312" w:hAnsi="宋体" w:eastAsia="楷体_GB2312"/>
          <w:color w:val="000000"/>
          <w:sz w:val="24"/>
          <w:highlight w:val="none"/>
          <w:lang w:eastAsia="zh-CN"/>
        </w:rPr>
        <w:t>，</w:t>
      </w:r>
      <w:r>
        <w:rPr>
          <w:rFonts w:hint="eastAsia" w:ascii="楷体_GB2312" w:hAnsi="宋体" w:eastAsia="楷体_GB2312"/>
          <w:color w:val="000000"/>
          <w:sz w:val="24"/>
          <w:highlight w:val="none"/>
        </w:rPr>
        <w:t>非因</w:t>
      </w:r>
      <w:r>
        <w:rPr>
          <w:rFonts w:hint="eastAsia" w:ascii="楷体_GB2312" w:hAnsi="宋体" w:eastAsia="楷体_GB2312"/>
          <w:color w:val="000000"/>
          <w:sz w:val="24"/>
          <w:highlight w:val="none"/>
          <w:lang w:eastAsia="zh-CN"/>
        </w:rPr>
        <w:t>产品</w:t>
      </w:r>
      <w:r>
        <w:rPr>
          <w:rFonts w:hint="eastAsia" w:ascii="楷体_GB2312" w:hAnsi="宋体" w:eastAsia="楷体_GB2312"/>
          <w:color w:val="000000"/>
          <w:sz w:val="24"/>
          <w:highlight w:val="none"/>
          <w:lang w:val="en-US" w:eastAsia="zh-CN"/>
        </w:rPr>
        <w:t>管理人</w:t>
      </w:r>
      <w:r>
        <w:rPr>
          <w:rFonts w:hint="eastAsia" w:ascii="楷体_GB2312" w:hAnsi="宋体" w:eastAsia="楷体_GB2312"/>
          <w:color w:val="000000"/>
          <w:sz w:val="24"/>
          <w:highlight w:val="none"/>
        </w:rPr>
        <w:t>主观因素导致突破前款规定比例限制的，在单一投资者持有比例降至50%以下之前，</w:t>
      </w:r>
      <w:r>
        <w:rPr>
          <w:rFonts w:hint="eastAsia" w:ascii="楷体_GB2312" w:hAnsi="宋体" w:eastAsia="楷体_GB2312"/>
          <w:color w:val="000000"/>
          <w:sz w:val="24"/>
          <w:highlight w:val="none"/>
          <w:lang w:eastAsia="zh-CN"/>
        </w:rPr>
        <w:t>产品</w:t>
      </w:r>
      <w:r>
        <w:rPr>
          <w:rFonts w:hint="eastAsia" w:ascii="楷体_GB2312" w:hAnsi="宋体" w:eastAsia="楷体_GB2312"/>
          <w:color w:val="000000"/>
          <w:sz w:val="24"/>
          <w:highlight w:val="none"/>
          <w:lang w:val="en-US" w:eastAsia="zh-CN"/>
        </w:rPr>
        <w:t>管理人</w:t>
      </w:r>
      <w:r>
        <w:rPr>
          <w:rFonts w:hint="eastAsia" w:ascii="楷体_GB2312" w:hAnsi="宋体" w:eastAsia="楷体_GB2312"/>
          <w:color w:val="000000"/>
          <w:sz w:val="24"/>
          <w:highlight w:val="none"/>
        </w:rPr>
        <w:t>不得再接受该投资者对</w:t>
      </w:r>
      <w:r>
        <w:rPr>
          <w:rFonts w:hint="eastAsia" w:ascii="楷体_GB2312" w:hAnsi="宋体" w:eastAsia="楷体_GB2312"/>
          <w:color w:val="000000"/>
          <w:sz w:val="24"/>
          <w:highlight w:val="none"/>
          <w:lang w:val="en-US" w:eastAsia="zh-CN"/>
        </w:rPr>
        <w:t>本</w:t>
      </w:r>
      <w:r>
        <w:rPr>
          <w:rFonts w:hint="eastAsia" w:ascii="楷体_GB2312" w:hAnsi="宋体" w:eastAsia="楷体_GB2312"/>
          <w:color w:val="000000"/>
          <w:sz w:val="24"/>
          <w:highlight w:val="none"/>
        </w:rPr>
        <w:t>理财产品的</w:t>
      </w:r>
      <w:r>
        <w:rPr>
          <w:rFonts w:hint="eastAsia" w:ascii="楷体_GB2312" w:hAnsi="宋体" w:eastAsia="楷体_GB2312"/>
          <w:color w:val="000000"/>
          <w:sz w:val="24"/>
          <w:highlight w:val="none"/>
          <w:lang w:val="en-US" w:eastAsia="zh-CN"/>
        </w:rPr>
        <w:t>申购</w:t>
      </w:r>
      <w:r>
        <w:rPr>
          <w:rFonts w:hint="eastAsia" w:ascii="楷体_GB2312" w:hAnsi="宋体" w:eastAsia="楷体_GB2312"/>
          <w:color w:val="000000"/>
          <w:sz w:val="24"/>
          <w:highlight w:val="none"/>
        </w:rPr>
        <w:t>申请。</w:t>
      </w:r>
    </w:p>
    <w:p>
      <w:pPr>
        <w:ind w:firstLine="480" w:firstLineChars="200"/>
        <w:rPr>
          <w:rFonts w:ascii="楷体_GB2312" w:hAnsi="宋体" w:eastAsia="楷体_GB2312"/>
          <w:color w:val="000000"/>
          <w:sz w:val="24"/>
          <w:highlight w:val="none"/>
        </w:rPr>
      </w:pPr>
      <w:r>
        <w:rPr>
          <w:rFonts w:hint="eastAsia" w:ascii="楷体_GB2312" w:hAnsi="宋体" w:eastAsia="楷体_GB2312"/>
          <w:color w:val="000000"/>
          <w:sz w:val="24"/>
          <w:highlight w:val="none"/>
          <w:lang w:val="en-US" w:eastAsia="zh-CN"/>
        </w:rPr>
        <w:t>8.本理财产品在</w:t>
      </w:r>
      <w:r>
        <w:rPr>
          <w:rFonts w:hint="eastAsia" w:ascii="楷体_GB2312" w:hAnsi="宋体" w:eastAsia="楷体_GB2312"/>
          <w:color w:val="000000"/>
          <w:sz w:val="24"/>
          <w:highlight w:val="none"/>
        </w:rPr>
        <w:t>前一估值日</w:t>
      </w:r>
      <w:r>
        <w:rPr>
          <w:rFonts w:hint="eastAsia" w:ascii="楷体_GB2312" w:hAnsi="宋体" w:eastAsia="楷体_GB2312"/>
          <w:color w:val="000000"/>
          <w:sz w:val="24"/>
          <w:highlight w:val="none"/>
          <w:lang w:val="en-US" w:eastAsia="zh-CN"/>
        </w:rPr>
        <w:t>内，</w:t>
      </w:r>
      <w:r>
        <w:rPr>
          <w:rFonts w:hint="eastAsia" w:ascii="楷体_GB2312" w:hAnsi="宋体" w:eastAsia="楷体_GB2312"/>
          <w:color w:val="000000"/>
          <w:sz w:val="24"/>
          <w:highlight w:val="none"/>
        </w:rPr>
        <w:t>产品资产净值50%以上的资产不具备活跃交易市场或者在活跃市场中无报价</w:t>
      </w:r>
      <w:r>
        <w:rPr>
          <w:rFonts w:hint="eastAsia" w:ascii="楷体_GB2312" w:hAnsi="宋体" w:eastAsia="楷体_GB2312"/>
          <w:color w:val="000000"/>
          <w:sz w:val="24"/>
          <w:highlight w:val="none"/>
          <w:lang w:eastAsia="zh-CN"/>
        </w:rPr>
        <w:t>，</w:t>
      </w:r>
      <w:r>
        <w:rPr>
          <w:rFonts w:hint="eastAsia" w:ascii="楷体_GB2312" w:hAnsi="宋体" w:eastAsia="楷体_GB2312"/>
          <w:color w:val="000000"/>
          <w:sz w:val="24"/>
          <w:highlight w:val="none"/>
        </w:rPr>
        <w:t>且不能采用估值技术可靠计量公允价值时；</w:t>
      </w:r>
    </w:p>
    <w:p>
      <w:pPr>
        <w:ind w:firstLine="480" w:firstLineChars="200"/>
        <w:rPr>
          <w:rFonts w:ascii="楷体_GB2312" w:hAnsi="宋体" w:eastAsia="楷体_GB2312"/>
          <w:color w:val="000000"/>
          <w:sz w:val="24"/>
          <w:highlight w:val="none"/>
        </w:rPr>
      </w:pPr>
      <w:r>
        <w:rPr>
          <w:rFonts w:hint="eastAsia" w:ascii="楷体_GB2312" w:hAnsi="宋体" w:eastAsia="楷体_GB2312"/>
          <w:color w:val="000000"/>
          <w:sz w:val="24"/>
          <w:highlight w:val="none"/>
          <w:lang w:val="en-US" w:eastAsia="zh-CN"/>
        </w:rPr>
        <w:t>9</w:t>
      </w:r>
      <w:r>
        <w:rPr>
          <w:rFonts w:ascii="楷体_GB2312" w:hAnsi="宋体" w:eastAsia="楷体_GB2312"/>
          <w:color w:val="000000"/>
          <w:sz w:val="24"/>
          <w:highlight w:val="none"/>
        </w:rPr>
        <w:t>.</w:t>
      </w:r>
      <w:bookmarkEnd w:id="2"/>
      <w:r>
        <w:rPr>
          <w:rFonts w:hint="eastAsia" w:ascii="楷体_GB2312" w:hAnsi="宋体" w:eastAsia="楷体_GB2312"/>
          <w:color w:val="000000"/>
          <w:sz w:val="24"/>
          <w:highlight w:val="none"/>
        </w:rPr>
        <w:t>法律法规规定或本理财产品销售文件约定的其他情形。</w:t>
      </w:r>
    </w:p>
    <w:p>
      <w:pPr>
        <w:ind w:firstLine="480" w:firstLineChars="200"/>
        <w:rPr>
          <w:rFonts w:ascii="楷体_GB2312" w:hAnsi="宋体" w:eastAsia="楷体_GB2312"/>
          <w:color w:val="000000"/>
          <w:sz w:val="24"/>
          <w:highlight w:val="none"/>
        </w:rPr>
      </w:pPr>
      <w:r>
        <w:rPr>
          <w:rFonts w:hint="eastAsia" w:ascii="楷体_GB2312" w:hAnsi="楷体" w:eastAsia="楷体_GB2312"/>
          <w:sz w:val="24"/>
          <w:highlight w:val="none"/>
        </w:rPr>
        <w:t>★</w:t>
      </w:r>
      <w:r>
        <w:rPr>
          <w:rFonts w:ascii="楷体_GB2312" w:hAnsi="宋体" w:eastAsia="楷体_GB2312"/>
          <w:color w:val="000000"/>
          <w:sz w:val="24"/>
          <w:highlight w:val="none"/>
        </w:rPr>
        <w:t>（六）</w:t>
      </w:r>
      <w:r>
        <w:rPr>
          <w:rFonts w:hint="eastAsia" w:ascii="楷体_GB2312" w:hAnsi="宋体" w:eastAsia="楷体_GB2312"/>
          <w:color w:val="000000"/>
          <w:sz w:val="24"/>
          <w:highlight w:val="none"/>
        </w:rPr>
        <w:t>拒绝或暂停赎回</w:t>
      </w:r>
    </w:p>
    <w:p>
      <w:pPr>
        <w:ind w:firstLine="480" w:firstLineChars="200"/>
        <w:rPr>
          <w:rFonts w:ascii="楷体_GB2312" w:hAnsi="宋体" w:eastAsia="楷体_GB2312"/>
          <w:color w:val="000000"/>
          <w:sz w:val="24"/>
          <w:highlight w:val="none"/>
        </w:rPr>
      </w:pPr>
      <w:r>
        <w:rPr>
          <w:rFonts w:hint="eastAsia" w:ascii="楷体_GB2312" w:hAnsi="宋体" w:eastAsia="楷体_GB2312"/>
          <w:color w:val="000000"/>
          <w:sz w:val="24"/>
          <w:highlight w:val="none"/>
        </w:rPr>
        <w:t>当出现下列情形时，</w:t>
      </w:r>
      <w:r>
        <w:rPr>
          <w:rFonts w:hint="eastAsia" w:ascii="楷体_GB2312" w:hAnsi="宋体" w:eastAsia="楷体_GB2312"/>
          <w:color w:val="000000"/>
          <w:sz w:val="24"/>
          <w:highlight w:val="none"/>
          <w:lang w:eastAsia="zh-CN"/>
        </w:rPr>
        <w:t>产品管理人</w:t>
      </w:r>
      <w:r>
        <w:rPr>
          <w:rFonts w:hint="eastAsia" w:ascii="楷体_GB2312" w:hAnsi="宋体" w:eastAsia="楷体_GB2312"/>
          <w:color w:val="000000"/>
          <w:sz w:val="24"/>
          <w:highlight w:val="none"/>
        </w:rPr>
        <w:t>有权</w:t>
      </w:r>
      <w:r>
        <w:rPr>
          <w:rFonts w:hint="eastAsia" w:ascii="楷体_GB2312" w:hAnsi="宋体" w:eastAsia="楷体_GB2312"/>
          <w:color w:val="000000"/>
          <w:sz w:val="24"/>
          <w:highlight w:val="none"/>
          <w:lang w:val="en-US" w:eastAsia="zh-CN"/>
        </w:rPr>
        <w:t>选择</w:t>
      </w:r>
      <w:r>
        <w:rPr>
          <w:rFonts w:hint="eastAsia" w:ascii="楷体_GB2312" w:hAnsi="宋体" w:eastAsia="楷体_GB2312"/>
          <w:color w:val="000000"/>
          <w:sz w:val="24"/>
          <w:highlight w:val="none"/>
        </w:rPr>
        <w:t>拒绝接受或暂停接受投资者的赎回申请：</w:t>
      </w:r>
    </w:p>
    <w:p>
      <w:pPr>
        <w:ind w:firstLine="480" w:firstLineChars="200"/>
        <w:rPr>
          <w:rFonts w:ascii="楷体_GB2312" w:hAnsi="宋体" w:eastAsia="楷体_GB2312"/>
          <w:color w:val="000000"/>
          <w:sz w:val="24"/>
          <w:highlight w:val="none"/>
        </w:rPr>
      </w:pPr>
      <w:r>
        <w:rPr>
          <w:rFonts w:hint="eastAsia" w:ascii="楷体_GB2312" w:hAnsi="宋体" w:eastAsia="楷体_GB2312"/>
          <w:color w:val="000000"/>
          <w:sz w:val="24"/>
          <w:highlight w:val="none"/>
        </w:rPr>
        <w:t>1.因不可抗力</w:t>
      </w:r>
      <w:r>
        <w:rPr>
          <w:rFonts w:hint="eastAsia" w:ascii="楷体_GB2312" w:hAnsi="宋体" w:eastAsia="楷体_GB2312"/>
          <w:color w:val="000000"/>
          <w:sz w:val="24"/>
          <w:highlight w:val="none"/>
          <w:lang w:val="en-US" w:eastAsia="zh-CN"/>
        </w:rPr>
        <w:t>及/或意外事件</w:t>
      </w:r>
      <w:r>
        <w:rPr>
          <w:rFonts w:hint="eastAsia" w:ascii="楷体_GB2312" w:hAnsi="宋体" w:eastAsia="楷体_GB2312"/>
          <w:color w:val="000000"/>
          <w:sz w:val="24"/>
          <w:highlight w:val="none"/>
        </w:rPr>
        <w:t>等原因导致</w:t>
      </w:r>
      <w:r>
        <w:rPr>
          <w:rFonts w:hint="eastAsia" w:ascii="楷体_GB2312" w:hAnsi="宋体" w:eastAsia="楷体_GB2312"/>
          <w:color w:val="000000"/>
          <w:sz w:val="24"/>
          <w:highlight w:val="none"/>
          <w:lang w:eastAsia="zh-CN"/>
        </w:rPr>
        <w:t>产品管理人</w:t>
      </w:r>
      <w:r>
        <w:rPr>
          <w:rFonts w:hint="eastAsia" w:ascii="楷体_GB2312" w:hAnsi="宋体" w:eastAsia="楷体_GB2312"/>
          <w:color w:val="000000"/>
          <w:sz w:val="24"/>
          <w:highlight w:val="none"/>
        </w:rPr>
        <w:t>无法正常运作或不能按时支付赎回款项；</w:t>
      </w:r>
    </w:p>
    <w:p>
      <w:pPr>
        <w:ind w:firstLine="480" w:firstLineChars="200"/>
        <w:rPr>
          <w:rFonts w:hint="eastAsia" w:ascii="楷体_GB2312" w:hAnsi="仿宋" w:eastAsia="楷体_GB2312"/>
          <w:color w:val="000000"/>
          <w:sz w:val="24"/>
          <w:highlight w:val="none"/>
        </w:rPr>
      </w:pPr>
      <w:r>
        <w:rPr>
          <w:rFonts w:hint="eastAsia" w:ascii="楷体_GB2312" w:hAnsi="宋体" w:eastAsia="楷体_GB2312"/>
          <w:color w:val="000000"/>
          <w:sz w:val="24"/>
          <w:highlight w:val="none"/>
        </w:rPr>
        <w:t>2.</w:t>
      </w:r>
      <w:r>
        <w:rPr>
          <w:rFonts w:hint="eastAsia" w:ascii="楷体_GB2312" w:hAnsi="仿宋" w:eastAsia="楷体_GB2312"/>
          <w:color w:val="000000"/>
          <w:sz w:val="24"/>
          <w:highlight w:val="none"/>
        </w:rPr>
        <w:t>证券交易场所依法决定临时停市，导致</w:t>
      </w:r>
      <w:r>
        <w:rPr>
          <w:rFonts w:hint="eastAsia" w:ascii="楷体_GB2312" w:hAnsi="仿宋" w:eastAsia="楷体_GB2312"/>
          <w:color w:val="000000"/>
          <w:sz w:val="24"/>
          <w:highlight w:val="none"/>
          <w:lang w:val="en-US" w:eastAsia="zh-CN"/>
        </w:rPr>
        <w:t>产品</w:t>
      </w:r>
      <w:r>
        <w:rPr>
          <w:rFonts w:hint="eastAsia" w:ascii="楷体_GB2312" w:hAnsi="仿宋" w:eastAsia="楷体_GB2312"/>
          <w:color w:val="000000"/>
          <w:sz w:val="24"/>
          <w:highlight w:val="none"/>
        </w:rPr>
        <w:t>管理人无法计算当日产品资产净值；</w:t>
      </w:r>
    </w:p>
    <w:p>
      <w:pPr>
        <w:ind w:firstLine="480" w:firstLineChars="200"/>
        <w:rPr>
          <w:rFonts w:hint="eastAsia" w:ascii="楷体_GB2312" w:hAnsi="宋体" w:eastAsia="楷体_GB2312"/>
          <w:color w:val="000000"/>
          <w:sz w:val="24"/>
          <w:highlight w:val="none"/>
          <w:lang w:eastAsia="zh-CN"/>
        </w:rPr>
      </w:pPr>
      <w:r>
        <w:rPr>
          <w:rFonts w:hint="eastAsia" w:ascii="楷体_GB2312" w:hAnsi="仿宋" w:eastAsia="楷体_GB2312"/>
          <w:color w:val="000000"/>
          <w:sz w:val="24"/>
          <w:highlight w:val="none"/>
          <w:lang w:val="en-US" w:eastAsia="zh-CN"/>
        </w:rPr>
        <w:t>3.发生巨额赎回时，</w:t>
      </w:r>
      <w:r>
        <w:rPr>
          <w:rFonts w:hint="eastAsia" w:ascii="楷体_GB2312" w:hAnsi="宋体" w:eastAsia="楷体_GB2312"/>
          <w:color w:val="000000"/>
          <w:sz w:val="24"/>
          <w:highlight w:val="none"/>
        </w:rPr>
        <w:t>产品管理人在赎回确认日当日办理的赎回份额不低于前一日终本理财产品总份额的10%的前提下，有权暂停接受其余赎回申请</w:t>
      </w:r>
      <w:r>
        <w:rPr>
          <w:rFonts w:hint="eastAsia" w:ascii="楷体_GB2312" w:hAnsi="宋体" w:eastAsia="楷体_GB2312"/>
          <w:color w:val="000000"/>
          <w:sz w:val="24"/>
          <w:highlight w:val="none"/>
          <w:lang w:eastAsia="zh-CN"/>
        </w:rPr>
        <w:t>；</w:t>
      </w:r>
    </w:p>
    <w:p>
      <w:pPr>
        <w:ind w:firstLine="480" w:firstLineChars="200"/>
        <w:rPr>
          <w:rFonts w:hint="eastAsia" w:ascii="楷体_GB2312" w:hAnsi="宋体" w:eastAsia="楷体_GB2312"/>
          <w:color w:val="000000"/>
          <w:sz w:val="24"/>
          <w:highlight w:val="none"/>
        </w:rPr>
      </w:pPr>
      <w:r>
        <w:rPr>
          <w:rFonts w:hint="eastAsia" w:ascii="楷体_GB2312" w:hAnsi="宋体" w:eastAsia="楷体_GB2312"/>
          <w:color w:val="000000"/>
          <w:sz w:val="24"/>
          <w:highlight w:val="none"/>
          <w:lang w:val="en-US" w:eastAsia="zh-CN"/>
        </w:rPr>
        <w:t>4.</w:t>
      </w:r>
      <w:r>
        <w:rPr>
          <w:rFonts w:hint="eastAsia" w:ascii="楷体_GB2312" w:hAnsi="宋体" w:eastAsia="楷体_GB2312"/>
          <w:color w:val="000000"/>
          <w:sz w:val="24"/>
          <w:highlight w:val="none"/>
        </w:rPr>
        <w:t>本</w:t>
      </w:r>
      <w:r>
        <w:rPr>
          <w:rFonts w:hint="eastAsia" w:ascii="楷体_GB2312" w:hAnsi="宋体" w:eastAsia="楷体_GB2312"/>
          <w:color w:val="000000"/>
          <w:sz w:val="24"/>
          <w:highlight w:val="none"/>
          <w:lang w:val="en-US" w:eastAsia="zh-CN"/>
        </w:rPr>
        <w:t>理财</w:t>
      </w:r>
      <w:r>
        <w:rPr>
          <w:rFonts w:hint="eastAsia" w:ascii="楷体_GB2312" w:hAnsi="宋体" w:eastAsia="楷体_GB2312"/>
          <w:color w:val="000000"/>
          <w:sz w:val="24"/>
          <w:highlight w:val="none"/>
        </w:rPr>
        <w:t>产品连续2个</w:t>
      </w:r>
      <w:r>
        <w:rPr>
          <w:rFonts w:hint="eastAsia" w:ascii="楷体_GB2312" w:hAnsi="宋体" w:eastAsia="楷体_GB2312"/>
          <w:color w:val="000000"/>
          <w:sz w:val="24"/>
          <w:highlight w:val="none"/>
          <w:lang w:val="en-US" w:eastAsia="zh-CN"/>
        </w:rPr>
        <w:t>及以上</w:t>
      </w:r>
      <w:r>
        <w:rPr>
          <w:rFonts w:hint="eastAsia" w:ascii="楷体_GB2312" w:hAnsi="宋体" w:eastAsia="楷体_GB2312"/>
          <w:color w:val="000000"/>
          <w:sz w:val="24"/>
          <w:highlight w:val="none"/>
        </w:rPr>
        <w:t>开放日发生巨额赎回；</w:t>
      </w:r>
    </w:p>
    <w:p>
      <w:pPr>
        <w:pStyle w:val="2"/>
        <w:ind w:left="0" w:leftChars="0" w:firstLine="480" w:firstLineChars="200"/>
        <w:rPr>
          <w:highlight w:val="none"/>
        </w:rPr>
      </w:pPr>
      <w:r>
        <w:rPr>
          <w:rFonts w:hint="eastAsia" w:ascii="楷体_GB2312" w:hAnsi="宋体" w:eastAsia="楷体_GB2312"/>
          <w:color w:val="000000"/>
          <w:sz w:val="24"/>
          <w:highlight w:val="none"/>
          <w:lang w:val="en-US" w:eastAsia="zh-CN"/>
        </w:rPr>
        <w:t>5.本理财产品在</w:t>
      </w:r>
      <w:r>
        <w:rPr>
          <w:rFonts w:hint="eastAsia" w:ascii="楷体_GB2312" w:hAnsi="宋体" w:eastAsia="楷体_GB2312"/>
          <w:color w:val="000000"/>
          <w:sz w:val="24"/>
          <w:highlight w:val="none"/>
        </w:rPr>
        <w:t>前一估值日</w:t>
      </w:r>
      <w:r>
        <w:rPr>
          <w:rFonts w:hint="eastAsia" w:ascii="楷体_GB2312" w:hAnsi="宋体" w:eastAsia="楷体_GB2312"/>
          <w:color w:val="000000"/>
          <w:sz w:val="24"/>
          <w:highlight w:val="none"/>
          <w:lang w:val="en-US" w:eastAsia="zh-CN"/>
        </w:rPr>
        <w:t>内，</w:t>
      </w:r>
      <w:r>
        <w:rPr>
          <w:rFonts w:hint="eastAsia" w:ascii="楷体_GB2312" w:hAnsi="宋体" w:eastAsia="楷体_GB2312"/>
          <w:color w:val="000000"/>
          <w:sz w:val="24"/>
          <w:highlight w:val="none"/>
        </w:rPr>
        <w:t>产品资产净值50%以上的资产不具备活跃交易市场或者在活跃市场中无报价</w:t>
      </w:r>
      <w:r>
        <w:rPr>
          <w:rFonts w:hint="eastAsia" w:ascii="楷体_GB2312" w:hAnsi="宋体" w:eastAsia="楷体_GB2312"/>
          <w:color w:val="000000"/>
          <w:sz w:val="24"/>
          <w:highlight w:val="none"/>
          <w:lang w:eastAsia="zh-CN"/>
        </w:rPr>
        <w:t>，</w:t>
      </w:r>
      <w:r>
        <w:rPr>
          <w:rFonts w:hint="eastAsia" w:ascii="楷体_GB2312" w:hAnsi="宋体" w:eastAsia="楷体_GB2312"/>
          <w:color w:val="000000"/>
          <w:sz w:val="24"/>
          <w:highlight w:val="none"/>
        </w:rPr>
        <w:t>且不能采用估值技术可靠计量公允价值时；</w:t>
      </w:r>
    </w:p>
    <w:p>
      <w:pPr>
        <w:ind w:firstLine="480" w:firstLineChars="200"/>
        <w:rPr>
          <w:rFonts w:ascii="楷体_GB2312" w:hAnsi="宋体" w:eastAsia="楷体_GB2312"/>
          <w:color w:val="000000"/>
          <w:sz w:val="24"/>
          <w:highlight w:val="none"/>
        </w:rPr>
      </w:pPr>
      <w:r>
        <w:rPr>
          <w:rFonts w:hint="eastAsia" w:ascii="楷体_GB2312" w:hAnsi="宋体" w:eastAsia="楷体_GB2312"/>
          <w:color w:val="000000"/>
          <w:sz w:val="24"/>
          <w:highlight w:val="none"/>
          <w:lang w:val="en-US" w:eastAsia="zh-CN"/>
        </w:rPr>
        <w:t>6.</w:t>
      </w:r>
      <w:r>
        <w:rPr>
          <w:rFonts w:hint="eastAsia" w:ascii="楷体_GB2312" w:hAnsi="宋体" w:eastAsia="楷体_GB2312"/>
          <w:color w:val="000000"/>
          <w:sz w:val="24"/>
          <w:highlight w:val="none"/>
        </w:rPr>
        <w:t>当本理财产品每日确认且需当日支付的净赎回申请超过前一工作日本理财产品7个工作日可变现资产的可变现价值时；</w:t>
      </w:r>
    </w:p>
    <w:p>
      <w:pPr>
        <w:ind w:firstLine="480" w:firstLineChars="200"/>
        <w:rPr>
          <w:rFonts w:hint="eastAsia"/>
          <w:highlight w:val="none"/>
        </w:rPr>
      </w:pPr>
      <w:r>
        <w:rPr>
          <w:rFonts w:hint="eastAsia" w:ascii="楷体_GB2312" w:hAnsi="宋体" w:eastAsia="楷体_GB2312"/>
          <w:color w:val="000000"/>
          <w:sz w:val="24"/>
          <w:highlight w:val="none"/>
          <w:lang w:val="en-US" w:eastAsia="zh-CN"/>
        </w:rPr>
        <w:t>7.</w:t>
      </w:r>
      <w:r>
        <w:rPr>
          <w:rFonts w:hint="eastAsia" w:ascii="楷体_GB2312" w:hAnsi="宋体" w:eastAsia="楷体_GB2312"/>
          <w:color w:val="000000"/>
          <w:sz w:val="24"/>
          <w:highlight w:val="none"/>
          <w:lang w:eastAsia="zh-CN"/>
        </w:rPr>
        <w:t>产品管理人</w:t>
      </w:r>
      <w:r>
        <w:rPr>
          <w:rFonts w:hint="eastAsia" w:ascii="楷体_GB2312" w:hAnsi="宋体" w:eastAsia="楷体_GB2312"/>
          <w:color w:val="000000"/>
          <w:sz w:val="24"/>
          <w:highlight w:val="none"/>
        </w:rPr>
        <w:t>认为继续接受赎回可能对</w:t>
      </w:r>
      <w:r>
        <w:rPr>
          <w:rFonts w:hint="eastAsia" w:ascii="楷体_GB2312" w:hAnsi="宋体" w:eastAsia="楷体_GB2312"/>
          <w:color w:val="000000"/>
          <w:sz w:val="24"/>
          <w:highlight w:val="none"/>
          <w:lang w:val="en-US" w:eastAsia="zh-CN"/>
        </w:rPr>
        <w:t>本理财</w:t>
      </w:r>
      <w:r>
        <w:rPr>
          <w:rFonts w:hint="eastAsia" w:ascii="楷体_GB2312" w:hAnsi="宋体" w:eastAsia="楷体_GB2312"/>
          <w:color w:val="000000"/>
          <w:sz w:val="24"/>
          <w:highlight w:val="none"/>
        </w:rPr>
        <w:t>产品</w:t>
      </w:r>
      <w:r>
        <w:rPr>
          <w:rFonts w:hint="eastAsia" w:ascii="楷体_GB2312" w:hAnsi="宋体" w:eastAsia="楷体_GB2312"/>
          <w:color w:val="000000"/>
          <w:sz w:val="24"/>
          <w:highlight w:val="none"/>
          <w:lang w:val="en-US" w:eastAsia="zh-CN"/>
        </w:rPr>
        <w:t>的</w:t>
      </w:r>
      <w:r>
        <w:rPr>
          <w:rFonts w:hint="eastAsia" w:ascii="楷体_GB2312" w:hAnsi="宋体" w:eastAsia="楷体_GB2312"/>
          <w:color w:val="000000"/>
          <w:sz w:val="24"/>
          <w:highlight w:val="none"/>
        </w:rPr>
        <w:t>业绩产生较大负面影响的情形；</w:t>
      </w:r>
    </w:p>
    <w:p>
      <w:pPr>
        <w:ind w:firstLine="480" w:firstLineChars="200"/>
        <w:rPr>
          <w:rFonts w:hint="eastAsia" w:ascii="楷体_GB2312" w:hAnsi="宋体" w:eastAsia="楷体_GB2312"/>
          <w:color w:val="000000"/>
          <w:sz w:val="24"/>
          <w:highlight w:val="none"/>
        </w:rPr>
      </w:pPr>
      <w:r>
        <w:rPr>
          <w:rFonts w:hint="eastAsia" w:ascii="楷体_GB2312" w:hAnsi="宋体" w:eastAsia="楷体_GB2312"/>
          <w:color w:val="000000"/>
          <w:sz w:val="24"/>
          <w:highlight w:val="none"/>
          <w:lang w:val="en-US" w:eastAsia="zh-CN"/>
        </w:rPr>
        <w:t>8.</w:t>
      </w:r>
      <w:r>
        <w:rPr>
          <w:rFonts w:hint="eastAsia" w:ascii="楷体_GB2312" w:hAnsi="宋体" w:eastAsia="楷体_GB2312"/>
          <w:color w:val="000000"/>
          <w:sz w:val="24"/>
          <w:highlight w:val="none"/>
        </w:rPr>
        <w:t>法律法规规定或本理财产品销售文件约定的其</w:t>
      </w:r>
      <w:r>
        <w:rPr>
          <w:rFonts w:hint="eastAsia" w:ascii="楷体_GB2312" w:hAnsi="宋体" w:eastAsia="楷体_GB2312"/>
          <w:color w:val="000000"/>
          <w:sz w:val="24"/>
          <w:highlight w:val="none"/>
          <w:lang w:val="en-US" w:eastAsia="zh-CN"/>
        </w:rPr>
        <w:t>他</w:t>
      </w:r>
      <w:r>
        <w:rPr>
          <w:rFonts w:hint="eastAsia" w:ascii="楷体_GB2312" w:hAnsi="宋体" w:eastAsia="楷体_GB2312"/>
          <w:color w:val="000000"/>
          <w:sz w:val="24"/>
          <w:highlight w:val="none"/>
        </w:rPr>
        <w:t>情形。</w:t>
      </w:r>
    </w:p>
    <w:p>
      <w:pPr>
        <w:ind w:firstLine="480" w:firstLineChars="200"/>
        <w:rPr>
          <w:rFonts w:hint="eastAsia" w:ascii="楷体_GB2312" w:hAnsi="宋体" w:eastAsia="楷体_GB2312"/>
          <w:color w:val="000000"/>
          <w:sz w:val="24"/>
          <w:highlight w:val="none"/>
        </w:rPr>
      </w:pPr>
      <w:r>
        <w:rPr>
          <w:rFonts w:hint="eastAsia" w:ascii="楷体_GB2312" w:hAnsi="宋体" w:eastAsia="楷体_GB2312"/>
          <w:color w:val="000000"/>
          <w:sz w:val="24"/>
          <w:highlight w:val="none"/>
        </w:rPr>
        <w:t>★（七）延期办理赎回申请</w:t>
      </w:r>
    </w:p>
    <w:p>
      <w:pPr>
        <w:pStyle w:val="2"/>
        <w:ind w:left="0" w:leftChars="0" w:firstLine="480" w:firstLineChars="200"/>
        <w:rPr>
          <w:rFonts w:hint="eastAsia" w:eastAsia="楷体_GB2312"/>
          <w:highlight w:val="none"/>
          <w:lang w:eastAsia="zh-CN"/>
        </w:rPr>
      </w:pPr>
      <w:r>
        <w:rPr>
          <w:rFonts w:hint="eastAsia" w:ascii="楷体_GB2312" w:hAnsi="宋体" w:eastAsia="楷体_GB2312"/>
          <w:color w:val="000000"/>
          <w:sz w:val="24"/>
          <w:highlight w:val="none"/>
        </w:rPr>
        <w:t>当出现下列情形时，</w:t>
      </w:r>
      <w:r>
        <w:rPr>
          <w:rFonts w:hint="eastAsia" w:ascii="楷体_GB2312" w:hAnsi="宋体" w:eastAsia="楷体_GB2312"/>
          <w:color w:val="000000"/>
          <w:sz w:val="24"/>
          <w:highlight w:val="none"/>
          <w:lang w:eastAsia="zh-CN"/>
        </w:rPr>
        <w:t>产品管理人</w:t>
      </w:r>
      <w:r>
        <w:rPr>
          <w:rFonts w:hint="eastAsia" w:ascii="楷体_GB2312" w:hAnsi="宋体" w:eastAsia="楷体_GB2312"/>
          <w:color w:val="000000"/>
          <w:sz w:val="24"/>
          <w:highlight w:val="none"/>
        </w:rPr>
        <w:t>有权</w:t>
      </w:r>
      <w:r>
        <w:rPr>
          <w:rFonts w:hint="eastAsia" w:ascii="楷体_GB2312" w:hAnsi="宋体" w:eastAsia="楷体_GB2312"/>
          <w:color w:val="000000"/>
          <w:sz w:val="24"/>
          <w:highlight w:val="none"/>
          <w:lang w:val="en-US" w:eastAsia="zh-CN"/>
        </w:rPr>
        <w:t>选择</w:t>
      </w:r>
      <w:r>
        <w:rPr>
          <w:rFonts w:hint="eastAsia" w:ascii="楷体_GB2312" w:hAnsi="宋体" w:eastAsia="楷体_GB2312"/>
          <w:color w:val="000000"/>
          <w:sz w:val="24"/>
          <w:highlight w:val="none"/>
        </w:rPr>
        <w:t>延期办理赎回申请</w:t>
      </w:r>
      <w:r>
        <w:rPr>
          <w:rFonts w:hint="eastAsia" w:ascii="楷体_GB2312" w:hAnsi="宋体" w:eastAsia="楷体_GB2312"/>
          <w:color w:val="000000"/>
          <w:sz w:val="24"/>
          <w:highlight w:val="none"/>
          <w:lang w:eastAsia="zh-CN"/>
        </w:rPr>
        <w:t>：</w:t>
      </w:r>
    </w:p>
    <w:p>
      <w:pPr>
        <w:pStyle w:val="2"/>
        <w:numPr>
          <w:ilvl w:val="0"/>
          <w:numId w:val="0"/>
        </w:numPr>
        <w:ind w:left="0" w:leftChars="0" w:firstLine="480" w:firstLineChars="200"/>
        <w:rPr>
          <w:rFonts w:hint="eastAsia" w:ascii="楷体_GB2312" w:hAnsi="宋体" w:eastAsia="楷体_GB2312"/>
          <w:color w:val="000000"/>
          <w:sz w:val="24"/>
          <w:highlight w:val="none"/>
          <w:lang w:eastAsia="zh-CN"/>
        </w:rPr>
      </w:pPr>
      <w:r>
        <w:rPr>
          <w:rFonts w:hint="eastAsia" w:ascii="楷体_GB2312" w:hAnsi="宋体" w:eastAsia="楷体_GB2312"/>
          <w:color w:val="000000"/>
          <w:sz w:val="24"/>
          <w:highlight w:val="none"/>
          <w:lang w:val="en-US" w:eastAsia="zh-CN"/>
        </w:rPr>
        <w:t>1.</w:t>
      </w:r>
      <w:r>
        <w:rPr>
          <w:rFonts w:hint="eastAsia" w:ascii="楷体_GB2312" w:hAnsi="仿宋" w:eastAsia="楷体_GB2312"/>
          <w:color w:val="000000"/>
          <w:sz w:val="24"/>
          <w:highlight w:val="none"/>
          <w:lang w:val="en-US" w:eastAsia="zh-CN"/>
        </w:rPr>
        <w:t>发生巨额赎回时，</w:t>
      </w:r>
      <w:r>
        <w:rPr>
          <w:rFonts w:hint="eastAsia" w:ascii="楷体_GB2312" w:hAnsi="宋体" w:eastAsia="楷体_GB2312"/>
          <w:color w:val="000000"/>
          <w:sz w:val="24"/>
          <w:highlight w:val="none"/>
        </w:rPr>
        <w:t>产品管理人在赎回确认日当日办理的赎回份额不低于前一日终本理财产品总份额的10%的前提下，有权延期办理其余赎回申请</w:t>
      </w:r>
      <w:r>
        <w:rPr>
          <w:rFonts w:hint="eastAsia" w:ascii="楷体_GB2312" w:hAnsi="宋体" w:eastAsia="楷体_GB2312"/>
          <w:color w:val="000000"/>
          <w:sz w:val="24"/>
          <w:highlight w:val="none"/>
          <w:lang w:eastAsia="zh-CN"/>
        </w:rPr>
        <w:t>；</w:t>
      </w:r>
    </w:p>
    <w:p>
      <w:pPr>
        <w:ind w:firstLine="480" w:firstLineChars="200"/>
        <w:rPr>
          <w:rFonts w:hint="eastAsia" w:ascii="楷体_GB2312" w:hAnsi="宋体" w:eastAsia="楷体_GB2312"/>
          <w:color w:val="000000"/>
          <w:sz w:val="24"/>
          <w:highlight w:val="none"/>
          <w:lang w:val="en-US" w:eastAsia="zh-CN"/>
        </w:rPr>
      </w:pPr>
      <w:r>
        <w:rPr>
          <w:rFonts w:hint="eastAsia" w:ascii="楷体_GB2312" w:hAnsi="宋体" w:eastAsia="楷体_GB2312"/>
          <w:color w:val="000000"/>
          <w:sz w:val="24"/>
          <w:highlight w:val="none"/>
          <w:lang w:val="en-US" w:eastAsia="zh-CN"/>
        </w:rPr>
        <w:t>2.为保护投资者利益，</w:t>
      </w:r>
      <w:r>
        <w:rPr>
          <w:rFonts w:hint="eastAsia" w:ascii="楷体_GB2312" w:hAnsi="宋体" w:eastAsia="楷体_GB2312"/>
          <w:color w:val="000000"/>
          <w:sz w:val="24"/>
          <w:highlight w:val="none"/>
          <w:lang w:eastAsia="zh-CN"/>
        </w:rPr>
        <w:t>产品管理人</w:t>
      </w:r>
      <w:r>
        <w:rPr>
          <w:rFonts w:hint="eastAsia" w:ascii="楷体_GB2312" w:hAnsi="宋体" w:eastAsia="楷体_GB2312"/>
          <w:color w:val="000000"/>
          <w:sz w:val="24"/>
          <w:highlight w:val="none"/>
        </w:rPr>
        <w:t>认为需要延期办理赎回申请的情形</w:t>
      </w:r>
      <w:r>
        <w:rPr>
          <w:rFonts w:hint="eastAsia" w:ascii="楷体_GB2312" w:hAnsi="宋体" w:eastAsia="楷体_GB2312"/>
          <w:color w:val="000000"/>
          <w:sz w:val="24"/>
          <w:highlight w:val="none"/>
          <w:lang w:eastAsia="zh-CN"/>
        </w:rPr>
        <w:t>；</w:t>
      </w:r>
    </w:p>
    <w:p>
      <w:pPr>
        <w:ind w:firstLine="480" w:firstLineChars="200"/>
        <w:rPr>
          <w:highlight w:val="none"/>
        </w:rPr>
      </w:pPr>
      <w:r>
        <w:rPr>
          <w:rFonts w:hint="eastAsia" w:ascii="楷体_GB2312" w:hAnsi="宋体" w:eastAsia="楷体_GB2312"/>
          <w:color w:val="000000"/>
          <w:sz w:val="24"/>
          <w:highlight w:val="none"/>
          <w:lang w:val="en-US" w:eastAsia="zh-CN"/>
        </w:rPr>
        <w:t>3.</w:t>
      </w:r>
      <w:r>
        <w:rPr>
          <w:rFonts w:hint="eastAsia" w:ascii="楷体_GB2312" w:hAnsi="宋体" w:eastAsia="楷体_GB2312"/>
          <w:color w:val="000000"/>
          <w:sz w:val="24"/>
          <w:highlight w:val="none"/>
        </w:rPr>
        <w:t>法律法规规定或本理财产品销售文件约定的其</w:t>
      </w:r>
      <w:r>
        <w:rPr>
          <w:rFonts w:hint="eastAsia" w:ascii="楷体_GB2312" w:hAnsi="宋体" w:eastAsia="楷体_GB2312"/>
          <w:color w:val="000000"/>
          <w:sz w:val="24"/>
          <w:highlight w:val="none"/>
          <w:lang w:val="en-US" w:eastAsia="zh-CN"/>
        </w:rPr>
        <w:t>他</w:t>
      </w:r>
      <w:r>
        <w:rPr>
          <w:rFonts w:hint="eastAsia" w:ascii="楷体_GB2312" w:hAnsi="宋体" w:eastAsia="楷体_GB2312"/>
          <w:color w:val="000000"/>
          <w:sz w:val="24"/>
          <w:highlight w:val="none"/>
        </w:rPr>
        <w:t>情形。</w:t>
      </w:r>
    </w:p>
    <w:p>
      <w:pPr>
        <w:ind w:firstLine="480" w:firstLineChars="200"/>
        <w:rPr>
          <w:rFonts w:hint="eastAsia" w:ascii="楷体_GB2312" w:hAnsi="宋体" w:eastAsia="楷体_GB2312"/>
          <w:color w:val="000000"/>
          <w:sz w:val="24"/>
          <w:highlight w:val="none"/>
        </w:rPr>
      </w:pPr>
      <w:r>
        <w:rPr>
          <w:rFonts w:hint="eastAsia" w:ascii="楷体_GB2312" w:hAnsi="宋体" w:eastAsia="楷体_GB2312"/>
          <w:color w:val="000000"/>
          <w:sz w:val="24"/>
          <w:highlight w:val="none"/>
        </w:rPr>
        <w:t>★（</w:t>
      </w:r>
      <w:r>
        <w:rPr>
          <w:rFonts w:hint="eastAsia" w:ascii="楷体_GB2312" w:hAnsi="宋体" w:eastAsia="楷体_GB2312"/>
          <w:color w:val="000000"/>
          <w:sz w:val="24"/>
          <w:highlight w:val="none"/>
          <w:lang w:val="en-US" w:eastAsia="zh-CN"/>
        </w:rPr>
        <w:t>八</w:t>
      </w:r>
      <w:r>
        <w:rPr>
          <w:rFonts w:hint="eastAsia" w:ascii="楷体_GB2312" w:hAnsi="宋体" w:eastAsia="楷体_GB2312"/>
          <w:color w:val="000000"/>
          <w:sz w:val="24"/>
          <w:highlight w:val="none"/>
        </w:rPr>
        <w:t>）延缓支付赎回款项</w:t>
      </w:r>
    </w:p>
    <w:p>
      <w:pPr>
        <w:ind w:firstLine="480" w:firstLineChars="200"/>
        <w:rPr>
          <w:rFonts w:ascii="楷体_GB2312" w:hAnsi="宋体" w:eastAsia="楷体_GB2312"/>
          <w:color w:val="000000"/>
          <w:sz w:val="24"/>
          <w:highlight w:val="none"/>
        </w:rPr>
      </w:pPr>
      <w:r>
        <w:rPr>
          <w:rFonts w:hint="eastAsia" w:ascii="楷体_GB2312" w:hAnsi="宋体" w:eastAsia="楷体_GB2312"/>
          <w:color w:val="000000"/>
          <w:sz w:val="24"/>
          <w:highlight w:val="none"/>
        </w:rPr>
        <w:t>当出现下列情形时，</w:t>
      </w:r>
      <w:r>
        <w:rPr>
          <w:rFonts w:hint="eastAsia" w:ascii="楷体_GB2312" w:hAnsi="宋体" w:eastAsia="楷体_GB2312"/>
          <w:color w:val="000000"/>
          <w:sz w:val="24"/>
          <w:highlight w:val="none"/>
          <w:lang w:eastAsia="zh-CN"/>
        </w:rPr>
        <w:t>产品管理人</w:t>
      </w:r>
      <w:r>
        <w:rPr>
          <w:rFonts w:hint="eastAsia" w:ascii="楷体_GB2312" w:hAnsi="宋体" w:eastAsia="楷体_GB2312"/>
          <w:color w:val="000000"/>
          <w:sz w:val="24"/>
          <w:highlight w:val="none"/>
        </w:rPr>
        <w:t>有权</w:t>
      </w:r>
      <w:r>
        <w:rPr>
          <w:rFonts w:hint="eastAsia" w:ascii="楷体_GB2312" w:hAnsi="宋体" w:eastAsia="楷体_GB2312"/>
          <w:color w:val="000000"/>
          <w:sz w:val="24"/>
          <w:highlight w:val="none"/>
          <w:lang w:val="en-US" w:eastAsia="zh-CN"/>
        </w:rPr>
        <w:t>选择</w:t>
      </w:r>
      <w:r>
        <w:rPr>
          <w:rFonts w:hint="eastAsia" w:ascii="楷体_GB2312" w:hAnsi="宋体" w:eastAsia="楷体_GB2312"/>
          <w:color w:val="000000"/>
          <w:sz w:val="24"/>
          <w:highlight w:val="none"/>
        </w:rPr>
        <w:t>延缓支付赎回款项：</w:t>
      </w:r>
    </w:p>
    <w:p>
      <w:pPr>
        <w:ind w:firstLine="480" w:firstLineChars="200"/>
        <w:rPr>
          <w:rFonts w:ascii="楷体_GB2312" w:hAnsi="宋体" w:eastAsia="楷体_GB2312"/>
          <w:color w:val="000000"/>
          <w:sz w:val="24"/>
          <w:highlight w:val="none"/>
        </w:rPr>
      </w:pPr>
      <w:r>
        <w:rPr>
          <w:rFonts w:hint="eastAsia" w:ascii="楷体_GB2312" w:hAnsi="宋体" w:eastAsia="楷体_GB2312"/>
          <w:color w:val="000000"/>
          <w:sz w:val="24"/>
          <w:highlight w:val="none"/>
        </w:rPr>
        <w:t>1.</w:t>
      </w:r>
      <w:r>
        <w:rPr>
          <w:rFonts w:hint="eastAsia" w:ascii="楷体_GB2312" w:hAnsi="宋体" w:eastAsia="楷体_GB2312"/>
          <w:color w:val="000000"/>
          <w:sz w:val="24"/>
          <w:highlight w:val="none"/>
          <w:lang w:val="en-US" w:eastAsia="zh-CN"/>
        </w:rPr>
        <w:t>本理财</w:t>
      </w:r>
      <w:r>
        <w:rPr>
          <w:rFonts w:hint="eastAsia" w:ascii="楷体_GB2312" w:hAnsi="宋体" w:eastAsia="楷体_GB2312"/>
          <w:color w:val="000000"/>
          <w:sz w:val="24"/>
          <w:highlight w:val="none"/>
        </w:rPr>
        <w:t>产品赎回确认日遇非工作日顺延至下一工作日，投资者</w:t>
      </w:r>
      <w:r>
        <w:rPr>
          <w:rFonts w:hint="eastAsia" w:ascii="楷体_GB2312" w:hAnsi="宋体" w:eastAsia="楷体_GB2312"/>
          <w:color w:val="000000"/>
          <w:sz w:val="24"/>
          <w:highlight w:val="none"/>
          <w:lang w:val="en-US" w:eastAsia="zh-CN"/>
        </w:rPr>
        <w:t>赎回款项</w:t>
      </w:r>
      <w:r>
        <w:rPr>
          <w:rFonts w:hint="eastAsia" w:ascii="楷体_GB2312" w:hAnsi="宋体" w:eastAsia="楷体_GB2312"/>
          <w:color w:val="000000"/>
          <w:sz w:val="24"/>
          <w:highlight w:val="none"/>
        </w:rPr>
        <w:t>兑付将相应调整；</w:t>
      </w:r>
    </w:p>
    <w:p>
      <w:pPr>
        <w:ind w:firstLine="480" w:firstLineChars="200"/>
        <w:rPr>
          <w:rFonts w:ascii="楷体_GB2312" w:hAnsi="宋体" w:eastAsia="楷体_GB2312"/>
          <w:color w:val="000000"/>
          <w:sz w:val="24"/>
          <w:highlight w:val="none"/>
        </w:rPr>
      </w:pPr>
      <w:r>
        <w:rPr>
          <w:rFonts w:hint="eastAsia" w:ascii="楷体_GB2312" w:hAnsi="宋体" w:eastAsia="楷体_GB2312"/>
          <w:color w:val="000000"/>
          <w:sz w:val="24"/>
          <w:highlight w:val="none"/>
        </w:rPr>
        <w:t>2.因市场成交量不足、资产限制赎回、暂停交易、交易对手缺乏意愿等原因，导致</w:t>
      </w:r>
      <w:r>
        <w:rPr>
          <w:rFonts w:hint="eastAsia" w:ascii="楷体_GB2312" w:hAnsi="宋体" w:eastAsia="楷体_GB2312"/>
          <w:color w:val="000000"/>
          <w:sz w:val="24"/>
          <w:highlight w:val="none"/>
          <w:lang w:val="en-US" w:eastAsia="zh-CN"/>
        </w:rPr>
        <w:t>本理财</w:t>
      </w:r>
      <w:r>
        <w:rPr>
          <w:rFonts w:hint="eastAsia" w:ascii="楷体_GB2312" w:hAnsi="宋体" w:eastAsia="楷体_GB2312"/>
          <w:color w:val="000000"/>
          <w:sz w:val="24"/>
          <w:highlight w:val="none"/>
        </w:rPr>
        <w:t>产品项下对应的投资标的无法及时变现；</w:t>
      </w:r>
    </w:p>
    <w:p>
      <w:pPr>
        <w:ind w:firstLine="480" w:firstLineChars="200"/>
        <w:rPr>
          <w:rFonts w:ascii="楷体_GB2312" w:hAnsi="宋体" w:eastAsia="楷体_GB2312"/>
          <w:color w:val="000000"/>
          <w:sz w:val="24"/>
          <w:highlight w:val="none"/>
        </w:rPr>
      </w:pPr>
      <w:r>
        <w:rPr>
          <w:rFonts w:hint="eastAsia" w:ascii="楷体_GB2312" w:hAnsi="宋体" w:eastAsia="楷体_GB2312"/>
          <w:color w:val="000000"/>
          <w:sz w:val="24"/>
          <w:highlight w:val="none"/>
        </w:rPr>
        <w:t>3.因资金在途等原因，导致未能及时收回资金；</w:t>
      </w:r>
    </w:p>
    <w:p>
      <w:pPr>
        <w:ind w:firstLine="480" w:firstLineChars="200"/>
        <w:rPr>
          <w:rFonts w:ascii="楷体_GB2312" w:hAnsi="宋体" w:eastAsia="楷体_GB2312"/>
          <w:color w:val="000000"/>
          <w:sz w:val="24"/>
          <w:highlight w:val="none"/>
        </w:rPr>
      </w:pPr>
      <w:r>
        <w:rPr>
          <w:rFonts w:hint="eastAsia" w:ascii="楷体_GB2312" w:hAnsi="宋体" w:eastAsia="楷体_GB2312"/>
          <w:color w:val="000000"/>
          <w:sz w:val="24"/>
          <w:highlight w:val="none"/>
        </w:rPr>
        <w:t>4.因不可抗力</w:t>
      </w:r>
      <w:r>
        <w:rPr>
          <w:rFonts w:hint="eastAsia" w:ascii="楷体_GB2312" w:hAnsi="宋体" w:eastAsia="楷体_GB2312"/>
          <w:color w:val="000000"/>
          <w:sz w:val="24"/>
          <w:highlight w:val="none"/>
          <w:lang w:val="en-US" w:eastAsia="zh-CN"/>
        </w:rPr>
        <w:t>及/或意外事件</w:t>
      </w:r>
      <w:r>
        <w:rPr>
          <w:rFonts w:hint="eastAsia" w:ascii="楷体_GB2312" w:hAnsi="宋体" w:eastAsia="楷体_GB2312"/>
          <w:color w:val="000000"/>
          <w:sz w:val="24"/>
          <w:highlight w:val="none"/>
        </w:rPr>
        <w:t>等原因，导致</w:t>
      </w:r>
      <w:r>
        <w:rPr>
          <w:rFonts w:hint="eastAsia" w:ascii="楷体_GB2312" w:hAnsi="宋体" w:eastAsia="楷体_GB2312"/>
          <w:color w:val="000000"/>
          <w:sz w:val="24"/>
          <w:highlight w:val="none"/>
          <w:lang w:eastAsia="zh-CN"/>
        </w:rPr>
        <w:t>产品管理人</w:t>
      </w:r>
      <w:r>
        <w:rPr>
          <w:rFonts w:hint="eastAsia" w:ascii="楷体_GB2312" w:hAnsi="宋体" w:eastAsia="楷体_GB2312"/>
          <w:color w:val="000000"/>
          <w:sz w:val="24"/>
          <w:highlight w:val="none"/>
        </w:rPr>
        <w:t>接受赎回申请后无法兑付；</w:t>
      </w:r>
    </w:p>
    <w:p>
      <w:pPr>
        <w:ind w:firstLine="480" w:firstLineChars="200"/>
        <w:rPr>
          <w:rFonts w:ascii="楷体_GB2312" w:hAnsi="宋体" w:eastAsia="楷体_GB2312"/>
          <w:color w:val="000000"/>
          <w:sz w:val="24"/>
          <w:highlight w:val="none"/>
        </w:rPr>
      </w:pPr>
      <w:r>
        <w:rPr>
          <w:rFonts w:hint="eastAsia" w:ascii="楷体_GB2312" w:hAnsi="宋体" w:eastAsia="楷体_GB2312"/>
          <w:color w:val="000000"/>
          <w:sz w:val="24"/>
          <w:highlight w:val="none"/>
        </w:rPr>
        <w:t>5.发生暂停理财产品估值</w:t>
      </w:r>
      <w:r>
        <w:rPr>
          <w:rFonts w:hint="eastAsia" w:ascii="楷体_GB2312" w:hAnsi="宋体" w:eastAsia="楷体_GB2312"/>
          <w:color w:val="000000"/>
          <w:sz w:val="24"/>
          <w:highlight w:val="none"/>
          <w:lang w:eastAsia="zh-CN"/>
        </w:rPr>
        <w:t>的情形</w:t>
      </w:r>
      <w:r>
        <w:rPr>
          <w:rFonts w:hint="eastAsia" w:ascii="楷体_GB2312" w:hAnsi="宋体" w:eastAsia="楷体_GB2312"/>
          <w:color w:val="000000"/>
          <w:sz w:val="24"/>
          <w:highlight w:val="none"/>
        </w:rPr>
        <w:t>；</w:t>
      </w:r>
    </w:p>
    <w:p>
      <w:pPr>
        <w:ind w:firstLine="480" w:firstLineChars="200"/>
        <w:rPr>
          <w:rFonts w:ascii="楷体_GB2312" w:hAnsi="宋体" w:eastAsia="楷体_GB2312"/>
          <w:color w:val="000000"/>
          <w:sz w:val="24"/>
          <w:highlight w:val="none"/>
        </w:rPr>
      </w:pPr>
      <w:r>
        <w:rPr>
          <w:rFonts w:hint="eastAsia" w:ascii="楷体_GB2312" w:hAnsi="宋体" w:eastAsia="楷体_GB2312"/>
          <w:color w:val="000000"/>
          <w:sz w:val="24"/>
          <w:highlight w:val="none"/>
        </w:rPr>
        <w:t>6.本理财产品连续2个及以上</w:t>
      </w:r>
      <w:r>
        <w:rPr>
          <w:rFonts w:hint="eastAsia" w:ascii="楷体_GB2312" w:hAnsi="宋体" w:eastAsia="楷体_GB2312"/>
          <w:color w:val="000000"/>
          <w:sz w:val="24"/>
          <w:highlight w:val="none"/>
          <w:lang w:eastAsia="zh-CN"/>
        </w:rPr>
        <w:t>开放日</w:t>
      </w:r>
      <w:r>
        <w:rPr>
          <w:rFonts w:hint="eastAsia" w:ascii="楷体_GB2312" w:hAnsi="宋体" w:eastAsia="楷体_GB2312"/>
          <w:color w:val="000000"/>
          <w:sz w:val="24"/>
          <w:highlight w:val="none"/>
        </w:rPr>
        <w:t>发生巨额赎回的，对于已经接受的投资者赎回申请，</w:t>
      </w:r>
      <w:r>
        <w:rPr>
          <w:rFonts w:hint="eastAsia" w:ascii="楷体_GB2312" w:hAnsi="宋体" w:eastAsia="楷体_GB2312"/>
          <w:color w:val="000000"/>
          <w:sz w:val="24"/>
          <w:highlight w:val="none"/>
          <w:lang w:eastAsia="zh-CN"/>
        </w:rPr>
        <w:t>产品管理人</w:t>
      </w:r>
      <w:r>
        <w:rPr>
          <w:rFonts w:hint="eastAsia" w:ascii="楷体_GB2312" w:hAnsi="宋体" w:eastAsia="楷体_GB2312"/>
          <w:color w:val="000000"/>
          <w:sz w:val="24"/>
          <w:highlight w:val="none"/>
        </w:rPr>
        <w:t>可以延缓支付赎回款项，延缓期限不超过20个工作日；</w:t>
      </w:r>
    </w:p>
    <w:p>
      <w:pPr>
        <w:ind w:firstLine="480" w:firstLineChars="200"/>
        <w:rPr>
          <w:rFonts w:hint="eastAsia" w:ascii="楷体_GB2312" w:hAnsi="宋体" w:eastAsia="楷体_GB2312"/>
          <w:color w:val="000000"/>
          <w:sz w:val="24"/>
          <w:highlight w:val="none"/>
          <w:lang w:eastAsia="zh-CN"/>
        </w:rPr>
      </w:pPr>
      <w:r>
        <w:rPr>
          <w:rFonts w:hint="eastAsia" w:ascii="楷体_GB2312" w:hAnsi="宋体" w:eastAsia="楷体_GB2312"/>
          <w:color w:val="000000"/>
          <w:sz w:val="24"/>
          <w:highlight w:val="none"/>
        </w:rPr>
        <w:t>7.</w:t>
      </w:r>
      <w:bookmarkStart w:id="3" w:name="_Hlk146059245"/>
      <w:r>
        <w:rPr>
          <w:rFonts w:hint="eastAsia" w:ascii="楷体_GB2312" w:hAnsi="宋体" w:eastAsia="楷体_GB2312"/>
          <w:color w:val="000000"/>
          <w:sz w:val="24"/>
          <w:highlight w:val="none"/>
        </w:rPr>
        <w:t>本理财产品</w:t>
      </w:r>
      <w:r>
        <w:rPr>
          <w:rFonts w:hint="eastAsia" w:ascii="楷体_GB2312" w:hAnsi="宋体" w:eastAsia="楷体_GB2312"/>
          <w:color w:val="000000"/>
          <w:sz w:val="24"/>
          <w:highlight w:val="none"/>
          <w:lang w:val="en-US" w:eastAsia="zh-CN"/>
        </w:rPr>
        <w:t>在前</w:t>
      </w:r>
      <w:r>
        <w:rPr>
          <w:rFonts w:hint="eastAsia" w:ascii="楷体_GB2312" w:hAnsi="宋体" w:eastAsia="楷体_GB2312"/>
          <w:color w:val="000000"/>
          <w:sz w:val="24"/>
          <w:highlight w:val="none"/>
        </w:rPr>
        <w:t>一估值日</w:t>
      </w:r>
      <w:r>
        <w:rPr>
          <w:rFonts w:hint="eastAsia" w:ascii="楷体_GB2312" w:hAnsi="宋体" w:eastAsia="楷体_GB2312"/>
          <w:color w:val="000000"/>
          <w:sz w:val="24"/>
          <w:highlight w:val="none"/>
          <w:lang w:val="en-US" w:eastAsia="zh-CN"/>
        </w:rPr>
        <w:t>内，</w:t>
      </w:r>
      <w:r>
        <w:rPr>
          <w:rFonts w:hint="eastAsia" w:ascii="楷体_GB2312" w:hAnsi="宋体" w:eastAsia="楷体_GB2312"/>
          <w:color w:val="000000"/>
          <w:sz w:val="24"/>
          <w:highlight w:val="none"/>
        </w:rPr>
        <w:t>产品资产净值50%以上的资产不具备活跃交易市场或者在活跃市场中无报价</w:t>
      </w:r>
      <w:r>
        <w:rPr>
          <w:rFonts w:hint="eastAsia" w:ascii="楷体_GB2312" w:hAnsi="宋体" w:eastAsia="楷体_GB2312"/>
          <w:color w:val="000000"/>
          <w:sz w:val="24"/>
          <w:highlight w:val="none"/>
          <w:lang w:eastAsia="zh-CN"/>
        </w:rPr>
        <w:t>，</w:t>
      </w:r>
      <w:r>
        <w:rPr>
          <w:rFonts w:hint="eastAsia" w:ascii="楷体_GB2312" w:hAnsi="宋体" w:eastAsia="楷体_GB2312"/>
          <w:color w:val="000000"/>
          <w:sz w:val="24"/>
          <w:highlight w:val="none"/>
        </w:rPr>
        <w:t>且不能采用估值技术可靠计量公允价值</w:t>
      </w:r>
      <w:r>
        <w:rPr>
          <w:rFonts w:hint="eastAsia" w:ascii="楷体_GB2312" w:hAnsi="宋体" w:eastAsia="楷体_GB2312"/>
          <w:color w:val="000000"/>
          <w:sz w:val="24"/>
          <w:highlight w:val="none"/>
          <w:lang w:eastAsia="zh-CN"/>
        </w:rPr>
        <w:t>；</w:t>
      </w:r>
      <w:bookmarkEnd w:id="3"/>
    </w:p>
    <w:p>
      <w:pPr>
        <w:ind w:firstLine="480" w:firstLineChars="200"/>
        <w:rPr>
          <w:rFonts w:hint="eastAsia" w:ascii="楷体_GB2312" w:hAnsi="宋体" w:eastAsia="楷体_GB2312"/>
          <w:color w:val="000000"/>
          <w:sz w:val="24"/>
          <w:highlight w:val="none"/>
          <w:lang w:eastAsia="zh-CN"/>
        </w:rPr>
      </w:pPr>
      <w:r>
        <w:rPr>
          <w:rFonts w:hint="eastAsia" w:ascii="楷体_GB2312" w:hAnsi="宋体" w:eastAsia="楷体_GB2312"/>
          <w:color w:val="000000"/>
          <w:sz w:val="24"/>
          <w:highlight w:val="none"/>
        </w:rPr>
        <w:t>8</w:t>
      </w:r>
      <w:r>
        <w:rPr>
          <w:rFonts w:ascii="楷体_GB2312" w:hAnsi="宋体" w:eastAsia="楷体_GB2312"/>
          <w:color w:val="000000"/>
          <w:sz w:val="24"/>
          <w:highlight w:val="none"/>
        </w:rPr>
        <w:t>.</w:t>
      </w:r>
      <w:r>
        <w:rPr>
          <w:rFonts w:hint="eastAsia" w:ascii="楷体_GB2312" w:hAnsi="宋体" w:eastAsia="楷体_GB2312"/>
          <w:color w:val="000000"/>
          <w:sz w:val="24"/>
          <w:highlight w:val="none"/>
          <w:lang w:val="en-US" w:eastAsia="zh-CN"/>
        </w:rPr>
        <w:t>为保护投资者利益，</w:t>
      </w:r>
      <w:r>
        <w:rPr>
          <w:rFonts w:hint="eastAsia" w:ascii="楷体_GB2312" w:hAnsi="宋体" w:eastAsia="楷体_GB2312"/>
          <w:color w:val="000000"/>
          <w:sz w:val="24"/>
          <w:highlight w:val="none"/>
          <w:lang w:eastAsia="zh-CN"/>
        </w:rPr>
        <w:t>产品管理人</w:t>
      </w:r>
      <w:r>
        <w:rPr>
          <w:rFonts w:hint="eastAsia" w:ascii="楷体_GB2312" w:hAnsi="宋体" w:eastAsia="楷体_GB2312"/>
          <w:color w:val="000000"/>
          <w:sz w:val="24"/>
          <w:highlight w:val="none"/>
        </w:rPr>
        <w:t>认为需要延续支付赎回款项的情形</w:t>
      </w:r>
      <w:r>
        <w:rPr>
          <w:rFonts w:hint="eastAsia" w:ascii="楷体_GB2312" w:hAnsi="宋体" w:eastAsia="楷体_GB2312"/>
          <w:color w:val="000000"/>
          <w:sz w:val="24"/>
          <w:highlight w:val="none"/>
          <w:lang w:eastAsia="zh-CN"/>
        </w:rPr>
        <w:t>；</w:t>
      </w:r>
    </w:p>
    <w:p>
      <w:pPr>
        <w:ind w:firstLine="480" w:firstLineChars="200"/>
        <w:rPr>
          <w:rFonts w:hint="default"/>
          <w:highlight w:val="none"/>
          <w:lang w:val="en-US" w:eastAsia="zh-CN"/>
        </w:rPr>
      </w:pPr>
      <w:r>
        <w:rPr>
          <w:rFonts w:hint="eastAsia" w:ascii="楷体_GB2312" w:hAnsi="宋体" w:eastAsia="楷体_GB2312"/>
          <w:color w:val="000000"/>
          <w:sz w:val="24"/>
          <w:highlight w:val="none"/>
          <w:lang w:val="en-US" w:eastAsia="zh-CN"/>
        </w:rPr>
        <w:t>9.</w:t>
      </w:r>
      <w:r>
        <w:rPr>
          <w:rFonts w:hint="eastAsia" w:ascii="楷体_GB2312" w:hAnsi="宋体" w:eastAsia="楷体_GB2312"/>
          <w:color w:val="000000"/>
          <w:sz w:val="24"/>
          <w:highlight w:val="none"/>
        </w:rPr>
        <w:t>法律法规规定或本理财产品销售文件约定的其</w:t>
      </w:r>
      <w:r>
        <w:rPr>
          <w:rFonts w:hint="eastAsia" w:ascii="楷体_GB2312" w:hAnsi="宋体" w:eastAsia="楷体_GB2312"/>
          <w:color w:val="000000"/>
          <w:sz w:val="24"/>
          <w:highlight w:val="none"/>
          <w:lang w:val="en-US" w:eastAsia="zh-CN"/>
        </w:rPr>
        <w:t>他</w:t>
      </w:r>
      <w:r>
        <w:rPr>
          <w:rFonts w:hint="eastAsia" w:ascii="楷体_GB2312" w:hAnsi="宋体" w:eastAsia="楷体_GB2312"/>
          <w:color w:val="000000"/>
          <w:sz w:val="24"/>
          <w:highlight w:val="none"/>
        </w:rPr>
        <w:t>情形。</w:t>
      </w:r>
    </w:p>
    <w:p>
      <w:pPr>
        <w:ind w:firstLine="480" w:firstLineChars="200"/>
        <w:rPr>
          <w:rFonts w:hint="eastAsia" w:ascii="楷体_GB2312" w:hAnsi="仿宋" w:eastAsia="楷体_GB2312"/>
          <w:color w:val="000000"/>
          <w:sz w:val="24"/>
          <w:highlight w:val="none"/>
        </w:rPr>
      </w:pPr>
      <w:r>
        <w:rPr>
          <w:rFonts w:hint="eastAsia" w:ascii="楷体_GB2312" w:hAnsi="仿宋" w:eastAsia="楷体_GB2312"/>
          <w:color w:val="000000"/>
          <w:sz w:val="24"/>
          <w:highlight w:val="none"/>
        </w:rPr>
        <w:t>★</w:t>
      </w:r>
      <w:r>
        <w:rPr>
          <w:rFonts w:hint="eastAsia" w:ascii="楷体_GB2312" w:hAnsi="仿宋" w:eastAsia="楷体_GB2312"/>
          <w:b/>
          <w:color w:val="000000"/>
          <w:sz w:val="24"/>
          <w:highlight w:val="none"/>
        </w:rPr>
        <w:t>特别提示：</w:t>
      </w:r>
      <w:r>
        <w:rPr>
          <w:rFonts w:hint="eastAsia" w:ascii="楷体_GB2312" w:hAnsi="宋体" w:eastAsia="楷体_GB2312" w:cs="Times New Roman"/>
          <w:color w:val="000000"/>
          <w:sz w:val="24"/>
          <w:highlight w:val="none"/>
          <w:lang w:val="en-US" w:eastAsia="zh-CN"/>
        </w:rPr>
        <w:t>除上述</w:t>
      </w:r>
      <w:r>
        <w:rPr>
          <w:rFonts w:hint="eastAsia" w:ascii="楷体_GB2312" w:hAnsi="宋体" w:eastAsia="楷体_GB2312" w:cs="Times New Roman"/>
          <w:color w:val="000000"/>
          <w:sz w:val="24"/>
          <w:highlight w:val="none"/>
        </w:rPr>
        <w:t>流动性风险应</w:t>
      </w:r>
      <w:r>
        <w:rPr>
          <w:rFonts w:hint="eastAsia" w:ascii="楷体_GB2312" w:hAnsi="仿宋" w:eastAsia="楷体_GB2312" w:cs="Times New Roman"/>
          <w:color w:val="000000"/>
          <w:sz w:val="24"/>
          <w:highlight w:val="none"/>
        </w:rPr>
        <w:t>对措施</w:t>
      </w:r>
      <w:r>
        <w:rPr>
          <w:rFonts w:hint="eastAsia" w:ascii="楷体_GB2312" w:hAnsi="仿宋" w:eastAsia="楷体_GB2312" w:cs="Times New Roman"/>
          <w:color w:val="000000"/>
          <w:sz w:val="24"/>
          <w:highlight w:val="none"/>
          <w:lang w:val="en-US" w:eastAsia="zh-CN"/>
        </w:rPr>
        <w:t>外，本理财产品的产品管理人还可根据实际业务情况，采取收取短期赎回费、暂停理财产品估值、</w:t>
      </w:r>
      <w:r>
        <w:rPr>
          <w:rFonts w:hint="eastAsia" w:ascii="楷体_GB2312" w:hAnsi="仿宋" w:eastAsia="楷体_GB2312" w:cs="Times New Roman"/>
          <w:bCs w:val="0"/>
          <w:color w:val="000000"/>
          <w:sz w:val="24"/>
          <w:highlight w:val="none"/>
        </w:rPr>
        <w:t>设定单一投资者</w:t>
      </w:r>
      <w:r>
        <w:rPr>
          <w:rFonts w:hint="eastAsia" w:ascii="楷体_GB2312" w:hAnsi="仿宋" w:eastAsia="楷体_GB2312" w:cs="Times New Roman"/>
          <w:bCs w:val="0"/>
          <w:color w:val="000000"/>
          <w:sz w:val="24"/>
          <w:highlight w:val="none"/>
          <w:lang w:val="en-US" w:eastAsia="zh-CN"/>
        </w:rPr>
        <w:t>持有金额</w:t>
      </w:r>
      <w:r>
        <w:rPr>
          <w:rFonts w:hint="eastAsia" w:ascii="楷体_GB2312" w:hAnsi="仿宋" w:eastAsia="楷体_GB2312" w:cs="Times New Roman"/>
          <w:bCs w:val="0"/>
          <w:color w:val="000000"/>
          <w:sz w:val="24"/>
          <w:highlight w:val="none"/>
        </w:rPr>
        <w:t>上限</w:t>
      </w:r>
      <w:r>
        <w:rPr>
          <w:rFonts w:hint="eastAsia" w:ascii="楷体_GB2312" w:hAnsi="仿宋" w:eastAsia="楷体_GB2312" w:cs="Times New Roman"/>
          <w:color w:val="000000"/>
          <w:sz w:val="24"/>
          <w:highlight w:val="none"/>
          <w:lang w:val="en-US" w:eastAsia="zh-CN"/>
        </w:rPr>
        <w:t>等</w:t>
      </w:r>
      <w:r>
        <w:rPr>
          <w:rFonts w:hint="eastAsia" w:ascii="楷体_GB2312" w:hAnsi="仿宋" w:eastAsia="楷体_GB2312" w:cs="Times New Roman"/>
          <w:color w:val="000000"/>
          <w:sz w:val="24"/>
          <w:highlight w:val="none"/>
        </w:rPr>
        <w:t>国家金融监督管理总局</w:t>
      </w:r>
      <w:r>
        <w:rPr>
          <w:rFonts w:hint="eastAsia" w:ascii="楷体_GB2312" w:hAnsi="仿宋" w:eastAsia="楷体_GB2312" w:cs="Times New Roman"/>
          <w:color w:val="000000"/>
          <w:sz w:val="24"/>
          <w:highlight w:val="none"/>
          <w:lang w:val="en-US" w:eastAsia="zh-CN"/>
        </w:rPr>
        <w:t>规定的其他流动性风险应对措</w:t>
      </w:r>
      <w:r>
        <w:rPr>
          <w:rFonts w:hint="eastAsia" w:ascii="楷体_GB2312" w:hAnsi="宋体" w:eastAsia="楷体_GB2312" w:cs="Times New Roman"/>
          <w:color w:val="000000"/>
          <w:sz w:val="24"/>
          <w:highlight w:val="none"/>
          <w:lang w:val="en-US" w:eastAsia="zh-CN"/>
        </w:rPr>
        <w:t>施</w:t>
      </w:r>
      <w:r>
        <w:rPr>
          <w:rFonts w:hint="eastAsia" w:ascii="楷体_GB2312" w:hAnsi="宋体" w:eastAsia="楷体_GB2312" w:cs="Times New Roman"/>
          <w:bCs w:val="0"/>
          <w:color w:val="000000"/>
          <w:sz w:val="24"/>
          <w:highlight w:val="none"/>
          <w:lang w:eastAsia="zh-CN"/>
        </w:rPr>
        <w:t>。</w:t>
      </w:r>
      <w:r>
        <w:rPr>
          <w:rFonts w:hint="eastAsia" w:ascii="楷体_GB2312" w:hAnsi="宋体" w:eastAsia="楷体_GB2312" w:cs="Times New Roman"/>
          <w:bCs w:val="0"/>
          <w:color w:val="000000"/>
          <w:sz w:val="24"/>
          <w:highlight w:val="none"/>
          <w:lang w:val="en-US" w:eastAsia="zh-CN"/>
        </w:rPr>
        <w:t>在运用</w:t>
      </w:r>
      <w:r>
        <w:rPr>
          <w:rFonts w:hint="eastAsia" w:ascii="楷体_GB2312" w:hAnsi="宋体" w:eastAsia="楷体_GB2312" w:cs="Times New Roman"/>
          <w:color w:val="000000"/>
          <w:sz w:val="24"/>
          <w:highlight w:val="none"/>
          <w:lang w:val="en-US" w:eastAsia="zh-CN"/>
        </w:rPr>
        <w:t>流动性风险应对措施后，产品管理人</w:t>
      </w:r>
      <w:r>
        <w:rPr>
          <w:rFonts w:hint="eastAsia" w:ascii="楷体_GB2312" w:hAnsi="宋体" w:eastAsia="楷体_GB2312" w:cs="Times New Roman"/>
          <w:color w:val="000000"/>
          <w:sz w:val="24"/>
          <w:highlight w:val="none"/>
        </w:rPr>
        <w:t>将按</w:t>
      </w:r>
      <w:r>
        <w:rPr>
          <w:rFonts w:hint="eastAsia" w:ascii="楷体_GB2312" w:hAnsi="仿宋" w:eastAsia="楷体_GB2312"/>
          <w:color w:val="000000"/>
          <w:sz w:val="24"/>
          <w:highlight w:val="none"/>
        </w:rPr>
        <w:t>照监管规定及</w:t>
      </w:r>
      <w:r>
        <w:rPr>
          <w:rFonts w:hint="eastAsia" w:ascii="楷体_GB2312" w:hAnsi="仿宋" w:eastAsia="楷体_GB2312"/>
          <w:color w:val="000000"/>
          <w:sz w:val="24"/>
          <w:highlight w:val="none"/>
          <w:lang w:val="en-US" w:eastAsia="zh-CN"/>
        </w:rPr>
        <w:t>本理财产品</w:t>
      </w:r>
      <w:r>
        <w:rPr>
          <w:rFonts w:hint="eastAsia" w:ascii="楷体_GB2312" w:hAnsi="仿宋" w:eastAsia="楷体_GB2312"/>
          <w:color w:val="000000"/>
          <w:sz w:val="24"/>
          <w:highlight w:val="none"/>
        </w:rPr>
        <w:t>销售文件约定的</w:t>
      </w:r>
      <w:r>
        <w:rPr>
          <w:rFonts w:hint="eastAsia" w:ascii="楷体_GB2312" w:hAnsi="仿宋" w:eastAsia="楷体_GB2312"/>
          <w:color w:val="000000"/>
          <w:sz w:val="24"/>
          <w:highlight w:val="none"/>
          <w:lang w:val="en-US" w:eastAsia="zh-CN"/>
        </w:rPr>
        <w:t>信息披露</w:t>
      </w:r>
      <w:r>
        <w:rPr>
          <w:rFonts w:hint="eastAsia" w:ascii="楷体_GB2312" w:hAnsi="仿宋" w:eastAsia="楷体_GB2312"/>
          <w:color w:val="000000"/>
          <w:sz w:val="24"/>
          <w:highlight w:val="none"/>
        </w:rPr>
        <w:t>方式在3个交易日内发布临时</w:t>
      </w:r>
      <w:r>
        <w:rPr>
          <w:rFonts w:hint="eastAsia" w:ascii="楷体_GB2312" w:hAnsi="仿宋" w:eastAsia="楷体_GB2312"/>
          <w:color w:val="000000"/>
          <w:sz w:val="24"/>
          <w:highlight w:val="none"/>
          <w:lang w:val="en-US" w:eastAsia="zh-CN"/>
        </w:rPr>
        <w:t>公告，告知本理财产品的投资者，并</w:t>
      </w:r>
      <w:r>
        <w:rPr>
          <w:rFonts w:hint="eastAsia" w:ascii="楷体_GB2312" w:hAnsi="仿宋" w:eastAsia="楷体_GB2312"/>
          <w:color w:val="000000"/>
          <w:sz w:val="24"/>
          <w:highlight w:val="none"/>
        </w:rPr>
        <w:t>说明运用相关措施的原因及</w:t>
      </w:r>
      <w:r>
        <w:rPr>
          <w:rFonts w:hint="eastAsia" w:ascii="楷体_GB2312" w:hAnsi="仿宋" w:eastAsia="楷体_GB2312"/>
          <w:color w:val="000000"/>
          <w:sz w:val="24"/>
          <w:highlight w:val="none"/>
          <w:lang w:val="en-US" w:eastAsia="zh-CN"/>
        </w:rPr>
        <w:t>拟</w:t>
      </w:r>
      <w:r>
        <w:rPr>
          <w:rFonts w:hint="eastAsia" w:ascii="楷体_GB2312" w:hAnsi="仿宋" w:eastAsia="楷体_GB2312"/>
          <w:color w:val="000000"/>
          <w:sz w:val="24"/>
          <w:highlight w:val="none"/>
        </w:rPr>
        <w:t>采取的应对安排等。</w:t>
      </w:r>
    </w:p>
    <w:p>
      <w:pPr>
        <w:ind w:firstLine="480" w:firstLineChars="200"/>
        <w:rPr>
          <w:rFonts w:ascii="楷体_GB2312" w:hAnsi="Arial" w:eastAsia="楷体_GB2312"/>
          <w:b w:val="0"/>
          <w:color w:val="000000"/>
          <w:sz w:val="24"/>
          <w:highlight w:val="none"/>
        </w:rPr>
      </w:pPr>
      <w:r>
        <w:rPr>
          <w:rFonts w:hint="eastAsia" w:ascii="楷体_GB2312" w:hAnsi="仿宋" w:eastAsia="楷体_GB2312"/>
          <w:color w:val="000000"/>
          <w:sz w:val="24"/>
          <w:highlight w:val="none"/>
          <w:lang w:eastAsia="zh-CN"/>
        </w:rPr>
        <w:t>（</w:t>
      </w:r>
      <w:r>
        <w:rPr>
          <w:rFonts w:hint="eastAsia" w:ascii="楷体_GB2312" w:hAnsi="仿宋" w:eastAsia="楷体_GB2312"/>
          <w:color w:val="000000"/>
          <w:sz w:val="24"/>
          <w:highlight w:val="none"/>
          <w:lang w:val="en-US" w:eastAsia="zh-CN"/>
        </w:rPr>
        <w:t>九</w:t>
      </w:r>
      <w:r>
        <w:rPr>
          <w:rFonts w:hint="eastAsia" w:ascii="楷体_GB2312" w:hAnsi="仿宋" w:eastAsia="楷体_GB2312"/>
          <w:color w:val="000000"/>
          <w:sz w:val="24"/>
          <w:highlight w:val="none"/>
          <w:lang w:eastAsia="zh-CN"/>
        </w:rPr>
        <w:t>）</w:t>
      </w:r>
      <w:r>
        <w:rPr>
          <w:rFonts w:hint="eastAsia" w:ascii="楷体_GB2312" w:hAnsi="仿宋" w:eastAsia="楷体_GB2312"/>
          <w:b w:val="0"/>
          <w:color w:val="000000"/>
          <w:sz w:val="24"/>
          <w:highlight w:val="none"/>
        </w:rPr>
        <w:t>申购费用</w:t>
      </w:r>
    </w:p>
    <w:p>
      <w:pPr>
        <w:snapToGrid w:val="0"/>
        <w:ind w:firstLine="480" w:firstLineChars="200"/>
        <w:rPr>
          <w:rFonts w:hint="eastAsia" w:ascii="楷体_GB2312" w:hAnsi="Arial" w:eastAsia="楷体_GB2312"/>
          <w:color w:val="000000"/>
          <w:sz w:val="24"/>
          <w:highlight w:val="none"/>
          <w:lang w:val="en-US" w:eastAsia="zh-CN"/>
        </w:rPr>
      </w:pPr>
      <w:r>
        <w:rPr>
          <w:rFonts w:hint="eastAsia" w:ascii="楷体_GB2312" w:hAnsi="Arial" w:eastAsia="楷体_GB2312"/>
          <w:color w:val="000000"/>
          <w:sz w:val="24"/>
          <w:highlight w:val="none"/>
        </w:rPr>
        <w:t>本</w:t>
      </w:r>
      <w:r>
        <w:rPr>
          <w:rFonts w:hint="eastAsia" w:ascii="楷体_GB2312" w:hAnsi="宋体" w:eastAsia="楷体_GB2312"/>
          <w:color w:val="000000"/>
          <w:sz w:val="24"/>
          <w:highlight w:val="none"/>
          <w:lang w:val="en-US" w:eastAsia="zh-CN"/>
        </w:rPr>
        <w:t>理财</w:t>
      </w:r>
      <w:r>
        <w:rPr>
          <w:rFonts w:hint="eastAsia" w:ascii="楷体_GB2312" w:hAnsi="Arial" w:eastAsia="楷体_GB2312"/>
          <w:color w:val="000000"/>
          <w:sz w:val="24"/>
          <w:highlight w:val="none"/>
        </w:rPr>
        <w:t>产品暂不收取申购费</w:t>
      </w:r>
      <w:r>
        <w:rPr>
          <w:rFonts w:hint="eastAsia" w:ascii="楷体_GB2312" w:hAnsi="Arial" w:eastAsia="楷体_GB2312"/>
          <w:color w:val="000000"/>
          <w:sz w:val="24"/>
          <w:highlight w:val="none"/>
          <w:lang w:val="en-US" w:eastAsia="zh-CN"/>
        </w:rPr>
        <w:t>用</w:t>
      </w:r>
      <w:r>
        <w:rPr>
          <w:rFonts w:hint="eastAsia" w:ascii="楷体_GB2312" w:hAnsi="Arial" w:eastAsia="楷体_GB2312"/>
          <w:color w:val="000000"/>
          <w:sz w:val="24"/>
          <w:highlight w:val="none"/>
        </w:rPr>
        <w:t>。</w:t>
      </w:r>
    </w:p>
    <w:p>
      <w:pPr>
        <w:ind w:firstLine="480" w:firstLineChars="200"/>
        <w:rPr>
          <w:rFonts w:ascii="楷体_GB2312" w:eastAsia="楷体_GB2312"/>
          <w:b w:val="0"/>
          <w:bCs/>
          <w:sz w:val="24"/>
          <w:highlight w:val="none"/>
        </w:rPr>
      </w:pPr>
      <w:r>
        <w:rPr>
          <w:rFonts w:hint="eastAsia" w:ascii="楷体_GB2312" w:eastAsia="楷体_GB2312"/>
          <w:b w:val="0"/>
          <w:bCs/>
          <w:color w:val="000000"/>
          <w:sz w:val="24"/>
          <w:highlight w:val="none"/>
        </w:rPr>
        <w:t>（十）赎回费用</w:t>
      </w:r>
    </w:p>
    <w:p>
      <w:pPr>
        <w:ind w:firstLine="480"/>
        <w:rPr>
          <w:rFonts w:hint="eastAsia" w:ascii="楷体_GB2312" w:eastAsia="楷体_GB2312"/>
          <w:bCs/>
          <w:sz w:val="24"/>
          <w:highlight w:val="none"/>
          <w:lang w:val="en-US" w:eastAsia="zh-CN"/>
        </w:rPr>
      </w:pPr>
      <w:r>
        <w:rPr>
          <w:rFonts w:hint="eastAsia" w:ascii="楷体_GB2312" w:eastAsia="楷体_GB2312"/>
          <w:bCs/>
          <w:sz w:val="24"/>
          <w:highlight w:val="none"/>
          <w:lang w:val="en-US" w:eastAsia="zh-CN"/>
        </w:rPr>
        <w:t>本理财产品暂不收取赎回费用。</w:t>
      </w:r>
    </w:p>
    <w:p>
      <w:pPr>
        <w:ind w:firstLine="482" w:firstLineChars="200"/>
        <w:rPr>
          <w:rFonts w:ascii="楷体_GB2312" w:hAnsi="宋体" w:eastAsia="楷体_GB2312"/>
          <w:b/>
          <w:bCs/>
          <w:color w:val="000000"/>
          <w:sz w:val="24"/>
          <w:highlight w:val="none"/>
        </w:rPr>
      </w:pPr>
      <w:r>
        <w:rPr>
          <w:rFonts w:hint="eastAsia" w:ascii="楷体_GB2312" w:hAnsi="楷体" w:eastAsia="楷体_GB2312"/>
          <w:b/>
          <w:bCs/>
          <w:sz w:val="24"/>
          <w:highlight w:val="none"/>
        </w:rPr>
        <w:t>★</w:t>
      </w:r>
      <w:r>
        <w:rPr>
          <w:rFonts w:hint="eastAsia" w:ascii="楷体_GB2312" w:hAnsi="宋体" w:eastAsia="楷体_GB2312"/>
          <w:b/>
          <w:bCs/>
          <w:color w:val="000000"/>
          <w:sz w:val="24"/>
          <w:highlight w:val="none"/>
        </w:rPr>
        <w:t>七、产品的收益分配</w:t>
      </w:r>
    </w:p>
    <w:p>
      <w:pPr>
        <w:ind w:firstLine="480" w:firstLineChars="200"/>
        <w:rPr>
          <w:rFonts w:ascii="楷体_GB2312" w:hAnsi="宋体" w:eastAsia="楷体_GB2312"/>
          <w:color w:val="000000"/>
          <w:sz w:val="24"/>
          <w:highlight w:val="none"/>
        </w:rPr>
      </w:pPr>
      <w:r>
        <w:rPr>
          <w:rFonts w:hint="eastAsia" w:ascii="楷体_GB2312" w:hAnsi="宋体" w:eastAsia="楷体_GB2312"/>
          <w:color w:val="000000"/>
          <w:sz w:val="24"/>
          <w:highlight w:val="none"/>
        </w:rPr>
        <w:t>（一）本理财产品净收益</w:t>
      </w:r>
    </w:p>
    <w:p>
      <w:pPr>
        <w:ind w:firstLine="480" w:firstLineChars="200"/>
        <w:rPr>
          <w:rFonts w:ascii="楷体_GB2312" w:hAnsi="宋体" w:eastAsia="楷体_GB2312"/>
          <w:color w:val="000000"/>
          <w:sz w:val="24"/>
          <w:highlight w:val="none"/>
        </w:rPr>
      </w:pPr>
      <w:r>
        <w:rPr>
          <w:rFonts w:hint="eastAsia" w:ascii="楷体_GB2312" w:hAnsi="宋体" w:eastAsia="楷体_GB2312"/>
          <w:color w:val="000000"/>
          <w:sz w:val="24"/>
          <w:highlight w:val="none"/>
        </w:rPr>
        <w:t>本理财产品净收益为本理财产品收益扣除国家有关规定及</w:t>
      </w:r>
      <w:r>
        <w:rPr>
          <w:rFonts w:hint="eastAsia" w:ascii="楷体_GB2312" w:hAnsi="仿宋" w:eastAsia="楷体_GB2312"/>
          <w:color w:val="000000"/>
          <w:sz w:val="24"/>
          <w:highlight w:val="none"/>
          <w:lang w:val="en-US" w:eastAsia="zh-CN"/>
        </w:rPr>
        <w:t>本理财产品</w:t>
      </w:r>
      <w:r>
        <w:rPr>
          <w:rFonts w:hint="eastAsia" w:ascii="楷体_GB2312" w:hAnsi="仿宋" w:eastAsia="楷体_GB2312"/>
          <w:color w:val="000000"/>
          <w:sz w:val="24"/>
          <w:highlight w:val="none"/>
        </w:rPr>
        <w:t>销售文件</w:t>
      </w:r>
      <w:r>
        <w:rPr>
          <w:rFonts w:hint="eastAsia" w:ascii="楷体_GB2312" w:hAnsi="宋体" w:eastAsia="楷体_GB2312"/>
          <w:color w:val="000000"/>
          <w:sz w:val="24"/>
          <w:highlight w:val="none"/>
        </w:rPr>
        <w:t>约定可以在</w:t>
      </w:r>
      <w:r>
        <w:rPr>
          <w:rFonts w:hint="eastAsia" w:ascii="楷体_GB2312" w:hAnsi="宋体" w:eastAsia="楷体_GB2312"/>
          <w:color w:val="000000"/>
          <w:sz w:val="24"/>
          <w:highlight w:val="none"/>
          <w:lang w:val="en-US" w:eastAsia="zh-CN"/>
        </w:rPr>
        <w:t>本理财</w:t>
      </w:r>
      <w:r>
        <w:rPr>
          <w:rFonts w:hint="eastAsia" w:ascii="楷体_GB2312" w:hAnsi="宋体" w:eastAsia="楷体_GB2312"/>
          <w:color w:val="000000"/>
          <w:sz w:val="24"/>
          <w:highlight w:val="none"/>
        </w:rPr>
        <w:t>产品收益中扣除的费用后的余额。</w:t>
      </w:r>
    </w:p>
    <w:p>
      <w:pPr>
        <w:ind w:firstLine="480" w:firstLineChars="200"/>
        <w:rPr>
          <w:rFonts w:ascii="楷体_GB2312" w:hAnsi="宋体" w:eastAsia="楷体_GB2312"/>
          <w:color w:val="000000"/>
          <w:sz w:val="24"/>
          <w:highlight w:val="none"/>
        </w:rPr>
      </w:pPr>
      <w:r>
        <w:rPr>
          <w:rFonts w:hint="eastAsia" w:ascii="楷体_GB2312" w:hAnsi="宋体" w:eastAsia="楷体_GB2312"/>
          <w:color w:val="000000"/>
          <w:sz w:val="24"/>
          <w:highlight w:val="none"/>
        </w:rPr>
        <w:t>（</w:t>
      </w:r>
      <w:r>
        <w:rPr>
          <w:rFonts w:hint="eastAsia" w:ascii="楷体_GB2312" w:hAnsi="宋体" w:eastAsia="楷体_GB2312"/>
          <w:color w:val="000000"/>
          <w:sz w:val="24"/>
          <w:highlight w:val="none"/>
          <w:lang w:val="en-US" w:eastAsia="zh-CN"/>
        </w:rPr>
        <w:t>二</w:t>
      </w:r>
      <w:r>
        <w:rPr>
          <w:rFonts w:hint="eastAsia" w:ascii="楷体_GB2312" w:hAnsi="宋体" w:eastAsia="楷体_GB2312"/>
          <w:color w:val="000000"/>
          <w:sz w:val="24"/>
          <w:highlight w:val="none"/>
        </w:rPr>
        <w:t>）收益分配原则</w:t>
      </w:r>
    </w:p>
    <w:p>
      <w:pPr>
        <w:ind w:firstLine="480" w:firstLineChars="200"/>
        <w:rPr>
          <w:rFonts w:hint="eastAsia" w:ascii="楷体_GB2312" w:hAnsi="宋体" w:eastAsia="楷体_GB2312"/>
          <w:color w:val="000000"/>
          <w:sz w:val="24"/>
          <w:highlight w:val="none"/>
        </w:rPr>
      </w:pPr>
      <w:r>
        <w:rPr>
          <w:rFonts w:hint="eastAsia" w:ascii="楷体_GB2312" w:hAnsi="宋体" w:eastAsia="楷体_GB2312"/>
          <w:color w:val="000000"/>
          <w:sz w:val="24"/>
          <w:highlight w:val="none"/>
        </w:rPr>
        <w:t>1.每一产品份额享有同等分配权；</w:t>
      </w:r>
    </w:p>
    <w:p>
      <w:pPr>
        <w:ind w:firstLine="480" w:firstLineChars="200"/>
        <w:rPr>
          <w:rFonts w:hint="eastAsia" w:ascii="楷体_GB2312" w:hAnsi="宋体" w:eastAsia="楷体_GB2312"/>
          <w:color w:val="000000"/>
          <w:sz w:val="24"/>
          <w:highlight w:val="none"/>
        </w:rPr>
      </w:pPr>
      <w:r>
        <w:rPr>
          <w:rFonts w:hint="eastAsia" w:ascii="楷体_GB2312" w:hAnsi="宋体" w:eastAsia="楷体_GB2312"/>
          <w:color w:val="000000"/>
          <w:sz w:val="24"/>
          <w:highlight w:val="none"/>
          <w:lang w:val="en-US" w:eastAsia="zh-CN"/>
        </w:rPr>
        <w:t>2.</w:t>
      </w:r>
      <w:r>
        <w:rPr>
          <w:rFonts w:hint="eastAsia" w:ascii="楷体_GB2312" w:hAnsi="宋体" w:eastAsia="楷体_GB2312"/>
          <w:color w:val="000000"/>
          <w:sz w:val="24"/>
          <w:highlight w:val="none"/>
        </w:rPr>
        <w:t>可供分配利润为本理财产品权益登记日（如有）未分配利润与未分配利润中的已实现部分的孰低数，其中权益登记日为登记享有分红权益的理财份额的日期；</w:t>
      </w:r>
    </w:p>
    <w:p>
      <w:pPr>
        <w:numPr>
          <w:ilvl w:val="0"/>
          <w:numId w:val="0"/>
        </w:numPr>
        <w:ind w:firstLine="480" w:firstLineChars="200"/>
        <w:rPr>
          <w:rFonts w:hint="eastAsia" w:ascii="楷体_GB2312" w:hAnsi="宋体" w:eastAsia="楷体_GB2312"/>
          <w:color w:val="000000"/>
          <w:sz w:val="24"/>
          <w:highlight w:val="none"/>
        </w:rPr>
      </w:pPr>
      <w:r>
        <w:rPr>
          <w:rFonts w:hint="eastAsia" w:ascii="楷体_GB2312" w:hAnsi="宋体" w:eastAsia="楷体_GB2312"/>
          <w:color w:val="000000"/>
          <w:sz w:val="24"/>
          <w:highlight w:val="none"/>
          <w:lang w:val="en-US" w:eastAsia="zh-CN"/>
        </w:rPr>
        <w:t>3.本理财</w:t>
      </w:r>
      <w:r>
        <w:rPr>
          <w:rFonts w:ascii="楷体_GB2312" w:hAnsi="宋体" w:eastAsia="楷体_GB2312"/>
          <w:color w:val="000000"/>
          <w:sz w:val="24"/>
          <w:highlight w:val="none"/>
        </w:rPr>
        <w:t>产品投资当期出现亏损，则不进行收益分配</w:t>
      </w:r>
      <w:r>
        <w:rPr>
          <w:rFonts w:hint="eastAsia" w:ascii="楷体_GB2312" w:hAnsi="宋体" w:eastAsia="楷体_GB2312"/>
          <w:color w:val="000000"/>
          <w:sz w:val="24"/>
          <w:highlight w:val="none"/>
        </w:rPr>
        <w:t>；</w:t>
      </w:r>
    </w:p>
    <w:p>
      <w:pPr>
        <w:numPr>
          <w:ilvl w:val="0"/>
          <w:numId w:val="0"/>
        </w:numPr>
        <w:ind w:firstLine="480" w:firstLineChars="200"/>
        <w:rPr>
          <w:rFonts w:ascii="楷体_GB2312" w:hAnsi="宋体" w:eastAsia="楷体_GB2312"/>
          <w:color w:val="000000"/>
          <w:sz w:val="24"/>
          <w:highlight w:val="none"/>
        </w:rPr>
      </w:pPr>
      <w:r>
        <w:rPr>
          <w:rFonts w:hint="eastAsia" w:ascii="楷体_GB2312" w:hAnsi="宋体" w:eastAsia="楷体_GB2312"/>
          <w:color w:val="000000"/>
          <w:sz w:val="24"/>
          <w:highlight w:val="none"/>
          <w:lang w:val="en-US" w:eastAsia="zh-CN"/>
        </w:rPr>
        <w:t>4.本理财</w:t>
      </w:r>
      <w:r>
        <w:rPr>
          <w:rFonts w:hint="eastAsia" w:ascii="楷体_GB2312" w:hAnsi="宋体" w:eastAsia="楷体_GB2312"/>
          <w:color w:val="000000"/>
          <w:sz w:val="24"/>
          <w:highlight w:val="none"/>
        </w:rPr>
        <w:t>产品收益分配后产品份额净值不能低于产品单位面值。</w:t>
      </w:r>
    </w:p>
    <w:p>
      <w:pPr>
        <w:ind w:firstLine="482" w:firstLineChars="200"/>
        <w:rPr>
          <w:rFonts w:ascii="楷体_GB2312" w:hAnsi="宋体" w:eastAsia="楷体_GB2312"/>
          <w:color w:val="000000"/>
          <w:sz w:val="24"/>
          <w:highlight w:val="none"/>
        </w:rPr>
      </w:pPr>
      <w:r>
        <w:rPr>
          <w:rFonts w:hint="eastAsia" w:ascii="楷体_GB2312" w:hAnsi="楷体" w:eastAsia="楷体_GB2312"/>
          <w:b/>
          <w:bCs/>
          <w:sz w:val="24"/>
          <w:highlight w:val="none"/>
        </w:rPr>
        <w:t>★</w:t>
      </w:r>
      <w:r>
        <w:rPr>
          <w:rFonts w:hint="eastAsia" w:ascii="楷体_GB2312" w:hAnsi="宋体" w:eastAsia="楷体_GB2312"/>
          <w:color w:val="000000"/>
          <w:sz w:val="24"/>
          <w:highlight w:val="none"/>
        </w:rPr>
        <w:t>（</w:t>
      </w:r>
      <w:r>
        <w:rPr>
          <w:rFonts w:hint="eastAsia" w:ascii="楷体_GB2312" w:hAnsi="宋体" w:eastAsia="楷体_GB2312"/>
          <w:color w:val="000000"/>
          <w:sz w:val="24"/>
          <w:highlight w:val="none"/>
          <w:lang w:eastAsia="zh-CN"/>
        </w:rPr>
        <w:t>三</w:t>
      </w:r>
      <w:r>
        <w:rPr>
          <w:rFonts w:hint="eastAsia" w:ascii="楷体_GB2312" w:hAnsi="宋体" w:eastAsia="楷体_GB2312"/>
          <w:color w:val="000000"/>
          <w:sz w:val="24"/>
          <w:highlight w:val="none"/>
        </w:rPr>
        <w:t>）收益分配方案</w:t>
      </w:r>
    </w:p>
    <w:p>
      <w:pPr>
        <w:ind w:firstLine="480" w:firstLineChars="200"/>
        <w:rPr>
          <w:rFonts w:hint="eastAsia" w:ascii="楷体_GB2312" w:hAnsi="宋体" w:eastAsia="楷体_GB2312"/>
          <w:color w:val="000000"/>
          <w:sz w:val="24"/>
          <w:highlight w:val="none"/>
        </w:rPr>
      </w:pPr>
      <w:r>
        <w:rPr>
          <w:rFonts w:hint="eastAsia" w:ascii="楷体_GB2312" w:hAnsi="宋体" w:eastAsia="楷体_GB2312"/>
          <w:color w:val="000000"/>
          <w:sz w:val="24"/>
          <w:highlight w:val="none"/>
          <w:lang w:val="en-US" w:eastAsia="zh-CN"/>
        </w:rPr>
        <w:t>1.产品</w:t>
      </w:r>
      <w:r>
        <w:rPr>
          <w:rFonts w:ascii="楷体_GB2312" w:hAnsi="宋体" w:eastAsia="楷体_GB2312"/>
          <w:color w:val="000000"/>
          <w:sz w:val="24"/>
          <w:highlight w:val="none"/>
        </w:rPr>
        <w:t>管理人将根据收益</w:t>
      </w:r>
      <w:r>
        <w:rPr>
          <w:rFonts w:hint="eastAsia" w:ascii="楷体_GB2312" w:hAnsi="宋体" w:eastAsia="楷体_GB2312"/>
          <w:color w:val="000000"/>
          <w:sz w:val="24"/>
          <w:highlight w:val="none"/>
        </w:rPr>
        <w:t>分配</w:t>
      </w:r>
      <w:r>
        <w:rPr>
          <w:rFonts w:ascii="楷体_GB2312" w:hAnsi="宋体" w:eastAsia="楷体_GB2312"/>
          <w:color w:val="000000"/>
          <w:sz w:val="24"/>
          <w:highlight w:val="none"/>
        </w:rPr>
        <w:t>原则进行不定期分配</w:t>
      </w:r>
      <w:r>
        <w:rPr>
          <w:rFonts w:hint="eastAsia" w:ascii="楷体_GB2312" w:hAnsi="宋体" w:eastAsia="楷体_GB2312"/>
          <w:color w:val="000000"/>
          <w:sz w:val="24"/>
          <w:highlight w:val="none"/>
          <w:lang w:eastAsia="zh-CN"/>
        </w:rPr>
        <w:t>，</w:t>
      </w:r>
      <w:r>
        <w:rPr>
          <w:rFonts w:hint="eastAsia" w:ascii="楷体_GB2312" w:hAnsi="宋体" w:eastAsia="楷体_GB2312"/>
          <w:color w:val="000000"/>
          <w:sz w:val="24"/>
          <w:highlight w:val="none"/>
        </w:rPr>
        <w:t>收益分配方式</w:t>
      </w:r>
      <w:r>
        <w:rPr>
          <w:rFonts w:hint="eastAsia" w:ascii="楷体_GB2312" w:hAnsi="宋体" w:eastAsia="楷体_GB2312"/>
          <w:color w:val="000000"/>
          <w:sz w:val="24"/>
          <w:highlight w:val="none"/>
          <w:lang w:val="en-US" w:eastAsia="zh-CN"/>
        </w:rPr>
        <w:t>仅</w:t>
      </w:r>
      <w:r>
        <w:rPr>
          <w:rFonts w:hint="eastAsia" w:ascii="楷体_GB2312" w:hAnsi="宋体" w:eastAsia="楷体_GB2312"/>
          <w:color w:val="000000"/>
          <w:sz w:val="24"/>
          <w:highlight w:val="none"/>
        </w:rPr>
        <w:t>为现金分红。</w:t>
      </w:r>
    </w:p>
    <w:p>
      <w:pPr>
        <w:ind w:firstLine="480" w:firstLineChars="200"/>
        <w:rPr>
          <w:highlight w:val="none"/>
        </w:rPr>
      </w:pPr>
      <w:r>
        <w:rPr>
          <w:rFonts w:hint="eastAsia" w:ascii="楷体_GB2312" w:hAnsi="宋体" w:eastAsia="楷体_GB2312"/>
          <w:color w:val="000000"/>
          <w:sz w:val="24"/>
          <w:highlight w:val="none"/>
          <w:lang w:val="en-US" w:eastAsia="zh-CN"/>
        </w:rPr>
        <w:t>2.</w:t>
      </w:r>
      <w:r>
        <w:rPr>
          <w:rFonts w:hint="eastAsia" w:ascii="楷体_GB2312" w:hAnsi="宋体" w:eastAsia="楷体_GB2312"/>
          <w:color w:val="000000"/>
          <w:sz w:val="24"/>
          <w:highlight w:val="none"/>
        </w:rPr>
        <w:t>理财产品收益分配方案由</w:t>
      </w:r>
      <w:r>
        <w:rPr>
          <w:rFonts w:hint="eastAsia" w:ascii="楷体_GB2312" w:hAnsi="宋体" w:eastAsia="楷体_GB2312"/>
          <w:color w:val="000000"/>
          <w:sz w:val="24"/>
          <w:highlight w:val="none"/>
          <w:lang w:val="en-US" w:eastAsia="zh-CN"/>
        </w:rPr>
        <w:t>产品</w:t>
      </w:r>
      <w:r>
        <w:rPr>
          <w:rFonts w:hint="eastAsia" w:ascii="楷体_GB2312" w:hAnsi="宋体" w:eastAsia="楷体_GB2312"/>
          <w:color w:val="000000"/>
          <w:sz w:val="24"/>
          <w:highlight w:val="none"/>
        </w:rPr>
        <w:t>管理人拟订，由托管人复核，并于收益分配后的</w:t>
      </w:r>
      <w:r>
        <w:rPr>
          <w:rFonts w:hint="eastAsia" w:ascii="楷体_GB2312" w:hAnsi="宋体" w:eastAsia="楷体_GB2312"/>
          <w:color w:val="000000"/>
          <w:sz w:val="24"/>
          <w:highlight w:val="none"/>
          <w:lang w:eastAsia="zh-CN"/>
        </w:rPr>
        <w:t>【</w:t>
      </w:r>
      <w:r>
        <w:rPr>
          <w:rFonts w:hint="eastAsia" w:ascii="楷体_GB2312" w:hAnsi="宋体" w:eastAsia="楷体_GB2312"/>
          <w:color w:val="000000"/>
          <w:sz w:val="24"/>
          <w:highlight w:val="none"/>
        </w:rPr>
        <w:t>2</w:t>
      </w:r>
      <w:r>
        <w:rPr>
          <w:rFonts w:hint="eastAsia" w:ascii="楷体_GB2312" w:hAnsi="宋体" w:eastAsia="楷体_GB2312"/>
          <w:color w:val="000000"/>
          <w:sz w:val="24"/>
          <w:highlight w:val="none"/>
          <w:lang w:eastAsia="zh-CN"/>
        </w:rPr>
        <w:t>】</w:t>
      </w:r>
      <w:r>
        <w:rPr>
          <w:rFonts w:hint="eastAsia" w:ascii="楷体_GB2312" w:hAnsi="宋体" w:eastAsia="楷体_GB2312"/>
          <w:color w:val="000000"/>
          <w:sz w:val="24"/>
          <w:highlight w:val="none"/>
        </w:rPr>
        <w:t>个工作日内由</w:t>
      </w:r>
      <w:r>
        <w:rPr>
          <w:rFonts w:hint="eastAsia" w:ascii="楷体_GB2312" w:hAnsi="宋体" w:eastAsia="楷体_GB2312"/>
          <w:color w:val="000000"/>
          <w:sz w:val="24"/>
          <w:highlight w:val="none"/>
          <w:lang w:val="en-US" w:eastAsia="zh-CN"/>
        </w:rPr>
        <w:t>产品</w:t>
      </w:r>
      <w:r>
        <w:rPr>
          <w:rFonts w:hint="eastAsia" w:ascii="楷体_GB2312" w:hAnsi="宋体" w:eastAsia="楷体_GB2312"/>
          <w:color w:val="000000"/>
          <w:sz w:val="24"/>
          <w:highlight w:val="none"/>
        </w:rPr>
        <w:t>管理人通过</w:t>
      </w:r>
      <w:r>
        <w:rPr>
          <w:rFonts w:hint="eastAsia" w:ascii="楷体_GB2312" w:hAnsi="宋体" w:eastAsia="楷体_GB2312"/>
          <w:color w:val="auto"/>
          <w:sz w:val="24"/>
          <w:highlight w:val="none"/>
          <w:lang w:val="en-US" w:eastAsia="zh-CN"/>
        </w:rPr>
        <w:t>本理财产品销售文件约定的信息披露渠道</w:t>
      </w:r>
      <w:r>
        <w:rPr>
          <w:rFonts w:hint="eastAsia" w:ascii="楷体_GB2312" w:hAnsi="宋体" w:eastAsia="楷体_GB2312"/>
          <w:color w:val="000000"/>
          <w:sz w:val="24"/>
          <w:highlight w:val="none"/>
        </w:rPr>
        <w:t>向投资者披露。</w:t>
      </w:r>
    </w:p>
    <w:p>
      <w:pPr>
        <w:snapToGrid w:val="0"/>
        <w:ind w:firstLine="472" w:firstLineChars="196"/>
        <w:rPr>
          <w:rFonts w:hint="eastAsia" w:ascii="楷体_GB2312" w:hAnsi="宋体" w:eastAsia="楷体_GB2312"/>
          <w:b/>
          <w:color w:val="000000"/>
          <w:sz w:val="24"/>
          <w:highlight w:val="none"/>
        </w:rPr>
      </w:pPr>
      <w:r>
        <w:rPr>
          <w:rFonts w:hint="eastAsia" w:ascii="楷体_GB2312" w:hAnsi="宋体" w:eastAsia="楷体_GB2312"/>
          <w:b/>
          <w:color w:val="000000"/>
          <w:sz w:val="24"/>
          <w:highlight w:val="none"/>
        </w:rPr>
        <w:t>业绩比较基准为</w:t>
      </w:r>
      <w:r>
        <w:rPr>
          <w:rFonts w:hint="eastAsia" w:ascii="楷体_GB2312" w:hAnsi="宋体" w:eastAsia="楷体_GB2312"/>
          <w:b/>
          <w:color w:val="000000"/>
          <w:sz w:val="24"/>
          <w:highlight w:val="none"/>
          <w:lang w:val="en-US" w:eastAsia="zh-CN"/>
        </w:rPr>
        <w:t>产品</w:t>
      </w:r>
      <w:r>
        <w:rPr>
          <w:rFonts w:hint="eastAsia" w:ascii="楷体_GB2312" w:hAnsi="宋体" w:eastAsia="楷体_GB2312"/>
          <w:b/>
          <w:color w:val="000000"/>
          <w:sz w:val="24"/>
          <w:highlight w:val="none"/>
        </w:rPr>
        <w:t>管理人制定收益分配方案的参照基础</w:t>
      </w:r>
      <w:r>
        <w:rPr>
          <w:rFonts w:hint="eastAsia" w:ascii="楷体_GB2312" w:hAnsi="宋体" w:eastAsia="楷体_GB2312"/>
          <w:b/>
          <w:color w:val="000000"/>
          <w:sz w:val="24"/>
          <w:highlight w:val="none"/>
          <w:lang w:eastAsia="zh-CN"/>
        </w:rPr>
        <w:t>，</w:t>
      </w:r>
      <w:r>
        <w:rPr>
          <w:rFonts w:hint="eastAsia" w:ascii="楷体_GB2312" w:hAnsi="宋体" w:eastAsia="楷体_GB2312"/>
          <w:b/>
          <w:color w:val="000000"/>
          <w:sz w:val="24"/>
          <w:highlight w:val="none"/>
        </w:rPr>
        <w:t>仅供</w:t>
      </w:r>
      <w:r>
        <w:rPr>
          <w:rFonts w:hint="eastAsia" w:ascii="楷体_GB2312" w:hAnsi="宋体" w:eastAsia="楷体_GB2312"/>
          <w:b/>
          <w:color w:val="000000"/>
          <w:sz w:val="24"/>
          <w:highlight w:val="none"/>
          <w:lang w:val="en-US" w:eastAsia="zh-CN"/>
        </w:rPr>
        <w:t>投资者</w:t>
      </w:r>
      <w:r>
        <w:rPr>
          <w:rFonts w:hint="eastAsia" w:ascii="楷体_GB2312" w:hAnsi="宋体" w:eastAsia="楷体_GB2312"/>
          <w:b/>
          <w:color w:val="000000"/>
          <w:sz w:val="24"/>
          <w:highlight w:val="none"/>
        </w:rPr>
        <w:t>参考，并不构成</w:t>
      </w:r>
      <w:r>
        <w:rPr>
          <w:rFonts w:hint="eastAsia" w:ascii="楷体_GB2312" w:hAnsi="宋体" w:eastAsia="楷体_GB2312"/>
          <w:b/>
          <w:color w:val="000000"/>
          <w:sz w:val="24"/>
          <w:highlight w:val="none"/>
          <w:lang w:val="en-US" w:eastAsia="zh-CN"/>
        </w:rPr>
        <w:t>产品管理人</w:t>
      </w:r>
      <w:r>
        <w:rPr>
          <w:rFonts w:hint="eastAsia" w:ascii="楷体_GB2312" w:hAnsi="宋体" w:eastAsia="楷体_GB2312"/>
          <w:b/>
          <w:color w:val="000000"/>
          <w:sz w:val="24"/>
          <w:highlight w:val="none"/>
        </w:rPr>
        <w:t>对投资本金不受损失或者取得最低投资收益的承诺。</w:t>
      </w:r>
    </w:p>
    <w:p>
      <w:pPr>
        <w:snapToGrid w:val="0"/>
        <w:ind w:firstLine="472" w:firstLineChars="196"/>
      </w:pPr>
      <w:r>
        <w:rPr>
          <w:rFonts w:hint="eastAsia" w:ascii="楷体_GB2312" w:hAnsi="宋体" w:eastAsia="楷体_GB2312"/>
          <w:b/>
          <w:color w:val="000000"/>
          <w:sz w:val="24"/>
          <w:highlight w:val="none"/>
          <w:u w:val="none"/>
        </w:rPr>
        <w:t>在符合法律法规及</w:t>
      </w:r>
      <w:r>
        <w:rPr>
          <w:rFonts w:hint="eastAsia" w:ascii="楷体_GB2312" w:hAnsi="宋体" w:eastAsia="楷体_GB2312"/>
          <w:b/>
          <w:color w:val="000000"/>
          <w:sz w:val="24"/>
          <w:highlight w:val="none"/>
          <w:u w:val="none"/>
          <w:lang w:val="en-US" w:eastAsia="zh-CN"/>
        </w:rPr>
        <w:t>本</w:t>
      </w:r>
      <w:r>
        <w:rPr>
          <w:rFonts w:hint="eastAsia" w:ascii="楷体_GB2312" w:hAnsi="宋体" w:eastAsia="楷体_GB2312"/>
          <w:b/>
          <w:color w:val="000000"/>
          <w:sz w:val="24"/>
          <w:highlight w:val="none"/>
          <w:u w:val="none"/>
        </w:rPr>
        <w:t>理财产品销售文件约定，并对</w:t>
      </w:r>
      <w:r>
        <w:rPr>
          <w:rFonts w:hint="eastAsia" w:ascii="楷体_GB2312" w:hAnsi="宋体" w:eastAsia="楷体_GB2312"/>
          <w:b/>
          <w:color w:val="000000"/>
          <w:sz w:val="24"/>
          <w:highlight w:val="none"/>
          <w:u w:val="none"/>
          <w:lang w:val="en-US" w:eastAsia="zh-CN"/>
        </w:rPr>
        <w:t>本</w:t>
      </w:r>
      <w:r>
        <w:rPr>
          <w:rFonts w:hint="eastAsia" w:ascii="楷体_GB2312" w:hAnsi="宋体" w:eastAsia="楷体_GB2312"/>
          <w:b/>
          <w:color w:val="000000"/>
          <w:sz w:val="24"/>
          <w:highlight w:val="none"/>
          <w:u w:val="none"/>
        </w:rPr>
        <w:t>理财产品投资者利益无实质不利影响的前提下，产品管理人可提前</w:t>
      </w:r>
      <w:r>
        <w:rPr>
          <w:rFonts w:hint="eastAsia" w:ascii="楷体_GB2312" w:hAnsi="宋体" w:eastAsia="楷体_GB2312"/>
          <w:b/>
          <w:color w:val="000000"/>
          <w:sz w:val="24"/>
          <w:highlight w:val="none"/>
          <w:u w:val="none"/>
          <w:lang w:val="en-US" w:eastAsia="zh-CN"/>
        </w:rPr>
        <w:t>1</w:t>
      </w:r>
      <w:r>
        <w:rPr>
          <w:rFonts w:hint="eastAsia" w:ascii="楷体_GB2312" w:hAnsi="宋体" w:eastAsia="楷体_GB2312"/>
          <w:b/>
          <w:color w:val="000000"/>
          <w:sz w:val="24"/>
          <w:highlight w:val="none"/>
          <w:u w:val="none"/>
        </w:rPr>
        <w:t>个工作日通知投资者，</w:t>
      </w:r>
      <w:r>
        <w:rPr>
          <w:rFonts w:hint="eastAsia" w:ascii="楷体_GB2312" w:hAnsi="宋体" w:eastAsia="楷体_GB2312"/>
          <w:b/>
          <w:color w:val="000000"/>
          <w:sz w:val="24"/>
          <w:highlight w:val="none"/>
        </w:rPr>
        <w:t>对</w:t>
      </w:r>
      <w:r>
        <w:rPr>
          <w:rFonts w:hint="eastAsia" w:ascii="楷体_GB2312" w:hAnsi="宋体" w:eastAsia="楷体_GB2312"/>
          <w:b/>
          <w:color w:val="000000"/>
          <w:sz w:val="24"/>
          <w:highlight w:val="none"/>
          <w:lang w:val="en-US" w:eastAsia="zh-CN"/>
        </w:rPr>
        <w:t>本理财产品的收益</w:t>
      </w:r>
      <w:r>
        <w:rPr>
          <w:rFonts w:hint="eastAsia" w:ascii="楷体_GB2312" w:hAnsi="宋体" w:eastAsia="楷体_GB2312"/>
          <w:b/>
          <w:color w:val="000000"/>
          <w:sz w:val="24"/>
          <w:highlight w:val="none"/>
        </w:rPr>
        <w:t>分配</w:t>
      </w:r>
      <w:r>
        <w:rPr>
          <w:rFonts w:hint="eastAsia" w:ascii="楷体_GB2312" w:hAnsi="宋体" w:eastAsia="楷体_GB2312"/>
          <w:b/>
          <w:color w:val="000000"/>
          <w:sz w:val="24"/>
          <w:highlight w:val="none"/>
          <w:lang w:val="en-US" w:eastAsia="zh-CN"/>
        </w:rPr>
        <w:t>原则</w:t>
      </w:r>
      <w:r>
        <w:rPr>
          <w:rFonts w:hint="eastAsia" w:ascii="楷体_GB2312" w:hAnsi="宋体" w:eastAsia="楷体_GB2312"/>
          <w:b/>
          <w:color w:val="000000"/>
          <w:sz w:val="24"/>
          <w:highlight w:val="none"/>
        </w:rPr>
        <w:t>及</w:t>
      </w:r>
      <w:r>
        <w:rPr>
          <w:rFonts w:hint="eastAsia" w:ascii="楷体_GB2312" w:hAnsi="宋体" w:eastAsia="楷体_GB2312"/>
          <w:b/>
          <w:color w:val="000000"/>
          <w:sz w:val="24"/>
          <w:highlight w:val="none"/>
          <w:lang w:val="en-US" w:eastAsia="zh-CN"/>
        </w:rPr>
        <w:t>方案</w:t>
      </w:r>
      <w:r>
        <w:rPr>
          <w:rFonts w:hint="eastAsia" w:ascii="楷体_GB2312" w:hAnsi="宋体" w:eastAsia="楷体_GB2312"/>
          <w:b/>
          <w:color w:val="000000"/>
          <w:sz w:val="24"/>
          <w:highlight w:val="none"/>
        </w:rPr>
        <w:t>进行调整。</w:t>
      </w:r>
    </w:p>
    <w:p>
      <w:pPr>
        <w:ind w:firstLine="482" w:firstLineChars="200"/>
        <w:rPr>
          <w:rFonts w:ascii="楷体_GB2312" w:hAnsi="宋体" w:eastAsia="楷体_GB2312"/>
          <w:b/>
          <w:color w:val="000000"/>
          <w:sz w:val="24"/>
        </w:rPr>
      </w:pPr>
      <w:r>
        <w:rPr>
          <w:rFonts w:hint="eastAsia" w:ascii="楷体_GB2312" w:hAnsi="宋体" w:eastAsia="楷体_GB2312"/>
          <w:b/>
          <w:color w:val="000000"/>
          <w:sz w:val="24"/>
        </w:rPr>
        <w:t>八、产品的终止与清算</w:t>
      </w:r>
    </w:p>
    <w:p>
      <w:pPr>
        <w:ind w:firstLine="480" w:firstLineChars="200"/>
        <w:rPr>
          <w:rFonts w:ascii="楷体_GB2312" w:hAnsi="宋体" w:eastAsia="楷体_GB2312"/>
          <w:color w:val="000000"/>
          <w:sz w:val="24"/>
          <w:highlight w:val="none"/>
        </w:rPr>
      </w:pPr>
      <w:r>
        <w:rPr>
          <w:rFonts w:hint="eastAsia" w:ascii="楷体_GB2312" w:hAnsi="楷体" w:eastAsia="楷体_GB2312"/>
          <w:sz w:val="24"/>
          <w:highlight w:val="none"/>
        </w:rPr>
        <w:t>★</w:t>
      </w:r>
      <w:r>
        <w:rPr>
          <w:rFonts w:hint="eastAsia" w:ascii="楷体_GB2312" w:hAnsi="宋体" w:eastAsia="楷体_GB2312"/>
          <w:color w:val="000000"/>
          <w:sz w:val="24"/>
          <w:highlight w:val="none"/>
        </w:rPr>
        <w:t>（一）产品</w:t>
      </w:r>
      <w:r>
        <w:rPr>
          <w:rFonts w:hint="eastAsia" w:ascii="楷体_GB2312" w:hAnsi="宋体" w:eastAsia="楷体_GB2312"/>
          <w:color w:val="000000"/>
          <w:sz w:val="24"/>
          <w:highlight w:val="none"/>
          <w:lang w:val="en-US" w:eastAsia="zh-CN"/>
        </w:rPr>
        <w:t>的</w:t>
      </w:r>
      <w:r>
        <w:rPr>
          <w:rFonts w:hint="eastAsia" w:ascii="楷体_GB2312" w:hAnsi="宋体" w:eastAsia="楷体_GB2312"/>
          <w:color w:val="000000"/>
          <w:sz w:val="24"/>
          <w:highlight w:val="none"/>
        </w:rPr>
        <w:t>提前终止</w:t>
      </w:r>
    </w:p>
    <w:p>
      <w:pPr>
        <w:ind w:firstLine="480" w:firstLineChars="200"/>
        <w:rPr>
          <w:rFonts w:hint="eastAsia" w:ascii="楷体_GB2312" w:hAnsi="宋体" w:eastAsia="楷体_GB2312"/>
          <w:color w:val="000000"/>
          <w:sz w:val="24"/>
          <w:highlight w:val="none"/>
          <w:lang w:eastAsia="zh-CN"/>
        </w:rPr>
      </w:pPr>
      <w:r>
        <w:rPr>
          <w:rFonts w:hint="eastAsia" w:ascii="楷体_GB2312" w:hAnsi="宋体" w:eastAsia="楷体_GB2312"/>
          <w:color w:val="000000"/>
          <w:sz w:val="24"/>
          <w:highlight w:val="none"/>
          <w:lang w:eastAsia="zh-CN"/>
        </w:rPr>
        <w:t>本理财产品</w:t>
      </w:r>
      <w:r>
        <w:rPr>
          <w:rFonts w:hint="eastAsia" w:ascii="楷体_GB2312" w:hAnsi="宋体" w:eastAsia="楷体_GB2312"/>
          <w:color w:val="000000"/>
          <w:sz w:val="24"/>
          <w:highlight w:val="none"/>
        </w:rPr>
        <w:t>存续期内如</w:t>
      </w:r>
      <w:r>
        <w:rPr>
          <w:rFonts w:hint="eastAsia" w:ascii="楷体_GB2312" w:hAnsi="宋体" w:eastAsia="楷体_GB2312"/>
          <w:color w:val="000000"/>
          <w:sz w:val="24"/>
          <w:highlight w:val="none"/>
          <w:lang w:eastAsia="zh-CN"/>
        </w:rPr>
        <w:t>出现以下情况，产品管理人有权提前终止本理财产品：</w:t>
      </w:r>
    </w:p>
    <w:p>
      <w:pPr>
        <w:ind w:firstLine="480" w:firstLineChars="200"/>
        <w:rPr>
          <w:rFonts w:hint="eastAsia" w:ascii="楷体_GB2312" w:hAnsi="宋体" w:eastAsia="楷体_GB2312"/>
          <w:color w:val="000000"/>
          <w:sz w:val="24"/>
          <w:highlight w:val="none"/>
          <w:lang w:eastAsia="zh-CN"/>
        </w:rPr>
      </w:pPr>
      <w:r>
        <w:rPr>
          <w:rFonts w:hint="eastAsia" w:ascii="楷体_GB2312" w:hAnsi="宋体" w:eastAsia="楷体_GB2312"/>
          <w:color w:val="000000"/>
          <w:sz w:val="24"/>
          <w:highlight w:val="none"/>
          <w:lang w:eastAsia="zh-CN"/>
        </w:rPr>
        <w:t>1.由于监管机构要求或法律法规规定需要终止本理财产品；</w:t>
      </w:r>
    </w:p>
    <w:p>
      <w:pPr>
        <w:ind w:firstLine="480" w:firstLineChars="200"/>
        <w:rPr>
          <w:rFonts w:hint="eastAsia" w:ascii="楷体_GB2312" w:hAnsi="宋体" w:eastAsia="楷体_GB2312"/>
          <w:color w:val="000000"/>
          <w:sz w:val="24"/>
          <w:highlight w:val="none"/>
          <w:lang w:eastAsia="zh-CN"/>
        </w:rPr>
      </w:pPr>
      <w:r>
        <w:rPr>
          <w:rFonts w:hint="eastAsia" w:ascii="楷体_GB2312" w:hAnsi="宋体" w:eastAsia="楷体_GB2312"/>
          <w:color w:val="000000"/>
          <w:sz w:val="24"/>
          <w:highlight w:val="none"/>
          <w:lang w:eastAsia="zh-CN"/>
        </w:rPr>
        <w:t>2.因自然灾害、疫情、严重传染病、金融市场危机、战争、国家政策变化等不可抗力因素及/或意外事件导致本理财产品无法正常运作或产品管理人无法继续履行本理财产品销售文件约定事项；</w:t>
      </w:r>
    </w:p>
    <w:p>
      <w:pPr>
        <w:ind w:firstLine="480" w:firstLineChars="200"/>
        <w:rPr>
          <w:rFonts w:hint="eastAsia" w:ascii="楷体_GB2312" w:hAnsi="宋体" w:eastAsia="楷体_GB2312"/>
          <w:color w:val="000000"/>
          <w:sz w:val="24"/>
          <w:highlight w:val="none"/>
          <w:lang w:eastAsia="zh-CN"/>
        </w:rPr>
      </w:pPr>
      <w:r>
        <w:rPr>
          <w:rFonts w:hint="eastAsia" w:ascii="楷体_GB2312" w:hAnsi="宋体" w:eastAsia="楷体_GB2312"/>
          <w:color w:val="000000"/>
          <w:sz w:val="24"/>
          <w:highlight w:val="none"/>
          <w:lang w:eastAsia="zh-CN"/>
        </w:rPr>
        <w:t>3.遇有市场出现剧烈波动、异常风险事件等情形导致本理财产品收益出现大幅波动或严重影响本理财产品的资产安全；</w:t>
      </w:r>
    </w:p>
    <w:p>
      <w:pPr>
        <w:ind w:firstLine="480" w:firstLineChars="200"/>
        <w:rPr>
          <w:rFonts w:hint="eastAsia" w:ascii="楷体_GB2312" w:hAnsi="宋体" w:eastAsia="楷体_GB2312"/>
          <w:color w:val="000000"/>
          <w:sz w:val="24"/>
          <w:highlight w:val="none"/>
          <w:lang w:eastAsia="zh-CN"/>
        </w:rPr>
      </w:pPr>
      <w:r>
        <w:rPr>
          <w:rFonts w:hint="eastAsia" w:ascii="楷体_GB2312" w:hAnsi="宋体" w:eastAsia="楷体_GB2312"/>
          <w:color w:val="000000"/>
          <w:sz w:val="24"/>
          <w:highlight w:val="none"/>
          <w:lang w:eastAsia="zh-CN"/>
        </w:rPr>
        <w:t>4.因理财资金被有权机关扣划等原因导致本理财产品剩余资产无法满足相关法律法规规定、所投资市场要求或协议等相关法律文件约定，或者继续存续无法实现投资目标；</w:t>
      </w:r>
    </w:p>
    <w:p>
      <w:pPr>
        <w:ind w:firstLine="480" w:firstLineChars="200"/>
        <w:rPr>
          <w:rFonts w:hint="eastAsia" w:ascii="楷体_GB2312" w:hAnsi="宋体" w:eastAsia="楷体_GB2312"/>
          <w:color w:val="000000"/>
          <w:sz w:val="24"/>
          <w:highlight w:val="none"/>
          <w:lang w:eastAsia="zh-CN"/>
        </w:rPr>
      </w:pPr>
      <w:r>
        <w:rPr>
          <w:rFonts w:hint="eastAsia" w:ascii="楷体_GB2312" w:hAnsi="宋体" w:eastAsia="楷体_GB2312"/>
          <w:color w:val="000000"/>
          <w:sz w:val="24"/>
          <w:highlight w:val="none"/>
          <w:lang w:eastAsia="zh-CN"/>
        </w:rPr>
        <w:t>5.相关投资合作机构或运用理财资金的第三方主体实施符合法律法规规定或协议等相关文件约定的行为导致本理财产品被动终止；</w:t>
      </w:r>
    </w:p>
    <w:p>
      <w:pPr>
        <w:ind w:firstLine="480" w:firstLineChars="200"/>
        <w:rPr>
          <w:rFonts w:hint="eastAsia" w:ascii="楷体_GB2312" w:hAnsi="宋体" w:eastAsia="楷体_GB2312"/>
          <w:color w:val="000000"/>
          <w:sz w:val="24"/>
          <w:highlight w:val="none"/>
          <w:lang w:eastAsia="zh-CN"/>
        </w:rPr>
      </w:pPr>
      <w:r>
        <w:rPr>
          <w:rFonts w:hint="eastAsia" w:ascii="楷体_GB2312" w:hAnsi="宋体" w:eastAsia="楷体_GB2312"/>
          <w:color w:val="000000"/>
          <w:sz w:val="24"/>
          <w:highlight w:val="none"/>
          <w:lang w:eastAsia="zh-CN"/>
        </w:rPr>
        <w:t>6.产品管理人根据市场情况认为需要终止本理财产品。</w:t>
      </w:r>
    </w:p>
    <w:p>
      <w:pPr>
        <w:ind w:firstLine="480" w:firstLineChars="200"/>
        <w:rPr>
          <w:rFonts w:ascii="楷体_GB2312" w:hAnsi="宋体" w:eastAsia="楷体_GB2312"/>
          <w:color w:val="000000"/>
          <w:sz w:val="24"/>
          <w:highlight w:val="none"/>
        </w:rPr>
      </w:pPr>
      <w:r>
        <w:rPr>
          <w:rFonts w:hint="eastAsia" w:ascii="楷体_GB2312" w:hAnsi="宋体" w:eastAsia="楷体_GB2312"/>
          <w:color w:val="000000"/>
          <w:sz w:val="24"/>
          <w:highlight w:val="none"/>
          <w:lang w:eastAsia="zh-CN"/>
        </w:rPr>
        <w:t>产品管理人提前终止本理财产品的，应提前</w:t>
      </w:r>
      <w:r>
        <w:rPr>
          <w:rFonts w:hint="default" w:ascii="楷体_GB2312" w:hAnsi="宋体" w:eastAsia="楷体_GB2312"/>
          <w:color w:val="000000"/>
          <w:sz w:val="24"/>
          <w:highlight w:val="none"/>
          <w:lang w:val="en-US" w:eastAsia="zh-CN"/>
        </w:rPr>
        <w:t>1</w:t>
      </w:r>
      <w:r>
        <w:rPr>
          <w:rFonts w:hint="eastAsia" w:ascii="楷体_GB2312" w:hAnsi="宋体" w:eastAsia="楷体_GB2312"/>
          <w:color w:val="000000"/>
          <w:sz w:val="24"/>
          <w:highlight w:val="none"/>
          <w:lang w:val="en-US" w:eastAsia="zh-CN"/>
        </w:rPr>
        <w:t>个工作日</w:t>
      </w:r>
      <w:r>
        <w:rPr>
          <w:rFonts w:hint="eastAsia" w:ascii="楷体_GB2312" w:hAnsi="宋体" w:eastAsia="楷体_GB2312"/>
          <w:color w:val="000000"/>
          <w:sz w:val="24"/>
          <w:highlight w:val="none"/>
          <w:lang w:eastAsia="zh-CN"/>
        </w:rPr>
        <w:t>公告本理财产品终止日及本理财产品终止后的理财本金及收益到账日，并</w:t>
      </w:r>
      <w:r>
        <w:rPr>
          <w:rFonts w:hint="eastAsia" w:ascii="楷体_GB2312" w:hAnsi="宋体" w:eastAsia="楷体_GB2312"/>
          <w:color w:val="000000"/>
          <w:sz w:val="24"/>
          <w:highlight w:val="none"/>
          <w:lang w:val="en-US" w:eastAsia="zh-CN"/>
        </w:rPr>
        <w:t>通过</w:t>
      </w:r>
      <w:r>
        <w:rPr>
          <w:rFonts w:hint="eastAsia" w:ascii="楷体_GB2312" w:hAnsi="宋体" w:eastAsia="楷体_GB2312"/>
          <w:color w:val="000000"/>
          <w:sz w:val="24"/>
          <w:highlight w:val="none"/>
          <w:lang w:eastAsia="zh-CN"/>
        </w:rPr>
        <w:t>本理财产品销售文件约定的信息披露渠道进行公告。</w:t>
      </w:r>
    </w:p>
    <w:p>
      <w:pPr>
        <w:ind w:firstLine="480"/>
        <w:rPr>
          <w:rFonts w:ascii="楷体_GB2312" w:hAnsi="宋体" w:eastAsia="楷体_GB2312"/>
          <w:color w:val="000000"/>
          <w:sz w:val="24"/>
          <w:highlight w:val="none"/>
        </w:rPr>
      </w:pPr>
      <w:r>
        <w:rPr>
          <w:rFonts w:hint="eastAsia" w:ascii="楷体_GB2312" w:hAnsi="宋体" w:eastAsia="楷体_GB2312"/>
          <w:color w:val="000000"/>
          <w:sz w:val="24"/>
          <w:highlight w:val="none"/>
        </w:rPr>
        <w:t>（二）产品的清算</w:t>
      </w:r>
    </w:p>
    <w:p>
      <w:pPr>
        <w:ind w:firstLine="480"/>
        <w:rPr>
          <w:rFonts w:ascii="楷体_GB2312" w:hAnsi="宋体" w:eastAsia="楷体_GB2312"/>
          <w:color w:val="000000"/>
          <w:sz w:val="24"/>
          <w:highlight w:val="none"/>
        </w:rPr>
      </w:pPr>
      <w:r>
        <w:rPr>
          <w:rFonts w:hint="eastAsia" w:ascii="楷体_GB2312" w:hAnsi="宋体" w:eastAsia="楷体_GB2312"/>
          <w:color w:val="000000"/>
          <w:sz w:val="24"/>
          <w:highlight w:val="none"/>
        </w:rPr>
        <w:t>1.在本理财产品终止日，</w:t>
      </w:r>
      <w:r>
        <w:rPr>
          <w:rFonts w:hint="eastAsia" w:ascii="楷体_GB2312" w:hAnsi="宋体" w:eastAsia="楷体_GB2312"/>
          <w:color w:val="000000"/>
          <w:sz w:val="24"/>
          <w:highlight w:val="none"/>
          <w:lang w:val="en-US" w:eastAsia="zh-CN"/>
        </w:rPr>
        <w:t>产品管理人</w:t>
      </w:r>
      <w:r>
        <w:rPr>
          <w:rFonts w:hint="eastAsia" w:ascii="楷体_GB2312" w:hAnsi="宋体" w:eastAsia="楷体_GB2312"/>
          <w:color w:val="000000"/>
          <w:sz w:val="24"/>
          <w:highlight w:val="none"/>
        </w:rPr>
        <w:t>按</w:t>
      </w:r>
      <w:r>
        <w:rPr>
          <w:rFonts w:hint="eastAsia" w:ascii="楷体_GB2312" w:hAnsi="宋体" w:eastAsia="楷体_GB2312"/>
          <w:color w:val="000000"/>
          <w:sz w:val="24"/>
          <w:highlight w:val="none"/>
          <w:lang w:val="en-US" w:eastAsia="zh-CN"/>
        </w:rPr>
        <w:t>终止日前一个交易日</w:t>
      </w:r>
      <w:r>
        <w:rPr>
          <w:rFonts w:hint="eastAsia" w:ascii="楷体_GB2312" w:hAnsi="宋体" w:eastAsia="楷体_GB2312"/>
          <w:color w:val="000000"/>
          <w:sz w:val="24"/>
          <w:highlight w:val="none"/>
        </w:rPr>
        <w:t>投资者持有的</w:t>
      </w:r>
      <w:r>
        <w:rPr>
          <w:rFonts w:hint="eastAsia" w:ascii="楷体_GB2312" w:hAnsi="宋体" w:eastAsia="楷体_GB2312"/>
          <w:color w:val="000000"/>
          <w:sz w:val="24"/>
          <w:highlight w:val="none"/>
          <w:lang w:val="en-US" w:eastAsia="zh-CN"/>
        </w:rPr>
        <w:t>本</w:t>
      </w:r>
      <w:r>
        <w:rPr>
          <w:rFonts w:hint="eastAsia" w:ascii="楷体_GB2312" w:hAnsi="宋体" w:eastAsia="楷体_GB2312"/>
          <w:color w:val="000000"/>
          <w:sz w:val="24"/>
          <w:highlight w:val="none"/>
        </w:rPr>
        <w:t>理财产品份额和</w:t>
      </w:r>
      <w:r>
        <w:rPr>
          <w:rFonts w:hint="eastAsia" w:ascii="楷体_GB2312" w:hAnsi="宋体" w:eastAsia="楷体_GB2312"/>
          <w:color w:val="000000"/>
          <w:sz w:val="24"/>
          <w:highlight w:val="none"/>
          <w:lang w:val="en-US" w:eastAsia="zh-CN"/>
        </w:rPr>
        <w:t>本</w:t>
      </w:r>
      <w:r>
        <w:rPr>
          <w:rFonts w:hint="eastAsia" w:ascii="楷体_GB2312" w:hAnsi="宋体" w:eastAsia="楷体_GB2312"/>
          <w:color w:val="000000"/>
          <w:sz w:val="24"/>
          <w:highlight w:val="none"/>
        </w:rPr>
        <w:t>理财产品单位净值之乘积向投资者进行分配，分配时不收取赎回费。本理财产品终止日不</w:t>
      </w:r>
      <w:r>
        <w:rPr>
          <w:rFonts w:hint="eastAsia" w:ascii="楷体_GB2312" w:hAnsi="宋体" w:eastAsia="楷体_GB2312"/>
          <w:color w:val="000000"/>
          <w:sz w:val="24"/>
          <w:highlight w:val="none"/>
          <w:lang w:val="en-US" w:eastAsia="zh-CN"/>
        </w:rPr>
        <w:t>再</w:t>
      </w:r>
      <w:r>
        <w:rPr>
          <w:rFonts w:hint="eastAsia" w:ascii="楷体_GB2312" w:hAnsi="宋体" w:eastAsia="楷体_GB2312"/>
          <w:color w:val="000000"/>
          <w:sz w:val="24"/>
          <w:highlight w:val="none"/>
        </w:rPr>
        <w:t>计算收益</w:t>
      </w:r>
      <w:r>
        <w:rPr>
          <w:rFonts w:hint="eastAsia" w:ascii="楷体_GB2312" w:hAnsi="宋体" w:eastAsia="楷体_GB2312"/>
          <w:color w:val="000000"/>
          <w:sz w:val="24"/>
          <w:highlight w:val="none"/>
          <w:lang w:eastAsia="zh-CN"/>
        </w:rPr>
        <w:t>。</w:t>
      </w:r>
    </w:p>
    <w:p>
      <w:pPr>
        <w:ind w:firstLine="480" w:firstLineChars="200"/>
        <w:rPr>
          <w:rFonts w:ascii="Times New Roman" w:hAnsi="Times New Roman" w:eastAsia="宋体"/>
          <w:sz w:val="20"/>
          <w:highlight w:val="none"/>
        </w:rPr>
      </w:pPr>
      <w:r>
        <w:rPr>
          <w:rFonts w:hint="eastAsia" w:ascii="楷体_GB2312" w:hAnsi="宋体" w:eastAsia="楷体_GB2312"/>
          <w:color w:val="000000"/>
          <w:sz w:val="24"/>
          <w:highlight w:val="none"/>
        </w:rPr>
        <w:t>2.自</w:t>
      </w:r>
      <w:r>
        <w:rPr>
          <w:rFonts w:hint="eastAsia" w:ascii="楷体_GB2312" w:hAnsi="宋体" w:eastAsia="楷体_GB2312"/>
          <w:color w:val="000000"/>
          <w:sz w:val="24"/>
          <w:highlight w:val="none"/>
          <w:lang w:val="en-US" w:eastAsia="zh-CN"/>
        </w:rPr>
        <w:t>本</w:t>
      </w:r>
      <w:r>
        <w:rPr>
          <w:rFonts w:hint="eastAsia" w:ascii="楷体_GB2312" w:hAnsi="宋体" w:eastAsia="楷体_GB2312"/>
          <w:color w:val="000000"/>
          <w:sz w:val="24"/>
          <w:highlight w:val="none"/>
        </w:rPr>
        <w:t>理财产品终止日（不含）至投资者理财本金及收益到账日（含）之间为</w:t>
      </w:r>
      <w:r>
        <w:rPr>
          <w:rFonts w:hint="eastAsia" w:ascii="楷体_GB2312" w:hAnsi="宋体" w:eastAsia="楷体_GB2312"/>
          <w:color w:val="000000"/>
          <w:sz w:val="24"/>
          <w:highlight w:val="none"/>
          <w:lang w:val="en-US" w:eastAsia="zh-CN"/>
        </w:rPr>
        <w:t>本</w:t>
      </w:r>
      <w:r>
        <w:rPr>
          <w:rFonts w:hint="eastAsia" w:ascii="楷体_GB2312" w:hAnsi="宋体" w:eastAsia="楷体_GB2312"/>
          <w:color w:val="000000"/>
          <w:sz w:val="24"/>
          <w:highlight w:val="none"/>
        </w:rPr>
        <w:t>理财产品的清算期。清算期原则上不得超过5个工作日，清算期超过5个工作日的，</w:t>
      </w:r>
      <w:r>
        <w:rPr>
          <w:rFonts w:hint="eastAsia" w:ascii="楷体_GB2312" w:hAnsi="宋体" w:eastAsia="楷体_GB2312"/>
          <w:color w:val="000000"/>
          <w:sz w:val="24"/>
          <w:highlight w:val="none"/>
          <w:lang w:val="en-US" w:eastAsia="zh-CN"/>
        </w:rPr>
        <w:t>本</w:t>
      </w:r>
      <w:r>
        <w:rPr>
          <w:rFonts w:hint="eastAsia" w:ascii="楷体_GB2312" w:hAnsi="宋体" w:eastAsia="楷体_GB2312"/>
          <w:color w:val="000000"/>
          <w:sz w:val="24"/>
          <w:highlight w:val="none"/>
        </w:rPr>
        <w:t>理财产品终止日前，</w:t>
      </w:r>
      <w:r>
        <w:rPr>
          <w:rFonts w:hint="eastAsia" w:ascii="楷体_GB2312" w:hAnsi="宋体" w:eastAsia="楷体_GB2312"/>
          <w:color w:val="000000"/>
          <w:sz w:val="24"/>
          <w:highlight w:val="none"/>
          <w:lang w:eastAsia="zh-CN"/>
        </w:rPr>
        <w:t>产品管理人</w:t>
      </w:r>
      <w:r>
        <w:rPr>
          <w:rFonts w:hint="eastAsia" w:ascii="楷体_GB2312" w:hAnsi="宋体" w:eastAsia="楷体_GB2312"/>
          <w:color w:val="000000"/>
          <w:sz w:val="24"/>
          <w:highlight w:val="none"/>
        </w:rPr>
        <w:t>将提前</w:t>
      </w:r>
      <w:r>
        <w:rPr>
          <w:rFonts w:hint="default" w:ascii="楷体_GB2312" w:hAnsi="宋体" w:eastAsia="楷体_GB2312"/>
          <w:color w:val="000000"/>
          <w:sz w:val="24"/>
          <w:highlight w:val="none"/>
          <w:lang w:val="en-US"/>
        </w:rPr>
        <w:t>1</w:t>
      </w:r>
      <w:r>
        <w:rPr>
          <w:rFonts w:hint="eastAsia" w:ascii="楷体_GB2312" w:hAnsi="宋体" w:eastAsia="楷体_GB2312"/>
          <w:color w:val="000000"/>
          <w:sz w:val="24"/>
          <w:highlight w:val="none"/>
        </w:rPr>
        <w:t>个工作日</w:t>
      </w:r>
      <w:r>
        <w:rPr>
          <w:rFonts w:hint="eastAsia" w:ascii="楷体_GB2312" w:hAnsi="宋体" w:eastAsia="楷体_GB2312"/>
          <w:color w:val="000000"/>
          <w:sz w:val="24"/>
          <w:highlight w:val="none"/>
          <w:lang w:val="en-US" w:eastAsia="zh-CN"/>
        </w:rPr>
        <w:t>通过</w:t>
      </w:r>
      <w:r>
        <w:rPr>
          <w:rFonts w:hint="eastAsia" w:ascii="楷体_GB2312" w:hAnsi="宋体" w:eastAsia="楷体_GB2312"/>
          <w:color w:val="000000"/>
          <w:sz w:val="24"/>
          <w:highlight w:val="none"/>
          <w:lang w:eastAsia="zh-CN"/>
        </w:rPr>
        <w:t>本理财产品销售文件约定的信息披露渠道</w:t>
      </w:r>
      <w:r>
        <w:rPr>
          <w:rFonts w:hint="eastAsia" w:ascii="楷体_GB2312" w:hAnsi="宋体" w:eastAsia="楷体_GB2312"/>
          <w:color w:val="000000"/>
          <w:sz w:val="24"/>
          <w:highlight w:val="none"/>
        </w:rPr>
        <w:t>发布相关信息公告通知投资者。</w:t>
      </w:r>
      <w:r>
        <w:rPr>
          <w:rFonts w:hint="eastAsia" w:ascii="楷体_GB2312" w:hAnsi="宋体" w:eastAsia="楷体_GB2312"/>
          <w:color w:val="000000"/>
          <w:sz w:val="24"/>
          <w:highlight w:val="none"/>
          <w:lang w:val="en-US" w:eastAsia="zh-CN"/>
        </w:rPr>
        <w:t>本</w:t>
      </w:r>
      <w:r>
        <w:rPr>
          <w:rFonts w:hint="eastAsia" w:ascii="楷体_GB2312" w:hAnsi="宋体" w:eastAsia="楷体_GB2312"/>
          <w:color w:val="000000"/>
          <w:sz w:val="24"/>
          <w:highlight w:val="none"/>
        </w:rPr>
        <w:t>理财产品进入清算期后不再计算收益。</w:t>
      </w:r>
    </w:p>
    <w:p>
      <w:pPr>
        <w:ind w:firstLine="480"/>
        <w:rPr>
          <w:rFonts w:ascii="楷体_GB2312" w:hAnsi="宋体" w:eastAsia="楷体_GB2312"/>
          <w:b/>
          <w:color w:val="000000"/>
          <w:sz w:val="24"/>
          <w:highlight w:val="none"/>
        </w:rPr>
      </w:pPr>
      <w:r>
        <w:rPr>
          <w:rFonts w:hint="eastAsia" w:ascii="楷体_GB2312" w:hAnsi="宋体" w:eastAsia="楷体_GB2312"/>
          <w:b w:val="0"/>
          <w:bCs w:val="0"/>
          <w:color w:val="000000"/>
          <w:sz w:val="24"/>
          <w:highlight w:val="none"/>
        </w:rPr>
        <w:t>★</w:t>
      </w:r>
      <w:r>
        <w:rPr>
          <w:rFonts w:hint="eastAsia" w:ascii="楷体_GB2312" w:hAnsi="宋体" w:eastAsia="楷体_GB2312"/>
          <w:b/>
          <w:color w:val="000000"/>
          <w:sz w:val="24"/>
          <w:highlight w:val="none"/>
        </w:rPr>
        <w:t>九、产品的费用</w:t>
      </w:r>
    </w:p>
    <w:p>
      <w:pPr>
        <w:ind w:firstLine="480"/>
        <w:rPr>
          <w:rFonts w:ascii="楷体_GB2312" w:hAnsi="宋体" w:eastAsia="楷体_GB2312"/>
          <w:color w:val="000000"/>
          <w:sz w:val="24"/>
          <w:highlight w:val="none"/>
        </w:rPr>
      </w:pPr>
      <w:r>
        <w:rPr>
          <w:rFonts w:hint="eastAsia" w:ascii="楷体_GB2312" w:hAnsi="宋体" w:eastAsia="楷体_GB2312"/>
          <w:color w:val="000000"/>
          <w:sz w:val="24"/>
          <w:highlight w:val="none"/>
        </w:rPr>
        <w:t>（一）费用的种类</w:t>
      </w:r>
    </w:p>
    <w:p>
      <w:pPr>
        <w:ind w:firstLine="480"/>
        <w:rPr>
          <w:rFonts w:ascii="楷体_GB2312" w:hAnsi="宋体" w:eastAsia="楷体_GB2312"/>
          <w:color w:val="000000"/>
          <w:sz w:val="24"/>
          <w:highlight w:val="none"/>
        </w:rPr>
      </w:pPr>
      <w:r>
        <w:rPr>
          <w:rFonts w:hint="eastAsia" w:ascii="楷体_GB2312" w:hAnsi="宋体" w:eastAsia="楷体_GB2312"/>
          <w:color w:val="000000"/>
          <w:sz w:val="24"/>
          <w:highlight w:val="none"/>
          <w:lang w:eastAsia="zh-CN"/>
        </w:rPr>
        <w:t>本理财产品</w:t>
      </w:r>
      <w:r>
        <w:rPr>
          <w:rFonts w:hint="eastAsia" w:ascii="楷体_GB2312" w:hAnsi="宋体" w:eastAsia="楷体_GB2312"/>
          <w:color w:val="000000"/>
          <w:sz w:val="24"/>
          <w:highlight w:val="none"/>
        </w:rPr>
        <w:t>的费用包括销售手续费、固定管理费、托管费以及应当在理财财产中列支的其他费用。</w:t>
      </w:r>
    </w:p>
    <w:p>
      <w:pPr>
        <w:ind w:firstLine="482" w:firstLineChars="200"/>
        <w:rPr>
          <w:rFonts w:hint="eastAsia" w:ascii="楷体_GB2312" w:hAnsi="宋体" w:eastAsia="楷体_GB2312" w:cs="Times New Roman"/>
          <w:b/>
          <w:bCs/>
          <w:color w:val="auto"/>
          <w:sz w:val="24"/>
          <w:highlight w:val="none"/>
        </w:rPr>
      </w:pPr>
      <w:r>
        <w:rPr>
          <w:rFonts w:hint="eastAsia" w:ascii="楷体_GB2312" w:hAnsi="宋体" w:eastAsia="楷体_GB2312" w:cs="Times New Roman"/>
          <w:b/>
          <w:bCs/>
          <w:color w:val="auto"/>
          <w:sz w:val="24"/>
          <w:szCs w:val="24"/>
          <w:highlight w:val="none"/>
          <w:lang w:val="en-US" w:eastAsia="zh-CN"/>
        </w:rPr>
        <w:t>★当每日计算的本理财产品各产品份额类别存在份额为0的情况时，份额为0的产品份额类别不计提当日的</w:t>
      </w:r>
      <w:r>
        <w:rPr>
          <w:rFonts w:hint="eastAsia" w:ascii="楷体_GB2312" w:hAnsi="宋体" w:eastAsia="楷体_GB2312" w:cs="Times New Roman"/>
          <w:b/>
          <w:bCs/>
          <w:color w:val="auto"/>
          <w:sz w:val="24"/>
          <w:szCs w:val="24"/>
          <w:highlight w:val="none"/>
        </w:rPr>
        <w:t>销售手续费、固定管理费</w:t>
      </w:r>
      <w:r>
        <w:rPr>
          <w:rFonts w:hint="eastAsia" w:ascii="楷体_GB2312" w:hAnsi="宋体" w:eastAsia="楷体_GB2312" w:cs="Times New Roman"/>
          <w:b/>
          <w:bCs/>
          <w:color w:val="auto"/>
          <w:sz w:val="24"/>
          <w:szCs w:val="24"/>
          <w:highlight w:val="none"/>
          <w:lang w:val="en-US" w:eastAsia="zh-CN"/>
        </w:rPr>
        <w:t>和</w:t>
      </w:r>
      <w:r>
        <w:rPr>
          <w:rFonts w:hint="eastAsia" w:ascii="楷体_GB2312" w:hAnsi="宋体" w:eastAsia="楷体_GB2312" w:cs="Times New Roman"/>
          <w:b/>
          <w:bCs/>
          <w:color w:val="auto"/>
          <w:sz w:val="24"/>
          <w:szCs w:val="24"/>
          <w:highlight w:val="none"/>
        </w:rPr>
        <w:t>托管费</w:t>
      </w:r>
      <w:r>
        <w:rPr>
          <w:rFonts w:hint="eastAsia" w:ascii="楷体_GB2312" w:hAnsi="宋体" w:eastAsia="楷体_GB2312" w:cs="Times New Roman"/>
          <w:b/>
          <w:bCs/>
          <w:color w:val="auto"/>
          <w:sz w:val="24"/>
          <w:szCs w:val="24"/>
          <w:highlight w:val="none"/>
          <w:lang w:eastAsia="zh-CN"/>
        </w:rPr>
        <w:t>。</w:t>
      </w:r>
    </w:p>
    <w:p>
      <w:pPr>
        <w:ind w:firstLine="480" w:firstLineChars="200"/>
        <w:rPr>
          <w:rFonts w:ascii="楷体_GB2312" w:hAnsi="宋体" w:eastAsia="楷体_GB2312"/>
          <w:color w:val="000000"/>
          <w:sz w:val="24"/>
          <w:highlight w:val="none"/>
        </w:rPr>
      </w:pPr>
      <w:r>
        <w:rPr>
          <w:rFonts w:hint="eastAsia" w:ascii="楷体_GB2312" w:hAnsi="宋体" w:eastAsia="楷体_GB2312"/>
          <w:color w:val="000000"/>
          <w:sz w:val="24"/>
          <w:highlight w:val="none"/>
        </w:rPr>
        <w:t>（二）费用计提方法、计提标准和支付方式</w:t>
      </w:r>
    </w:p>
    <w:p>
      <w:pPr>
        <w:ind w:firstLine="480" w:firstLineChars="200"/>
        <w:rPr>
          <w:rFonts w:ascii="楷体_GB2312" w:hAnsi="宋体" w:eastAsia="楷体_GB2312"/>
          <w:b/>
          <w:bCs/>
          <w:color w:val="000000"/>
          <w:sz w:val="24"/>
          <w:highlight w:val="none"/>
        </w:rPr>
      </w:pPr>
      <w:r>
        <w:rPr>
          <w:rFonts w:hint="eastAsia" w:ascii="楷体_GB2312" w:hAnsi="宋体" w:eastAsia="楷体_GB2312"/>
          <w:b w:val="0"/>
          <w:bCs w:val="0"/>
          <w:color w:val="000000"/>
          <w:sz w:val="24"/>
          <w:highlight w:val="none"/>
        </w:rPr>
        <w:t>★</w:t>
      </w:r>
      <w:r>
        <w:rPr>
          <w:rFonts w:hint="eastAsia" w:ascii="楷体_GB2312" w:hAnsi="宋体" w:eastAsia="楷体_GB2312"/>
          <w:b/>
          <w:bCs/>
          <w:color w:val="000000"/>
          <w:sz w:val="24"/>
          <w:highlight w:val="none"/>
        </w:rPr>
        <w:t>1.销售手续费</w:t>
      </w:r>
    </w:p>
    <w:p>
      <w:pPr>
        <w:ind w:firstLine="480" w:firstLineChars="200"/>
        <w:rPr>
          <w:rFonts w:ascii="楷体_GB2312" w:hAnsi="宋体" w:eastAsia="楷体_GB2312"/>
          <w:color w:val="000000"/>
          <w:sz w:val="24"/>
          <w:highlight w:val="none"/>
        </w:rPr>
      </w:pPr>
      <w:r>
        <w:rPr>
          <w:rFonts w:hint="eastAsia" w:ascii="楷体_GB2312" w:hAnsi="宋体" w:eastAsia="楷体_GB2312"/>
          <w:color w:val="000000"/>
          <w:sz w:val="24"/>
          <w:highlight w:val="none"/>
        </w:rPr>
        <w:t>理财财产的销售手续费计算方法如下：</w:t>
      </w:r>
    </w:p>
    <w:p>
      <w:pPr>
        <w:ind w:firstLine="480" w:firstLineChars="200"/>
        <w:rPr>
          <w:rFonts w:ascii="楷体_GB2312" w:hAnsi="宋体" w:eastAsia="楷体_GB2312"/>
          <w:color w:val="000000"/>
          <w:sz w:val="24"/>
          <w:highlight w:val="none"/>
        </w:rPr>
      </w:pPr>
      <w:r>
        <w:rPr>
          <w:rFonts w:hint="eastAsia" w:ascii="楷体_GB2312" w:hAnsi="宋体" w:eastAsia="楷体_GB2312"/>
          <w:color w:val="000000"/>
          <w:sz w:val="24"/>
          <w:highlight w:val="none"/>
        </w:rPr>
        <w:t>H＝E×【各类份额的年销售手续费率】%÷365</w:t>
      </w:r>
    </w:p>
    <w:p>
      <w:pPr>
        <w:ind w:firstLine="480" w:firstLineChars="200"/>
        <w:rPr>
          <w:rFonts w:ascii="楷体_GB2312" w:hAnsi="宋体" w:eastAsia="楷体_GB2312"/>
          <w:color w:val="000000"/>
          <w:sz w:val="24"/>
          <w:highlight w:val="none"/>
        </w:rPr>
      </w:pPr>
      <w:r>
        <w:rPr>
          <w:rFonts w:hint="eastAsia" w:ascii="楷体_GB2312" w:hAnsi="宋体" w:eastAsia="楷体_GB2312"/>
          <w:color w:val="000000"/>
          <w:sz w:val="24"/>
          <w:highlight w:val="none"/>
        </w:rPr>
        <w:t>H为每日应计提的销售手续费。</w:t>
      </w:r>
    </w:p>
    <w:p>
      <w:pPr>
        <w:ind w:firstLine="480" w:firstLineChars="200"/>
        <w:rPr>
          <w:rFonts w:ascii="楷体_GB2312" w:hAnsi="宋体" w:eastAsia="楷体_GB2312"/>
          <w:color w:val="000000"/>
          <w:sz w:val="24"/>
          <w:highlight w:val="none"/>
        </w:rPr>
      </w:pPr>
      <w:r>
        <w:rPr>
          <w:rFonts w:hint="eastAsia" w:ascii="楷体_GB2312" w:hAnsi="宋体" w:eastAsia="楷体_GB2312"/>
          <w:color w:val="000000"/>
          <w:sz w:val="24"/>
          <w:highlight w:val="none"/>
        </w:rPr>
        <w:t>E为本理财产品前一日</w:t>
      </w:r>
      <w:r>
        <w:rPr>
          <w:rFonts w:hint="eastAsia" w:ascii="楷体_GB2312" w:hAnsi="宋体" w:eastAsia="楷体_GB2312"/>
          <w:color w:val="000000"/>
          <w:sz w:val="24"/>
          <w:highlight w:val="none"/>
          <w:lang w:val="en-US" w:eastAsia="zh-CN"/>
        </w:rPr>
        <w:t>产品</w:t>
      </w:r>
      <w:r>
        <w:rPr>
          <w:rFonts w:hint="eastAsia" w:ascii="楷体_GB2312" w:hAnsi="宋体" w:eastAsia="楷体_GB2312"/>
          <w:color w:val="000000"/>
          <w:sz w:val="24"/>
          <w:highlight w:val="none"/>
        </w:rPr>
        <w:t>资产净值。</w:t>
      </w:r>
    </w:p>
    <w:p>
      <w:pPr>
        <w:ind w:firstLine="480" w:firstLineChars="200"/>
        <w:rPr>
          <w:rFonts w:ascii="楷体_GB2312" w:hAnsi="宋体" w:eastAsia="楷体_GB2312"/>
          <w:color w:val="000000"/>
          <w:sz w:val="24"/>
          <w:highlight w:val="none"/>
        </w:rPr>
      </w:pPr>
      <w:r>
        <w:rPr>
          <w:rFonts w:hint="eastAsia" w:ascii="楷体_GB2312" w:hAnsi="宋体" w:eastAsia="楷体_GB2312"/>
          <w:color w:val="000000"/>
          <w:sz w:val="24"/>
          <w:highlight w:val="none"/>
        </w:rPr>
        <w:t>销售手续费原则上按日计提，由</w:t>
      </w:r>
      <w:r>
        <w:rPr>
          <w:rFonts w:hint="eastAsia" w:ascii="楷体_GB2312" w:hAnsi="宋体" w:eastAsia="楷体_GB2312"/>
          <w:color w:val="000000"/>
          <w:sz w:val="24"/>
          <w:highlight w:val="none"/>
          <w:lang w:eastAsia="zh-CN"/>
        </w:rPr>
        <w:t>产品管理人</w:t>
      </w:r>
      <w:r>
        <w:rPr>
          <w:rFonts w:hint="eastAsia" w:ascii="楷体_GB2312" w:hAnsi="宋体" w:eastAsia="楷体_GB2312"/>
          <w:color w:val="000000"/>
          <w:sz w:val="24"/>
          <w:highlight w:val="none"/>
        </w:rPr>
        <w:t>与</w:t>
      </w:r>
      <w:r>
        <w:rPr>
          <w:rFonts w:hint="eastAsia" w:ascii="楷体_GB2312" w:hAnsi="宋体" w:eastAsia="楷体_GB2312"/>
          <w:color w:val="000000"/>
          <w:sz w:val="24"/>
          <w:highlight w:val="none"/>
          <w:lang w:val="en-US" w:eastAsia="zh-CN"/>
        </w:rPr>
        <w:t>产品</w:t>
      </w:r>
      <w:r>
        <w:rPr>
          <w:rFonts w:hint="eastAsia" w:ascii="楷体_GB2312" w:hAnsi="宋体" w:eastAsia="楷体_GB2312"/>
          <w:color w:val="000000"/>
          <w:sz w:val="24"/>
          <w:highlight w:val="none"/>
        </w:rPr>
        <w:t>托管</w:t>
      </w:r>
      <w:r>
        <w:rPr>
          <w:rFonts w:hint="eastAsia" w:ascii="楷体_GB2312" w:hAnsi="宋体" w:eastAsia="楷体_GB2312"/>
          <w:color w:val="000000"/>
          <w:sz w:val="24"/>
          <w:highlight w:val="none"/>
          <w:lang w:val="en-US" w:eastAsia="zh-CN"/>
        </w:rPr>
        <w:t>人</w:t>
      </w:r>
      <w:r>
        <w:rPr>
          <w:rFonts w:hint="eastAsia" w:ascii="楷体_GB2312" w:hAnsi="宋体" w:eastAsia="楷体_GB2312"/>
          <w:color w:val="000000"/>
          <w:sz w:val="24"/>
          <w:highlight w:val="none"/>
        </w:rPr>
        <w:t>核对一致，</w:t>
      </w:r>
      <w:r>
        <w:rPr>
          <w:rFonts w:hint="eastAsia" w:ascii="楷体_GB2312" w:hAnsi="宋体" w:eastAsia="楷体_GB2312"/>
          <w:b/>
          <w:bCs/>
          <w:color w:val="000000"/>
          <w:sz w:val="24"/>
          <w:highlight w:val="none"/>
        </w:rPr>
        <w:t>从理财财产中定期支付给</w:t>
      </w:r>
      <w:r>
        <w:rPr>
          <w:rFonts w:hint="eastAsia" w:ascii="楷体_GB2312" w:hAnsi="宋体" w:eastAsia="楷体_GB2312"/>
          <w:b/>
          <w:bCs/>
          <w:color w:val="000000"/>
          <w:sz w:val="24"/>
          <w:highlight w:val="none"/>
          <w:lang w:val="en-US" w:eastAsia="zh-CN"/>
        </w:rPr>
        <w:t>本</w:t>
      </w:r>
      <w:r>
        <w:rPr>
          <w:rFonts w:hint="eastAsia" w:ascii="楷体_GB2312" w:hAnsi="宋体" w:eastAsia="楷体_GB2312"/>
          <w:b/>
          <w:bCs/>
          <w:color w:val="000000"/>
          <w:sz w:val="24"/>
          <w:highlight w:val="none"/>
        </w:rPr>
        <w:t>理财</w:t>
      </w:r>
      <w:r>
        <w:rPr>
          <w:rFonts w:hint="eastAsia" w:ascii="楷体_GB2312" w:hAnsi="宋体" w:eastAsia="楷体_GB2312"/>
          <w:b/>
          <w:bCs/>
          <w:color w:val="000000"/>
          <w:sz w:val="24"/>
          <w:highlight w:val="none"/>
          <w:lang w:val="en-US" w:eastAsia="zh-CN"/>
        </w:rPr>
        <w:t>产品代理</w:t>
      </w:r>
      <w:r>
        <w:rPr>
          <w:rFonts w:hint="eastAsia" w:ascii="楷体_GB2312" w:hAnsi="宋体" w:eastAsia="楷体_GB2312"/>
          <w:b/>
          <w:bCs/>
          <w:color w:val="000000"/>
          <w:sz w:val="24"/>
          <w:highlight w:val="none"/>
        </w:rPr>
        <w:t>销售机构。</w:t>
      </w:r>
    </w:p>
    <w:p>
      <w:pPr>
        <w:ind w:firstLine="480" w:firstLineChars="200"/>
        <w:rPr>
          <w:rFonts w:ascii="楷体_GB2312" w:hAnsi="宋体" w:eastAsia="楷体_GB2312"/>
          <w:b/>
          <w:bCs/>
          <w:color w:val="000000"/>
          <w:sz w:val="24"/>
          <w:highlight w:val="none"/>
        </w:rPr>
      </w:pPr>
      <w:r>
        <w:rPr>
          <w:rFonts w:hint="eastAsia" w:ascii="楷体_GB2312" w:hAnsi="宋体" w:eastAsia="楷体_GB2312"/>
          <w:b w:val="0"/>
          <w:bCs w:val="0"/>
          <w:color w:val="000000"/>
          <w:sz w:val="24"/>
          <w:highlight w:val="none"/>
        </w:rPr>
        <w:t>★</w:t>
      </w:r>
      <w:r>
        <w:rPr>
          <w:rFonts w:hint="eastAsia" w:ascii="楷体_GB2312" w:hAnsi="宋体" w:eastAsia="楷体_GB2312"/>
          <w:b/>
          <w:bCs/>
          <w:color w:val="000000"/>
          <w:sz w:val="24"/>
          <w:highlight w:val="none"/>
        </w:rPr>
        <w:t>2.固定管理费</w:t>
      </w:r>
    </w:p>
    <w:p>
      <w:pPr>
        <w:ind w:firstLine="480" w:firstLineChars="200"/>
        <w:rPr>
          <w:rFonts w:ascii="楷体_GB2312" w:hAnsi="宋体" w:eastAsia="楷体_GB2312"/>
          <w:color w:val="000000"/>
          <w:sz w:val="24"/>
          <w:highlight w:val="none"/>
        </w:rPr>
      </w:pPr>
      <w:r>
        <w:rPr>
          <w:rFonts w:hint="eastAsia" w:ascii="楷体_GB2312" w:hAnsi="宋体" w:eastAsia="楷体_GB2312"/>
          <w:color w:val="000000"/>
          <w:sz w:val="24"/>
          <w:highlight w:val="none"/>
        </w:rPr>
        <w:t>理财财产的固定管理费计算方法如下：</w:t>
      </w:r>
    </w:p>
    <w:p>
      <w:pPr>
        <w:ind w:firstLine="480" w:firstLineChars="200"/>
        <w:rPr>
          <w:rFonts w:ascii="楷体_GB2312" w:hAnsi="宋体" w:eastAsia="楷体_GB2312"/>
          <w:color w:val="000000"/>
          <w:sz w:val="24"/>
          <w:highlight w:val="none"/>
        </w:rPr>
      </w:pPr>
      <w:r>
        <w:rPr>
          <w:rFonts w:hint="eastAsia" w:ascii="楷体_GB2312" w:hAnsi="宋体" w:eastAsia="楷体_GB2312"/>
          <w:color w:val="000000"/>
          <w:sz w:val="24"/>
          <w:highlight w:val="none"/>
        </w:rPr>
        <w:t>H＝E×【年固定管理费率】%÷365</w:t>
      </w:r>
    </w:p>
    <w:p>
      <w:pPr>
        <w:ind w:firstLine="480" w:firstLineChars="200"/>
        <w:rPr>
          <w:rFonts w:ascii="楷体_GB2312" w:hAnsi="宋体" w:eastAsia="楷体_GB2312"/>
          <w:color w:val="000000"/>
          <w:sz w:val="24"/>
          <w:highlight w:val="none"/>
        </w:rPr>
      </w:pPr>
      <w:r>
        <w:rPr>
          <w:rFonts w:hint="eastAsia" w:ascii="楷体_GB2312" w:hAnsi="宋体" w:eastAsia="楷体_GB2312"/>
          <w:color w:val="000000"/>
          <w:sz w:val="24"/>
          <w:highlight w:val="none"/>
        </w:rPr>
        <w:t>H为每日应计提的</w:t>
      </w:r>
      <w:r>
        <w:rPr>
          <w:rFonts w:hint="eastAsia" w:ascii="楷体_GB2312" w:hAnsi="宋体" w:eastAsia="楷体_GB2312"/>
          <w:color w:val="000000"/>
          <w:sz w:val="24"/>
          <w:highlight w:val="none"/>
          <w:lang w:val="en-US" w:eastAsia="zh-CN"/>
        </w:rPr>
        <w:t>固定</w:t>
      </w:r>
      <w:r>
        <w:rPr>
          <w:rFonts w:hint="eastAsia" w:ascii="楷体_GB2312" w:hAnsi="宋体" w:eastAsia="楷体_GB2312"/>
          <w:color w:val="000000"/>
          <w:sz w:val="24"/>
          <w:highlight w:val="none"/>
        </w:rPr>
        <w:t>管理费。</w:t>
      </w:r>
    </w:p>
    <w:p>
      <w:pPr>
        <w:ind w:firstLine="480" w:firstLineChars="200"/>
        <w:rPr>
          <w:rFonts w:ascii="楷体_GB2312" w:hAnsi="宋体" w:eastAsia="楷体_GB2312"/>
          <w:color w:val="000000"/>
          <w:sz w:val="24"/>
          <w:highlight w:val="none"/>
        </w:rPr>
      </w:pPr>
      <w:r>
        <w:rPr>
          <w:rFonts w:hint="eastAsia" w:ascii="楷体_GB2312" w:hAnsi="宋体" w:eastAsia="楷体_GB2312"/>
          <w:color w:val="000000"/>
          <w:sz w:val="24"/>
          <w:highlight w:val="none"/>
        </w:rPr>
        <w:t>E为本理财产品前一日</w:t>
      </w:r>
      <w:r>
        <w:rPr>
          <w:rFonts w:hint="eastAsia" w:ascii="楷体_GB2312" w:hAnsi="宋体" w:eastAsia="楷体_GB2312"/>
          <w:color w:val="000000"/>
          <w:sz w:val="24"/>
          <w:highlight w:val="none"/>
          <w:lang w:val="en-US" w:eastAsia="zh-CN"/>
        </w:rPr>
        <w:t>产品</w:t>
      </w:r>
      <w:r>
        <w:rPr>
          <w:rFonts w:hint="eastAsia" w:ascii="楷体_GB2312" w:hAnsi="宋体" w:eastAsia="楷体_GB2312"/>
          <w:color w:val="000000"/>
          <w:sz w:val="24"/>
          <w:highlight w:val="none"/>
        </w:rPr>
        <w:t>资产净值。</w:t>
      </w:r>
    </w:p>
    <w:p>
      <w:pPr>
        <w:ind w:firstLine="480" w:firstLineChars="200"/>
        <w:rPr>
          <w:rFonts w:ascii="楷体_GB2312" w:hAnsi="宋体" w:eastAsia="楷体_GB2312"/>
          <w:b/>
          <w:bCs/>
          <w:color w:val="000000"/>
          <w:sz w:val="24"/>
          <w:highlight w:val="none"/>
        </w:rPr>
      </w:pPr>
      <w:r>
        <w:rPr>
          <w:rFonts w:hint="eastAsia" w:ascii="楷体_GB2312" w:hAnsi="宋体" w:eastAsia="楷体_GB2312"/>
          <w:color w:val="000000"/>
          <w:sz w:val="24"/>
          <w:highlight w:val="none"/>
        </w:rPr>
        <w:t>固定管理费原则上按日计提，由</w:t>
      </w:r>
      <w:r>
        <w:rPr>
          <w:rFonts w:hint="eastAsia" w:ascii="楷体_GB2312" w:hAnsi="宋体" w:eastAsia="楷体_GB2312"/>
          <w:color w:val="000000"/>
          <w:sz w:val="24"/>
          <w:highlight w:val="none"/>
          <w:lang w:eastAsia="zh-CN"/>
        </w:rPr>
        <w:t>产品管理人</w:t>
      </w:r>
      <w:r>
        <w:rPr>
          <w:rFonts w:hint="eastAsia" w:ascii="楷体_GB2312" w:hAnsi="宋体" w:eastAsia="楷体_GB2312"/>
          <w:color w:val="000000"/>
          <w:sz w:val="24"/>
          <w:highlight w:val="none"/>
        </w:rPr>
        <w:t>与</w:t>
      </w:r>
      <w:r>
        <w:rPr>
          <w:rFonts w:hint="eastAsia" w:ascii="楷体_GB2312" w:hAnsi="宋体" w:eastAsia="楷体_GB2312"/>
          <w:color w:val="000000"/>
          <w:sz w:val="24"/>
          <w:highlight w:val="none"/>
          <w:lang w:val="en-US" w:eastAsia="zh-CN"/>
        </w:rPr>
        <w:t>产品</w:t>
      </w:r>
      <w:r>
        <w:rPr>
          <w:rFonts w:hint="eastAsia" w:ascii="楷体_GB2312" w:hAnsi="宋体" w:eastAsia="楷体_GB2312"/>
          <w:color w:val="000000"/>
          <w:sz w:val="24"/>
          <w:highlight w:val="none"/>
        </w:rPr>
        <w:t>托管</w:t>
      </w:r>
      <w:r>
        <w:rPr>
          <w:rFonts w:hint="eastAsia" w:ascii="楷体_GB2312" w:hAnsi="宋体" w:eastAsia="楷体_GB2312"/>
          <w:color w:val="000000"/>
          <w:sz w:val="24"/>
          <w:highlight w:val="none"/>
          <w:lang w:val="en-US" w:eastAsia="zh-CN"/>
        </w:rPr>
        <w:t>人</w:t>
      </w:r>
      <w:r>
        <w:rPr>
          <w:rFonts w:hint="eastAsia" w:ascii="楷体_GB2312" w:hAnsi="宋体" w:eastAsia="楷体_GB2312"/>
          <w:color w:val="000000"/>
          <w:sz w:val="24"/>
          <w:highlight w:val="none"/>
        </w:rPr>
        <w:t>核对一致，</w:t>
      </w:r>
      <w:r>
        <w:rPr>
          <w:rFonts w:hint="eastAsia" w:ascii="楷体_GB2312" w:hAnsi="宋体" w:eastAsia="楷体_GB2312"/>
          <w:b/>
          <w:bCs/>
          <w:color w:val="000000"/>
          <w:sz w:val="24"/>
          <w:highlight w:val="none"/>
        </w:rPr>
        <w:t>从理财财产中定期支付给</w:t>
      </w:r>
      <w:r>
        <w:rPr>
          <w:rFonts w:hint="eastAsia" w:ascii="楷体_GB2312" w:hAnsi="宋体" w:eastAsia="楷体_GB2312"/>
          <w:b/>
          <w:bCs/>
          <w:color w:val="000000"/>
          <w:sz w:val="24"/>
          <w:highlight w:val="none"/>
          <w:lang w:eastAsia="zh-CN"/>
        </w:rPr>
        <w:t>产品管理人</w:t>
      </w:r>
      <w:r>
        <w:rPr>
          <w:rFonts w:hint="eastAsia" w:ascii="楷体_GB2312" w:hAnsi="宋体" w:eastAsia="楷体_GB2312"/>
          <w:b/>
          <w:bCs/>
          <w:color w:val="000000"/>
          <w:sz w:val="24"/>
          <w:highlight w:val="none"/>
        </w:rPr>
        <w:t>。</w:t>
      </w:r>
    </w:p>
    <w:p>
      <w:pPr>
        <w:ind w:firstLine="482" w:firstLineChars="200"/>
        <w:rPr>
          <w:rFonts w:ascii="楷体_GB2312" w:hAnsi="宋体" w:eastAsia="楷体_GB2312"/>
          <w:b/>
          <w:bCs/>
          <w:color w:val="000000"/>
          <w:sz w:val="24"/>
          <w:highlight w:val="none"/>
        </w:rPr>
      </w:pPr>
      <w:r>
        <w:rPr>
          <w:rFonts w:hint="eastAsia" w:ascii="楷体_GB2312" w:hAnsi="宋体" w:eastAsia="楷体_GB2312"/>
          <w:b/>
          <w:bCs/>
          <w:color w:val="000000"/>
          <w:sz w:val="24"/>
          <w:highlight w:val="none"/>
        </w:rPr>
        <w:t>★3.托管费</w:t>
      </w:r>
    </w:p>
    <w:p>
      <w:pPr>
        <w:ind w:firstLine="480" w:firstLineChars="200"/>
        <w:rPr>
          <w:rFonts w:ascii="楷体_GB2312" w:hAnsi="宋体" w:eastAsia="楷体_GB2312"/>
          <w:color w:val="000000"/>
          <w:sz w:val="24"/>
          <w:highlight w:val="none"/>
        </w:rPr>
      </w:pPr>
      <w:r>
        <w:rPr>
          <w:rFonts w:hint="eastAsia" w:ascii="楷体_GB2312" w:hAnsi="宋体" w:eastAsia="楷体_GB2312"/>
          <w:color w:val="000000"/>
          <w:sz w:val="24"/>
          <w:highlight w:val="none"/>
        </w:rPr>
        <w:t>理财财产的托管费计算方法如下：</w:t>
      </w:r>
    </w:p>
    <w:p>
      <w:pPr>
        <w:ind w:firstLine="480" w:firstLineChars="200"/>
        <w:rPr>
          <w:rFonts w:ascii="楷体_GB2312" w:hAnsi="宋体" w:eastAsia="楷体_GB2312"/>
          <w:color w:val="000000"/>
          <w:sz w:val="24"/>
          <w:highlight w:val="none"/>
        </w:rPr>
      </w:pPr>
      <w:r>
        <w:rPr>
          <w:rFonts w:hint="eastAsia" w:ascii="楷体_GB2312" w:hAnsi="宋体" w:eastAsia="楷体_GB2312"/>
          <w:color w:val="000000"/>
          <w:sz w:val="24"/>
          <w:highlight w:val="none"/>
        </w:rPr>
        <w:t>H＝E×【年托管费率】%÷365</w:t>
      </w:r>
    </w:p>
    <w:p>
      <w:pPr>
        <w:ind w:firstLine="480" w:firstLineChars="200"/>
        <w:rPr>
          <w:rFonts w:ascii="楷体_GB2312" w:hAnsi="宋体" w:eastAsia="楷体_GB2312"/>
          <w:color w:val="000000"/>
          <w:sz w:val="24"/>
          <w:highlight w:val="none"/>
        </w:rPr>
      </w:pPr>
      <w:r>
        <w:rPr>
          <w:rFonts w:hint="eastAsia" w:ascii="楷体_GB2312" w:hAnsi="宋体" w:eastAsia="楷体_GB2312"/>
          <w:color w:val="000000"/>
          <w:sz w:val="24"/>
          <w:highlight w:val="none"/>
        </w:rPr>
        <w:t>H为每日应计提的托管费。</w:t>
      </w:r>
    </w:p>
    <w:p>
      <w:pPr>
        <w:ind w:firstLine="480" w:firstLineChars="200"/>
        <w:rPr>
          <w:rFonts w:ascii="楷体_GB2312" w:hAnsi="宋体" w:eastAsia="楷体_GB2312"/>
          <w:color w:val="000000"/>
          <w:sz w:val="24"/>
          <w:highlight w:val="none"/>
        </w:rPr>
      </w:pPr>
      <w:r>
        <w:rPr>
          <w:rFonts w:hint="eastAsia" w:ascii="楷体_GB2312" w:hAnsi="宋体" w:eastAsia="楷体_GB2312"/>
          <w:color w:val="000000"/>
          <w:sz w:val="24"/>
          <w:highlight w:val="none"/>
        </w:rPr>
        <w:t>E为本理财产品前一日</w:t>
      </w:r>
      <w:r>
        <w:rPr>
          <w:rFonts w:hint="eastAsia" w:ascii="楷体_GB2312" w:hAnsi="宋体" w:eastAsia="楷体_GB2312"/>
          <w:color w:val="000000"/>
          <w:sz w:val="24"/>
          <w:highlight w:val="none"/>
          <w:lang w:val="en-US" w:eastAsia="zh-CN"/>
        </w:rPr>
        <w:t>产品</w:t>
      </w:r>
      <w:r>
        <w:rPr>
          <w:rFonts w:hint="eastAsia" w:ascii="楷体_GB2312" w:hAnsi="宋体" w:eastAsia="楷体_GB2312"/>
          <w:color w:val="000000"/>
          <w:sz w:val="24"/>
          <w:highlight w:val="none"/>
        </w:rPr>
        <w:t>资产净值。</w:t>
      </w:r>
    </w:p>
    <w:p>
      <w:pPr>
        <w:ind w:firstLine="480" w:firstLineChars="200"/>
        <w:rPr>
          <w:rFonts w:hint="eastAsia" w:ascii="楷体_GB2312" w:hAnsi="宋体" w:eastAsia="楷体_GB2312"/>
          <w:b/>
          <w:bCs/>
          <w:color w:val="000000"/>
          <w:sz w:val="24"/>
          <w:highlight w:val="none"/>
        </w:rPr>
      </w:pPr>
      <w:r>
        <w:rPr>
          <w:rFonts w:hint="eastAsia" w:ascii="楷体_GB2312" w:hAnsi="宋体" w:eastAsia="楷体_GB2312"/>
          <w:color w:val="000000"/>
          <w:sz w:val="24"/>
          <w:highlight w:val="none"/>
        </w:rPr>
        <w:t>托管费原则上按日计提，由</w:t>
      </w:r>
      <w:r>
        <w:rPr>
          <w:rFonts w:hint="eastAsia" w:ascii="楷体_GB2312" w:hAnsi="宋体" w:eastAsia="楷体_GB2312"/>
          <w:color w:val="000000"/>
          <w:sz w:val="24"/>
          <w:highlight w:val="none"/>
          <w:lang w:eastAsia="zh-CN"/>
        </w:rPr>
        <w:t>产品管理人</w:t>
      </w:r>
      <w:r>
        <w:rPr>
          <w:rFonts w:hint="eastAsia" w:ascii="楷体_GB2312" w:hAnsi="宋体" w:eastAsia="楷体_GB2312"/>
          <w:color w:val="000000"/>
          <w:sz w:val="24"/>
          <w:highlight w:val="none"/>
        </w:rPr>
        <w:t>与</w:t>
      </w:r>
      <w:r>
        <w:rPr>
          <w:rFonts w:hint="eastAsia" w:ascii="楷体_GB2312" w:hAnsi="宋体" w:eastAsia="楷体_GB2312"/>
          <w:color w:val="000000"/>
          <w:sz w:val="24"/>
          <w:highlight w:val="none"/>
          <w:lang w:val="en-US" w:eastAsia="zh-CN"/>
        </w:rPr>
        <w:t>产品</w:t>
      </w:r>
      <w:r>
        <w:rPr>
          <w:rFonts w:hint="eastAsia" w:ascii="楷体_GB2312" w:hAnsi="宋体" w:eastAsia="楷体_GB2312"/>
          <w:color w:val="000000"/>
          <w:sz w:val="24"/>
          <w:highlight w:val="none"/>
        </w:rPr>
        <w:t>托管</w:t>
      </w:r>
      <w:r>
        <w:rPr>
          <w:rFonts w:hint="eastAsia" w:ascii="楷体_GB2312" w:hAnsi="宋体" w:eastAsia="楷体_GB2312"/>
          <w:color w:val="000000"/>
          <w:sz w:val="24"/>
          <w:highlight w:val="none"/>
          <w:lang w:eastAsia="zh-CN"/>
        </w:rPr>
        <w:t>人</w:t>
      </w:r>
      <w:r>
        <w:rPr>
          <w:rFonts w:hint="eastAsia" w:ascii="楷体_GB2312" w:hAnsi="宋体" w:eastAsia="楷体_GB2312"/>
          <w:color w:val="000000"/>
          <w:sz w:val="24"/>
          <w:highlight w:val="none"/>
        </w:rPr>
        <w:t>核对一致，</w:t>
      </w:r>
      <w:r>
        <w:rPr>
          <w:rFonts w:hint="eastAsia" w:ascii="楷体_GB2312" w:hAnsi="宋体" w:eastAsia="楷体_GB2312"/>
          <w:b/>
          <w:bCs/>
          <w:color w:val="000000"/>
          <w:sz w:val="24"/>
          <w:highlight w:val="none"/>
        </w:rPr>
        <w:t>从理财财产中定期支付给</w:t>
      </w:r>
      <w:r>
        <w:rPr>
          <w:rFonts w:hint="eastAsia" w:ascii="楷体_GB2312" w:hAnsi="宋体" w:eastAsia="楷体_GB2312"/>
          <w:b/>
          <w:bCs/>
          <w:color w:val="000000"/>
          <w:sz w:val="24"/>
          <w:highlight w:val="none"/>
          <w:lang w:val="en-US" w:eastAsia="zh-CN"/>
        </w:rPr>
        <w:t>产品</w:t>
      </w:r>
      <w:r>
        <w:rPr>
          <w:rFonts w:hint="eastAsia" w:ascii="楷体_GB2312" w:hAnsi="宋体" w:eastAsia="楷体_GB2312"/>
          <w:b/>
          <w:bCs/>
          <w:color w:val="000000"/>
          <w:sz w:val="24"/>
          <w:highlight w:val="none"/>
        </w:rPr>
        <w:t>托管</w:t>
      </w:r>
      <w:r>
        <w:rPr>
          <w:rFonts w:hint="eastAsia" w:ascii="楷体_GB2312" w:hAnsi="宋体" w:eastAsia="楷体_GB2312"/>
          <w:b/>
          <w:bCs/>
          <w:color w:val="000000"/>
          <w:sz w:val="24"/>
          <w:highlight w:val="none"/>
          <w:lang w:eastAsia="zh-CN"/>
        </w:rPr>
        <w:t>人</w:t>
      </w:r>
      <w:r>
        <w:rPr>
          <w:rFonts w:hint="eastAsia" w:ascii="楷体_GB2312" w:hAnsi="宋体" w:eastAsia="楷体_GB2312"/>
          <w:b/>
          <w:bCs/>
          <w:color w:val="000000"/>
          <w:sz w:val="24"/>
          <w:highlight w:val="none"/>
        </w:rPr>
        <w:t>。</w:t>
      </w:r>
    </w:p>
    <w:p>
      <w:pPr>
        <w:ind w:firstLine="482" w:firstLineChars="200"/>
        <w:rPr>
          <w:rFonts w:ascii="楷体_GB2312" w:hAnsi="宋体" w:eastAsia="楷体_GB2312"/>
          <w:b/>
          <w:bCs/>
          <w:color w:val="000000"/>
          <w:sz w:val="24"/>
          <w:highlight w:val="none"/>
        </w:rPr>
      </w:pPr>
      <w:r>
        <w:rPr>
          <w:rFonts w:hint="eastAsia" w:ascii="楷体_GB2312" w:hAnsi="宋体" w:eastAsia="楷体_GB2312"/>
          <w:b/>
          <w:bCs/>
          <w:color w:val="000000"/>
          <w:sz w:val="24"/>
          <w:highlight w:val="none"/>
        </w:rPr>
        <w:t>★</w:t>
      </w:r>
      <w:r>
        <w:rPr>
          <w:rFonts w:hint="eastAsia" w:ascii="楷体_GB2312" w:hAnsi="宋体" w:eastAsia="楷体_GB2312"/>
          <w:b/>
          <w:bCs/>
          <w:color w:val="000000"/>
          <w:sz w:val="24"/>
          <w:highlight w:val="none"/>
          <w:lang w:val="en-US" w:eastAsia="zh-CN"/>
        </w:rPr>
        <w:t>4.</w:t>
      </w:r>
      <w:r>
        <w:rPr>
          <w:rFonts w:hint="eastAsia" w:ascii="楷体_GB2312" w:hAnsi="宋体" w:eastAsia="楷体_GB2312"/>
          <w:b/>
          <w:bCs/>
          <w:color w:val="000000"/>
          <w:sz w:val="24"/>
          <w:highlight w:val="none"/>
        </w:rPr>
        <w:t>其他费用</w:t>
      </w:r>
    </w:p>
    <w:p>
      <w:pPr>
        <w:ind w:firstLine="480" w:firstLineChars="200"/>
        <w:rPr>
          <w:rFonts w:ascii="楷体_GB2312" w:hAnsi="宋体" w:eastAsia="楷体_GB2312"/>
          <w:color w:val="000000"/>
          <w:sz w:val="24"/>
          <w:highlight w:val="none"/>
        </w:rPr>
      </w:pPr>
      <w:r>
        <w:rPr>
          <w:rFonts w:hint="eastAsia" w:ascii="楷体_GB2312" w:hAnsi="宋体" w:eastAsia="楷体_GB2312"/>
          <w:color w:val="000000"/>
          <w:sz w:val="24"/>
          <w:highlight w:val="none"/>
        </w:rPr>
        <w:t>（1）管理成本费用：为本理财产品</w:t>
      </w:r>
      <w:r>
        <w:rPr>
          <w:rFonts w:hint="eastAsia" w:ascii="楷体_GB2312" w:hAnsi="宋体" w:eastAsia="楷体_GB2312"/>
          <w:color w:val="000000"/>
          <w:sz w:val="24"/>
          <w:highlight w:val="none"/>
          <w:lang w:val="en-US" w:eastAsia="zh-CN"/>
        </w:rPr>
        <w:t>项</w:t>
      </w:r>
      <w:r>
        <w:rPr>
          <w:rFonts w:hint="eastAsia" w:ascii="楷体_GB2312" w:hAnsi="宋体" w:eastAsia="楷体_GB2312"/>
          <w:color w:val="000000"/>
          <w:sz w:val="24"/>
          <w:highlight w:val="none"/>
        </w:rPr>
        <w:t>下投资交易提供专属信托、保管、托管、咨询、顾问、管理等服务所产生的费用(如</w:t>
      </w:r>
      <w:r>
        <w:rPr>
          <w:rFonts w:hint="eastAsia" w:ascii="楷体_GB2312" w:hAnsi="宋体" w:eastAsia="楷体_GB2312"/>
          <w:color w:val="000000"/>
          <w:sz w:val="24"/>
          <w:highlight w:val="none"/>
          <w:lang w:val="en-US" w:eastAsia="zh-CN"/>
        </w:rPr>
        <w:t>基金管理费、</w:t>
      </w:r>
      <w:r>
        <w:rPr>
          <w:rFonts w:hint="eastAsia" w:ascii="楷体_GB2312" w:hAnsi="宋体" w:eastAsia="楷体_GB2312"/>
          <w:color w:val="000000"/>
          <w:sz w:val="24"/>
          <w:highlight w:val="none"/>
        </w:rPr>
        <w:t>投资顾问费、信托保管费、信托报酬、各类信托费用等)和支出均属于</w:t>
      </w:r>
      <w:r>
        <w:rPr>
          <w:rFonts w:hint="eastAsia" w:ascii="楷体_GB2312" w:hAnsi="宋体" w:eastAsia="楷体_GB2312"/>
          <w:color w:val="000000"/>
          <w:sz w:val="24"/>
          <w:highlight w:val="none"/>
          <w:lang w:eastAsia="zh-CN"/>
        </w:rPr>
        <w:t>本</w:t>
      </w:r>
      <w:r>
        <w:rPr>
          <w:rFonts w:hint="eastAsia" w:ascii="楷体_GB2312" w:hAnsi="宋体" w:eastAsia="楷体_GB2312"/>
          <w:color w:val="000000"/>
          <w:sz w:val="24"/>
          <w:highlight w:val="none"/>
        </w:rPr>
        <w:t>理财产品的</w:t>
      </w:r>
      <w:r>
        <w:rPr>
          <w:rFonts w:hint="eastAsia" w:ascii="楷体_GB2312" w:hAnsi="宋体" w:eastAsia="楷体_GB2312"/>
          <w:color w:val="000000"/>
          <w:sz w:val="24"/>
          <w:highlight w:val="none"/>
          <w:lang w:val="en-US" w:eastAsia="zh-CN"/>
        </w:rPr>
        <w:t>管理</w:t>
      </w:r>
      <w:r>
        <w:rPr>
          <w:rFonts w:hint="eastAsia" w:ascii="楷体_GB2312" w:hAnsi="宋体" w:eastAsia="楷体_GB2312"/>
          <w:color w:val="000000"/>
          <w:sz w:val="24"/>
          <w:highlight w:val="none"/>
        </w:rPr>
        <w:t>成本费用，由相关机构(包括但不限于</w:t>
      </w:r>
      <w:r>
        <w:rPr>
          <w:rFonts w:hint="eastAsia" w:ascii="楷体_GB2312" w:hAnsi="宋体" w:eastAsia="楷体_GB2312"/>
          <w:color w:val="000000"/>
          <w:sz w:val="24"/>
          <w:highlight w:val="none"/>
          <w:lang w:val="en-US" w:eastAsia="zh-CN"/>
        </w:rPr>
        <w:t>基金公司、</w:t>
      </w:r>
      <w:r>
        <w:rPr>
          <w:rFonts w:hint="eastAsia" w:ascii="楷体_GB2312" w:hAnsi="宋体" w:eastAsia="楷体_GB2312"/>
          <w:color w:val="000000"/>
          <w:sz w:val="24"/>
          <w:highlight w:val="none"/>
        </w:rPr>
        <w:t>信托公司、保管银行等)依照相关法律文件(包括但不限于</w:t>
      </w:r>
      <w:r>
        <w:rPr>
          <w:rFonts w:hint="eastAsia" w:ascii="楷体_GB2312" w:hAnsi="宋体" w:eastAsia="楷体_GB2312"/>
          <w:color w:val="000000"/>
          <w:sz w:val="24"/>
          <w:highlight w:val="none"/>
          <w:lang w:val="en-US" w:eastAsia="zh-CN"/>
        </w:rPr>
        <w:t>基金合同、</w:t>
      </w:r>
      <w:r>
        <w:rPr>
          <w:rFonts w:hint="eastAsia" w:ascii="楷体_GB2312" w:hAnsi="宋体" w:eastAsia="楷体_GB2312"/>
          <w:color w:val="000000"/>
          <w:sz w:val="24"/>
          <w:highlight w:val="none"/>
        </w:rPr>
        <w:t>信托合同、保管合同、顾问协议等)约定的标准和条件</w:t>
      </w:r>
      <w:r>
        <w:rPr>
          <w:rFonts w:hint="eastAsia" w:ascii="楷体_GB2312" w:hAnsi="宋体" w:eastAsia="楷体_GB2312"/>
          <w:color w:val="000000"/>
          <w:sz w:val="24"/>
          <w:highlight w:val="none"/>
          <w:lang w:val="en-US" w:eastAsia="zh-CN"/>
        </w:rPr>
        <w:t>扣除</w:t>
      </w:r>
      <w:r>
        <w:rPr>
          <w:rFonts w:hint="eastAsia" w:ascii="楷体_GB2312" w:hAnsi="宋体" w:eastAsia="楷体_GB2312"/>
          <w:color w:val="000000"/>
          <w:sz w:val="24"/>
          <w:highlight w:val="none"/>
        </w:rPr>
        <w:t>。</w:t>
      </w:r>
    </w:p>
    <w:p>
      <w:pPr>
        <w:ind w:firstLine="480" w:firstLineChars="200"/>
        <w:rPr>
          <w:rFonts w:hint="default" w:ascii="楷体_GB2312" w:hAnsi="宋体" w:eastAsia="楷体_GB2312"/>
          <w:color w:val="000000"/>
          <w:sz w:val="24"/>
          <w:highlight w:val="none"/>
          <w:lang w:val="en-US" w:eastAsia="zh-CN"/>
        </w:rPr>
      </w:pPr>
      <w:r>
        <w:rPr>
          <w:rFonts w:hint="eastAsia" w:ascii="楷体_GB2312" w:hAnsi="宋体" w:eastAsia="楷体_GB2312"/>
          <w:color w:val="000000"/>
          <w:sz w:val="24"/>
          <w:highlight w:val="none"/>
        </w:rPr>
        <w:t>（2）其他成本费用：</w:t>
      </w:r>
      <w:r>
        <w:rPr>
          <w:rFonts w:hint="eastAsia" w:ascii="楷体_GB2312" w:hAnsi="宋体" w:eastAsia="楷体_GB2312"/>
          <w:color w:val="000000"/>
          <w:sz w:val="24"/>
          <w:highlight w:val="none"/>
          <w:lang w:val="en-US" w:eastAsia="zh-CN"/>
        </w:rPr>
        <w:t>本理财</w:t>
      </w:r>
      <w:r>
        <w:rPr>
          <w:rFonts w:hint="eastAsia" w:ascii="楷体_GB2312" w:hAnsi="宋体" w:eastAsia="楷体_GB2312"/>
          <w:color w:val="000000"/>
          <w:sz w:val="24"/>
          <w:highlight w:val="none"/>
        </w:rPr>
        <w:t>产品运作和清算中产生的其他资金汇划费、结算费、交易手续费、注册登记费、账户服务费、进行</w:t>
      </w:r>
      <w:r>
        <w:rPr>
          <w:rFonts w:hint="eastAsia" w:ascii="楷体_GB2312" w:hAnsi="宋体" w:eastAsia="楷体_GB2312"/>
          <w:color w:val="000000"/>
          <w:sz w:val="24"/>
          <w:highlight w:val="none"/>
          <w:lang w:eastAsia="zh-CN"/>
        </w:rPr>
        <w:t>本</w:t>
      </w:r>
      <w:r>
        <w:rPr>
          <w:rFonts w:hint="eastAsia" w:ascii="楷体_GB2312" w:hAnsi="宋体" w:eastAsia="楷体_GB2312"/>
          <w:color w:val="000000"/>
          <w:sz w:val="24"/>
          <w:highlight w:val="none"/>
        </w:rPr>
        <w:t>理财产品销售文件</w:t>
      </w:r>
      <w:r>
        <w:rPr>
          <w:rFonts w:hint="eastAsia" w:ascii="楷体_GB2312" w:hAnsi="宋体" w:eastAsia="楷体_GB2312"/>
          <w:color w:val="000000"/>
          <w:sz w:val="24"/>
          <w:highlight w:val="none"/>
          <w:lang w:val="en-US" w:eastAsia="zh-CN"/>
        </w:rPr>
        <w:t>约</w:t>
      </w:r>
      <w:r>
        <w:rPr>
          <w:rFonts w:hint="eastAsia" w:ascii="楷体_GB2312" w:hAnsi="宋体" w:eastAsia="楷体_GB2312"/>
          <w:color w:val="000000"/>
          <w:sz w:val="24"/>
          <w:highlight w:val="none"/>
        </w:rPr>
        <w:t>定的投资而发生的交易费用、根据国家有关规定应当在</w:t>
      </w:r>
      <w:r>
        <w:rPr>
          <w:rFonts w:hint="eastAsia" w:ascii="楷体_GB2312" w:hAnsi="宋体" w:eastAsia="楷体_GB2312"/>
          <w:color w:val="000000"/>
          <w:sz w:val="24"/>
          <w:highlight w:val="none"/>
          <w:lang w:eastAsia="zh-CN"/>
        </w:rPr>
        <w:t>本</w:t>
      </w:r>
      <w:r>
        <w:rPr>
          <w:rFonts w:hint="eastAsia" w:ascii="楷体_GB2312" w:hAnsi="宋体" w:eastAsia="楷体_GB2312"/>
          <w:color w:val="000000"/>
          <w:sz w:val="24"/>
          <w:highlight w:val="none"/>
        </w:rPr>
        <w:t>理财产品收益或资产中扣除的法定费用、</w:t>
      </w:r>
      <w:r>
        <w:rPr>
          <w:rFonts w:hint="eastAsia" w:ascii="楷体_GB2312" w:hAnsi="宋体" w:eastAsia="楷体_GB2312"/>
          <w:color w:val="000000"/>
          <w:sz w:val="24"/>
          <w:highlight w:val="none"/>
          <w:lang w:eastAsia="zh-CN"/>
        </w:rPr>
        <w:t>本理财产品</w:t>
      </w:r>
      <w:r>
        <w:rPr>
          <w:rFonts w:hint="eastAsia" w:ascii="楷体_GB2312" w:hAnsi="宋体" w:eastAsia="楷体_GB2312"/>
          <w:color w:val="000000"/>
          <w:sz w:val="24"/>
          <w:highlight w:val="none"/>
        </w:rPr>
        <w:t>存续期间发生的信息披露费用、与</w:t>
      </w:r>
      <w:r>
        <w:rPr>
          <w:rFonts w:hint="eastAsia" w:ascii="楷体_GB2312" w:hAnsi="宋体" w:eastAsia="楷体_GB2312"/>
          <w:color w:val="000000"/>
          <w:sz w:val="24"/>
          <w:highlight w:val="none"/>
          <w:lang w:eastAsia="zh-CN"/>
        </w:rPr>
        <w:t>本</w:t>
      </w:r>
      <w:r>
        <w:rPr>
          <w:rFonts w:hint="eastAsia" w:ascii="楷体_GB2312" w:hAnsi="宋体" w:eastAsia="楷体_GB2312"/>
          <w:color w:val="000000"/>
          <w:sz w:val="24"/>
          <w:highlight w:val="none"/>
        </w:rPr>
        <w:t>理财产品相关的会计师费</w:t>
      </w:r>
      <w:r>
        <w:rPr>
          <w:rFonts w:hint="eastAsia" w:ascii="楷体_GB2312" w:hAnsi="宋体" w:eastAsia="楷体_GB2312"/>
          <w:color w:val="000000"/>
          <w:sz w:val="24"/>
          <w:highlight w:val="none"/>
          <w:lang w:eastAsia="zh-CN"/>
        </w:rPr>
        <w:t>（</w:t>
      </w:r>
      <w:r>
        <w:rPr>
          <w:rFonts w:hint="eastAsia" w:ascii="楷体_GB2312" w:hAnsi="宋体" w:eastAsia="楷体_GB2312"/>
          <w:color w:val="000000"/>
          <w:sz w:val="24"/>
          <w:highlight w:val="none"/>
          <w:lang w:val="en-US" w:eastAsia="zh-CN"/>
        </w:rPr>
        <w:t>如审计费等</w:t>
      </w:r>
      <w:r>
        <w:rPr>
          <w:rFonts w:hint="eastAsia" w:ascii="楷体_GB2312" w:hAnsi="宋体" w:eastAsia="楷体_GB2312"/>
          <w:color w:val="000000"/>
          <w:sz w:val="24"/>
          <w:highlight w:val="none"/>
          <w:lang w:eastAsia="zh-CN"/>
        </w:rPr>
        <w:t>）</w:t>
      </w:r>
      <w:r>
        <w:rPr>
          <w:rFonts w:hint="eastAsia" w:ascii="楷体_GB2312" w:hAnsi="宋体" w:eastAsia="楷体_GB2312"/>
          <w:color w:val="000000"/>
          <w:sz w:val="24"/>
          <w:highlight w:val="none"/>
        </w:rPr>
        <w:t>和律师费以及</w:t>
      </w:r>
      <w:r>
        <w:rPr>
          <w:rFonts w:hint="eastAsia" w:ascii="楷体_GB2312" w:hAnsi="宋体" w:eastAsia="楷体_GB2312"/>
          <w:color w:val="000000"/>
          <w:sz w:val="24"/>
          <w:highlight w:val="none"/>
          <w:lang w:eastAsia="zh-CN"/>
        </w:rPr>
        <w:t>本</w:t>
      </w:r>
      <w:r>
        <w:rPr>
          <w:rFonts w:hint="eastAsia" w:ascii="楷体_GB2312" w:hAnsi="宋体" w:eastAsia="楷体_GB2312"/>
          <w:color w:val="000000"/>
          <w:sz w:val="24"/>
          <w:highlight w:val="none"/>
        </w:rPr>
        <w:t>理财产品销售文件约定可扣除的其他费用(包括交易发生的税费、手续费等)均属于</w:t>
      </w:r>
      <w:r>
        <w:rPr>
          <w:rFonts w:hint="eastAsia" w:ascii="楷体_GB2312" w:hAnsi="宋体" w:eastAsia="楷体_GB2312"/>
          <w:color w:val="000000"/>
          <w:sz w:val="24"/>
          <w:highlight w:val="none"/>
          <w:lang w:eastAsia="zh-CN"/>
        </w:rPr>
        <w:t>本</w:t>
      </w:r>
      <w:r>
        <w:rPr>
          <w:rFonts w:hint="eastAsia" w:ascii="楷体_GB2312" w:hAnsi="宋体" w:eastAsia="楷体_GB2312"/>
          <w:color w:val="000000"/>
          <w:sz w:val="24"/>
          <w:highlight w:val="none"/>
        </w:rPr>
        <w:t>理财产品的</w:t>
      </w:r>
      <w:r>
        <w:rPr>
          <w:rFonts w:hint="eastAsia" w:ascii="楷体_GB2312" w:hAnsi="宋体" w:eastAsia="楷体_GB2312"/>
          <w:color w:val="000000"/>
          <w:sz w:val="24"/>
          <w:highlight w:val="none"/>
          <w:lang w:val="en-US" w:eastAsia="zh-CN"/>
        </w:rPr>
        <w:t>其他</w:t>
      </w:r>
      <w:r>
        <w:rPr>
          <w:rFonts w:hint="eastAsia" w:ascii="楷体_GB2312" w:hAnsi="宋体" w:eastAsia="楷体_GB2312"/>
          <w:color w:val="000000"/>
          <w:sz w:val="24"/>
          <w:highlight w:val="none"/>
        </w:rPr>
        <w:t>成本费用，由</w:t>
      </w:r>
      <w:r>
        <w:rPr>
          <w:rFonts w:hint="eastAsia" w:ascii="楷体_GB2312" w:hAnsi="宋体" w:eastAsia="楷体_GB2312"/>
          <w:color w:val="000000"/>
          <w:sz w:val="24"/>
          <w:highlight w:val="none"/>
          <w:lang w:eastAsia="zh-CN"/>
        </w:rPr>
        <w:t>产品管理人</w:t>
      </w:r>
      <w:r>
        <w:rPr>
          <w:rFonts w:hint="eastAsia" w:ascii="楷体_GB2312" w:hAnsi="宋体" w:eastAsia="楷体_GB2312"/>
          <w:color w:val="000000"/>
          <w:sz w:val="24"/>
          <w:highlight w:val="none"/>
        </w:rPr>
        <w:t>依照相关法律文件的约定在向投资者分配资金前从</w:t>
      </w:r>
      <w:r>
        <w:rPr>
          <w:rFonts w:hint="eastAsia" w:ascii="楷体_GB2312" w:hAnsi="宋体" w:eastAsia="楷体_GB2312"/>
          <w:color w:val="000000"/>
          <w:sz w:val="24"/>
          <w:highlight w:val="none"/>
          <w:lang w:val="en-US" w:eastAsia="zh-CN"/>
        </w:rPr>
        <w:t>理财产品中支付</w:t>
      </w:r>
      <w:r>
        <w:rPr>
          <w:rFonts w:hint="eastAsia" w:ascii="楷体_GB2312" w:hAnsi="宋体" w:eastAsia="楷体_GB2312"/>
          <w:color w:val="000000"/>
          <w:sz w:val="24"/>
          <w:highlight w:val="none"/>
        </w:rPr>
        <w:t>。</w:t>
      </w:r>
    </w:p>
    <w:p>
      <w:pPr>
        <w:ind w:firstLine="480" w:firstLineChars="200"/>
        <w:rPr>
          <w:rFonts w:ascii="楷体_GB2312" w:hAnsi="宋体" w:eastAsia="楷体_GB2312"/>
          <w:color w:val="000000"/>
          <w:sz w:val="24"/>
          <w:highlight w:val="none"/>
        </w:rPr>
      </w:pPr>
      <w:r>
        <w:rPr>
          <w:rFonts w:hint="eastAsia" w:ascii="楷体_GB2312" w:hAnsi="宋体" w:eastAsia="楷体_GB2312"/>
          <w:b w:val="0"/>
          <w:bCs w:val="0"/>
          <w:color w:val="000000"/>
          <w:sz w:val="24"/>
          <w:highlight w:val="none"/>
        </w:rPr>
        <w:t>★</w:t>
      </w:r>
      <w:r>
        <w:rPr>
          <w:rFonts w:hint="eastAsia" w:ascii="楷体_GB2312" w:hAnsi="宋体" w:eastAsia="楷体_GB2312"/>
          <w:color w:val="000000"/>
          <w:sz w:val="24"/>
          <w:highlight w:val="none"/>
        </w:rPr>
        <w:t>（</w:t>
      </w:r>
      <w:r>
        <w:rPr>
          <w:rFonts w:hint="eastAsia" w:ascii="楷体_GB2312" w:hAnsi="宋体" w:eastAsia="楷体_GB2312"/>
          <w:color w:val="000000"/>
          <w:sz w:val="24"/>
          <w:highlight w:val="none"/>
          <w:lang w:val="en-US" w:eastAsia="zh-CN"/>
        </w:rPr>
        <w:t>三</w:t>
      </w:r>
      <w:r>
        <w:rPr>
          <w:rFonts w:hint="eastAsia" w:ascii="楷体_GB2312" w:hAnsi="宋体" w:eastAsia="楷体_GB2312"/>
          <w:color w:val="000000"/>
          <w:sz w:val="24"/>
          <w:highlight w:val="none"/>
        </w:rPr>
        <w:t>）特别说明</w:t>
      </w:r>
    </w:p>
    <w:p>
      <w:pPr>
        <w:ind w:firstLine="480" w:firstLineChars="200"/>
        <w:rPr>
          <w:rFonts w:ascii="楷体_GB2312" w:hAnsi="宋体" w:eastAsia="楷体_GB2312"/>
          <w:b/>
          <w:bCs/>
          <w:color w:val="000000"/>
          <w:sz w:val="24"/>
          <w:highlight w:val="none"/>
        </w:rPr>
      </w:pPr>
      <w:r>
        <w:rPr>
          <w:rFonts w:hint="eastAsia" w:ascii="楷体_GB2312" w:hAnsi="宋体" w:eastAsia="楷体_GB2312"/>
          <w:color w:val="000000"/>
          <w:sz w:val="24"/>
          <w:highlight w:val="none"/>
        </w:rPr>
        <w:t>本理财产品销售文件项下北银理财所收取的费用为含税价格，相关税率按照国家法律法规规定执行。北银理财有权根据法律法规、监管规定、国家有关政策及市场情况调整前述收费项目、标准、条件、方式等具体收费内容。对于新增、调高或降低的相关内容，将提前</w:t>
      </w:r>
      <w:r>
        <w:rPr>
          <w:rFonts w:hint="default" w:ascii="楷体_GB2312" w:hAnsi="宋体" w:eastAsia="楷体_GB2312"/>
          <w:color w:val="000000"/>
          <w:sz w:val="24"/>
          <w:highlight w:val="none"/>
          <w:lang w:val="en-US"/>
        </w:rPr>
        <w:t>1</w:t>
      </w:r>
      <w:r>
        <w:rPr>
          <w:rFonts w:hint="eastAsia" w:ascii="楷体_GB2312" w:hAnsi="宋体" w:eastAsia="楷体_GB2312"/>
          <w:color w:val="000000"/>
          <w:sz w:val="24"/>
          <w:highlight w:val="none"/>
          <w:lang w:val="en-US" w:eastAsia="zh-CN"/>
        </w:rPr>
        <w:t>个工作日</w:t>
      </w:r>
      <w:r>
        <w:rPr>
          <w:rFonts w:hint="eastAsia" w:ascii="楷体_GB2312" w:hAnsi="宋体" w:eastAsia="楷体_GB2312"/>
          <w:color w:val="000000"/>
          <w:sz w:val="24"/>
          <w:highlight w:val="none"/>
        </w:rPr>
        <w:t>在</w:t>
      </w:r>
      <w:r>
        <w:rPr>
          <w:rFonts w:hint="eastAsia" w:ascii="楷体_GB2312" w:hAnsi="宋体" w:eastAsia="楷体_GB2312"/>
          <w:color w:val="000000"/>
          <w:sz w:val="24"/>
          <w:highlight w:val="none"/>
          <w:lang w:eastAsia="zh-CN"/>
        </w:rPr>
        <w:t>本理财产品销售文件约定的信息披露渠道</w:t>
      </w:r>
      <w:r>
        <w:rPr>
          <w:rFonts w:hint="eastAsia" w:ascii="楷体_GB2312" w:hAnsi="宋体" w:eastAsia="楷体_GB2312"/>
          <w:color w:val="000000"/>
          <w:sz w:val="24"/>
          <w:highlight w:val="none"/>
        </w:rPr>
        <w:t>向投资者披露，并于</w:t>
      </w:r>
      <w:r>
        <w:rPr>
          <w:rFonts w:hint="eastAsia" w:ascii="楷体_GB2312" w:hAnsi="宋体" w:eastAsia="楷体_GB2312"/>
          <w:color w:val="000000"/>
          <w:sz w:val="24"/>
          <w:highlight w:val="none"/>
          <w:lang w:eastAsia="zh-CN"/>
        </w:rPr>
        <w:t>产品管理人</w:t>
      </w:r>
      <w:r>
        <w:rPr>
          <w:rFonts w:hint="eastAsia" w:ascii="楷体_GB2312" w:hAnsi="宋体" w:eastAsia="楷体_GB2312"/>
          <w:color w:val="000000"/>
          <w:sz w:val="24"/>
          <w:highlight w:val="none"/>
        </w:rPr>
        <w:t>确定的施行日期开</w:t>
      </w:r>
      <w:r>
        <w:rPr>
          <w:rFonts w:hint="eastAsia" w:ascii="楷体_GB2312" w:hAnsi="宋体" w:eastAsia="楷体_GB2312" w:cs="Times New Roman"/>
          <w:color w:val="000000"/>
          <w:sz w:val="24"/>
          <w:highlight w:val="none"/>
        </w:rPr>
        <w:t>始施行。</w:t>
      </w:r>
      <w:r>
        <w:rPr>
          <w:rFonts w:hint="eastAsia" w:ascii="楷体_GB2312" w:hAnsi="宋体" w:eastAsia="楷体_GB2312" w:cs="Times New Roman"/>
          <w:b/>
          <w:bCs/>
          <w:color w:val="000000"/>
          <w:sz w:val="24"/>
          <w:highlight w:val="none"/>
          <w:lang w:val="en-US" w:eastAsia="zh-CN"/>
        </w:rPr>
        <w:t>如</w:t>
      </w:r>
      <w:r>
        <w:rPr>
          <w:rFonts w:hint="eastAsia" w:ascii="楷体_GB2312" w:hAnsi="宋体" w:eastAsia="楷体_GB2312" w:cs="Times New Roman"/>
          <w:b/>
          <w:bCs/>
          <w:color w:val="000000"/>
          <w:sz w:val="24"/>
          <w:highlight w:val="none"/>
        </w:rPr>
        <w:t>投资者未</w:t>
      </w:r>
      <w:r>
        <w:rPr>
          <w:rFonts w:hint="eastAsia" w:ascii="楷体_GB2312" w:hAnsi="宋体" w:eastAsia="楷体_GB2312" w:cs="Times New Roman"/>
          <w:b/>
          <w:bCs/>
          <w:color w:val="000000"/>
          <w:sz w:val="24"/>
          <w:highlight w:val="none"/>
          <w:lang w:val="en-US" w:eastAsia="zh-CN"/>
        </w:rPr>
        <w:t>按照</w:t>
      </w:r>
      <w:r>
        <w:rPr>
          <w:rFonts w:hint="eastAsia" w:ascii="楷体_GB2312" w:hAnsi="宋体" w:eastAsia="楷体_GB2312" w:cs="Times New Roman"/>
          <w:b/>
          <w:bCs/>
          <w:color w:val="000000"/>
          <w:sz w:val="24"/>
          <w:highlight w:val="none"/>
        </w:rPr>
        <w:t>公告进行赎回操作的，视为投资者同意接受该等调整并按其执行。</w:t>
      </w:r>
    </w:p>
    <w:p>
      <w:pPr>
        <w:ind w:firstLine="482" w:firstLineChars="200"/>
        <w:rPr>
          <w:rFonts w:ascii="楷体_GB2312" w:hAnsi="宋体" w:eastAsia="楷体_GB2312"/>
          <w:b/>
          <w:color w:val="000000"/>
          <w:sz w:val="24"/>
          <w:highlight w:val="none"/>
        </w:rPr>
      </w:pPr>
      <w:r>
        <w:rPr>
          <w:rFonts w:ascii="楷体_GB2312" w:hAnsi="宋体" w:eastAsia="楷体_GB2312"/>
          <w:b/>
          <w:color w:val="000000"/>
          <w:sz w:val="24"/>
          <w:highlight w:val="none"/>
        </w:rPr>
        <w:t>十、资产估值</w:t>
      </w:r>
    </w:p>
    <w:p>
      <w:pPr>
        <w:ind w:firstLine="480" w:firstLineChars="200"/>
        <w:rPr>
          <w:rFonts w:ascii="楷体_GB2312" w:hAnsi="宋体" w:eastAsia="楷体_GB2312"/>
          <w:color w:val="000000"/>
          <w:sz w:val="24"/>
          <w:highlight w:val="none"/>
        </w:rPr>
      </w:pPr>
      <w:r>
        <w:rPr>
          <w:rFonts w:hint="eastAsia" w:ascii="楷体_GB2312" w:hAnsi="宋体" w:eastAsia="楷体_GB2312"/>
          <w:color w:val="000000"/>
          <w:sz w:val="24"/>
          <w:highlight w:val="none"/>
        </w:rPr>
        <w:t>（一）估值目的和估值原则</w:t>
      </w:r>
    </w:p>
    <w:p>
      <w:pPr>
        <w:ind w:firstLine="480" w:firstLineChars="200"/>
        <w:rPr>
          <w:rFonts w:ascii="楷体_GB2312" w:hAnsi="宋体" w:eastAsia="楷体_GB2312"/>
          <w:color w:val="000000"/>
          <w:sz w:val="24"/>
          <w:highlight w:val="none"/>
        </w:rPr>
      </w:pPr>
      <w:r>
        <w:rPr>
          <w:rFonts w:ascii="楷体_GB2312" w:hAnsi="宋体" w:eastAsia="楷体_GB2312"/>
          <w:color w:val="000000"/>
          <w:sz w:val="24"/>
          <w:highlight w:val="none"/>
        </w:rPr>
        <w:t>理财产品估值的目的是公允、合理地反映理财产品的价值。</w:t>
      </w:r>
      <w:r>
        <w:rPr>
          <w:rFonts w:ascii="楷体_GB2312" w:hAnsi="宋体" w:eastAsia="楷体_GB2312"/>
          <w:color w:val="000000"/>
          <w:sz w:val="24"/>
        </w:rPr>
        <w:t>估值中坚持公允价值</w:t>
      </w:r>
      <w:r>
        <w:rPr>
          <w:rFonts w:hint="eastAsia" w:ascii="楷体_GB2312" w:hAnsi="宋体" w:eastAsia="楷体_GB2312"/>
          <w:color w:val="000000"/>
          <w:sz w:val="24"/>
        </w:rPr>
        <w:t>计量原则。</w:t>
      </w:r>
    </w:p>
    <w:p>
      <w:pPr>
        <w:ind w:firstLine="480" w:firstLineChars="200"/>
        <w:rPr>
          <w:rFonts w:ascii="楷体_GB2312" w:hAnsi="宋体" w:eastAsia="楷体_GB2312"/>
          <w:color w:val="000000"/>
          <w:sz w:val="24"/>
          <w:highlight w:val="none"/>
        </w:rPr>
      </w:pPr>
      <w:r>
        <w:rPr>
          <w:rFonts w:hint="eastAsia" w:ascii="楷体_GB2312" w:hAnsi="宋体" w:eastAsia="楷体_GB2312"/>
          <w:color w:val="000000"/>
          <w:sz w:val="24"/>
          <w:highlight w:val="none"/>
        </w:rPr>
        <w:t>（二）</w:t>
      </w:r>
      <w:r>
        <w:rPr>
          <w:rFonts w:ascii="楷体_GB2312" w:hAnsi="宋体" w:eastAsia="楷体_GB2312"/>
          <w:color w:val="000000"/>
          <w:sz w:val="24"/>
          <w:highlight w:val="none"/>
        </w:rPr>
        <w:t>估值对象</w:t>
      </w:r>
    </w:p>
    <w:p>
      <w:pPr>
        <w:ind w:firstLine="480" w:firstLineChars="200"/>
        <w:rPr>
          <w:rFonts w:ascii="楷体_GB2312" w:hAnsi="宋体" w:eastAsia="楷体_GB2312"/>
          <w:color w:val="000000"/>
          <w:sz w:val="24"/>
          <w:highlight w:val="none"/>
        </w:rPr>
      </w:pPr>
      <w:r>
        <w:rPr>
          <w:rFonts w:hint="eastAsia" w:ascii="楷体_GB2312" w:hAnsi="宋体" w:eastAsia="楷体_GB2312"/>
          <w:color w:val="000000"/>
          <w:sz w:val="24"/>
          <w:highlight w:val="none"/>
          <w:lang w:eastAsia="zh-CN"/>
        </w:rPr>
        <w:t>本理财产品</w:t>
      </w:r>
      <w:r>
        <w:rPr>
          <w:rFonts w:hint="eastAsia" w:ascii="楷体_GB2312" w:hAnsi="宋体" w:eastAsia="楷体_GB2312"/>
          <w:color w:val="000000"/>
          <w:sz w:val="24"/>
          <w:highlight w:val="none"/>
        </w:rPr>
        <w:t>所拥有的各类有价证券、银行存款、应收款项及其他资产和负债。</w:t>
      </w:r>
    </w:p>
    <w:p>
      <w:pPr>
        <w:ind w:firstLine="480" w:firstLineChars="200"/>
        <w:rPr>
          <w:rFonts w:ascii="楷体_GB2312" w:hAnsi="宋体" w:eastAsia="楷体_GB2312"/>
          <w:color w:val="000000"/>
          <w:sz w:val="24"/>
          <w:highlight w:val="none"/>
        </w:rPr>
      </w:pPr>
      <w:r>
        <w:rPr>
          <w:rFonts w:hint="eastAsia" w:ascii="楷体_GB2312" w:hAnsi="宋体" w:eastAsia="楷体_GB2312"/>
          <w:color w:val="000000"/>
          <w:sz w:val="24"/>
          <w:highlight w:val="none"/>
        </w:rPr>
        <w:t>（三）估值日</w:t>
      </w:r>
    </w:p>
    <w:p>
      <w:pPr>
        <w:ind w:firstLine="480" w:firstLineChars="200"/>
        <w:rPr>
          <w:rFonts w:ascii="楷体_GB2312" w:hAnsi="宋体" w:eastAsia="楷体_GB2312"/>
          <w:color w:val="000000"/>
          <w:sz w:val="24"/>
          <w:highlight w:val="none"/>
        </w:rPr>
      </w:pPr>
      <w:r>
        <w:rPr>
          <w:rFonts w:hint="eastAsia" w:ascii="楷体_GB2312" w:hAnsi="宋体" w:eastAsia="楷体_GB2312"/>
          <w:color w:val="000000"/>
          <w:sz w:val="24"/>
          <w:highlight w:val="none"/>
          <w:lang w:val="en-US" w:eastAsia="zh-CN"/>
        </w:rPr>
        <w:t>本理财</w:t>
      </w:r>
      <w:r>
        <w:rPr>
          <w:rFonts w:hint="eastAsia" w:ascii="楷体_GB2312" w:hAnsi="宋体" w:eastAsia="楷体_GB2312"/>
          <w:color w:val="000000"/>
          <w:sz w:val="24"/>
          <w:highlight w:val="none"/>
        </w:rPr>
        <w:t>产品成立后的每个</w:t>
      </w:r>
      <w:r>
        <w:rPr>
          <w:rFonts w:hint="eastAsia" w:ascii="楷体_GB2312" w:hAnsi="宋体" w:eastAsia="楷体_GB2312"/>
          <w:color w:val="000000"/>
          <w:sz w:val="24"/>
          <w:highlight w:val="none"/>
          <w:lang w:val="en-US" w:eastAsia="zh-CN"/>
        </w:rPr>
        <w:t>自然</w:t>
      </w:r>
      <w:r>
        <w:rPr>
          <w:rFonts w:hint="eastAsia" w:ascii="楷体_GB2312" w:hAnsi="宋体" w:eastAsia="楷体_GB2312"/>
          <w:color w:val="000000"/>
          <w:sz w:val="24"/>
          <w:highlight w:val="none"/>
        </w:rPr>
        <w:t>日均为估值日。</w:t>
      </w:r>
    </w:p>
    <w:p>
      <w:pPr>
        <w:ind w:firstLine="480" w:firstLineChars="200"/>
        <w:rPr>
          <w:rFonts w:ascii="楷体_GB2312" w:hAnsi="宋体" w:eastAsia="楷体_GB2312"/>
          <w:color w:val="000000"/>
          <w:sz w:val="24"/>
        </w:rPr>
      </w:pPr>
      <w:r>
        <w:rPr>
          <w:rFonts w:ascii="楷体_GB2312" w:hAnsi="宋体" w:eastAsia="楷体_GB2312"/>
          <w:color w:val="000000"/>
          <w:sz w:val="24"/>
        </w:rPr>
        <w:t>（四）估值方法</w:t>
      </w:r>
    </w:p>
    <w:p>
      <w:pPr>
        <w:ind w:firstLine="480" w:firstLineChars="200"/>
        <w:rPr>
          <w:rFonts w:hint="eastAsia" w:ascii="楷体_GB2312" w:hAnsi="宋体" w:eastAsia="楷体_GB2312"/>
          <w:color w:val="000000"/>
          <w:sz w:val="24"/>
        </w:rPr>
      </w:pPr>
      <w:r>
        <w:rPr>
          <w:rFonts w:hint="eastAsia" w:ascii="楷体_GB2312" w:hAnsi="宋体" w:eastAsia="楷体_GB2312"/>
          <w:color w:val="000000"/>
          <w:sz w:val="24"/>
        </w:rPr>
        <w:t>1.在证券交易所和全国银行间市场交易的标准化债权类资产，可按第三方估值机构（中证、中债等）提供的估值数据进行估值，具体第三方估值机构由</w:t>
      </w:r>
      <w:r>
        <w:rPr>
          <w:rFonts w:hint="eastAsia" w:ascii="楷体_GB2312" w:hAnsi="宋体" w:eastAsia="楷体_GB2312"/>
          <w:color w:val="000000"/>
          <w:sz w:val="24"/>
          <w:lang w:val="en-US" w:eastAsia="zh-CN"/>
        </w:rPr>
        <w:t>产品</w:t>
      </w:r>
      <w:r>
        <w:rPr>
          <w:rFonts w:hint="eastAsia" w:ascii="楷体_GB2312" w:hAnsi="宋体" w:eastAsia="楷体_GB2312"/>
          <w:color w:val="000000"/>
          <w:sz w:val="24"/>
        </w:rPr>
        <w:t>管理人和</w:t>
      </w:r>
      <w:r>
        <w:rPr>
          <w:rFonts w:hint="eastAsia" w:ascii="楷体_GB2312" w:hAnsi="宋体" w:eastAsia="楷体_GB2312"/>
          <w:color w:val="000000"/>
          <w:sz w:val="24"/>
          <w:lang w:val="en-US" w:eastAsia="zh-CN"/>
        </w:rPr>
        <w:t>产品</w:t>
      </w:r>
      <w:r>
        <w:rPr>
          <w:rFonts w:hint="eastAsia" w:ascii="楷体_GB2312" w:hAnsi="宋体" w:eastAsia="楷体_GB2312"/>
          <w:color w:val="000000"/>
          <w:sz w:val="24"/>
        </w:rPr>
        <w:t>托管人具体协商确定。</w:t>
      </w:r>
    </w:p>
    <w:p>
      <w:pPr>
        <w:ind w:firstLine="480" w:firstLineChars="200"/>
        <w:rPr>
          <w:rFonts w:hint="eastAsia" w:ascii="楷体_GB2312" w:hAnsi="宋体" w:eastAsia="楷体_GB2312"/>
          <w:color w:val="000000"/>
          <w:sz w:val="24"/>
        </w:rPr>
      </w:pPr>
      <w:r>
        <w:rPr>
          <w:rFonts w:hint="eastAsia" w:ascii="楷体_GB2312" w:hAnsi="宋体" w:eastAsia="楷体_GB2312"/>
          <w:color w:val="000000"/>
          <w:sz w:val="24"/>
        </w:rPr>
        <w:t>其中，证券交易所上市的标准化债权类资产，第三方估值机构提供的估值价格与收盘价存在差异的，若产品管理人认定交易所收盘价更能体现公允价值，可与产品托管人协商一致后采用收盘价进行估值。如果第三方估值和收盘价都无法准确反馈公允价值的，采用估值技术进行估值。</w:t>
      </w:r>
    </w:p>
    <w:p>
      <w:pPr>
        <w:ind w:firstLine="480" w:firstLineChars="200"/>
        <w:rPr>
          <w:rFonts w:hint="eastAsia" w:ascii="楷体_GB2312" w:hAnsi="宋体" w:eastAsia="楷体_GB2312"/>
          <w:color w:val="000000"/>
          <w:sz w:val="24"/>
        </w:rPr>
      </w:pPr>
      <w:r>
        <w:rPr>
          <w:rFonts w:hint="eastAsia" w:ascii="楷体_GB2312" w:hAnsi="宋体" w:eastAsia="楷体_GB2312"/>
          <w:color w:val="000000"/>
          <w:sz w:val="24"/>
        </w:rPr>
        <w:t>2.在证券交易所上市流通的股票，估值日有交易的，以其估值日在证券交易所挂牌的市价（收盘价）估值；估值日无交易的，最近交易日后经济环境未发生重大变化且证券发行机构未发生影响证券价格的重大事件的，以最近交易日的市价（收盘价）估值；最近交易日后经济环境发生了重大变化或证券发行机构发生影响证券价格的重大事件的，参考类似投资品种的现行市价及重大变化因素调整最近交易市价；对于长期停牌股票，按行业通行的估值方法处理。</w:t>
      </w:r>
    </w:p>
    <w:p>
      <w:pPr>
        <w:ind w:firstLine="480" w:firstLineChars="200"/>
        <w:rPr>
          <w:rFonts w:hint="eastAsia" w:ascii="楷体_GB2312" w:hAnsi="宋体" w:eastAsia="楷体_GB2312"/>
          <w:color w:val="000000"/>
          <w:sz w:val="24"/>
        </w:rPr>
      </w:pPr>
      <w:r>
        <w:rPr>
          <w:rFonts w:hint="eastAsia" w:ascii="楷体_GB2312" w:hAnsi="宋体" w:eastAsia="楷体_GB2312"/>
          <w:color w:val="000000"/>
          <w:sz w:val="24"/>
        </w:rPr>
        <w:t>3.未上市期间的有价证券应区分如下情况处理：</w:t>
      </w:r>
    </w:p>
    <w:p>
      <w:pPr>
        <w:ind w:firstLine="480" w:firstLineChars="200"/>
        <w:rPr>
          <w:rFonts w:hint="eastAsia" w:ascii="楷体_GB2312" w:hAnsi="宋体" w:eastAsia="楷体_GB2312"/>
          <w:color w:val="000000"/>
          <w:sz w:val="24"/>
        </w:rPr>
      </w:pPr>
      <w:r>
        <w:rPr>
          <w:rFonts w:hint="eastAsia" w:ascii="楷体_GB2312" w:hAnsi="宋体" w:eastAsia="楷体_GB2312"/>
          <w:color w:val="000000"/>
          <w:sz w:val="24"/>
        </w:rPr>
        <w:t>（1）送股、转增股、配股和公开增发新股，按估值日在证券交易所挂牌的同一股票的市价（收盘价）估值；如果估值日无交易，且最近交易日后经济环境未发生重大变化且证券发行机构未发生影响证券价格的重大事件的，以最近交易日的市价（收盘价）估值；最近交易日后经济环境发生了重大变化或证券发行机构发生影响证券价格的重大事件的，将参考监管机构或行业协会有关规定，调整最近交易日收盘价，确定公允价值进行估值；</w:t>
      </w:r>
    </w:p>
    <w:p>
      <w:pPr>
        <w:ind w:firstLine="480" w:firstLineChars="200"/>
        <w:rPr>
          <w:rFonts w:hint="eastAsia" w:ascii="楷体_GB2312" w:hAnsi="宋体" w:eastAsia="楷体_GB2312"/>
          <w:color w:val="000000"/>
          <w:sz w:val="24"/>
        </w:rPr>
      </w:pPr>
      <w:r>
        <w:rPr>
          <w:rFonts w:hint="eastAsia" w:ascii="楷体_GB2312" w:hAnsi="宋体" w:eastAsia="楷体_GB2312"/>
          <w:color w:val="000000"/>
          <w:sz w:val="24"/>
        </w:rPr>
        <w:t>（2）首次公开发行未上市或未挂牌转让的股票、债券，如果发行日后未发生影响公允价值计量的重大事件的，采用发行价作为公允价值的最佳估计；已发生影响公允价值计量重大事件的，应采用估值技术确定公允价值；若估值技术难以可靠计量公允价值的情况下，依据国家监管或行业协会最新规定估值；</w:t>
      </w:r>
    </w:p>
    <w:p>
      <w:pPr>
        <w:ind w:firstLine="480" w:firstLineChars="200"/>
        <w:rPr>
          <w:rFonts w:hint="eastAsia" w:ascii="楷体_GB2312" w:hAnsi="宋体" w:eastAsia="楷体_GB2312"/>
          <w:color w:val="000000"/>
          <w:sz w:val="24"/>
        </w:rPr>
      </w:pPr>
      <w:r>
        <w:rPr>
          <w:rFonts w:hint="eastAsia" w:ascii="楷体_GB2312" w:hAnsi="宋体" w:eastAsia="楷体_GB2312"/>
          <w:color w:val="000000"/>
          <w:sz w:val="24"/>
        </w:rPr>
        <w:t>（3）发行时明确一定期限限售期的股票（包括但不限于非公开发行股票、首次公开发行股票时公司股东公开发售股份、通过大宗交易取得的带限售期的股票等，不包括停牌、新发行未上市、回购交易中的质押等流通受限股票），以同一股票的收盘价为基础，引入流动性折扣进行估值；若估值技术难以可靠计量公允价值的情况下，依据国家监管或行业协会最新规定估值。</w:t>
      </w:r>
    </w:p>
    <w:p>
      <w:pPr>
        <w:ind w:firstLine="480" w:firstLineChars="200"/>
        <w:rPr>
          <w:rFonts w:hint="eastAsia" w:ascii="楷体_GB2312" w:hAnsi="宋体" w:eastAsia="楷体_GB2312"/>
          <w:color w:val="000000"/>
          <w:sz w:val="24"/>
        </w:rPr>
      </w:pPr>
      <w:r>
        <w:rPr>
          <w:rFonts w:hint="eastAsia" w:ascii="楷体_GB2312" w:hAnsi="宋体" w:eastAsia="楷体_GB2312"/>
          <w:color w:val="000000"/>
          <w:sz w:val="24"/>
        </w:rPr>
        <w:t>4.交易所上市未实行净价交易的债券按估值日收盘全价或第三方估值机构提供的相应品种当日的估值全价减去收盘价或估值全价中所含的债券应收利息得到的净价进行估值。</w:t>
      </w:r>
    </w:p>
    <w:p>
      <w:pPr>
        <w:ind w:firstLine="480" w:firstLineChars="200"/>
        <w:rPr>
          <w:rFonts w:hint="eastAsia" w:ascii="楷体_GB2312" w:hAnsi="宋体" w:eastAsia="楷体_GB2312"/>
          <w:color w:val="000000"/>
          <w:sz w:val="24"/>
        </w:rPr>
      </w:pPr>
      <w:r>
        <w:rPr>
          <w:rFonts w:hint="eastAsia" w:ascii="楷体_GB2312" w:hAnsi="宋体" w:eastAsia="楷体_GB2312"/>
          <w:color w:val="000000"/>
          <w:sz w:val="24"/>
        </w:rPr>
        <w:t>5.可转换私募债券和可交换私募债券未转股前按照公允价值估值。</w:t>
      </w:r>
    </w:p>
    <w:p>
      <w:pPr>
        <w:ind w:firstLine="480" w:firstLineChars="200"/>
        <w:rPr>
          <w:rFonts w:hint="eastAsia" w:ascii="楷体_GB2312" w:hAnsi="宋体" w:eastAsia="楷体_GB2312"/>
          <w:color w:val="000000"/>
          <w:sz w:val="24"/>
        </w:rPr>
      </w:pPr>
      <w:r>
        <w:rPr>
          <w:rFonts w:hint="eastAsia" w:ascii="楷体_GB2312" w:hAnsi="宋体" w:eastAsia="楷体_GB2312"/>
          <w:color w:val="000000"/>
          <w:sz w:val="24"/>
        </w:rPr>
        <w:t>6.在证券交易所及全国中小企业股份转让系统等市场交易的优先股，其交易量及交易频率足以持续提供公允价值信息的，估值日有交易，可按估值日收盘价估值；估值日无交易，且最近交易日后未发生影响公允价值计量的重大事件，可参考该优先股或类似投资品种最近交易日收盘价确定公允价值。</w:t>
      </w:r>
    </w:p>
    <w:p>
      <w:pPr>
        <w:ind w:firstLine="480" w:firstLineChars="200"/>
        <w:rPr>
          <w:rFonts w:hint="eastAsia" w:ascii="楷体_GB2312" w:hAnsi="宋体" w:eastAsia="楷体_GB2312"/>
          <w:color w:val="000000"/>
          <w:sz w:val="24"/>
        </w:rPr>
      </w:pPr>
      <w:r>
        <w:rPr>
          <w:rFonts w:hint="eastAsia" w:ascii="楷体_GB2312" w:hAnsi="宋体" w:eastAsia="楷体_GB2312"/>
          <w:color w:val="000000"/>
          <w:sz w:val="24"/>
        </w:rPr>
        <w:t>不满足上述条件的，可根据优先股的股息支付条款，经产品管理人与</w:t>
      </w:r>
      <w:r>
        <w:rPr>
          <w:rFonts w:hint="eastAsia" w:ascii="楷体_GB2312" w:hAnsi="宋体" w:eastAsia="楷体_GB2312"/>
          <w:color w:val="000000"/>
          <w:sz w:val="24"/>
          <w:lang w:val="en-US" w:eastAsia="zh-CN"/>
        </w:rPr>
        <w:t>产品</w:t>
      </w:r>
      <w:r>
        <w:rPr>
          <w:rFonts w:hint="eastAsia" w:ascii="楷体_GB2312" w:hAnsi="宋体" w:eastAsia="楷体_GB2312"/>
          <w:color w:val="000000"/>
          <w:sz w:val="24"/>
        </w:rPr>
        <w:t>托管人协商，采用现金流折现模型等估值模型，或依据第三方估值机构提供的价格数据确定公允价值。</w:t>
      </w:r>
    </w:p>
    <w:p>
      <w:pPr>
        <w:ind w:firstLine="480" w:firstLineChars="200"/>
        <w:rPr>
          <w:rFonts w:hint="eastAsia" w:ascii="楷体_GB2312" w:hAnsi="宋体" w:eastAsia="楷体_GB2312"/>
          <w:color w:val="000000"/>
          <w:sz w:val="24"/>
        </w:rPr>
      </w:pPr>
      <w:r>
        <w:rPr>
          <w:rFonts w:hint="eastAsia" w:ascii="楷体_GB2312" w:hAnsi="宋体" w:eastAsia="楷体_GB2312"/>
          <w:color w:val="000000"/>
          <w:sz w:val="24"/>
        </w:rPr>
        <w:t>7.期货、互换、期权、权证等衍生金融工具场内交易以交易所最近交易日结算价或收盘价进行估值，场外交易按照第三方机构（上海清算所等）提供的估值数据、或</w:t>
      </w:r>
      <w:r>
        <w:rPr>
          <w:rFonts w:hint="eastAsia" w:ascii="楷体_GB2312" w:hAnsi="宋体" w:eastAsia="楷体_GB2312"/>
          <w:color w:val="000000"/>
          <w:sz w:val="24"/>
          <w:lang w:val="en-US" w:eastAsia="zh-CN"/>
        </w:rPr>
        <w:t>产品</w:t>
      </w:r>
      <w:r>
        <w:rPr>
          <w:rFonts w:hint="eastAsia" w:ascii="楷体_GB2312" w:hAnsi="宋体" w:eastAsia="楷体_GB2312"/>
          <w:color w:val="000000"/>
          <w:sz w:val="24"/>
        </w:rPr>
        <w:t>管理人认可的估值模型和参数处理模式进行估值。</w:t>
      </w:r>
    </w:p>
    <w:p>
      <w:pPr>
        <w:ind w:firstLine="480" w:firstLineChars="200"/>
        <w:rPr>
          <w:rFonts w:hint="eastAsia" w:ascii="楷体_GB2312" w:hAnsi="宋体" w:eastAsia="楷体_GB2312"/>
          <w:color w:val="000000"/>
          <w:sz w:val="24"/>
        </w:rPr>
      </w:pPr>
      <w:r>
        <w:rPr>
          <w:rFonts w:hint="eastAsia" w:ascii="楷体_GB2312" w:hAnsi="宋体" w:eastAsia="楷体_GB2312"/>
          <w:color w:val="000000"/>
          <w:sz w:val="24"/>
          <w:lang w:val="en-US" w:eastAsia="zh-CN"/>
        </w:rPr>
        <w:t>8.</w:t>
      </w:r>
      <w:r>
        <w:rPr>
          <w:rFonts w:hint="eastAsia" w:ascii="楷体_GB2312" w:hAnsi="宋体" w:eastAsia="楷体_GB2312"/>
          <w:color w:val="000000"/>
          <w:sz w:val="24"/>
        </w:rPr>
        <w:t>公募基金类资产按照本理财产品所投资的公募基金以估值日公布的产品单位净值进行估值，估值日产品单位净值未公布的，以最近一个工作日产品单位净值计算。其中，货币市场基金单位价值按1.0000计算，逐日计提收益。货币式基金的待分配收益在估值日没有转为份额的，按估值日前一交易日基金管理公司披露的每万份收益计提。交易所基金(包括封闭式基金、上市开放式基金（LOF）、交易型开放式指数基金（ETF）等)，按估值日其所在证券交易所的收盘价估值；估值日无交易的，以最近交易日的收盘价估值；如果估值日无交易，且最近交易日后经济环境发生了重大变化的，将参考监管机构或行业协会有关规定，或者类似投资品种的现行市价及重大变化因素，调整最近交易日收盘价，确定公允价值进行估值。</w:t>
      </w:r>
    </w:p>
    <w:p>
      <w:pPr>
        <w:ind w:firstLine="480" w:firstLineChars="200"/>
        <w:rPr>
          <w:rFonts w:hint="eastAsia" w:ascii="楷体_GB2312" w:hAnsi="宋体" w:eastAsia="楷体_GB2312"/>
          <w:color w:val="000000"/>
          <w:sz w:val="24"/>
        </w:rPr>
      </w:pPr>
      <w:r>
        <w:rPr>
          <w:rFonts w:hint="eastAsia" w:ascii="楷体_GB2312" w:hAnsi="宋体" w:eastAsia="楷体_GB2312"/>
          <w:color w:val="000000"/>
          <w:sz w:val="24"/>
        </w:rPr>
        <w:t>9.未上市基金估值：境内未上市的货币市场基金以成本估值，估值日按基金公布的最新万份收益计提红利；境内未上市的非货币市场基金，估值日按所投资基金公布的最新份额净值估值。当日未公布的，以最近能获取的基金份额净值为准。若投资为私募股权投资基金，可由基金管理人提供估值净值数据，如基金管理人不提供估值的，可采用第三方机构提供的估值数据或</w:t>
      </w:r>
      <w:r>
        <w:rPr>
          <w:rFonts w:hint="eastAsia" w:ascii="楷体_GB2312" w:hAnsi="宋体" w:eastAsia="楷体_GB2312"/>
          <w:color w:val="000000"/>
          <w:sz w:val="24"/>
          <w:lang w:val="en-US" w:eastAsia="zh-CN"/>
        </w:rPr>
        <w:t>产品</w:t>
      </w:r>
      <w:r>
        <w:rPr>
          <w:rFonts w:hint="eastAsia" w:ascii="楷体_GB2312" w:hAnsi="宋体" w:eastAsia="楷体_GB2312"/>
          <w:color w:val="000000"/>
          <w:sz w:val="24"/>
        </w:rPr>
        <w:t>管理人认可的估值技术进行估值。</w:t>
      </w:r>
    </w:p>
    <w:p>
      <w:pPr>
        <w:ind w:firstLine="480" w:firstLineChars="200"/>
        <w:rPr>
          <w:rFonts w:hint="eastAsia" w:ascii="楷体_GB2312" w:hAnsi="宋体" w:eastAsia="楷体_GB2312"/>
          <w:color w:val="000000"/>
          <w:sz w:val="24"/>
        </w:rPr>
      </w:pPr>
      <w:r>
        <w:rPr>
          <w:rFonts w:hint="eastAsia" w:ascii="楷体_GB2312" w:hAnsi="宋体" w:eastAsia="楷体_GB2312"/>
          <w:color w:val="000000"/>
          <w:sz w:val="24"/>
        </w:rPr>
        <w:t>10.各类资产管理计划、结构性存款、结构性票据，以资产管理计划的管理人、结构性存款和结构性票据的发行人和托管人共同确认的净值或投资收益情况进行估值。</w:t>
      </w:r>
    </w:p>
    <w:p>
      <w:pPr>
        <w:ind w:firstLine="480" w:firstLineChars="200"/>
        <w:rPr>
          <w:rFonts w:hint="eastAsia" w:ascii="楷体_GB2312" w:hAnsi="宋体" w:eastAsia="楷体_GB2312"/>
          <w:color w:val="000000"/>
          <w:sz w:val="24"/>
        </w:rPr>
      </w:pPr>
      <w:r>
        <w:rPr>
          <w:rFonts w:hint="eastAsia" w:ascii="楷体_GB2312" w:hAnsi="宋体" w:eastAsia="楷体_GB2312"/>
          <w:color w:val="000000"/>
          <w:sz w:val="24"/>
        </w:rPr>
        <w:t>11.债券回购和拆借按本金列示，逐日计提利息。</w:t>
      </w:r>
    </w:p>
    <w:p>
      <w:pPr>
        <w:ind w:firstLine="480" w:firstLineChars="200"/>
        <w:rPr>
          <w:rFonts w:hint="eastAsia" w:ascii="楷体_GB2312" w:hAnsi="宋体" w:eastAsia="楷体_GB2312"/>
          <w:color w:val="000000"/>
          <w:sz w:val="24"/>
        </w:rPr>
      </w:pPr>
      <w:r>
        <w:rPr>
          <w:rFonts w:hint="eastAsia" w:ascii="楷体_GB2312" w:hAnsi="宋体" w:eastAsia="楷体_GB2312"/>
          <w:color w:val="000000"/>
          <w:sz w:val="24"/>
        </w:rPr>
        <w:t>12.银行存款以每个估值日以本金列示，逐日计提利息。</w:t>
      </w:r>
    </w:p>
    <w:p>
      <w:pPr>
        <w:ind w:firstLine="480" w:firstLineChars="200"/>
        <w:rPr>
          <w:rFonts w:hint="eastAsia" w:ascii="楷体_GB2312" w:hAnsi="宋体" w:eastAsia="楷体_GB2312"/>
          <w:color w:val="000000"/>
          <w:sz w:val="24"/>
        </w:rPr>
      </w:pPr>
      <w:r>
        <w:rPr>
          <w:rFonts w:hint="eastAsia" w:ascii="楷体_GB2312" w:hAnsi="宋体" w:eastAsia="楷体_GB2312"/>
          <w:color w:val="000000"/>
          <w:sz w:val="24"/>
        </w:rPr>
        <w:t>13.非上市股权类资产，通常不存在活跃报价的交易市场，由</w:t>
      </w:r>
      <w:r>
        <w:rPr>
          <w:rFonts w:hint="eastAsia" w:ascii="楷体_GB2312" w:hAnsi="宋体" w:eastAsia="楷体_GB2312"/>
          <w:color w:val="000000"/>
          <w:sz w:val="24"/>
          <w:lang w:val="en-US" w:eastAsia="zh-CN"/>
        </w:rPr>
        <w:t>产品</w:t>
      </w:r>
      <w:r>
        <w:rPr>
          <w:rFonts w:hint="eastAsia" w:ascii="楷体_GB2312" w:hAnsi="宋体" w:eastAsia="楷体_GB2312"/>
          <w:color w:val="000000"/>
          <w:sz w:val="24"/>
        </w:rPr>
        <w:t>管理人通过其认可的估值方法和技术进行估值。</w:t>
      </w:r>
    </w:p>
    <w:p>
      <w:pPr>
        <w:ind w:firstLine="480" w:firstLineChars="200"/>
        <w:rPr>
          <w:rFonts w:hint="eastAsia" w:ascii="楷体_GB2312" w:hAnsi="宋体" w:eastAsia="楷体_GB2312"/>
          <w:color w:val="000000"/>
          <w:sz w:val="24"/>
        </w:rPr>
      </w:pPr>
      <w:r>
        <w:rPr>
          <w:rFonts w:hint="eastAsia" w:ascii="楷体_GB2312" w:hAnsi="宋体" w:eastAsia="楷体_GB2312"/>
          <w:color w:val="000000"/>
          <w:sz w:val="24"/>
        </w:rPr>
        <w:t>14.若本理财产品存续期间持有其他投资品种，以</w:t>
      </w:r>
      <w:r>
        <w:rPr>
          <w:rFonts w:hint="eastAsia" w:ascii="楷体_GB2312" w:hAnsi="宋体" w:eastAsia="楷体_GB2312"/>
          <w:color w:val="000000"/>
          <w:sz w:val="24"/>
          <w:lang w:val="en-US" w:eastAsia="zh-CN"/>
        </w:rPr>
        <w:t>产品</w:t>
      </w:r>
      <w:r>
        <w:rPr>
          <w:rFonts w:hint="eastAsia" w:ascii="楷体_GB2312" w:hAnsi="宋体" w:eastAsia="楷体_GB2312"/>
          <w:color w:val="000000"/>
          <w:sz w:val="24"/>
        </w:rPr>
        <w:t>管理人和</w:t>
      </w:r>
      <w:r>
        <w:rPr>
          <w:rFonts w:hint="eastAsia" w:ascii="楷体_GB2312" w:hAnsi="宋体" w:eastAsia="楷体_GB2312"/>
          <w:color w:val="000000"/>
          <w:sz w:val="24"/>
          <w:lang w:val="en-US" w:eastAsia="zh-CN"/>
        </w:rPr>
        <w:t>产品</w:t>
      </w:r>
      <w:r>
        <w:rPr>
          <w:rFonts w:hint="eastAsia" w:ascii="楷体_GB2312" w:hAnsi="宋体" w:eastAsia="楷体_GB2312"/>
          <w:color w:val="000000"/>
          <w:sz w:val="24"/>
        </w:rPr>
        <w:t>托管人共同认可的方法估值。以摊余成本法计量或以公允价值计量且其变动计入其他综合收益的资产，需要采用第三方减值计量结果或模型进行减值计提。计提减值不代表金融资产已发生损失，仅为对未来风险的审慎预期。</w:t>
      </w:r>
    </w:p>
    <w:p>
      <w:pPr>
        <w:ind w:firstLine="480" w:firstLineChars="200"/>
        <w:rPr>
          <w:rFonts w:hint="eastAsia" w:ascii="楷体_GB2312" w:hAnsi="宋体" w:eastAsia="楷体_GB2312"/>
          <w:color w:val="000000"/>
          <w:sz w:val="24"/>
        </w:rPr>
      </w:pPr>
      <w:r>
        <w:rPr>
          <w:rFonts w:hint="eastAsia" w:ascii="楷体_GB2312" w:hAnsi="宋体" w:eastAsia="楷体_GB2312"/>
          <w:color w:val="000000"/>
          <w:sz w:val="24"/>
        </w:rPr>
        <w:t>15.在任何情况下，如采用以上规定的方法对资产进行估值，均应被认为采用了适当的估值方法。但是，如果</w:t>
      </w:r>
      <w:r>
        <w:rPr>
          <w:rFonts w:hint="eastAsia" w:ascii="楷体_GB2312" w:hAnsi="宋体" w:eastAsia="楷体_GB2312"/>
          <w:color w:val="000000"/>
          <w:sz w:val="24"/>
          <w:lang w:val="en-US" w:eastAsia="zh-CN"/>
        </w:rPr>
        <w:t>产品</w:t>
      </w:r>
      <w:r>
        <w:rPr>
          <w:rFonts w:hint="eastAsia" w:ascii="楷体_GB2312" w:hAnsi="宋体" w:eastAsia="楷体_GB2312"/>
          <w:color w:val="000000"/>
          <w:sz w:val="24"/>
        </w:rPr>
        <w:t>管理人或</w:t>
      </w:r>
      <w:r>
        <w:rPr>
          <w:rFonts w:hint="eastAsia" w:ascii="楷体_GB2312" w:hAnsi="宋体" w:eastAsia="楷体_GB2312"/>
          <w:color w:val="000000"/>
          <w:sz w:val="24"/>
          <w:lang w:val="en-US" w:eastAsia="zh-CN"/>
        </w:rPr>
        <w:t>产品</w:t>
      </w:r>
      <w:r>
        <w:rPr>
          <w:rFonts w:hint="eastAsia" w:ascii="楷体_GB2312" w:hAnsi="宋体" w:eastAsia="楷体_GB2312"/>
          <w:color w:val="000000"/>
          <w:sz w:val="24"/>
        </w:rPr>
        <w:t>托管人认为按以上规定的方法对产品资产进行估值不能客观反映其公允价值的，可提出异议，协商一致后，变更公允价值的确定方式，并从经</w:t>
      </w:r>
      <w:r>
        <w:rPr>
          <w:rFonts w:hint="eastAsia" w:ascii="楷体_GB2312" w:hAnsi="宋体" w:eastAsia="楷体_GB2312"/>
          <w:color w:val="000000"/>
          <w:sz w:val="24"/>
          <w:lang w:val="en-US" w:eastAsia="zh-CN"/>
        </w:rPr>
        <w:t>产品</w:t>
      </w:r>
      <w:r>
        <w:rPr>
          <w:rFonts w:hint="eastAsia" w:ascii="楷体_GB2312" w:hAnsi="宋体" w:eastAsia="楷体_GB2312"/>
          <w:color w:val="000000"/>
          <w:sz w:val="24"/>
        </w:rPr>
        <w:t>管理人与</w:t>
      </w:r>
      <w:r>
        <w:rPr>
          <w:rFonts w:hint="eastAsia" w:ascii="楷体_GB2312" w:hAnsi="宋体" w:eastAsia="楷体_GB2312"/>
          <w:color w:val="000000"/>
          <w:sz w:val="24"/>
          <w:lang w:val="en-US" w:eastAsia="zh-CN"/>
        </w:rPr>
        <w:t>产品</w:t>
      </w:r>
      <w:r>
        <w:rPr>
          <w:rFonts w:hint="eastAsia" w:ascii="楷体_GB2312" w:hAnsi="宋体" w:eastAsia="楷体_GB2312"/>
          <w:color w:val="000000"/>
          <w:sz w:val="24"/>
        </w:rPr>
        <w:t>托管人协商一致日起执行。</w:t>
      </w:r>
    </w:p>
    <w:p>
      <w:pPr>
        <w:ind w:firstLine="480" w:firstLineChars="200"/>
        <w:rPr>
          <w:rFonts w:hint="eastAsia" w:ascii="楷体_GB2312" w:hAnsi="宋体" w:eastAsia="楷体_GB2312"/>
          <w:color w:val="000000"/>
          <w:sz w:val="24"/>
        </w:rPr>
      </w:pPr>
      <w:r>
        <w:rPr>
          <w:rFonts w:hint="eastAsia" w:ascii="楷体_GB2312" w:hAnsi="宋体" w:eastAsia="楷体_GB2312"/>
          <w:color w:val="000000"/>
          <w:sz w:val="24"/>
        </w:rPr>
        <w:t>16.对于以上估值方法，相关法律法规、监管机构及行业协会有另行规定的，按照最新规定执行。如并无明确规定和要求的，由产品管理人与</w:t>
      </w:r>
      <w:r>
        <w:rPr>
          <w:rFonts w:hint="eastAsia" w:ascii="楷体_GB2312" w:hAnsi="宋体" w:eastAsia="楷体_GB2312"/>
          <w:color w:val="000000"/>
          <w:sz w:val="24"/>
          <w:lang w:val="en-US" w:eastAsia="zh-CN"/>
        </w:rPr>
        <w:t>产品</w:t>
      </w:r>
      <w:r>
        <w:rPr>
          <w:rFonts w:hint="eastAsia" w:ascii="楷体_GB2312" w:hAnsi="宋体" w:eastAsia="楷体_GB2312"/>
          <w:color w:val="000000"/>
          <w:sz w:val="24"/>
        </w:rPr>
        <w:t>托管人协商确定计算方法。</w:t>
      </w:r>
    </w:p>
    <w:p>
      <w:pPr>
        <w:ind w:firstLine="480" w:firstLineChars="200"/>
        <w:rPr>
          <w:rFonts w:ascii="楷体_GB2312" w:hAnsi="宋体" w:eastAsia="楷体_GB2312"/>
          <w:color w:val="000000"/>
          <w:sz w:val="24"/>
          <w:highlight w:val="none"/>
        </w:rPr>
      </w:pPr>
      <w:r>
        <w:rPr>
          <w:rFonts w:ascii="楷体_GB2312" w:hAnsi="宋体" w:eastAsia="楷体_GB2312"/>
          <w:color w:val="000000"/>
          <w:sz w:val="24"/>
          <w:highlight w:val="none"/>
        </w:rPr>
        <w:t>（五）估值差错处理</w:t>
      </w:r>
    </w:p>
    <w:p>
      <w:pPr>
        <w:ind w:firstLine="480" w:firstLineChars="200"/>
        <w:rPr>
          <w:rFonts w:ascii="楷体_GB2312" w:hAnsi="宋体" w:eastAsia="楷体_GB2312"/>
          <w:color w:val="000000"/>
          <w:sz w:val="24"/>
          <w:highlight w:val="none"/>
        </w:rPr>
      </w:pPr>
      <w:r>
        <w:rPr>
          <w:rFonts w:ascii="楷体_GB2312" w:hAnsi="宋体" w:eastAsia="楷体_GB2312"/>
          <w:color w:val="000000"/>
          <w:sz w:val="24"/>
          <w:highlight w:val="none"/>
        </w:rPr>
        <w:t>如</w:t>
      </w:r>
      <w:r>
        <w:rPr>
          <w:rFonts w:hint="eastAsia" w:ascii="楷体_GB2312" w:hAnsi="宋体" w:eastAsia="楷体_GB2312"/>
          <w:color w:val="000000"/>
          <w:sz w:val="24"/>
          <w:highlight w:val="none"/>
          <w:lang w:eastAsia="zh-CN"/>
        </w:rPr>
        <w:t>产品管理人</w:t>
      </w:r>
      <w:r>
        <w:rPr>
          <w:rFonts w:ascii="楷体_GB2312" w:hAnsi="宋体" w:eastAsia="楷体_GB2312"/>
          <w:color w:val="000000"/>
          <w:sz w:val="24"/>
          <w:highlight w:val="none"/>
        </w:rPr>
        <w:t>或</w:t>
      </w:r>
      <w:r>
        <w:rPr>
          <w:rFonts w:hint="eastAsia" w:ascii="楷体_GB2312" w:hAnsi="宋体" w:eastAsia="楷体_GB2312"/>
          <w:color w:val="000000"/>
          <w:sz w:val="24"/>
          <w:highlight w:val="none"/>
          <w:lang w:val="en-US" w:eastAsia="zh-CN"/>
        </w:rPr>
        <w:t>产品</w:t>
      </w:r>
      <w:r>
        <w:rPr>
          <w:rFonts w:ascii="楷体_GB2312" w:hAnsi="宋体" w:eastAsia="楷体_GB2312"/>
          <w:color w:val="000000"/>
          <w:sz w:val="24"/>
          <w:highlight w:val="none"/>
        </w:rPr>
        <w:t>托管</w:t>
      </w:r>
      <w:r>
        <w:rPr>
          <w:rFonts w:hint="eastAsia" w:ascii="楷体_GB2312" w:hAnsi="宋体" w:eastAsia="楷体_GB2312"/>
          <w:color w:val="000000"/>
          <w:sz w:val="24"/>
          <w:highlight w:val="none"/>
          <w:lang w:val="en-US" w:eastAsia="zh-CN"/>
        </w:rPr>
        <w:t>人</w:t>
      </w:r>
      <w:r>
        <w:rPr>
          <w:rFonts w:ascii="楷体_GB2312" w:hAnsi="宋体" w:eastAsia="楷体_GB2312"/>
          <w:color w:val="000000"/>
          <w:sz w:val="24"/>
          <w:highlight w:val="none"/>
        </w:rPr>
        <w:t>发现资产估值违反本</w:t>
      </w:r>
      <w:r>
        <w:rPr>
          <w:rFonts w:hint="eastAsia" w:ascii="楷体_GB2312" w:hAnsi="宋体" w:eastAsia="楷体_GB2312"/>
          <w:color w:val="000000"/>
          <w:sz w:val="24"/>
          <w:highlight w:val="none"/>
          <w:lang w:eastAsia="zh-CN"/>
        </w:rPr>
        <w:t>《</w:t>
      </w:r>
      <w:r>
        <w:rPr>
          <w:rFonts w:hint="eastAsia" w:ascii="楷体_GB2312" w:hAnsi="宋体" w:eastAsia="楷体_GB2312"/>
          <w:color w:val="000000"/>
          <w:sz w:val="24"/>
          <w:highlight w:val="none"/>
          <w:lang w:val="en-US" w:eastAsia="zh-CN"/>
        </w:rPr>
        <w:t>理财产品说明书</w:t>
      </w:r>
      <w:r>
        <w:rPr>
          <w:rFonts w:hint="eastAsia" w:ascii="楷体_GB2312" w:hAnsi="宋体" w:eastAsia="楷体_GB2312"/>
          <w:color w:val="000000"/>
          <w:sz w:val="24"/>
          <w:highlight w:val="none"/>
          <w:lang w:eastAsia="zh-CN"/>
        </w:rPr>
        <w:t>》</w:t>
      </w:r>
      <w:r>
        <w:rPr>
          <w:rFonts w:ascii="楷体_GB2312" w:hAnsi="宋体" w:eastAsia="楷体_GB2312"/>
          <w:color w:val="000000"/>
          <w:sz w:val="24"/>
          <w:highlight w:val="none"/>
        </w:rPr>
        <w:t>订明的估值方法、程序及相关法律法规的规定或者未能充分维护投资者利益时，应</w:t>
      </w:r>
      <w:r>
        <w:rPr>
          <w:rFonts w:hint="eastAsia" w:ascii="楷体_GB2312" w:hAnsi="宋体" w:eastAsia="楷体_GB2312"/>
          <w:color w:val="000000"/>
          <w:sz w:val="24"/>
          <w:highlight w:val="none"/>
        </w:rPr>
        <w:t>及时</w:t>
      </w:r>
      <w:r>
        <w:rPr>
          <w:rFonts w:ascii="楷体_GB2312" w:hAnsi="宋体" w:eastAsia="楷体_GB2312"/>
          <w:color w:val="000000"/>
          <w:sz w:val="24"/>
          <w:highlight w:val="none"/>
        </w:rPr>
        <w:t>通知对方，共同查明原因，协商解决，如经相关各方在平等基础上充分讨论后，仍无法达成一致意见，以</w:t>
      </w:r>
      <w:r>
        <w:rPr>
          <w:rFonts w:hint="eastAsia" w:ascii="楷体_GB2312" w:hAnsi="宋体" w:eastAsia="楷体_GB2312"/>
          <w:color w:val="000000"/>
          <w:sz w:val="24"/>
          <w:highlight w:val="none"/>
          <w:lang w:eastAsia="zh-CN"/>
        </w:rPr>
        <w:t>产品管理人</w:t>
      </w:r>
      <w:r>
        <w:rPr>
          <w:rFonts w:ascii="楷体_GB2312" w:hAnsi="宋体" w:eastAsia="楷体_GB2312"/>
          <w:color w:val="000000"/>
          <w:sz w:val="24"/>
          <w:highlight w:val="none"/>
        </w:rPr>
        <w:t>的意见为准。</w:t>
      </w:r>
    </w:p>
    <w:p>
      <w:pPr>
        <w:ind w:firstLine="480" w:firstLineChars="200"/>
        <w:rPr>
          <w:rFonts w:ascii="楷体_GB2312" w:hAnsi="宋体" w:eastAsia="楷体_GB2312"/>
          <w:color w:val="000000"/>
          <w:sz w:val="24"/>
          <w:highlight w:val="none"/>
        </w:rPr>
      </w:pPr>
      <w:r>
        <w:rPr>
          <w:rFonts w:ascii="楷体_GB2312" w:hAnsi="宋体" w:eastAsia="楷体_GB2312"/>
          <w:color w:val="000000"/>
          <w:sz w:val="24"/>
          <w:highlight w:val="none"/>
        </w:rPr>
        <w:t>当发现资产估值存在错误时，</w:t>
      </w:r>
      <w:r>
        <w:rPr>
          <w:rFonts w:hint="eastAsia" w:ascii="楷体_GB2312" w:hAnsi="宋体" w:eastAsia="楷体_GB2312"/>
          <w:color w:val="000000"/>
          <w:sz w:val="24"/>
          <w:highlight w:val="none"/>
          <w:lang w:eastAsia="zh-CN"/>
        </w:rPr>
        <w:t>产品管理人</w:t>
      </w:r>
      <w:r>
        <w:rPr>
          <w:rFonts w:ascii="楷体_GB2312" w:hAnsi="宋体" w:eastAsia="楷体_GB2312"/>
          <w:color w:val="000000"/>
          <w:sz w:val="24"/>
          <w:highlight w:val="none"/>
        </w:rPr>
        <w:t>和</w:t>
      </w:r>
      <w:r>
        <w:rPr>
          <w:rFonts w:hint="eastAsia" w:ascii="楷体_GB2312" w:hAnsi="宋体" w:eastAsia="楷体_GB2312"/>
          <w:color w:val="000000"/>
          <w:sz w:val="24"/>
          <w:highlight w:val="none"/>
          <w:lang w:val="en-US" w:eastAsia="zh-CN"/>
        </w:rPr>
        <w:t>产品</w:t>
      </w:r>
      <w:r>
        <w:rPr>
          <w:rFonts w:ascii="楷体_GB2312" w:hAnsi="宋体" w:eastAsia="楷体_GB2312"/>
          <w:color w:val="000000"/>
          <w:sz w:val="24"/>
          <w:highlight w:val="none"/>
        </w:rPr>
        <w:t>托管</w:t>
      </w:r>
      <w:r>
        <w:rPr>
          <w:rFonts w:hint="eastAsia" w:ascii="楷体_GB2312" w:hAnsi="宋体" w:eastAsia="楷体_GB2312"/>
          <w:color w:val="000000"/>
          <w:sz w:val="24"/>
          <w:highlight w:val="none"/>
          <w:lang w:eastAsia="zh-CN"/>
        </w:rPr>
        <w:t>人</w:t>
      </w:r>
      <w:r>
        <w:rPr>
          <w:rFonts w:ascii="楷体_GB2312" w:hAnsi="宋体" w:eastAsia="楷体_GB2312"/>
          <w:color w:val="000000"/>
          <w:sz w:val="24"/>
          <w:highlight w:val="none"/>
        </w:rPr>
        <w:t>应该及时更正。</w:t>
      </w:r>
    </w:p>
    <w:p>
      <w:pPr>
        <w:ind w:firstLine="480" w:firstLineChars="200"/>
        <w:rPr>
          <w:rFonts w:ascii="楷体_GB2312" w:hAnsi="宋体" w:eastAsia="楷体_GB2312"/>
          <w:color w:val="000000"/>
          <w:sz w:val="24"/>
          <w:highlight w:val="none"/>
        </w:rPr>
      </w:pPr>
      <w:r>
        <w:rPr>
          <w:rFonts w:hint="eastAsia" w:ascii="楷体_GB2312" w:hAnsi="宋体" w:eastAsia="楷体_GB2312"/>
          <w:color w:val="000000"/>
          <w:sz w:val="24"/>
          <w:highlight w:val="none"/>
        </w:rPr>
        <w:t>（六）暂停估值</w:t>
      </w:r>
    </w:p>
    <w:p>
      <w:pPr>
        <w:ind w:firstLine="480" w:firstLineChars="200"/>
        <w:rPr>
          <w:rFonts w:ascii="楷体_GB2312" w:hAnsi="宋体" w:eastAsia="楷体_GB2312"/>
          <w:color w:val="000000"/>
          <w:sz w:val="24"/>
          <w:highlight w:val="none"/>
        </w:rPr>
      </w:pPr>
      <w:r>
        <w:rPr>
          <w:rFonts w:hint="eastAsia" w:ascii="楷体_GB2312" w:hAnsi="宋体" w:eastAsia="楷体_GB2312"/>
          <w:color w:val="000000"/>
          <w:sz w:val="24"/>
          <w:highlight w:val="none"/>
        </w:rPr>
        <w:t>当出现下列情形时，</w:t>
      </w:r>
      <w:r>
        <w:rPr>
          <w:rFonts w:hint="eastAsia" w:ascii="楷体_GB2312" w:hAnsi="宋体" w:eastAsia="楷体_GB2312"/>
          <w:color w:val="000000"/>
          <w:sz w:val="24"/>
          <w:highlight w:val="none"/>
          <w:lang w:eastAsia="zh-CN"/>
        </w:rPr>
        <w:t>产品管理人</w:t>
      </w:r>
      <w:r>
        <w:rPr>
          <w:rFonts w:hint="eastAsia" w:ascii="楷体_GB2312" w:hAnsi="宋体" w:eastAsia="楷体_GB2312"/>
          <w:color w:val="000000"/>
          <w:sz w:val="24"/>
          <w:highlight w:val="none"/>
        </w:rPr>
        <w:t>有权选择暂停理财产品估值：</w:t>
      </w:r>
    </w:p>
    <w:p>
      <w:pPr>
        <w:ind w:firstLine="480" w:firstLineChars="200"/>
        <w:rPr>
          <w:rFonts w:ascii="楷体_GB2312" w:hAnsi="宋体" w:eastAsia="楷体_GB2312"/>
          <w:color w:val="000000"/>
          <w:sz w:val="24"/>
          <w:highlight w:val="none"/>
        </w:rPr>
      </w:pPr>
      <w:r>
        <w:rPr>
          <w:rFonts w:hint="eastAsia" w:ascii="楷体_GB2312" w:hAnsi="宋体" w:eastAsia="楷体_GB2312"/>
          <w:color w:val="000000"/>
          <w:sz w:val="24"/>
          <w:highlight w:val="none"/>
        </w:rPr>
        <w:t>（1）</w:t>
      </w:r>
      <w:r>
        <w:rPr>
          <w:rFonts w:hint="eastAsia" w:ascii="楷体_GB2312" w:hAnsi="宋体" w:eastAsia="楷体_GB2312"/>
          <w:color w:val="000000"/>
          <w:sz w:val="24"/>
          <w:highlight w:val="none"/>
          <w:lang w:eastAsia="zh-CN"/>
        </w:rPr>
        <w:t>本</w:t>
      </w:r>
      <w:r>
        <w:rPr>
          <w:rFonts w:hint="eastAsia" w:ascii="楷体_GB2312" w:hAnsi="宋体" w:eastAsia="楷体_GB2312"/>
          <w:color w:val="000000"/>
          <w:sz w:val="24"/>
          <w:highlight w:val="none"/>
        </w:rPr>
        <w:t>理财产品投资所涉及的证券交易所遇法定节假日或其他原因暂停营业；</w:t>
      </w:r>
    </w:p>
    <w:p>
      <w:pPr>
        <w:ind w:firstLine="480" w:firstLineChars="200"/>
        <w:rPr>
          <w:rFonts w:ascii="楷体_GB2312" w:hAnsi="宋体" w:eastAsia="楷体_GB2312"/>
          <w:color w:val="000000"/>
          <w:sz w:val="24"/>
          <w:highlight w:val="none"/>
        </w:rPr>
      </w:pPr>
      <w:r>
        <w:rPr>
          <w:rFonts w:hint="eastAsia" w:ascii="楷体_GB2312" w:hAnsi="宋体" w:eastAsia="楷体_GB2312"/>
          <w:color w:val="000000"/>
          <w:sz w:val="24"/>
          <w:highlight w:val="none"/>
        </w:rPr>
        <w:t>（2）因任何不可抗力</w:t>
      </w:r>
      <w:r>
        <w:rPr>
          <w:rFonts w:hint="eastAsia" w:ascii="楷体_GB2312" w:hAnsi="宋体" w:eastAsia="楷体_GB2312"/>
          <w:color w:val="000000"/>
          <w:sz w:val="24"/>
          <w:highlight w:val="none"/>
          <w:lang w:eastAsia="zh-CN"/>
        </w:rPr>
        <w:t>及</w:t>
      </w:r>
      <w:r>
        <w:rPr>
          <w:rFonts w:hint="eastAsia" w:ascii="楷体_GB2312" w:hAnsi="宋体" w:eastAsia="楷体_GB2312"/>
          <w:color w:val="000000"/>
          <w:sz w:val="24"/>
          <w:highlight w:val="none"/>
        </w:rPr>
        <w:t>/或</w:t>
      </w:r>
      <w:r>
        <w:rPr>
          <w:rFonts w:hint="eastAsia" w:ascii="楷体_GB2312" w:hAnsi="宋体" w:eastAsia="楷体_GB2312"/>
          <w:color w:val="000000"/>
          <w:sz w:val="24"/>
          <w:highlight w:val="none"/>
          <w:lang w:eastAsia="zh-CN"/>
        </w:rPr>
        <w:t>意外事件等</w:t>
      </w:r>
      <w:r>
        <w:rPr>
          <w:rFonts w:hint="eastAsia" w:ascii="楷体_GB2312" w:hAnsi="宋体" w:eastAsia="楷体_GB2312"/>
          <w:color w:val="000000"/>
          <w:sz w:val="24"/>
          <w:highlight w:val="none"/>
        </w:rPr>
        <w:t>致使</w:t>
      </w:r>
      <w:r>
        <w:rPr>
          <w:rFonts w:hint="eastAsia" w:ascii="楷体_GB2312" w:hAnsi="宋体" w:eastAsia="楷体_GB2312"/>
          <w:color w:val="000000"/>
          <w:sz w:val="24"/>
          <w:highlight w:val="none"/>
          <w:lang w:eastAsia="zh-CN"/>
        </w:rPr>
        <w:t>产品管理人</w:t>
      </w:r>
      <w:r>
        <w:rPr>
          <w:rFonts w:hint="eastAsia" w:ascii="楷体_GB2312" w:hAnsi="宋体" w:eastAsia="楷体_GB2312"/>
          <w:color w:val="000000"/>
          <w:sz w:val="24"/>
          <w:highlight w:val="none"/>
        </w:rPr>
        <w:t>无法准确评估资产价值；</w:t>
      </w:r>
    </w:p>
    <w:p>
      <w:pPr>
        <w:ind w:firstLine="480" w:firstLineChars="200"/>
        <w:rPr>
          <w:rFonts w:ascii="楷体_GB2312" w:hAnsi="宋体" w:eastAsia="楷体_GB2312"/>
          <w:color w:val="000000"/>
          <w:sz w:val="24"/>
          <w:highlight w:val="none"/>
        </w:rPr>
      </w:pPr>
      <w:r>
        <w:rPr>
          <w:rFonts w:hint="eastAsia" w:ascii="楷体_GB2312" w:hAnsi="宋体" w:eastAsia="楷体_GB2312"/>
          <w:color w:val="000000"/>
          <w:sz w:val="24"/>
          <w:highlight w:val="none"/>
        </w:rPr>
        <w:t>（3）</w:t>
      </w:r>
      <w:r>
        <w:rPr>
          <w:rFonts w:hint="eastAsia" w:ascii="楷体_GB2312" w:hAnsi="宋体" w:eastAsia="楷体_GB2312"/>
          <w:color w:val="000000"/>
          <w:sz w:val="24"/>
          <w:highlight w:val="none"/>
          <w:lang w:val="en-US" w:eastAsia="zh-CN"/>
        </w:rPr>
        <w:t>本</w:t>
      </w:r>
      <w:r>
        <w:rPr>
          <w:rFonts w:hint="eastAsia" w:ascii="楷体_GB2312" w:hAnsi="宋体" w:eastAsia="楷体_GB2312"/>
          <w:color w:val="000000"/>
          <w:sz w:val="24"/>
          <w:highlight w:val="none"/>
        </w:rPr>
        <w:t>理财产品在前一估值日内，产品资产净值50%以上的资产不具备活跃交易市场或者在活跃市场中无报价，且不能采用估值技术可靠计量公允价值的，</w:t>
      </w:r>
      <w:r>
        <w:rPr>
          <w:rFonts w:hint="eastAsia" w:ascii="楷体_GB2312" w:hAnsi="宋体" w:eastAsia="楷体_GB2312"/>
          <w:color w:val="000000"/>
          <w:sz w:val="24"/>
          <w:highlight w:val="none"/>
          <w:lang w:eastAsia="zh-CN"/>
        </w:rPr>
        <w:t>产品管理人</w:t>
      </w:r>
      <w:r>
        <w:rPr>
          <w:rFonts w:hint="eastAsia" w:ascii="楷体_GB2312" w:hAnsi="宋体" w:eastAsia="楷体_GB2312"/>
          <w:color w:val="000000"/>
          <w:sz w:val="24"/>
          <w:highlight w:val="none"/>
          <w:lang w:val="en-US" w:eastAsia="zh-CN"/>
        </w:rPr>
        <w:t>应</w:t>
      </w:r>
      <w:r>
        <w:rPr>
          <w:rFonts w:hint="eastAsia" w:ascii="楷体_GB2312" w:hAnsi="宋体" w:eastAsia="楷体_GB2312"/>
          <w:color w:val="000000"/>
          <w:sz w:val="24"/>
          <w:highlight w:val="none"/>
        </w:rPr>
        <w:t>暂停</w:t>
      </w:r>
      <w:r>
        <w:rPr>
          <w:rFonts w:hint="eastAsia" w:ascii="楷体_GB2312" w:hAnsi="宋体" w:eastAsia="楷体_GB2312"/>
          <w:color w:val="000000"/>
          <w:sz w:val="24"/>
          <w:highlight w:val="none"/>
          <w:lang w:val="en-US" w:eastAsia="zh-CN"/>
        </w:rPr>
        <w:t>本理财</w:t>
      </w:r>
      <w:r>
        <w:rPr>
          <w:rFonts w:hint="eastAsia" w:ascii="楷体_GB2312" w:hAnsi="宋体" w:eastAsia="楷体_GB2312"/>
          <w:color w:val="000000"/>
          <w:sz w:val="24"/>
          <w:highlight w:val="none"/>
        </w:rPr>
        <w:t>产品估值；</w:t>
      </w:r>
    </w:p>
    <w:p>
      <w:pPr>
        <w:ind w:firstLine="480" w:firstLineChars="200"/>
        <w:rPr>
          <w:rFonts w:ascii="楷体_GB2312" w:hAnsi="宋体" w:eastAsia="楷体_GB2312"/>
          <w:color w:val="000000"/>
          <w:sz w:val="24"/>
          <w:highlight w:val="none"/>
        </w:rPr>
      </w:pPr>
      <w:r>
        <w:rPr>
          <w:rFonts w:hint="eastAsia" w:ascii="楷体_GB2312" w:hAnsi="宋体" w:eastAsia="楷体_GB2312"/>
          <w:color w:val="000000"/>
          <w:sz w:val="24"/>
          <w:highlight w:val="none"/>
        </w:rPr>
        <w:t>（4）法律法规规定或本</w:t>
      </w:r>
      <w:r>
        <w:rPr>
          <w:rFonts w:hint="eastAsia" w:ascii="楷体_GB2312" w:hAnsi="宋体" w:eastAsia="楷体_GB2312"/>
          <w:color w:val="000000"/>
          <w:sz w:val="24"/>
          <w:highlight w:val="none"/>
          <w:lang w:eastAsia="zh-CN"/>
        </w:rPr>
        <w:t>理财产品销售文件</w:t>
      </w:r>
      <w:r>
        <w:rPr>
          <w:rFonts w:hint="eastAsia" w:ascii="楷体_GB2312" w:hAnsi="宋体" w:eastAsia="楷体_GB2312"/>
          <w:color w:val="000000"/>
          <w:sz w:val="24"/>
          <w:highlight w:val="none"/>
        </w:rPr>
        <w:t>约定的其</w:t>
      </w:r>
      <w:r>
        <w:rPr>
          <w:rFonts w:hint="eastAsia" w:ascii="楷体_GB2312" w:hAnsi="宋体" w:eastAsia="楷体_GB2312"/>
          <w:color w:val="000000"/>
          <w:sz w:val="24"/>
          <w:highlight w:val="none"/>
          <w:lang w:val="en-US" w:eastAsia="zh-CN"/>
        </w:rPr>
        <w:t>他</w:t>
      </w:r>
      <w:r>
        <w:rPr>
          <w:rFonts w:hint="eastAsia" w:ascii="楷体_GB2312" w:hAnsi="宋体" w:eastAsia="楷体_GB2312"/>
          <w:color w:val="000000"/>
          <w:sz w:val="24"/>
          <w:highlight w:val="none"/>
        </w:rPr>
        <w:t>情形。</w:t>
      </w:r>
    </w:p>
    <w:p>
      <w:pPr>
        <w:ind w:firstLine="480" w:firstLineChars="200"/>
        <w:rPr>
          <w:rFonts w:ascii="楷体_GB2312" w:hAnsi="宋体" w:eastAsia="楷体_GB2312"/>
          <w:color w:val="000000"/>
          <w:sz w:val="24"/>
          <w:highlight w:val="none"/>
        </w:rPr>
      </w:pPr>
      <w:r>
        <w:rPr>
          <w:rFonts w:hint="eastAsia" w:ascii="楷体_GB2312" w:hAnsi="宋体" w:eastAsia="楷体_GB2312"/>
          <w:color w:val="000000"/>
          <w:sz w:val="24"/>
          <w:highlight w:val="none"/>
          <w:lang w:val="en-US" w:eastAsia="zh-CN"/>
        </w:rPr>
        <w:t>产品管理人</w:t>
      </w:r>
      <w:r>
        <w:rPr>
          <w:rFonts w:hint="eastAsia" w:ascii="楷体_GB2312" w:hAnsi="宋体" w:eastAsia="楷体_GB2312"/>
          <w:color w:val="000000"/>
          <w:sz w:val="24"/>
          <w:highlight w:val="none"/>
        </w:rPr>
        <w:t>选择暂停理财产品估值</w:t>
      </w:r>
      <w:r>
        <w:rPr>
          <w:rFonts w:hint="eastAsia" w:ascii="楷体_GB2312" w:hAnsi="宋体" w:eastAsia="楷体_GB2312"/>
          <w:color w:val="000000"/>
          <w:sz w:val="24"/>
          <w:highlight w:val="none"/>
          <w:lang w:val="en-US" w:eastAsia="zh-CN"/>
        </w:rPr>
        <w:t>的，</w:t>
      </w:r>
      <w:r>
        <w:rPr>
          <w:rFonts w:hint="eastAsia" w:ascii="楷体_GB2312" w:hAnsi="宋体" w:eastAsia="楷体_GB2312"/>
          <w:color w:val="000000"/>
          <w:sz w:val="24"/>
          <w:highlight w:val="none"/>
          <w:lang w:eastAsia="zh-CN"/>
        </w:rPr>
        <w:t>产品管理人</w:t>
      </w:r>
      <w:r>
        <w:rPr>
          <w:rFonts w:hint="eastAsia" w:ascii="楷体_GB2312" w:hAnsi="宋体" w:eastAsia="楷体_GB2312"/>
          <w:color w:val="000000"/>
          <w:sz w:val="24"/>
          <w:highlight w:val="none"/>
        </w:rPr>
        <w:t>将按照监管规定及</w:t>
      </w:r>
      <w:r>
        <w:rPr>
          <w:rFonts w:hint="eastAsia" w:ascii="楷体_GB2312" w:hAnsi="宋体" w:eastAsia="楷体_GB2312"/>
          <w:color w:val="000000"/>
          <w:sz w:val="24"/>
          <w:highlight w:val="none"/>
          <w:lang w:eastAsia="zh-CN"/>
        </w:rPr>
        <w:t>本理财产品</w:t>
      </w:r>
      <w:r>
        <w:rPr>
          <w:rFonts w:hint="eastAsia" w:ascii="楷体_GB2312" w:hAnsi="宋体" w:eastAsia="楷体_GB2312"/>
          <w:color w:val="000000"/>
          <w:sz w:val="24"/>
          <w:highlight w:val="none"/>
        </w:rPr>
        <w:t>销售文件约定的方式在3个交易日内发布临时信息披露，</w:t>
      </w:r>
      <w:r>
        <w:rPr>
          <w:rFonts w:hint="eastAsia" w:ascii="楷体_GB2312" w:hAnsi="仿宋" w:eastAsia="楷体_GB2312"/>
          <w:color w:val="000000"/>
          <w:sz w:val="24"/>
          <w:highlight w:val="none"/>
          <w:lang w:val="en-US" w:eastAsia="zh-CN"/>
        </w:rPr>
        <w:t>告知本理财产品的投资者，并</w:t>
      </w:r>
      <w:r>
        <w:rPr>
          <w:rFonts w:hint="eastAsia" w:ascii="楷体_GB2312" w:hAnsi="宋体" w:eastAsia="楷体_GB2312"/>
          <w:color w:val="000000"/>
          <w:sz w:val="24"/>
          <w:highlight w:val="none"/>
        </w:rPr>
        <w:t>说明运用相关措施的原因及</w:t>
      </w:r>
      <w:r>
        <w:rPr>
          <w:rFonts w:hint="eastAsia" w:ascii="楷体_GB2312" w:hAnsi="宋体" w:eastAsia="楷体_GB2312"/>
          <w:color w:val="000000"/>
          <w:sz w:val="24"/>
          <w:highlight w:val="none"/>
          <w:lang w:val="en-US" w:eastAsia="zh-CN"/>
        </w:rPr>
        <w:t>拟</w:t>
      </w:r>
      <w:r>
        <w:rPr>
          <w:rFonts w:hint="eastAsia" w:ascii="楷体_GB2312" w:hAnsi="宋体" w:eastAsia="楷体_GB2312"/>
          <w:color w:val="000000"/>
          <w:sz w:val="24"/>
          <w:highlight w:val="none"/>
        </w:rPr>
        <w:t>采取的应对安排等</w:t>
      </w:r>
      <w:r>
        <w:rPr>
          <w:rFonts w:hint="eastAsia" w:ascii="楷体_GB2312" w:hAnsi="宋体" w:eastAsia="楷体_GB2312"/>
          <w:color w:val="000000"/>
          <w:sz w:val="24"/>
          <w:highlight w:val="none"/>
          <w:lang w:eastAsia="zh-CN"/>
        </w:rPr>
        <w:t>。</w:t>
      </w:r>
      <w:r>
        <w:rPr>
          <w:rFonts w:hint="eastAsia" w:ascii="楷体_GB2312" w:hAnsi="宋体" w:eastAsia="楷体_GB2312"/>
          <w:color w:val="000000"/>
          <w:sz w:val="24"/>
          <w:highlight w:val="none"/>
        </w:rPr>
        <w:t>待估值条件恢复时，</w:t>
      </w:r>
      <w:r>
        <w:rPr>
          <w:rFonts w:hint="eastAsia" w:ascii="楷体_GB2312" w:hAnsi="宋体" w:eastAsia="楷体_GB2312"/>
          <w:color w:val="000000"/>
          <w:sz w:val="24"/>
          <w:highlight w:val="none"/>
          <w:lang w:val="en-US" w:eastAsia="zh-CN"/>
        </w:rPr>
        <w:t>产品管理人</w:t>
      </w:r>
      <w:r>
        <w:rPr>
          <w:rFonts w:hint="eastAsia" w:ascii="楷体_GB2312" w:hAnsi="宋体" w:eastAsia="楷体_GB2312"/>
          <w:color w:val="000000"/>
          <w:sz w:val="24"/>
          <w:highlight w:val="none"/>
        </w:rPr>
        <w:t>将按规定完成估值工作。</w:t>
      </w:r>
    </w:p>
    <w:p>
      <w:pPr>
        <w:ind w:firstLine="480" w:firstLineChars="200"/>
        <w:rPr>
          <w:rFonts w:ascii="楷体_GB2312" w:hAnsi="宋体" w:eastAsia="楷体_GB2312"/>
          <w:color w:val="000000"/>
          <w:sz w:val="24"/>
          <w:highlight w:val="none"/>
        </w:rPr>
      </w:pPr>
      <w:r>
        <w:rPr>
          <w:rFonts w:hint="eastAsia" w:ascii="楷体_GB2312" w:hAnsi="宋体" w:eastAsia="楷体_GB2312"/>
          <w:color w:val="000000"/>
          <w:sz w:val="24"/>
          <w:highlight w:val="none"/>
        </w:rPr>
        <w:t>（七）</w:t>
      </w:r>
      <w:r>
        <w:rPr>
          <w:rFonts w:ascii="楷体_GB2312" w:hAnsi="宋体" w:eastAsia="楷体_GB2312"/>
          <w:color w:val="000000"/>
          <w:sz w:val="24"/>
          <w:highlight w:val="none"/>
        </w:rPr>
        <w:t>资产账册的建立</w:t>
      </w:r>
    </w:p>
    <w:p>
      <w:pPr>
        <w:ind w:firstLine="480" w:firstLineChars="200"/>
        <w:rPr>
          <w:rFonts w:ascii="楷体_GB2312" w:hAnsi="宋体" w:eastAsia="楷体_GB2312"/>
          <w:color w:val="000000"/>
          <w:sz w:val="24"/>
          <w:highlight w:val="none"/>
        </w:rPr>
      </w:pPr>
      <w:r>
        <w:rPr>
          <w:rFonts w:hint="eastAsia" w:ascii="楷体_GB2312" w:hAnsi="宋体" w:eastAsia="楷体_GB2312"/>
          <w:color w:val="000000"/>
          <w:sz w:val="24"/>
          <w:highlight w:val="none"/>
          <w:lang w:eastAsia="zh-CN"/>
        </w:rPr>
        <w:t>产品管理人</w:t>
      </w:r>
      <w:r>
        <w:rPr>
          <w:rFonts w:ascii="楷体_GB2312" w:hAnsi="宋体" w:eastAsia="楷体_GB2312"/>
          <w:color w:val="000000"/>
          <w:sz w:val="24"/>
          <w:highlight w:val="none"/>
        </w:rPr>
        <w:t>和</w:t>
      </w:r>
      <w:r>
        <w:rPr>
          <w:rFonts w:hint="eastAsia" w:ascii="楷体_GB2312" w:hAnsi="宋体" w:eastAsia="楷体_GB2312"/>
          <w:color w:val="000000"/>
          <w:sz w:val="24"/>
          <w:highlight w:val="none"/>
          <w:lang w:val="en-US" w:eastAsia="zh-CN"/>
        </w:rPr>
        <w:t>产品</w:t>
      </w:r>
      <w:r>
        <w:rPr>
          <w:rFonts w:ascii="楷体_GB2312" w:hAnsi="宋体" w:eastAsia="楷体_GB2312"/>
          <w:color w:val="000000"/>
          <w:sz w:val="24"/>
          <w:highlight w:val="none"/>
        </w:rPr>
        <w:t>托管</w:t>
      </w:r>
      <w:r>
        <w:rPr>
          <w:rFonts w:hint="eastAsia" w:ascii="楷体_GB2312" w:hAnsi="宋体" w:eastAsia="楷体_GB2312"/>
          <w:color w:val="000000"/>
          <w:sz w:val="24"/>
          <w:highlight w:val="none"/>
          <w:lang w:val="en-US" w:eastAsia="zh-CN"/>
        </w:rPr>
        <w:t>人</w:t>
      </w:r>
      <w:r>
        <w:rPr>
          <w:rFonts w:ascii="楷体_GB2312" w:hAnsi="宋体" w:eastAsia="楷体_GB2312"/>
          <w:color w:val="000000"/>
          <w:sz w:val="24"/>
          <w:highlight w:val="none"/>
        </w:rPr>
        <w:t>在本</w:t>
      </w:r>
      <w:r>
        <w:rPr>
          <w:rFonts w:hint="eastAsia" w:ascii="楷体_GB2312" w:hAnsi="宋体" w:eastAsia="楷体_GB2312"/>
          <w:color w:val="000000"/>
          <w:sz w:val="24"/>
          <w:highlight w:val="none"/>
        </w:rPr>
        <w:t>理财产品销售文件</w:t>
      </w:r>
      <w:r>
        <w:rPr>
          <w:rFonts w:ascii="楷体_GB2312" w:hAnsi="宋体" w:eastAsia="楷体_GB2312"/>
          <w:color w:val="000000"/>
          <w:sz w:val="24"/>
          <w:highlight w:val="none"/>
        </w:rPr>
        <w:t>生效后，应按照相关各方约定的同一记账方法和会计处理原则，分别独立的设置、登录和保管理财财产的全套账册，对相关各方各自的账册定期进行核对，互相监督。若双方对会计处理方法存在分歧，应以</w:t>
      </w:r>
      <w:r>
        <w:rPr>
          <w:rFonts w:hint="eastAsia" w:ascii="楷体_GB2312" w:hAnsi="宋体" w:eastAsia="楷体_GB2312"/>
          <w:color w:val="000000"/>
          <w:sz w:val="24"/>
          <w:highlight w:val="none"/>
          <w:lang w:eastAsia="zh-CN"/>
        </w:rPr>
        <w:t>产品管理人</w:t>
      </w:r>
      <w:r>
        <w:rPr>
          <w:rFonts w:ascii="楷体_GB2312" w:hAnsi="宋体" w:eastAsia="楷体_GB2312"/>
          <w:color w:val="000000"/>
          <w:sz w:val="24"/>
          <w:highlight w:val="none"/>
        </w:rPr>
        <w:t>的处理方法为准。</w:t>
      </w:r>
    </w:p>
    <w:p>
      <w:pPr>
        <w:ind w:firstLine="480" w:firstLineChars="200"/>
        <w:rPr>
          <w:rFonts w:ascii="楷体_GB2312" w:hAnsi="宋体" w:eastAsia="楷体_GB2312"/>
          <w:color w:val="000000"/>
          <w:sz w:val="24"/>
          <w:highlight w:val="none"/>
        </w:rPr>
      </w:pPr>
      <w:r>
        <w:rPr>
          <w:rFonts w:ascii="楷体_GB2312" w:hAnsi="宋体" w:eastAsia="楷体_GB2312"/>
          <w:color w:val="000000"/>
          <w:sz w:val="24"/>
          <w:highlight w:val="none"/>
        </w:rPr>
        <w:t>经对账发现相关各方的账目存在不符的，</w:t>
      </w:r>
      <w:r>
        <w:rPr>
          <w:rFonts w:hint="eastAsia" w:ascii="楷体_GB2312" w:hAnsi="宋体" w:eastAsia="楷体_GB2312"/>
          <w:color w:val="000000"/>
          <w:sz w:val="24"/>
          <w:highlight w:val="none"/>
          <w:lang w:eastAsia="zh-CN"/>
        </w:rPr>
        <w:t>产品管理人</w:t>
      </w:r>
      <w:r>
        <w:rPr>
          <w:rFonts w:ascii="楷体_GB2312" w:hAnsi="宋体" w:eastAsia="楷体_GB2312"/>
          <w:color w:val="000000"/>
          <w:sz w:val="24"/>
          <w:highlight w:val="none"/>
        </w:rPr>
        <w:t>和</w:t>
      </w:r>
      <w:r>
        <w:rPr>
          <w:rFonts w:hint="eastAsia" w:ascii="楷体_GB2312" w:hAnsi="宋体" w:eastAsia="楷体_GB2312"/>
          <w:color w:val="000000"/>
          <w:sz w:val="24"/>
          <w:highlight w:val="none"/>
          <w:lang w:val="en-US" w:eastAsia="zh-CN"/>
        </w:rPr>
        <w:t>产品</w:t>
      </w:r>
      <w:r>
        <w:rPr>
          <w:rFonts w:ascii="楷体_GB2312" w:hAnsi="宋体" w:eastAsia="楷体_GB2312"/>
          <w:color w:val="000000"/>
          <w:sz w:val="24"/>
          <w:highlight w:val="none"/>
        </w:rPr>
        <w:t>托管</w:t>
      </w:r>
      <w:r>
        <w:rPr>
          <w:rFonts w:hint="eastAsia" w:ascii="楷体_GB2312" w:hAnsi="宋体" w:eastAsia="楷体_GB2312"/>
          <w:color w:val="000000"/>
          <w:sz w:val="24"/>
          <w:highlight w:val="none"/>
          <w:lang w:val="en-US" w:eastAsia="zh-CN"/>
        </w:rPr>
        <w:t>人</w:t>
      </w:r>
      <w:r>
        <w:rPr>
          <w:rFonts w:ascii="楷体_GB2312" w:hAnsi="宋体" w:eastAsia="楷体_GB2312"/>
          <w:color w:val="000000"/>
          <w:sz w:val="24"/>
          <w:highlight w:val="none"/>
        </w:rPr>
        <w:t>必须及时查明原因并纠正，保证相关各方平行登录的账册记录完全相符。</w:t>
      </w:r>
    </w:p>
    <w:p>
      <w:pPr>
        <w:ind w:firstLine="482" w:firstLineChars="200"/>
        <w:rPr>
          <w:rFonts w:ascii="楷体_GB2312" w:hAnsi="宋体" w:eastAsia="楷体_GB2312"/>
          <w:b/>
          <w:color w:val="000000"/>
          <w:sz w:val="24"/>
        </w:rPr>
      </w:pPr>
      <w:r>
        <w:rPr>
          <w:rFonts w:ascii="楷体_GB2312" w:hAnsi="宋体" w:eastAsia="楷体_GB2312"/>
          <w:b/>
          <w:color w:val="000000"/>
          <w:sz w:val="24"/>
        </w:rPr>
        <w:t>十一、</w:t>
      </w:r>
      <w:r>
        <w:rPr>
          <w:rFonts w:hint="eastAsia" w:ascii="楷体_GB2312" w:hAnsi="宋体" w:eastAsia="楷体_GB2312"/>
          <w:b/>
          <w:color w:val="000000"/>
          <w:sz w:val="24"/>
        </w:rPr>
        <w:t>产品的信息披露</w:t>
      </w:r>
    </w:p>
    <w:p>
      <w:pPr>
        <w:ind w:firstLine="480" w:firstLineChars="200"/>
        <w:rPr>
          <w:rFonts w:ascii="楷体_GB2312" w:hAnsi="宋体" w:eastAsia="楷体_GB2312"/>
          <w:color w:val="000000"/>
          <w:sz w:val="24"/>
          <w:highlight w:val="none"/>
        </w:rPr>
      </w:pPr>
      <w:r>
        <w:rPr>
          <w:rFonts w:ascii="楷体_GB2312" w:hAnsi="宋体" w:eastAsia="楷体_GB2312"/>
          <w:color w:val="000000"/>
          <w:sz w:val="24"/>
          <w:highlight w:val="none"/>
        </w:rPr>
        <w:t>（一）信息披露内容</w:t>
      </w:r>
    </w:p>
    <w:p>
      <w:pPr>
        <w:ind w:firstLine="480" w:firstLineChars="200"/>
        <w:rPr>
          <w:rFonts w:ascii="楷体_GB2312" w:hAnsi="宋体" w:eastAsia="楷体_GB2312"/>
          <w:color w:val="000000"/>
          <w:sz w:val="24"/>
          <w:highlight w:val="none"/>
        </w:rPr>
      </w:pPr>
      <w:r>
        <w:rPr>
          <w:rFonts w:hint="eastAsia" w:ascii="楷体_GB2312" w:hAnsi="宋体" w:eastAsia="楷体_GB2312"/>
          <w:color w:val="000000"/>
          <w:sz w:val="24"/>
          <w:highlight w:val="none"/>
        </w:rPr>
        <w:t>1.</w:t>
      </w:r>
      <w:r>
        <w:rPr>
          <w:rFonts w:hint="eastAsia" w:ascii="楷体_GB2312" w:hAnsi="宋体" w:eastAsia="楷体_GB2312"/>
          <w:color w:val="000000"/>
          <w:sz w:val="24"/>
          <w:highlight w:val="none"/>
          <w:lang w:eastAsia="zh-CN"/>
        </w:rPr>
        <w:t>产品管理人</w:t>
      </w:r>
      <w:r>
        <w:rPr>
          <w:rFonts w:ascii="楷体_GB2312" w:hAnsi="宋体" w:eastAsia="楷体_GB2312"/>
          <w:color w:val="000000"/>
          <w:sz w:val="24"/>
          <w:highlight w:val="none"/>
        </w:rPr>
        <w:t>将严格按照相关法律法规、规章、监管规定和</w:t>
      </w:r>
      <w:r>
        <w:rPr>
          <w:rFonts w:hint="eastAsia" w:ascii="楷体_GB2312" w:hAnsi="宋体" w:eastAsia="楷体_GB2312"/>
          <w:color w:val="000000"/>
          <w:sz w:val="24"/>
          <w:highlight w:val="none"/>
          <w:lang w:val="en-US" w:eastAsia="zh-CN"/>
        </w:rPr>
        <w:t>本</w:t>
      </w:r>
      <w:r>
        <w:rPr>
          <w:rFonts w:hint="eastAsia" w:ascii="楷体_GB2312" w:hAnsi="宋体" w:eastAsia="楷体_GB2312"/>
          <w:color w:val="000000"/>
          <w:sz w:val="24"/>
          <w:highlight w:val="none"/>
        </w:rPr>
        <w:t>理财产品销售文件</w:t>
      </w:r>
      <w:r>
        <w:rPr>
          <w:rFonts w:ascii="楷体_GB2312" w:hAnsi="宋体" w:eastAsia="楷体_GB2312"/>
          <w:color w:val="000000"/>
          <w:sz w:val="24"/>
          <w:highlight w:val="none"/>
        </w:rPr>
        <w:t>的约定履行信息披露义务，并主动向投资者披露</w:t>
      </w:r>
      <w:r>
        <w:rPr>
          <w:rFonts w:hint="eastAsia" w:ascii="楷体_GB2312" w:hAnsi="宋体" w:eastAsia="楷体_GB2312"/>
          <w:color w:val="000000"/>
          <w:sz w:val="24"/>
          <w:highlight w:val="none"/>
          <w:lang w:val="en-US" w:eastAsia="zh-CN"/>
        </w:rPr>
        <w:t>本</w:t>
      </w:r>
      <w:r>
        <w:rPr>
          <w:rFonts w:ascii="楷体_GB2312" w:hAnsi="宋体" w:eastAsia="楷体_GB2312"/>
          <w:color w:val="000000"/>
          <w:sz w:val="24"/>
          <w:highlight w:val="none"/>
        </w:rPr>
        <w:t>理财产品的募集信息、资金投向、杠杆水平、收益分配、托管安排、投资账户信息、主要投资风险、关联交易等事项。</w:t>
      </w:r>
    </w:p>
    <w:p>
      <w:pPr>
        <w:ind w:firstLine="480" w:firstLineChars="200"/>
        <w:rPr>
          <w:rFonts w:ascii="楷体_GB2312" w:hAnsi="宋体" w:eastAsia="楷体_GB2312"/>
          <w:color w:val="000000"/>
          <w:sz w:val="24"/>
          <w:highlight w:val="none"/>
        </w:rPr>
      </w:pPr>
      <w:r>
        <w:rPr>
          <w:rFonts w:hint="eastAsia" w:ascii="楷体_GB2312" w:hAnsi="宋体" w:eastAsia="楷体_GB2312"/>
          <w:color w:val="000000"/>
          <w:sz w:val="24"/>
          <w:highlight w:val="none"/>
        </w:rPr>
        <w:t>2.</w:t>
      </w:r>
      <w:r>
        <w:rPr>
          <w:rFonts w:ascii="楷体_GB2312" w:hAnsi="宋体" w:eastAsia="楷体_GB2312"/>
          <w:color w:val="000000"/>
          <w:sz w:val="24"/>
          <w:highlight w:val="none"/>
        </w:rPr>
        <w:t>信息披露频率和时间</w:t>
      </w:r>
    </w:p>
    <w:p>
      <w:pPr>
        <w:ind w:firstLine="480" w:firstLineChars="200"/>
        <w:rPr>
          <w:rFonts w:ascii="楷体_GB2312" w:hAnsi="宋体" w:eastAsia="楷体_GB2312"/>
          <w:color w:val="000000"/>
          <w:sz w:val="24"/>
          <w:highlight w:val="none"/>
        </w:rPr>
      </w:pPr>
      <w:r>
        <w:rPr>
          <w:rFonts w:ascii="楷体_GB2312" w:hAnsi="宋体" w:eastAsia="楷体_GB2312"/>
          <w:color w:val="000000"/>
          <w:sz w:val="24"/>
          <w:highlight w:val="none"/>
        </w:rPr>
        <w:t>（1）发行公告</w:t>
      </w:r>
    </w:p>
    <w:p>
      <w:pPr>
        <w:ind w:firstLine="480" w:firstLineChars="200"/>
        <w:rPr>
          <w:rFonts w:ascii="楷体_GB2312" w:hAnsi="宋体" w:eastAsia="楷体_GB2312"/>
          <w:color w:val="000000"/>
          <w:sz w:val="24"/>
          <w:highlight w:val="none"/>
        </w:rPr>
      </w:pPr>
      <w:r>
        <w:rPr>
          <w:rFonts w:hint="eastAsia" w:ascii="楷体_GB2312" w:hAnsi="宋体" w:eastAsia="楷体_GB2312"/>
          <w:color w:val="000000"/>
          <w:sz w:val="24"/>
          <w:highlight w:val="none"/>
          <w:lang w:eastAsia="zh-CN"/>
        </w:rPr>
        <w:t>产品管理人</w:t>
      </w:r>
      <w:r>
        <w:rPr>
          <w:rFonts w:ascii="楷体_GB2312" w:hAnsi="宋体" w:eastAsia="楷体_GB2312"/>
          <w:color w:val="000000"/>
          <w:sz w:val="24"/>
          <w:highlight w:val="none"/>
        </w:rPr>
        <w:t>将在本理财产品成立后5个工作日内披露发行公告。</w:t>
      </w:r>
    </w:p>
    <w:p>
      <w:pPr>
        <w:ind w:firstLine="480" w:firstLineChars="200"/>
        <w:rPr>
          <w:rFonts w:ascii="楷体_GB2312" w:hAnsi="宋体" w:eastAsia="楷体_GB2312"/>
          <w:color w:val="000000"/>
          <w:sz w:val="24"/>
          <w:highlight w:val="none"/>
        </w:rPr>
      </w:pPr>
      <w:r>
        <w:rPr>
          <w:rFonts w:hint="eastAsia" w:ascii="楷体_GB2312" w:hAnsi="宋体" w:eastAsia="楷体_GB2312"/>
          <w:color w:val="000000"/>
          <w:sz w:val="24"/>
          <w:highlight w:val="none"/>
        </w:rPr>
        <w:t>（2</w:t>
      </w:r>
      <w:r>
        <w:rPr>
          <w:rFonts w:ascii="楷体_GB2312" w:hAnsi="宋体" w:eastAsia="楷体_GB2312"/>
          <w:color w:val="000000"/>
          <w:sz w:val="24"/>
          <w:highlight w:val="none"/>
        </w:rPr>
        <w:t>）</w:t>
      </w:r>
      <w:r>
        <w:rPr>
          <w:rFonts w:hint="eastAsia" w:ascii="楷体_GB2312" w:hAnsi="宋体" w:eastAsia="楷体_GB2312"/>
          <w:color w:val="000000"/>
          <w:sz w:val="24"/>
          <w:highlight w:val="none"/>
        </w:rPr>
        <w:t>净值公告</w:t>
      </w:r>
    </w:p>
    <w:p>
      <w:pPr>
        <w:ind w:firstLine="480" w:firstLineChars="200"/>
        <w:rPr>
          <w:rFonts w:hint="eastAsia" w:ascii="楷体_GB2312" w:hAnsi="宋体" w:eastAsia="楷体_GB2312"/>
          <w:color w:val="000000"/>
          <w:sz w:val="24"/>
          <w:highlight w:val="none"/>
          <w:lang w:eastAsia="zh-CN"/>
        </w:rPr>
      </w:pPr>
      <w:r>
        <w:rPr>
          <w:rFonts w:hint="eastAsia" w:ascii="楷体_GB2312" w:hAnsi="宋体" w:eastAsia="楷体_GB2312"/>
          <w:color w:val="000000"/>
          <w:sz w:val="24"/>
          <w:highlight w:val="none"/>
        </w:rPr>
        <w:t>在本理财产品每个开放日</w:t>
      </w:r>
      <w:r>
        <w:rPr>
          <w:rFonts w:hint="eastAsia" w:ascii="楷体_GB2312" w:hAnsi="宋体" w:eastAsia="楷体_GB2312"/>
          <w:color w:val="000000"/>
          <w:sz w:val="24"/>
          <w:highlight w:val="none"/>
          <w:lang w:val="en-US" w:eastAsia="zh-CN"/>
        </w:rPr>
        <w:t>结束</w:t>
      </w:r>
      <w:r>
        <w:rPr>
          <w:rFonts w:hint="eastAsia" w:ascii="楷体_GB2312" w:hAnsi="宋体" w:eastAsia="楷体_GB2312"/>
          <w:color w:val="000000"/>
          <w:sz w:val="24"/>
          <w:highlight w:val="none"/>
        </w:rPr>
        <w:t>后2个工作日披露开放日的产品</w:t>
      </w:r>
      <w:r>
        <w:rPr>
          <w:rFonts w:hint="eastAsia" w:ascii="楷体_GB2312" w:hAnsi="宋体" w:eastAsia="楷体_GB2312"/>
          <w:color w:val="000000"/>
          <w:sz w:val="24"/>
          <w:highlight w:val="none"/>
          <w:lang w:val="en-US" w:eastAsia="zh-CN"/>
        </w:rPr>
        <w:t>份额</w:t>
      </w:r>
      <w:r>
        <w:rPr>
          <w:rFonts w:hint="eastAsia" w:ascii="楷体_GB2312" w:hAnsi="宋体" w:eastAsia="楷体_GB2312"/>
          <w:color w:val="000000"/>
          <w:sz w:val="24"/>
          <w:highlight w:val="none"/>
        </w:rPr>
        <w:t>净值和产品</w:t>
      </w:r>
      <w:r>
        <w:rPr>
          <w:rFonts w:hint="eastAsia" w:ascii="楷体_GB2312" w:hAnsi="宋体" w:eastAsia="楷体_GB2312"/>
          <w:color w:val="000000"/>
          <w:sz w:val="24"/>
          <w:highlight w:val="none"/>
          <w:lang w:val="en-US" w:eastAsia="zh-CN"/>
        </w:rPr>
        <w:t>份额</w:t>
      </w:r>
      <w:r>
        <w:rPr>
          <w:rFonts w:hint="eastAsia" w:ascii="楷体_GB2312" w:hAnsi="宋体" w:eastAsia="楷体_GB2312"/>
          <w:color w:val="000000"/>
          <w:sz w:val="24"/>
          <w:highlight w:val="none"/>
        </w:rPr>
        <w:t>累计净值、</w:t>
      </w:r>
      <w:r>
        <w:rPr>
          <w:rFonts w:hint="eastAsia" w:ascii="楷体_GB2312" w:hAnsi="宋体" w:eastAsia="楷体_GB2312"/>
          <w:color w:val="000000"/>
          <w:sz w:val="24"/>
          <w:highlight w:val="none"/>
          <w:lang w:val="en-US" w:eastAsia="zh-CN"/>
        </w:rPr>
        <w:t>申</w:t>
      </w:r>
      <w:r>
        <w:rPr>
          <w:rFonts w:hint="eastAsia" w:ascii="楷体_GB2312" w:hAnsi="宋体" w:eastAsia="楷体_GB2312"/>
          <w:color w:val="000000"/>
          <w:sz w:val="24"/>
          <w:highlight w:val="none"/>
        </w:rPr>
        <w:t>购价格、赎回价格</w:t>
      </w:r>
      <w:r>
        <w:rPr>
          <w:rFonts w:hint="eastAsia" w:ascii="楷体_GB2312" w:hAnsi="宋体" w:eastAsia="楷体_GB2312"/>
          <w:color w:val="000000"/>
          <w:sz w:val="24"/>
          <w:highlight w:val="none"/>
          <w:lang w:eastAsia="zh-CN"/>
        </w:rPr>
        <w:t>；在定期报告中披露本理财产品在季度、半年和年度最后一个市场交易日的产品</w:t>
      </w:r>
      <w:r>
        <w:rPr>
          <w:rFonts w:hint="eastAsia" w:ascii="楷体_GB2312" w:hAnsi="宋体" w:eastAsia="楷体_GB2312"/>
          <w:color w:val="000000"/>
          <w:sz w:val="24"/>
          <w:highlight w:val="none"/>
          <w:lang w:val="en-US" w:eastAsia="zh-CN"/>
        </w:rPr>
        <w:t>份额</w:t>
      </w:r>
      <w:r>
        <w:rPr>
          <w:rFonts w:hint="eastAsia" w:ascii="楷体_GB2312" w:hAnsi="宋体" w:eastAsia="楷体_GB2312"/>
          <w:color w:val="000000"/>
          <w:sz w:val="24"/>
          <w:highlight w:val="none"/>
          <w:lang w:eastAsia="zh-CN"/>
        </w:rPr>
        <w:t>净值、产品</w:t>
      </w:r>
      <w:r>
        <w:rPr>
          <w:rFonts w:hint="eastAsia" w:ascii="楷体_GB2312" w:hAnsi="宋体" w:eastAsia="楷体_GB2312"/>
          <w:color w:val="000000"/>
          <w:sz w:val="24"/>
          <w:highlight w:val="none"/>
          <w:lang w:val="en-US" w:eastAsia="zh-CN"/>
        </w:rPr>
        <w:t>份额</w:t>
      </w:r>
      <w:r>
        <w:rPr>
          <w:rFonts w:hint="eastAsia" w:ascii="楷体_GB2312" w:hAnsi="宋体" w:eastAsia="楷体_GB2312"/>
          <w:color w:val="000000"/>
          <w:sz w:val="24"/>
          <w:highlight w:val="none"/>
          <w:lang w:eastAsia="zh-CN"/>
        </w:rPr>
        <w:t>累计净值和产品资产净值。</w:t>
      </w:r>
    </w:p>
    <w:p>
      <w:pPr>
        <w:ind w:firstLine="480" w:firstLineChars="200"/>
        <w:rPr>
          <w:rFonts w:ascii="楷体_GB2312" w:hAnsi="宋体" w:eastAsia="楷体_GB2312"/>
          <w:color w:val="000000"/>
          <w:sz w:val="24"/>
          <w:highlight w:val="none"/>
        </w:rPr>
      </w:pPr>
      <w:r>
        <w:rPr>
          <w:rFonts w:hint="eastAsia" w:ascii="楷体_GB2312" w:hAnsi="宋体" w:eastAsia="楷体_GB2312"/>
          <w:color w:val="000000"/>
          <w:sz w:val="24"/>
          <w:highlight w:val="none"/>
        </w:rPr>
        <w:t>（3）分红公告</w:t>
      </w:r>
    </w:p>
    <w:p>
      <w:pPr>
        <w:ind w:firstLine="480" w:firstLineChars="200"/>
        <w:rPr>
          <w:rFonts w:ascii="楷体_GB2312" w:hAnsi="宋体" w:eastAsia="楷体_GB2312"/>
          <w:color w:val="000000"/>
          <w:sz w:val="24"/>
          <w:highlight w:val="none"/>
        </w:rPr>
      </w:pPr>
      <w:r>
        <w:rPr>
          <w:rFonts w:hint="eastAsia" w:ascii="楷体_GB2312" w:hAnsi="宋体" w:eastAsia="楷体_GB2312"/>
          <w:color w:val="000000"/>
          <w:sz w:val="24"/>
          <w:highlight w:val="none"/>
          <w:lang w:eastAsia="zh-CN"/>
        </w:rPr>
        <w:t>产品管理人</w:t>
      </w:r>
      <w:r>
        <w:rPr>
          <w:rFonts w:ascii="楷体_GB2312" w:hAnsi="宋体" w:eastAsia="楷体_GB2312"/>
          <w:color w:val="000000"/>
          <w:sz w:val="24"/>
          <w:highlight w:val="none"/>
        </w:rPr>
        <w:t>将在</w:t>
      </w:r>
      <w:r>
        <w:rPr>
          <w:rFonts w:hint="eastAsia" w:ascii="楷体_GB2312" w:hAnsi="宋体" w:eastAsia="楷体_GB2312"/>
          <w:color w:val="000000"/>
          <w:sz w:val="24"/>
          <w:highlight w:val="none"/>
          <w:lang w:val="en-US" w:eastAsia="zh-CN"/>
        </w:rPr>
        <w:t>本理财</w:t>
      </w:r>
      <w:r>
        <w:rPr>
          <w:rFonts w:ascii="楷体_GB2312" w:hAnsi="宋体" w:eastAsia="楷体_GB2312"/>
          <w:color w:val="000000"/>
          <w:sz w:val="24"/>
          <w:highlight w:val="none"/>
        </w:rPr>
        <w:t>产品分红后</w:t>
      </w:r>
      <w:r>
        <w:rPr>
          <w:rFonts w:hint="eastAsia" w:ascii="楷体_GB2312" w:hAnsi="宋体" w:eastAsia="楷体_GB2312"/>
          <w:color w:val="000000"/>
          <w:sz w:val="24"/>
          <w:highlight w:val="none"/>
        </w:rPr>
        <w:t>2个工作日内披露产品分红公告（如有）。</w:t>
      </w:r>
    </w:p>
    <w:p>
      <w:pPr>
        <w:ind w:firstLine="480" w:firstLineChars="200"/>
        <w:rPr>
          <w:rFonts w:ascii="楷体_GB2312" w:hAnsi="宋体" w:eastAsia="楷体_GB2312"/>
          <w:color w:val="000000"/>
          <w:sz w:val="24"/>
          <w:highlight w:val="none"/>
        </w:rPr>
      </w:pPr>
      <w:r>
        <w:rPr>
          <w:rFonts w:ascii="楷体_GB2312" w:hAnsi="宋体" w:eastAsia="楷体_GB2312"/>
          <w:color w:val="000000"/>
          <w:sz w:val="24"/>
          <w:highlight w:val="none"/>
        </w:rPr>
        <w:t>（</w:t>
      </w:r>
      <w:r>
        <w:rPr>
          <w:rFonts w:hint="eastAsia" w:ascii="楷体_GB2312" w:hAnsi="宋体" w:eastAsia="楷体_GB2312"/>
          <w:color w:val="000000"/>
          <w:sz w:val="24"/>
          <w:highlight w:val="none"/>
        </w:rPr>
        <w:t>4</w:t>
      </w:r>
      <w:r>
        <w:rPr>
          <w:rFonts w:ascii="楷体_GB2312" w:hAnsi="宋体" w:eastAsia="楷体_GB2312"/>
          <w:color w:val="000000"/>
          <w:sz w:val="24"/>
          <w:highlight w:val="none"/>
        </w:rPr>
        <w:t>）重大事项公告</w:t>
      </w:r>
    </w:p>
    <w:p>
      <w:pPr>
        <w:ind w:firstLine="480" w:firstLineChars="200"/>
        <w:rPr>
          <w:rFonts w:ascii="楷体_GB2312" w:hAnsi="宋体" w:eastAsia="楷体_GB2312"/>
          <w:color w:val="000000"/>
          <w:sz w:val="24"/>
          <w:highlight w:val="none"/>
        </w:rPr>
      </w:pPr>
      <w:r>
        <w:rPr>
          <w:rFonts w:hint="eastAsia" w:ascii="楷体_GB2312" w:hAnsi="宋体" w:eastAsia="楷体_GB2312"/>
          <w:color w:val="000000"/>
          <w:sz w:val="24"/>
          <w:highlight w:val="none"/>
          <w:lang w:eastAsia="zh-CN"/>
        </w:rPr>
        <w:t>产品管理人</w:t>
      </w:r>
      <w:r>
        <w:rPr>
          <w:rFonts w:ascii="楷体_GB2312" w:hAnsi="宋体" w:eastAsia="楷体_GB2312"/>
          <w:color w:val="000000"/>
          <w:sz w:val="24"/>
          <w:highlight w:val="none"/>
        </w:rPr>
        <w:t>将在发生可能对本理财产品投资者或者</w:t>
      </w:r>
      <w:r>
        <w:rPr>
          <w:rFonts w:hint="eastAsia" w:ascii="楷体_GB2312" w:hAnsi="宋体" w:eastAsia="楷体_GB2312"/>
          <w:color w:val="000000"/>
          <w:sz w:val="24"/>
          <w:highlight w:val="none"/>
          <w:lang w:eastAsia="zh-CN"/>
        </w:rPr>
        <w:t>本</w:t>
      </w:r>
      <w:r>
        <w:rPr>
          <w:rFonts w:ascii="楷体_GB2312" w:hAnsi="宋体" w:eastAsia="楷体_GB2312"/>
          <w:color w:val="000000"/>
          <w:sz w:val="24"/>
          <w:highlight w:val="none"/>
        </w:rPr>
        <w:t>理财产品收益产生重大影响的事件后2个工作日内披露重大事项公告。</w:t>
      </w:r>
    </w:p>
    <w:p>
      <w:pPr>
        <w:ind w:firstLine="480" w:firstLineChars="200"/>
        <w:rPr>
          <w:rFonts w:ascii="楷体_GB2312" w:hAnsi="宋体" w:eastAsia="楷体_GB2312"/>
          <w:color w:val="000000"/>
          <w:sz w:val="24"/>
          <w:highlight w:val="none"/>
        </w:rPr>
      </w:pPr>
      <w:r>
        <w:rPr>
          <w:rFonts w:ascii="楷体_GB2312" w:hAnsi="宋体" w:eastAsia="楷体_GB2312"/>
          <w:color w:val="000000"/>
          <w:sz w:val="24"/>
          <w:highlight w:val="none"/>
        </w:rPr>
        <w:t>（</w:t>
      </w:r>
      <w:r>
        <w:rPr>
          <w:rFonts w:hint="eastAsia" w:ascii="楷体_GB2312" w:hAnsi="宋体" w:eastAsia="楷体_GB2312"/>
          <w:color w:val="000000"/>
          <w:sz w:val="24"/>
          <w:highlight w:val="none"/>
        </w:rPr>
        <w:t>5</w:t>
      </w:r>
      <w:r>
        <w:rPr>
          <w:rFonts w:ascii="楷体_GB2312" w:hAnsi="宋体" w:eastAsia="楷体_GB2312"/>
          <w:color w:val="000000"/>
          <w:sz w:val="24"/>
          <w:highlight w:val="none"/>
        </w:rPr>
        <w:t>）定期报告</w:t>
      </w:r>
    </w:p>
    <w:p>
      <w:pPr>
        <w:ind w:firstLine="480" w:firstLineChars="200"/>
        <w:rPr>
          <w:rFonts w:hint="eastAsia" w:ascii="楷体_GB2312" w:hAnsi="宋体" w:eastAsia="楷体_GB2312"/>
          <w:color w:val="000000"/>
          <w:sz w:val="24"/>
          <w:highlight w:val="none"/>
        </w:rPr>
      </w:pPr>
      <w:r>
        <w:rPr>
          <w:rFonts w:hint="eastAsia" w:ascii="楷体_GB2312" w:hAnsi="宋体" w:eastAsia="楷体_GB2312"/>
          <w:color w:val="000000"/>
          <w:sz w:val="24"/>
          <w:highlight w:val="none"/>
          <w:lang w:eastAsia="zh-CN"/>
        </w:rPr>
        <w:t>产品管理人</w:t>
      </w:r>
      <w:r>
        <w:rPr>
          <w:rFonts w:ascii="楷体_GB2312" w:hAnsi="宋体" w:eastAsia="楷体_GB2312"/>
          <w:color w:val="000000"/>
          <w:sz w:val="24"/>
          <w:highlight w:val="none"/>
        </w:rPr>
        <w:t>将在每个季度结束之日起15个工作日内、上半年结束之日起60个工作日内、每年结束之日起90个工作日内披露本理财产品的季度、半年和年度报告，如果本理财产品成立不足90个工作日或者剩余存续期不超过90个工作日的，</w:t>
      </w:r>
      <w:r>
        <w:rPr>
          <w:rFonts w:hint="eastAsia" w:ascii="楷体_GB2312" w:hAnsi="宋体" w:eastAsia="楷体_GB2312"/>
          <w:color w:val="000000"/>
          <w:sz w:val="24"/>
          <w:highlight w:val="none"/>
          <w:lang w:eastAsia="zh-CN"/>
        </w:rPr>
        <w:t>产品管理人</w:t>
      </w:r>
      <w:r>
        <w:rPr>
          <w:rFonts w:ascii="楷体_GB2312" w:hAnsi="宋体" w:eastAsia="楷体_GB2312"/>
          <w:color w:val="000000"/>
          <w:sz w:val="24"/>
          <w:highlight w:val="none"/>
        </w:rPr>
        <w:t>可以不编制</w:t>
      </w:r>
      <w:r>
        <w:rPr>
          <w:rFonts w:hint="eastAsia" w:ascii="楷体_GB2312" w:hAnsi="宋体" w:eastAsia="楷体_GB2312"/>
          <w:color w:val="000000"/>
          <w:sz w:val="24"/>
          <w:highlight w:val="none"/>
          <w:lang w:val="en-US" w:eastAsia="zh-CN"/>
        </w:rPr>
        <w:t>本理财</w:t>
      </w:r>
      <w:r>
        <w:rPr>
          <w:rFonts w:ascii="楷体_GB2312" w:hAnsi="宋体" w:eastAsia="楷体_GB2312"/>
          <w:color w:val="000000"/>
          <w:sz w:val="24"/>
          <w:highlight w:val="none"/>
        </w:rPr>
        <w:t>产品当期的季度、半年和年度报告。</w:t>
      </w:r>
      <w:bookmarkStart w:id="4" w:name="_Hlk146059333"/>
      <w:r>
        <w:rPr>
          <w:rFonts w:hint="eastAsia" w:ascii="楷体_GB2312" w:hAnsi="宋体" w:eastAsia="楷体_GB2312"/>
          <w:color w:val="000000"/>
          <w:sz w:val="24"/>
          <w:highlight w:val="none"/>
          <w:lang w:eastAsia="zh-CN"/>
        </w:rPr>
        <w:t>产品管理人</w:t>
      </w:r>
      <w:r>
        <w:rPr>
          <w:rFonts w:hint="eastAsia" w:ascii="楷体_GB2312" w:hAnsi="宋体" w:eastAsia="楷体_GB2312"/>
          <w:color w:val="000000"/>
          <w:sz w:val="24"/>
          <w:highlight w:val="none"/>
        </w:rPr>
        <w:t>将在</w:t>
      </w:r>
      <w:r>
        <w:rPr>
          <w:rFonts w:hint="eastAsia" w:ascii="楷体_GB2312" w:hAnsi="宋体" w:eastAsia="楷体_GB2312"/>
          <w:color w:val="000000"/>
          <w:sz w:val="24"/>
          <w:highlight w:val="none"/>
          <w:lang w:val="en-US" w:eastAsia="zh-CN"/>
        </w:rPr>
        <w:t>本</w:t>
      </w:r>
      <w:r>
        <w:rPr>
          <w:rFonts w:hint="eastAsia" w:ascii="楷体_GB2312" w:hAnsi="宋体" w:eastAsia="楷体_GB2312"/>
          <w:color w:val="000000"/>
          <w:sz w:val="24"/>
          <w:highlight w:val="none"/>
        </w:rPr>
        <w:t>理财产品季度、半年和年度报告中披露</w:t>
      </w:r>
      <w:r>
        <w:rPr>
          <w:rFonts w:hint="eastAsia" w:ascii="楷体_GB2312" w:hAnsi="宋体" w:eastAsia="楷体_GB2312"/>
          <w:color w:val="000000"/>
          <w:sz w:val="24"/>
          <w:highlight w:val="none"/>
          <w:lang w:eastAsia="zh-CN"/>
        </w:rPr>
        <w:t>本</w:t>
      </w:r>
      <w:r>
        <w:rPr>
          <w:rFonts w:hint="eastAsia" w:ascii="楷体_GB2312" w:hAnsi="宋体" w:eastAsia="楷体_GB2312"/>
          <w:color w:val="000000"/>
          <w:sz w:val="24"/>
          <w:highlight w:val="none"/>
        </w:rPr>
        <w:t>理财产品组合资产情况及其流动性风险分析等。</w:t>
      </w:r>
      <w:bookmarkEnd w:id="4"/>
    </w:p>
    <w:p>
      <w:pPr>
        <w:ind w:firstLine="480" w:firstLineChars="200"/>
        <w:rPr>
          <w:rFonts w:ascii="楷体_GB2312" w:hAnsi="宋体" w:eastAsia="楷体_GB2312"/>
          <w:color w:val="000000"/>
          <w:sz w:val="24"/>
          <w:highlight w:val="none"/>
        </w:rPr>
      </w:pPr>
      <w:r>
        <w:rPr>
          <w:rFonts w:ascii="楷体_GB2312" w:hAnsi="宋体" w:eastAsia="楷体_GB2312"/>
          <w:color w:val="000000"/>
          <w:sz w:val="24"/>
          <w:highlight w:val="none"/>
        </w:rPr>
        <w:t>（</w:t>
      </w:r>
      <w:r>
        <w:rPr>
          <w:rFonts w:hint="eastAsia" w:ascii="楷体_GB2312" w:hAnsi="宋体" w:eastAsia="楷体_GB2312"/>
          <w:color w:val="000000"/>
          <w:sz w:val="24"/>
          <w:highlight w:val="none"/>
        </w:rPr>
        <w:t>6</w:t>
      </w:r>
      <w:r>
        <w:rPr>
          <w:rFonts w:ascii="楷体_GB2312" w:hAnsi="宋体" w:eastAsia="楷体_GB2312"/>
          <w:color w:val="000000"/>
          <w:sz w:val="24"/>
          <w:highlight w:val="none"/>
        </w:rPr>
        <w:t>）到期公告</w:t>
      </w:r>
    </w:p>
    <w:p>
      <w:pPr>
        <w:ind w:firstLine="480" w:firstLineChars="200"/>
        <w:rPr>
          <w:rFonts w:ascii="楷体_GB2312" w:hAnsi="宋体" w:eastAsia="楷体_GB2312"/>
          <w:color w:val="000000"/>
          <w:sz w:val="24"/>
          <w:highlight w:val="none"/>
        </w:rPr>
      </w:pPr>
      <w:r>
        <w:rPr>
          <w:rFonts w:hint="eastAsia" w:ascii="楷体_GB2312" w:hAnsi="宋体" w:eastAsia="楷体_GB2312"/>
          <w:color w:val="000000"/>
          <w:sz w:val="24"/>
          <w:highlight w:val="none"/>
          <w:lang w:eastAsia="zh-CN"/>
        </w:rPr>
        <w:t>产品管理人</w:t>
      </w:r>
      <w:r>
        <w:rPr>
          <w:rFonts w:ascii="楷体_GB2312" w:hAnsi="宋体" w:eastAsia="楷体_GB2312"/>
          <w:color w:val="000000"/>
          <w:sz w:val="24"/>
          <w:highlight w:val="none"/>
        </w:rPr>
        <w:t>将在本理财产品终止</w:t>
      </w:r>
      <w:r>
        <w:rPr>
          <w:rFonts w:hint="eastAsia" w:ascii="楷体_GB2312" w:hAnsi="宋体" w:eastAsia="楷体_GB2312"/>
          <w:color w:val="000000"/>
          <w:sz w:val="24"/>
          <w:highlight w:val="none"/>
          <w:lang w:val="en-US" w:eastAsia="zh-CN"/>
        </w:rPr>
        <w:t>日</w:t>
      </w:r>
      <w:r>
        <w:rPr>
          <w:rFonts w:ascii="楷体_GB2312" w:hAnsi="宋体" w:eastAsia="楷体_GB2312"/>
          <w:color w:val="000000"/>
          <w:sz w:val="24"/>
          <w:highlight w:val="none"/>
        </w:rPr>
        <w:t>后5个工作日内披露产品到期公告。</w:t>
      </w:r>
    </w:p>
    <w:p>
      <w:pPr>
        <w:ind w:firstLine="480" w:firstLineChars="200"/>
        <w:rPr>
          <w:rFonts w:ascii="楷体_GB2312" w:hAnsi="宋体" w:eastAsia="楷体_GB2312"/>
          <w:color w:val="000000"/>
          <w:sz w:val="24"/>
          <w:highlight w:val="none"/>
        </w:rPr>
      </w:pPr>
      <w:r>
        <w:rPr>
          <w:rFonts w:ascii="楷体_GB2312" w:hAnsi="宋体" w:eastAsia="楷体_GB2312"/>
          <w:color w:val="000000"/>
          <w:sz w:val="24"/>
          <w:highlight w:val="none"/>
        </w:rPr>
        <w:t>（</w:t>
      </w:r>
      <w:r>
        <w:rPr>
          <w:rFonts w:hint="eastAsia" w:ascii="楷体_GB2312" w:hAnsi="宋体" w:eastAsia="楷体_GB2312"/>
          <w:color w:val="000000"/>
          <w:sz w:val="24"/>
          <w:highlight w:val="none"/>
        </w:rPr>
        <w:t>7</w:t>
      </w:r>
      <w:r>
        <w:rPr>
          <w:rFonts w:ascii="楷体_GB2312" w:hAnsi="宋体" w:eastAsia="楷体_GB2312"/>
          <w:color w:val="000000"/>
          <w:sz w:val="24"/>
          <w:highlight w:val="none"/>
        </w:rPr>
        <w:t>）临时公告</w:t>
      </w:r>
    </w:p>
    <w:p>
      <w:pPr>
        <w:ind w:firstLine="480" w:firstLineChars="200"/>
        <w:rPr>
          <w:rFonts w:ascii="楷体_GB2312" w:hAnsi="宋体" w:eastAsia="楷体_GB2312"/>
          <w:color w:val="000000"/>
          <w:sz w:val="24"/>
          <w:highlight w:val="none"/>
        </w:rPr>
      </w:pPr>
      <w:r>
        <w:rPr>
          <w:rFonts w:hint="eastAsia" w:ascii="楷体_GB2312" w:hAnsi="宋体" w:eastAsia="楷体_GB2312"/>
          <w:color w:val="000000"/>
          <w:sz w:val="24"/>
          <w:highlight w:val="none"/>
          <w:lang w:val="en-US" w:eastAsia="zh-CN"/>
        </w:rPr>
        <w:t>本</w:t>
      </w:r>
      <w:r>
        <w:rPr>
          <w:rFonts w:ascii="楷体_GB2312" w:hAnsi="宋体" w:eastAsia="楷体_GB2312"/>
          <w:color w:val="000000"/>
          <w:sz w:val="24"/>
          <w:highlight w:val="none"/>
        </w:rPr>
        <w:t>理财产品在运作管理过程中，发生可能对</w:t>
      </w:r>
      <w:r>
        <w:rPr>
          <w:rFonts w:hint="eastAsia" w:ascii="楷体_GB2312" w:hAnsi="宋体" w:eastAsia="楷体_GB2312"/>
          <w:color w:val="000000"/>
          <w:sz w:val="24"/>
          <w:highlight w:val="none"/>
          <w:lang w:val="en-US" w:eastAsia="zh-CN"/>
        </w:rPr>
        <w:t>本</w:t>
      </w:r>
      <w:r>
        <w:rPr>
          <w:rFonts w:ascii="楷体_GB2312" w:hAnsi="宋体" w:eastAsia="楷体_GB2312"/>
          <w:color w:val="000000"/>
          <w:sz w:val="24"/>
          <w:highlight w:val="none"/>
        </w:rPr>
        <w:t>理财产品</w:t>
      </w:r>
      <w:r>
        <w:rPr>
          <w:rFonts w:hint="eastAsia" w:ascii="楷体_GB2312" w:hAnsi="宋体" w:eastAsia="楷体_GB2312"/>
          <w:color w:val="000000"/>
          <w:sz w:val="24"/>
          <w:highlight w:val="none"/>
          <w:lang w:eastAsia="zh-CN"/>
        </w:rPr>
        <w:t>份额</w:t>
      </w:r>
      <w:r>
        <w:rPr>
          <w:rFonts w:ascii="楷体_GB2312" w:hAnsi="宋体" w:eastAsia="楷体_GB2312"/>
          <w:color w:val="000000"/>
          <w:sz w:val="24"/>
          <w:highlight w:val="none"/>
        </w:rPr>
        <w:t>持有人权益产生影响的事项、涉及</w:t>
      </w:r>
      <w:r>
        <w:rPr>
          <w:rFonts w:hint="eastAsia" w:ascii="楷体_GB2312" w:hAnsi="宋体" w:eastAsia="楷体_GB2312"/>
          <w:color w:val="000000"/>
          <w:sz w:val="24"/>
          <w:highlight w:val="none"/>
          <w:lang w:eastAsia="zh-CN"/>
        </w:rPr>
        <w:t>本</w:t>
      </w:r>
      <w:r>
        <w:rPr>
          <w:rFonts w:ascii="楷体_GB2312" w:hAnsi="宋体" w:eastAsia="楷体_GB2312"/>
          <w:color w:val="000000"/>
          <w:sz w:val="24"/>
          <w:highlight w:val="none"/>
        </w:rPr>
        <w:t>理财产品认/申购、赎回事项调整或潜在影响投资者赎回等事项时，</w:t>
      </w:r>
      <w:r>
        <w:rPr>
          <w:rFonts w:hint="eastAsia" w:ascii="楷体_GB2312" w:hAnsi="宋体" w:eastAsia="楷体_GB2312"/>
          <w:color w:val="000000"/>
          <w:sz w:val="24"/>
          <w:highlight w:val="none"/>
          <w:lang w:eastAsia="zh-CN"/>
        </w:rPr>
        <w:t>产品管理人</w:t>
      </w:r>
      <w:r>
        <w:rPr>
          <w:rFonts w:ascii="楷体_GB2312" w:hAnsi="宋体" w:eastAsia="楷体_GB2312"/>
          <w:color w:val="000000"/>
          <w:sz w:val="24"/>
          <w:highlight w:val="none"/>
        </w:rPr>
        <w:t>将根据法律法规规定</w:t>
      </w:r>
      <w:r>
        <w:rPr>
          <w:rFonts w:hint="eastAsia" w:ascii="楷体_GB2312" w:hAnsi="宋体" w:eastAsia="楷体_GB2312"/>
          <w:color w:val="000000"/>
          <w:sz w:val="24"/>
          <w:highlight w:val="none"/>
          <w:lang w:val="en-US" w:eastAsia="zh-CN"/>
        </w:rPr>
        <w:t>和</w:t>
      </w:r>
      <w:r>
        <w:rPr>
          <w:rFonts w:ascii="楷体_GB2312" w:hAnsi="宋体" w:eastAsia="楷体_GB2312"/>
          <w:color w:val="000000"/>
          <w:sz w:val="24"/>
          <w:highlight w:val="none"/>
        </w:rPr>
        <w:t>本</w:t>
      </w:r>
      <w:r>
        <w:rPr>
          <w:rFonts w:hint="eastAsia" w:ascii="楷体_GB2312" w:hAnsi="宋体" w:eastAsia="楷体_GB2312"/>
          <w:color w:val="000000"/>
          <w:sz w:val="24"/>
          <w:highlight w:val="none"/>
        </w:rPr>
        <w:t>理财产品销售文件</w:t>
      </w:r>
      <w:r>
        <w:rPr>
          <w:rFonts w:ascii="楷体_GB2312" w:hAnsi="宋体" w:eastAsia="楷体_GB2312"/>
          <w:color w:val="000000"/>
          <w:sz w:val="24"/>
          <w:highlight w:val="none"/>
        </w:rPr>
        <w:t>约定及时进行临时信息披露。</w:t>
      </w:r>
    </w:p>
    <w:p>
      <w:pPr>
        <w:ind w:firstLine="480" w:firstLineChars="200"/>
        <w:rPr>
          <w:rFonts w:ascii="楷体_GB2312" w:hAnsi="宋体" w:eastAsia="楷体_GB2312"/>
          <w:color w:val="000000"/>
          <w:sz w:val="24"/>
          <w:highlight w:val="none"/>
        </w:rPr>
      </w:pPr>
      <w:r>
        <w:rPr>
          <w:rFonts w:ascii="楷体_GB2312" w:hAnsi="宋体" w:eastAsia="楷体_GB2312"/>
          <w:color w:val="000000"/>
          <w:sz w:val="24"/>
          <w:highlight w:val="none"/>
        </w:rPr>
        <w:t>在运用</w:t>
      </w:r>
      <w:r>
        <w:rPr>
          <w:rFonts w:hint="eastAsia" w:ascii="楷体_GB2312" w:hAnsi="宋体" w:eastAsia="楷体_GB2312" w:cs="Times New Roman"/>
          <w:color w:val="000000"/>
          <w:sz w:val="24"/>
          <w:highlight w:val="none"/>
          <w:lang w:val="en-US" w:eastAsia="zh-CN"/>
        </w:rPr>
        <w:t>流动性风险应对措施后，产品管理人</w:t>
      </w:r>
      <w:r>
        <w:rPr>
          <w:rFonts w:hint="eastAsia" w:ascii="楷体_GB2312" w:hAnsi="宋体" w:eastAsia="楷体_GB2312" w:cs="Times New Roman"/>
          <w:color w:val="000000"/>
          <w:sz w:val="24"/>
          <w:highlight w:val="none"/>
        </w:rPr>
        <w:t>将按</w:t>
      </w:r>
      <w:r>
        <w:rPr>
          <w:rFonts w:hint="eastAsia" w:ascii="楷体_GB2312" w:hAnsi="仿宋" w:eastAsia="楷体_GB2312"/>
          <w:color w:val="000000"/>
          <w:sz w:val="24"/>
          <w:highlight w:val="none"/>
        </w:rPr>
        <w:t>照监管规定及</w:t>
      </w:r>
      <w:r>
        <w:rPr>
          <w:rFonts w:hint="eastAsia" w:ascii="楷体_GB2312" w:hAnsi="仿宋" w:eastAsia="楷体_GB2312"/>
          <w:color w:val="000000"/>
          <w:sz w:val="24"/>
          <w:highlight w:val="none"/>
          <w:lang w:val="en-US" w:eastAsia="zh-CN"/>
        </w:rPr>
        <w:t>本理财产品</w:t>
      </w:r>
      <w:r>
        <w:rPr>
          <w:rFonts w:hint="eastAsia" w:ascii="楷体_GB2312" w:hAnsi="仿宋" w:eastAsia="楷体_GB2312"/>
          <w:color w:val="000000"/>
          <w:sz w:val="24"/>
          <w:highlight w:val="none"/>
        </w:rPr>
        <w:t>销售文件约定的</w:t>
      </w:r>
      <w:r>
        <w:rPr>
          <w:rFonts w:hint="eastAsia" w:ascii="楷体_GB2312" w:hAnsi="仿宋" w:eastAsia="楷体_GB2312"/>
          <w:color w:val="000000"/>
          <w:sz w:val="24"/>
          <w:highlight w:val="none"/>
          <w:lang w:val="en-US" w:eastAsia="zh-CN"/>
        </w:rPr>
        <w:t>信息披露</w:t>
      </w:r>
      <w:r>
        <w:rPr>
          <w:rFonts w:hint="eastAsia" w:ascii="楷体_GB2312" w:hAnsi="仿宋" w:eastAsia="楷体_GB2312"/>
          <w:color w:val="000000"/>
          <w:sz w:val="24"/>
          <w:highlight w:val="none"/>
        </w:rPr>
        <w:t>方式在3个交易日内发布临时</w:t>
      </w:r>
      <w:r>
        <w:rPr>
          <w:rFonts w:hint="eastAsia" w:ascii="楷体_GB2312" w:hAnsi="仿宋" w:eastAsia="楷体_GB2312"/>
          <w:color w:val="000000"/>
          <w:sz w:val="24"/>
          <w:highlight w:val="none"/>
          <w:lang w:val="en-US" w:eastAsia="zh-CN"/>
        </w:rPr>
        <w:t>公告，告知本理财产品的投资者，并</w:t>
      </w:r>
      <w:r>
        <w:rPr>
          <w:rFonts w:hint="eastAsia" w:ascii="楷体_GB2312" w:hAnsi="仿宋" w:eastAsia="楷体_GB2312"/>
          <w:color w:val="000000"/>
          <w:sz w:val="24"/>
          <w:highlight w:val="none"/>
        </w:rPr>
        <w:t>说明运用相关措施的原因及</w:t>
      </w:r>
      <w:r>
        <w:rPr>
          <w:rFonts w:hint="eastAsia" w:ascii="楷体_GB2312" w:hAnsi="仿宋" w:eastAsia="楷体_GB2312"/>
          <w:color w:val="000000"/>
          <w:sz w:val="24"/>
          <w:highlight w:val="none"/>
          <w:lang w:val="en-US" w:eastAsia="zh-CN"/>
        </w:rPr>
        <w:t>拟</w:t>
      </w:r>
      <w:r>
        <w:rPr>
          <w:rFonts w:hint="eastAsia" w:ascii="楷体_GB2312" w:hAnsi="仿宋" w:eastAsia="楷体_GB2312"/>
          <w:color w:val="000000"/>
          <w:sz w:val="24"/>
          <w:highlight w:val="none"/>
        </w:rPr>
        <w:t>采取的应对安排等。</w:t>
      </w:r>
    </w:p>
    <w:p>
      <w:pPr>
        <w:ind w:firstLine="480" w:firstLineChars="200"/>
        <w:rPr>
          <w:rFonts w:ascii="楷体_GB2312" w:hAnsi="宋体" w:eastAsia="楷体_GB2312"/>
          <w:color w:val="000000"/>
          <w:sz w:val="24"/>
          <w:highlight w:val="none"/>
        </w:rPr>
      </w:pPr>
      <w:r>
        <w:rPr>
          <w:rFonts w:hint="eastAsia" w:ascii="楷体_GB2312" w:hAnsi="宋体" w:eastAsia="楷体_GB2312"/>
          <w:color w:val="000000"/>
          <w:sz w:val="24"/>
          <w:highlight w:val="none"/>
        </w:rPr>
        <w:t>★</w:t>
      </w:r>
      <w:r>
        <w:rPr>
          <w:rFonts w:hint="default" w:ascii="楷体_GB2312" w:hAnsi="宋体" w:eastAsia="楷体_GB2312"/>
          <w:color w:val="000000"/>
          <w:sz w:val="24"/>
          <w:highlight w:val="none"/>
          <w:lang w:val="en-US"/>
        </w:rPr>
        <w:t>3</w:t>
      </w:r>
      <w:r>
        <w:rPr>
          <w:rFonts w:hint="eastAsia" w:ascii="楷体_GB2312" w:hAnsi="宋体" w:eastAsia="楷体_GB2312"/>
          <w:color w:val="000000"/>
          <w:sz w:val="24"/>
          <w:highlight w:val="none"/>
        </w:rPr>
        <w:t>.</w:t>
      </w:r>
      <w:r>
        <w:rPr>
          <w:rFonts w:ascii="楷体_GB2312" w:hAnsi="宋体" w:eastAsia="楷体_GB2312"/>
          <w:color w:val="000000"/>
          <w:sz w:val="24"/>
          <w:highlight w:val="none"/>
        </w:rPr>
        <w:t>信息披露渠道</w:t>
      </w:r>
    </w:p>
    <w:p>
      <w:pPr>
        <w:ind w:firstLine="480" w:firstLineChars="200"/>
        <w:rPr>
          <w:rFonts w:ascii="楷体_GB2312" w:hAnsi="宋体" w:eastAsia="楷体_GB2312"/>
          <w:color w:val="000000"/>
          <w:sz w:val="24"/>
          <w:highlight w:val="none"/>
        </w:rPr>
      </w:pPr>
      <w:r>
        <w:rPr>
          <w:rFonts w:hint="eastAsia" w:ascii="楷体_GB2312" w:hAnsi="宋体" w:eastAsia="楷体_GB2312"/>
          <w:color w:val="000000"/>
          <w:sz w:val="24"/>
          <w:highlight w:val="none"/>
          <w:lang w:eastAsia="zh-CN"/>
        </w:rPr>
        <w:t>本理财产品</w:t>
      </w:r>
      <w:r>
        <w:rPr>
          <w:rFonts w:ascii="楷体_GB2312" w:hAnsi="宋体" w:eastAsia="楷体_GB2312"/>
          <w:color w:val="000000"/>
          <w:sz w:val="24"/>
          <w:highlight w:val="none"/>
        </w:rPr>
        <w:t>的信息披露渠道为代销机构</w:t>
      </w:r>
      <w:r>
        <w:rPr>
          <w:rFonts w:hint="eastAsia" w:ascii="楷体_GB2312" w:hAnsi="宋体" w:eastAsia="楷体_GB2312"/>
          <w:color w:val="000000"/>
          <w:sz w:val="24"/>
          <w:highlight w:val="none"/>
          <w:lang w:val="en-US" w:eastAsia="zh-CN"/>
        </w:rPr>
        <w:t>电子渠道</w:t>
      </w:r>
      <w:r>
        <w:rPr>
          <w:rFonts w:hint="eastAsia" w:ascii="楷体_GB2312" w:hAnsi="宋体" w:eastAsia="楷体_GB2312"/>
          <w:color w:val="000000"/>
          <w:sz w:val="24"/>
          <w:highlight w:val="none"/>
          <w:lang w:eastAsia="zh-CN"/>
        </w:rPr>
        <w:t>、</w:t>
      </w:r>
      <w:r>
        <w:rPr>
          <w:rFonts w:hint="default" w:ascii="楷体_GB2312" w:hAnsi="宋体" w:eastAsia="楷体_GB2312" w:cs="Times New Roman"/>
          <w:color w:val="000000"/>
          <w:kern w:val="2"/>
          <w:sz w:val="24"/>
          <w:szCs w:val="24"/>
          <w:highlight w:val="none"/>
        </w:rPr>
        <w:t>北银理财有限责任公司官</w:t>
      </w:r>
      <w:r>
        <w:rPr>
          <w:rFonts w:hint="default" w:ascii="楷体_GB2312" w:hAnsi="宋体" w:eastAsia="楷体_GB2312" w:cs="Times New Roman"/>
          <w:color w:val="000000"/>
          <w:kern w:val="2"/>
          <w:sz w:val="24"/>
          <w:szCs w:val="24"/>
          <w:highlight w:val="none"/>
          <w:lang w:val="en-US" w:eastAsia="zh-CN"/>
        </w:rPr>
        <w:t>方</w:t>
      </w:r>
      <w:r>
        <w:rPr>
          <w:rFonts w:hint="default" w:ascii="楷体_GB2312" w:hAnsi="宋体" w:eastAsia="楷体_GB2312" w:cs="Times New Roman"/>
          <w:color w:val="000000"/>
          <w:kern w:val="2"/>
          <w:sz w:val="24"/>
          <w:szCs w:val="24"/>
          <w:highlight w:val="none"/>
        </w:rPr>
        <w:t>网站</w:t>
      </w:r>
      <w:r>
        <w:rPr>
          <w:rFonts w:hint="eastAsia" w:ascii="楷体_GB2312" w:hAnsi="宋体" w:eastAsia="楷体_GB2312"/>
          <w:color w:val="000000"/>
          <w:sz w:val="24"/>
          <w:highlight w:val="none"/>
          <w:lang w:val="en-US" w:eastAsia="zh-CN"/>
        </w:rPr>
        <w:t>或监管机构认可的其他公开渠道</w:t>
      </w:r>
      <w:r>
        <w:rPr>
          <w:rFonts w:ascii="楷体_GB2312" w:hAnsi="宋体" w:eastAsia="楷体_GB2312"/>
          <w:color w:val="000000"/>
          <w:sz w:val="24"/>
          <w:highlight w:val="none"/>
        </w:rPr>
        <w:t>，投资者可通过上述渠道查询</w:t>
      </w:r>
      <w:r>
        <w:rPr>
          <w:rFonts w:hint="eastAsia" w:ascii="楷体_GB2312" w:hAnsi="宋体" w:eastAsia="楷体_GB2312"/>
          <w:color w:val="000000"/>
          <w:sz w:val="24"/>
          <w:highlight w:val="none"/>
          <w:lang w:eastAsia="zh-CN"/>
        </w:rPr>
        <w:t>本理财</w:t>
      </w:r>
      <w:r>
        <w:rPr>
          <w:rFonts w:ascii="楷体_GB2312" w:hAnsi="宋体" w:eastAsia="楷体_GB2312"/>
          <w:color w:val="000000"/>
          <w:sz w:val="24"/>
          <w:highlight w:val="none"/>
        </w:rPr>
        <w:t>产品相关信息</w:t>
      </w:r>
      <w:bookmarkStart w:id="5" w:name="_Hlk146059341"/>
      <w:r>
        <w:rPr>
          <w:rFonts w:hint="eastAsia" w:ascii="楷体_GB2312" w:hAnsi="宋体" w:eastAsia="楷体_GB2312"/>
          <w:color w:val="000000"/>
          <w:sz w:val="24"/>
          <w:highlight w:val="none"/>
        </w:rPr>
        <w:t>，在保障投资者知情权的前提下，</w:t>
      </w:r>
      <w:r>
        <w:rPr>
          <w:rFonts w:hint="eastAsia" w:ascii="楷体_GB2312" w:hAnsi="宋体" w:eastAsia="楷体_GB2312"/>
          <w:color w:val="000000"/>
          <w:sz w:val="24"/>
          <w:highlight w:val="none"/>
          <w:lang w:eastAsia="zh-CN"/>
        </w:rPr>
        <w:t>产品管理人</w:t>
      </w:r>
      <w:r>
        <w:rPr>
          <w:rFonts w:hint="eastAsia" w:ascii="楷体_GB2312" w:hAnsi="宋体" w:eastAsia="楷体_GB2312"/>
          <w:color w:val="000000"/>
          <w:sz w:val="24"/>
          <w:highlight w:val="none"/>
        </w:rPr>
        <w:t>保留变更信息披露渠道的权利</w:t>
      </w:r>
      <w:bookmarkEnd w:id="5"/>
      <w:r>
        <w:rPr>
          <w:rFonts w:ascii="楷体_GB2312" w:hAnsi="宋体" w:eastAsia="楷体_GB2312"/>
          <w:color w:val="000000"/>
          <w:sz w:val="24"/>
          <w:highlight w:val="none"/>
        </w:rPr>
        <w:t>。相关信息自公告之日即视为已送达投资者</w:t>
      </w:r>
      <w:bookmarkStart w:id="6" w:name="_Hlk146059345"/>
      <w:r>
        <w:rPr>
          <w:rFonts w:hint="eastAsia" w:ascii="楷体_GB2312" w:hAnsi="宋体" w:eastAsia="楷体_GB2312"/>
          <w:color w:val="000000"/>
          <w:sz w:val="24"/>
          <w:highlight w:val="none"/>
        </w:rPr>
        <w:t>且</w:t>
      </w:r>
      <w:r>
        <w:rPr>
          <w:rFonts w:hint="eastAsia" w:ascii="楷体_GB2312" w:hAnsi="宋体" w:eastAsia="楷体_GB2312"/>
          <w:color w:val="000000"/>
          <w:sz w:val="24"/>
          <w:highlight w:val="none"/>
          <w:lang w:eastAsia="zh-CN"/>
        </w:rPr>
        <w:t>产品管理人</w:t>
      </w:r>
      <w:r>
        <w:rPr>
          <w:rFonts w:hint="eastAsia" w:ascii="楷体_GB2312" w:hAnsi="宋体" w:eastAsia="楷体_GB2312"/>
          <w:color w:val="000000"/>
          <w:sz w:val="24"/>
          <w:highlight w:val="none"/>
        </w:rPr>
        <w:t>已适当履行其信息披露义务</w:t>
      </w:r>
      <w:bookmarkEnd w:id="6"/>
      <w:r>
        <w:rPr>
          <w:rFonts w:ascii="楷体_GB2312" w:hAnsi="宋体" w:eastAsia="楷体_GB2312"/>
          <w:color w:val="000000"/>
          <w:sz w:val="24"/>
          <w:highlight w:val="none"/>
        </w:rPr>
        <w:t>。</w:t>
      </w:r>
      <w:r>
        <w:rPr>
          <w:rFonts w:ascii="楷体_GB2312" w:hAnsi="宋体" w:eastAsia="楷体_GB2312"/>
          <w:b/>
          <w:bCs/>
          <w:color w:val="000000"/>
          <w:sz w:val="24"/>
          <w:highlight w:val="none"/>
        </w:rPr>
        <w:t>如投资者未适时查询，或由于通讯故障、系统故障以及其他不可抗力等因素的影响使得投资者无法了解</w:t>
      </w:r>
      <w:r>
        <w:rPr>
          <w:rFonts w:hint="eastAsia" w:ascii="楷体_GB2312" w:hAnsi="宋体" w:eastAsia="楷体_GB2312"/>
          <w:b/>
          <w:bCs/>
          <w:color w:val="000000"/>
          <w:sz w:val="24"/>
          <w:highlight w:val="none"/>
          <w:lang w:eastAsia="zh-CN"/>
        </w:rPr>
        <w:t>本理财</w:t>
      </w:r>
      <w:r>
        <w:rPr>
          <w:rFonts w:ascii="楷体_GB2312" w:hAnsi="宋体" w:eastAsia="楷体_GB2312"/>
          <w:b/>
          <w:bCs/>
          <w:color w:val="000000"/>
          <w:sz w:val="24"/>
          <w:highlight w:val="none"/>
        </w:rPr>
        <w:t>产品信息，并由此影响投资者的投资决策，因此而产生责任和风险由投资者自行承担。</w:t>
      </w:r>
    </w:p>
    <w:p>
      <w:pPr>
        <w:ind w:firstLine="480" w:firstLineChars="200"/>
        <w:rPr>
          <w:rStyle w:val="21"/>
          <w:b/>
          <w:bCs/>
          <w:highlight w:val="none"/>
        </w:rPr>
      </w:pPr>
      <w:r>
        <w:rPr>
          <w:rFonts w:hint="eastAsia" w:ascii="楷体_GB2312" w:hAnsi="宋体" w:eastAsia="楷体_GB2312"/>
          <w:color w:val="000000"/>
          <w:sz w:val="24"/>
          <w:highlight w:val="none"/>
        </w:rPr>
        <w:t>★</w:t>
      </w:r>
      <w:r>
        <w:rPr>
          <w:rFonts w:hint="default" w:ascii="楷体_GB2312" w:hAnsi="宋体" w:eastAsia="楷体_GB2312"/>
          <w:color w:val="000000"/>
          <w:sz w:val="24"/>
          <w:highlight w:val="none"/>
          <w:lang w:val="en-US"/>
        </w:rPr>
        <w:t>4</w:t>
      </w:r>
      <w:r>
        <w:rPr>
          <w:rFonts w:hint="eastAsia" w:ascii="楷体_GB2312" w:hAnsi="宋体" w:eastAsia="楷体_GB2312"/>
          <w:color w:val="000000"/>
          <w:sz w:val="24"/>
          <w:highlight w:val="none"/>
        </w:rPr>
        <w:t>.</w:t>
      </w:r>
      <w:r>
        <w:rPr>
          <w:rFonts w:hint="eastAsia" w:ascii="楷体_GB2312" w:hAnsi="宋体" w:eastAsia="楷体_GB2312"/>
          <w:color w:val="000000"/>
          <w:sz w:val="24"/>
          <w:highlight w:val="none"/>
          <w:lang w:val="en-US" w:eastAsia="zh-CN"/>
        </w:rPr>
        <w:t>本</w:t>
      </w:r>
      <w:r>
        <w:rPr>
          <w:rFonts w:ascii="楷体_GB2312" w:hAnsi="宋体" w:eastAsia="楷体_GB2312"/>
          <w:color w:val="000000"/>
          <w:sz w:val="24"/>
          <w:highlight w:val="none"/>
        </w:rPr>
        <w:t>理财产品存续期间，产品管理人若根据市场情况需调整投资范围、投资资产种类或投资比例的或需对已约定的收费项目、条件、标准和方式进行调整的，在不违反法律、法规、规章和监管规定的强制性规范的前提下，有权提前进行重大事项公告（高风险类型的理财产品超出比例范围投资较低风险资产的情况除外）。此种情况下产品管理人将开放赎回，具体以重大事项公告为准。</w:t>
      </w:r>
      <w:r>
        <w:rPr>
          <w:rFonts w:hint="eastAsia" w:ascii="楷体_GB2312" w:hAnsi="宋体" w:eastAsia="楷体_GB2312" w:cs="Times New Roman"/>
          <w:b/>
          <w:bCs/>
          <w:color w:val="000000"/>
          <w:sz w:val="24"/>
          <w:highlight w:val="none"/>
          <w:lang w:val="en-US" w:eastAsia="zh-CN"/>
        </w:rPr>
        <w:t>如</w:t>
      </w:r>
      <w:r>
        <w:rPr>
          <w:rFonts w:hint="eastAsia" w:ascii="楷体_GB2312" w:hAnsi="宋体" w:eastAsia="楷体_GB2312" w:cs="Times New Roman"/>
          <w:b/>
          <w:bCs/>
          <w:color w:val="000000"/>
          <w:sz w:val="24"/>
          <w:highlight w:val="none"/>
        </w:rPr>
        <w:t>投资者未</w:t>
      </w:r>
      <w:r>
        <w:rPr>
          <w:rFonts w:hint="eastAsia" w:ascii="楷体_GB2312" w:hAnsi="宋体" w:eastAsia="楷体_GB2312" w:cs="Times New Roman"/>
          <w:b/>
          <w:bCs/>
          <w:color w:val="000000"/>
          <w:sz w:val="24"/>
          <w:highlight w:val="none"/>
          <w:lang w:val="en-US" w:eastAsia="zh-CN"/>
        </w:rPr>
        <w:t>按照</w:t>
      </w:r>
      <w:r>
        <w:rPr>
          <w:rFonts w:hint="eastAsia" w:ascii="楷体_GB2312" w:hAnsi="宋体" w:eastAsia="楷体_GB2312" w:cs="Times New Roman"/>
          <w:b/>
          <w:bCs/>
          <w:color w:val="000000"/>
          <w:sz w:val="24"/>
          <w:highlight w:val="none"/>
        </w:rPr>
        <w:t>公告进行赎回操作的，视为投资者同意接受该等调整并按其执行。</w:t>
      </w:r>
    </w:p>
    <w:p>
      <w:pPr>
        <w:ind w:firstLine="480" w:firstLineChars="200"/>
        <w:rPr>
          <w:rFonts w:ascii="楷体_GB2312" w:hAnsi="宋体" w:eastAsia="楷体_GB2312"/>
          <w:color w:val="000000"/>
          <w:sz w:val="24"/>
          <w:highlight w:val="none"/>
        </w:rPr>
      </w:pPr>
      <w:r>
        <w:rPr>
          <w:rFonts w:hint="eastAsia" w:ascii="楷体_GB2312" w:hAnsi="宋体" w:eastAsia="楷体_GB2312"/>
          <w:color w:val="000000"/>
          <w:sz w:val="24"/>
          <w:highlight w:val="none"/>
        </w:rPr>
        <w:t>★</w:t>
      </w:r>
      <w:r>
        <w:rPr>
          <w:rFonts w:hint="default" w:ascii="楷体_GB2312" w:hAnsi="宋体" w:eastAsia="楷体_GB2312"/>
          <w:color w:val="000000"/>
          <w:sz w:val="24"/>
          <w:highlight w:val="none"/>
          <w:lang w:val="en-US"/>
        </w:rPr>
        <w:t>5</w:t>
      </w:r>
      <w:r>
        <w:rPr>
          <w:rFonts w:hint="eastAsia" w:ascii="楷体_GB2312" w:hAnsi="宋体" w:eastAsia="楷体_GB2312"/>
          <w:color w:val="000000"/>
          <w:sz w:val="24"/>
          <w:highlight w:val="none"/>
        </w:rPr>
        <w:t>.</w:t>
      </w:r>
      <w:r>
        <w:rPr>
          <w:rFonts w:hint="eastAsia" w:ascii="楷体_GB2312" w:hAnsi="宋体" w:eastAsia="楷体_GB2312"/>
          <w:color w:val="000000"/>
          <w:sz w:val="24"/>
          <w:highlight w:val="none"/>
          <w:lang w:val="en-US" w:eastAsia="zh-CN"/>
        </w:rPr>
        <w:t>本</w:t>
      </w:r>
      <w:r>
        <w:rPr>
          <w:rFonts w:hint="eastAsia" w:ascii="楷体_GB2312" w:hAnsi="宋体" w:eastAsia="楷体_GB2312"/>
          <w:color w:val="000000"/>
          <w:sz w:val="24"/>
          <w:highlight w:val="none"/>
        </w:rPr>
        <w:t>理财产品存续期间，若因国家法律法规、监管规定发生变化，或出于维持本理财产品正常运营的需要，在不损害投资者利益的前提下，</w:t>
      </w:r>
      <w:r>
        <w:rPr>
          <w:rFonts w:hint="eastAsia" w:ascii="楷体_GB2312" w:hAnsi="宋体" w:eastAsia="楷体_GB2312"/>
          <w:color w:val="000000"/>
          <w:sz w:val="24"/>
          <w:highlight w:val="none"/>
          <w:lang w:eastAsia="zh-CN"/>
        </w:rPr>
        <w:t>产品管理人</w:t>
      </w:r>
      <w:r>
        <w:rPr>
          <w:rFonts w:hint="eastAsia" w:ascii="楷体_GB2312" w:hAnsi="宋体" w:eastAsia="楷体_GB2312"/>
          <w:color w:val="000000"/>
          <w:sz w:val="24"/>
          <w:highlight w:val="none"/>
        </w:rPr>
        <w:t>有权单方面对</w:t>
      </w:r>
      <w:r>
        <w:rPr>
          <w:rFonts w:hint="eastAsia" w:ascii="楷体_GB2312" w:hAnsi="宋体" w:eastAsia="楷体_GB2312"/>
          <w:color w:val="000000"/>
          <w:sz w:val="24"/>
          <w:highlight w:val="none"/>
          <w:lang w:eastAsia="zh-CN"/>
        </w:rPr>
        <w:t>本</w:t>
      </w:r>
      <w:r>
        <w:rPr>
          <w:rFonts w:hint="eastAsia" w:ascii="楷体_GB2312" w:hAnsi="宋体" w:eastAsia="楷体_GB2312"/>
          <w:color w:val="000000"/>
          <w:sz w:val="24"/>
          <w:highlight w:val="none"/>
        </w:rPr>
        <w:t>理财产品销售文件进行修订，并提前</w:t>
      </w:r>
      <w:r>
        <w:rPr>
          <w:rFonts w:hint="default" w:ascii="楷体_GB2312" w:hAnsi="宋体" w:eastAsia="楷体_GB2312"/>
          <w:color w:val="000000"/>
          <w:sz w:val="24"/>
          <w:highlight w:val="none"/>
          <w:lang w:val="en-US"/>
        </w:rPr>
        <w:t>1</w:t>
      </w:r>
      <w:r>
        <w:rPr>
          <w:rFonts w:hint="eastAsia" w:ascii="楷体_GB2312" w:hAnsi="宋体" w:eastAsia="楷体_GB2312"/>
          <w:color w:val="000000"/>
          <w:sz w:val="24"/>
          <w:highlight w:val="none"/>
          <w:lang w:val="en-US" w:eastAsia="zh-CN"/>
        </w:rPr>
        <w:t>个工作日</w:t>
      </w:r>
      <w:r>
        <w:rPr>
          <w:rFonts w:hint="eastAsia" w:ascii="楷体_GB2312" w:hAnsi="宋体" w:eastAsia="楷体_GB2312"/>
          <w:color w:val="000000"/>
          <w:sz w:val="24"/>
          <w:highlight w:val="none"/>
        </w:rPr>
        <w:t>进行公告。投资者在此同意修订后的理财产品销售文件对投资者具有法律约束力。</w:t>
      </w:r>
    </w:p>
    <w:p>
      <w:pPr>
        <w:ind w:firstLine="480" w:firstLineChars="200"/>
        <w:rPr>
          <w:rFonts w:ascii="楷体_GB2312" w:hAnsi="宋体" w:eastAsia="楷体_GB2312"/>
          <w:color w:val="000000"/>
          <w:sz w:val="24"/>
          <w:highlight w:val="none"/>
        </w:rPr>
      </w:pPr>
      <w:r>
        <w:rPr>
          <w:rFonts w:hint="eastAsia" w:ascii="楷体_GB2312" w:hAnsi="宋体" w:eastAsia="楷体_GB2312"/>
          <w:color w:val="000000"/>
          <w:sz w:val="24"/>
          <w:highlight w:val="none"/>
        </w:rPr>
        <w:t>★（二）对于在本理财产品销售文件签订和履行过程中获取和知悉的投资者的未公开信息和资料，</w:t>
      </w:r>
      <w:r>
        <w:rPr>
          <w:rFonts w:hint="eastAsia" w:ascii="楷体_GB2312" w:hAnsi="宋体" w:eastAsia="楷体_GB2312"/>
          <w:color w:val="000000"/>
          <w:sz w:val="24"/>
          <w:highlight w:val="none"/>
          <w:lang w:eastAsia="zh-CN"/>
        </w:rPr>
        <w:t>产品管理人</w:t>
      </w:r>
      <w:r>
        <w:rPr>
          <w:rFonts w:hint="eastAsia" w:ascii="楷体_GB2312" w:hAnsi="宋体" w:eastAsia="楷体_GB2312"/>
          <w:color w:val="000000"/>
          <w:sz w:val="24"/>
          <w:highlight w:val="none"/>
        </w:rPr>
        <w:t>对上述信息和资料的使用不得违反法律法规和监管要求，并依法承担保密责任，不得向第三方披露该等信息和资料，但下列情形除外：</w:t>
      </w:r>
    </w:p>
    <w:p>
      <w:pPr>
        <w:ind w:firstLine="480" w:firstLineChars="200"/>
        <w:rPr>
          <w:rFonts w:ascii="楷体_GB2312" w:hAnsi="宋体" w:eastAsia="楷体_GB2312"/>
          <w:color w:val="000000"/>
          <w:sz w:val="24"/>
          <w:highlight w:val="none"/>
        </w:rPr>
      </w:pPr>
      <w:r>
        <w:rPr>
          <w:rFonts w:hint="eastAsia" w:ascii="楷体_GB2312" w:hAnsi="宋体" w:eastAsia="楷体_GB2312"/>
          <w:color w:val="000000"/>
          <w:sz w:val="24"/>
          <w:highlight w:val="none"/>
        </w:rPr>
        <w:t>1.适用的法律法规要求披露的。</w:t>
      </w:r>
      <w:r>
        <w:rPr>
          <w:rFonts w:ascii="楷体_GB2312" w:hAnsi="宋体" w:eastAsia="楷体_GB2312"/>
          <w:color w:val="000000"/>
          <w:sz w:val="24"/>
          <w:highlight w:val="none"/>
        </w:rPr>
        <w:t xml:space="preserve"> </w:t>
      </w:r>
    </w:p>
    <w:p>
      <w:pPr>
        <w:ind w:firstLine="480" w:firstLineChars="200"/>
        <w:rPr>
          <w:rFonts w:ascii="楷体_GB2312" w:hAnsi="宋体" w:eastAsia="楷体_GB2312"/>
          <w:color w:val="000000"/>
          <w:sz w:val="24"/>
          <w:highlight w:val="none"/>
        </w:rPr>
      </w:pPr>
      <w:r>
        <w:rPr>
          <w:rFonts w:hint="eastAsia" w:ascii="楷体_GB2312" w:hAnsi="宋体" w:eastAsia="楷体_GB2312"/>
          <w:color w:val="000000"/>
          <w:sz w:val="24"/>
          <w:highlight w:val="none"/>
        </w:rPr>
        <w:t>2.司法部门、监管机构等依法要求披露及报送的。</w:t>
      </w:r>
      <w:r>
        <w:rPr>
          <w:rFonts w:ascii="楷体_GB2312" w:hAnsi="宋体" w:eastAsia="楷体_GB2312"/>
          <w:color w:val="000000"/>
          <w:sz w:val="24"/>
          <w:highlight w:val="none"/>
        </w:rPr>
        <w:t xml:space="preserve"> </w:t>
      </w:r>
    </w:p>
    <w:p>
      <w:pPr>
        <w:ind w:firstLine="480" w:firstLineChars="200"/>
        <w:rPr>
          <w:rFonts w:ascii="楷体_GB2312" w:hAnsi="宋体" w:eastAsia="楷体_GB2312"/>
          <w:color w:val="000000"/>
          <w:sz w:val="24"/>
          <w:highlight w:val="none"/>
        </w:rPr>
      </w:pPr>
      <w:r>
        <w:rPr>
          <w:rFonts w:hint="eastAsia" w:ascii="楷体_GB2312" w:hAnsi="宋体" w:eastAsia="楷体_GB2312"/>
          <w:color w:val="000000"/>
          <w:sz w:val="24"/>
          <w:highlight w:val="none"/>
        </w:rPr>
        <w:t>3.</w:t>
      </w:r>
      <w:r>
        <w:rPr>
          <w:rFonts w:hint="eastAsia" w:ascii="楷体_GB2312" w:hAnsi="宋体" w:eastAsia="楷体_GB2312"/>
          <w:color w:val="000000"/>
          <w:sz w:val="24"/>
          <w:highlight w:val="none"/>
          <w:lang w:eastAsia="zh-CN"/>
        </w:rPr>
        <w:t>产品管理人</w:t>
      </w:r>
      <w:r>
        <w:rPr>
          <w:rFonts w:hint="eastAsia" w:ascii="楷体_GB2312" w:hAnsi="宋体" w:eastAsia="楷体_GB2312"/>
          <w:color w:val="000000"/>
          <w:sz w:val="24"/>
          <w:highlight w:val="none"/>
        </w:rPr>
        <w:t>为履行本理财产品销售文件义务及行使</w:t>
      </w:r>
      <w:r>
        <w:rPr>
          <w:rFonts w:hint="eastAsia" w:ascii="楷体_GB2312" w:hAnsi="宋体" w:eastAsia="楷体_GB2312"/>
          <w:color w:val="000000"/>
          <w:sz w:val="24"/>
          <w:highlight w:val="none"/>
          <w:lang w:eastAsia="zh-CN"/>
        </w:rPr>
        <w:t>本</w:t>
      </w:r>
      <w:r>
        <w:rPr>
          <w:rFonts w:hint="eastAsia" w:ascii="楷体_GB2312" w:hAnsi="宋体" w:eastAsia="楷体_GB2312"/>
          <w:color w:val="000000"/>
          <w:sz w:val="24"/>
          <w:highlight w:val="none"/>
        </w:rPr>
        <w:t>理财产品销售文件项下权利需向外部专业顾问或理财投资合作机构披露或允许外部专业顾问或理财投资合作机构在保密的基础上使用的。</w:t>
      </w:r>
    </w:p>
    <w:p>
      <w:pPr>
        <w:ind w:firstLine="480" w:firstLineChars="200"/>
        <w:rPr>
          <w:rFonts w:ascii="楷体_GB2312" w:hAnsi="宋体" w:eastAsia="楷体_GB2312"/>
          <w:color w:val="000000"/>
          <w:sz w:val="24"/>
          <w:highlight w:val="none"/>
        </w:rPr>
      </w:pPr>
      <w:r>
        <w:rPr>
          <w:rFonts w:hint="eastAsia" w:ascii="楷体_GB2312" w:hAnsi="宋体" w:eastAsia="楷体_GB2312"/>
          <w:color w:val="000000"/>
          <w:sz w:val="24"/>
          <w:highlight w:val="none"/>
        </w:rPr>
        <w:t>4.投资者另行明确同意或授权</w:t>
      </w:r>
      <w:r>
        <w:rPr>
          <w:rFonts w:hint="eastAsia" w:ascii="楷体_GB2312" w:hAnsi="宋体" w:eastAsia="楷体_GB2312"/>
          <w:color w:val="000000"/>
          <w:sz w:val="24"/>
          <w:highlight w:val="none"/>
          <w:lang w:eastAsia="zh-CN"/>
        </w:rPr>
        <w:t>产品管理人</w:t>
      </w:r>
      <w:r>
        <w:rPr>
          <w:rFonts w:hint="eastAsia" w:ascii="楷体_GB2312" w:hAnsi="宋体" w:eastAsia="楷体_GB2312"/>
          <w:color w:val="000000"/>
          <w:sz w:val="24"/>
          <w:highlight w:val="none"/>
        </w:rPr>
        <w:t>进行披露的。</w:t>
      </w:r>
    </w:p>
    <w:p>
      <w:pPr>
        <w:ind w:firstLine="480" w:firstLineChars="200"/>
        <w:rPr>
          <w:rFonts w:ascii="楷体_GB2312" w:hAnsi="宋体" w:eastAsia="楷体_GB2312"/>
          <w:color w:val="000000"/>
          <w:sz w:val="24"/>
          <w:highlight w:val="none"/>
        </w:rPr>
      </w:pPr>
      <w:r>
        <w:rPr>
          <w:rFonts w:hint="eastAsia" w:ascii="楷体_GB2312" w:hAnsi="宋体" w:eastAsia="楷体_GB2312"/>
          <w:color w:val="000000"/>
          <w:sz w:val="24"/>
          <w:highlight w:val="none"/>
        </w:rPr>
        <w:t>投资者知晓并同意：</w:t>
      </w:r>
      <w:r>
        <w:rPr>
          <w:rFonts w:hint="eastAsia" w:ascii="楷体_GB2312" w:hAnsi="宋体" w:eastAsia="楷体_GB2312"/>
          <w:color w:val="000000"/>
          <w:sz w:val="24"/>
          <w:highlight w:val="none"/>
          <w:lang w:eastAsia="zh-CN"/>
        </w:rPr>
        <w:t>产品管理人</w:t>
      </w:r>
      <w:r>
        <w:rPr>
          <w:rFonts w:hint="eastAsia" w:ascii="楷体_GB2312" w:hAnsi="宋体" w:eastAsia="楷体_GB2312"/>
          <w:color w:val="000000"/>
          <w:sz w:val="24"/>
          <w:highlight w:val="none"/>
        </w:rPr>
        <w:t>根据适用的法律法规、监管规定对投资者及</w:t>
      </w:r>
      <w:r>
        <w:rPr>
          <w:rFonts w:hint="eastAsia" w:ascii="楷体_GB2312" w:hAnsi="宋体" w:eastAsia="楷体_GB2312"/>
          <w:color w:val="000000"/>
          <w:sz w:val="24"/>
          <w:highlight w:val="none"/>
          <w:lang w:val="en-US" w:eastAsia="zh-CN"/>
        </w:rPr>
        <w:t>其</w:t>
      </w:r>
      <w:r>
        <w:rPr>
          <w:rFonts w:hint="eastAsia" w:ascii="楷体_GB2312" w:hAnsi="宋体" w:eastAsia="楷体_GB2312"/>
          <w:color w:val="000000"/>
          <w:sz w:val="24"/>
          <w:highlight w:val="none"/>
        </w:rPr>
        <w:t>持有</w:t>
      </w:r>
      <w:r>
        <w:rPr>
          <w:rFonts w:hint="eastAsia" w:ascii="楷体_GB2312" w:hAnsi="宋体" w:eastAsia="楷体_GB2312"/>
          <w:color w:val="000000"/>
          <w:sz w:val="24"/>
          <w:highlight w:val="none"/>
          <w:lang w:val="en-US" w:eastAsia="zh-CN"/>
        </w:rPr>
        <w:t>本</w:t>
      </w:r>
      <w:r>
        <w:rPr>
          <w:rFonts w:hint="eastAsia" w:ascii="楷体_GB2312" w:hAnsi="宋体" w:eastAsia="楷体_GB2312"/>
          <w:color w:val="000000"/>
          <w:sz w:val="24"/>
          <w:highlight w:val="none"/>
        </w:rPr>
        <w:t>理财产品的相关信息进行登记，并传输给银行业理财登记托管中心。</w:t>
      </w:r>
    </w:p>
    <w:p>
      <w:pPr>
        <w:ind w:firstLine="482" w:firstLineChars="200"/>
        <w:rPr>
          <w:rFonts w:ascii="楷体_GB2312" w:hAnsi="宋体" w:eastAsia="楷体_GB2312"/>
          <w:b/>
          <w:color w:val="000000"/>
          <w:sz w:val="24"/>
        </w:rPr>
      </w:pPr>
      <w:r>
        <w:rPr>
          <w:rFonts w:hint="eastAsia" w:ascii="楷体_GB2312" w:hAnsi="宋体" w:eastAsia="楷体_GB2312"/>
          <w:b/>
          <w:color w:val="000000"/>
          <w:sz w:val="24"/>
        </w:rPr>
        <w:t>十二、相关机构的概况</w:t>
      </w:r>
    </w:p>
    <w:p>
      <w:pPr>
        <w:ind w:firstLine="480" w:firstLineChars="200"/>
        <w:rPr>
          <w:rFonts w:ascii="楷体_GB2312" w:hAnsi="宋体" w:eastAsia="楷体_GB2312"/>
          <w:color w:val="000000"/>
          <w:sz w:val="24"/>
        </w:rPr>
      </w:pPr>
      <w:r>
        <w:rPr>
          <w:rFonts w:ascii="楷体_GB2312" w:hAnsi="宋体" w:eastAsia="楷体_GB2312"/>
          <w:color w:val="000000"/>
          <w:sz w:val="24"/>
        </w:rPr>
        <w:t>（一）</w:t>
      </w:r>
      <w:r>
        <w:rPr>
          <w:rFonts w:hint="eastAsia" w:ascii="楷体_GB2312" w:hAnsi="宋体" w:eastAsia="楷体_GB2312"/>
          <w:color w:val="000000"/>
          <w:sz w:val="24"/>
        </w:rPr>
        <w:t>产品托管机构的基本信息和主要职责</w:t>
      </w:r>
    </w:p>
    <w:p>
      <w:pPr>
        <w:ind w:firstLine="480" w:firstLineChars="200"/>
        <w:rPr>
          <w:rFonts w:ascii="楷体_GB2312" w:hAnsi="宋体" w:eastAsia="楷体_GB2312"/>
          <w:color w:val="000000"/>
          <w:sz w:val="24"/>
        </w:rPr>
      </w:pPr>
      <w:r>
        <w:rPr>
          <w:rFonts w:hint="eastAsia" w:ascii="楷体_GB2312" w:hAnsi="宋体" w:eastAsia="楷体_GB2312"/>
          <w:color w:val="000000"/>
          <w:sz w:val="24"/>
        </w:rPr>
        <w:t>1.</w:t>
      </w:r>
      <w:r>
        <w:rPr>
          <w:rFonts w:hint="eastAsia" w:ascii="楷体_GB2312" w:hAnsi="宋体" w:eastAsia="楷体_GB2312"/>
          <w:color w:val="000000"/>
          <w:sz w:val="24"/>
          <w:lang w:val="en-US" w:eastAsia="zh-CN"/>
        </w:rPr>
        <w:t>产品</w:t>
      </w:r>
      <w:r>
        <w:rPr>
          <w:rFonts w:ascii="楷体_GB2312" w:hAnsi="宋体" w:eastAsia="楷体_GB2312"/>
          <w:color w:val="000000"/>
          <w:sz w:val="24"/>
        </w:rPr>
        <w:t>托管人基本信息</w:t>
      </w:r>
    </w:p>
    <w:p>
      <w:pPr>
        <w:ind w:firstLine="480" w:firstLineChars="200"/>
        <w:rPr>
          <w:rFonts w:ascii="楷体_GB2312" w:hAnsi="宋体" w:eastAsia="楷体_GB2312"/>
          <w:color w:val="000000"/>
          <w:sz w:val="24"/>
          <w:highlight w:val="none"/>
        </w:rPr>
      </w:pPr>
      <w:r>
        <w:rPr>
          <w:rFonts w:hint="eastAsia" w:ascii="楷体_GB2312" w:hAnsi="宋体" w:eastAsia="楷体_GB2312"/>
          <w:color w:val="000000"/>
          <w:sz w:val="24"/>
          <w:highlight w:val="none"/>
          <w:lang w:val="en-US" w:eastAsia="zh-CN"/>
        </w:rPr>
        <w:t>产品</w:t>
      </w:r>
      <w:r>
        <w:rPr>
          <w:rFonts w:hint="eastAsia" w:ascii="楷体_GB2312" w:hAnsi="宋体" w:eastAsia="楷体_GB2312"/>
          <w:color w:val="000000"/>
          <w:sz w:val="24"/>
          <w:highlight w:val="none"/>
        </w:rPr>
        <w:t>托管</w:t>
      </w:r>
      <w:r>
        <w:rPr>
          <w:rFonts w:hint="eastAsia" w:ascii="楷体_GB2312" w:hAnsi="宋体" w:eastAsia="楷体_GB2312"/>
          <w:color w:val="000000"/>
          <w:sz w:val="24"/>
          <w:highlight w:val="none"/>
          <w:lang w:val="en-US" w:eastAsia="zh-CN"/>
        </w:rPr>
        <w:t>人</w:t>
      </w:r>
      <w:r>
        <w:rPr>
          <w:rFonts w:hint="eastAsia" w:ascii="楷体_GB2312" w:hAnsi="宋体" w:eastAsia="楷体_GB2312"/>
          <w:color w:val="000000"/>
          <w:sz w:val="24"/>
          <w:highlight w:val="none"/>
        </w:rPr>
        <w:t>名称：</w:t>
      </w:r>
      <w:r>
        <w:rPr>
          <w:rFonts w:hint="eastAsia" w:ascii="楷体_GB2312" w:hAnsi="宋体" w:eastAsia="楷体_GB2312"/>
          <w:color w:val="000000"/>
          <w:sz w:val="24"/>
        </w:rPr>
        <w:t>北京银行股份有限公司</w:t>
      </w:r>
    </w:p>
    <w:p>
      <w:pPr>
        <w:ind w:firstLine="480" w:firstLineChars="200"/>
        <w:rPr>
          <w:rFonts w:ascii="楷体_GB2312" w:hAnsi="宋体" w:eastAsia="楷体_GB2312"/>
          <w:color w:val="000000"/>
          <w:sz w:val="24"/>
          <w:highlight w:val="none"/>
        </w:rPr>
      </w:pPr>
      <w:r>
        <w:rPr>
          <w:rFonts w:hint="eastAsia" w:ascii="楷体_GB2312" w:hAnsi="宋体" w:eastAsia="楷体_GB2312"/>
          <w:color w:val="000000"/>
          <w:sz w:val="24"/>
          <w:highlight w:val="none"/>
        </w:rPr>
        <w:t>法定代表人：</w:t>
      </w:r>
      <w:r>
        <w:rPr>
          <w:rFonts w:hint="eastAsia" w:ascii="楷体_GB2312" w:hAnsi="宋体" w:eastAsia="楷体_GB2312"/>
          <w:color w:val="000000"/>
          <w:sz w:val="24"/>
        </w:rPr>
        <w:t>霍学文</w:t>
      </w:r>
    </w:p>
    <w:p>
      <w:pPr>
        <w:ind w:firstLine="480" w:firstLineChars="200"/>
        <w:rPr>
          <w:rFonts w:ascii="楷体_GB2312" w:hAnsi="宋体" w:eastAsia="楷体_GB2312"/>
          <w:color w:val="000000"/>
          <w:sz w:val="24"/>
          <w:highlight w:val="none"/>
        </w:rPr>
      </w:pPr>
      <w:r>
        <w:rPr>
          <w:rFonts w:hint="eastAsia" w:ascii="楷体_GB2312" w:hAnsi="宋体" w:eastAsia="楷体_GB2312"/>
          <w:color w:val="000000"/>
          <w:sz w:val="24"/>
          <w:highlight w:val="none"/>
        </w:rPr>
        <w:t>注册地址：</w:t>
      </w:r>
      <w:r>
        <w:rPr>
          <w:rFonts w:hint="eastAsia" w:ascii="楷体_GB2312" w:hAnsi="宋体" w:eastAsia="楷体_GB2312"/>
          <w:color w:val="000000"/>
          <w:sz w:val="24"/>
        </w:rPr>
        <w:t>北京市西城区金融大街甲</w:t>
      </w:r>
      <w:r>
        <w:rPr>
          <w:rFonts w:ascii="楷体_GB2312" w:hAnsi="宋体" w:eastAsia="楷体_GB2312"/>
          <w:color w:val="000000"/>
          <w:sz w:val="24"/>
        </w:rPr>
        <w:t>17</w:t>
      </w:r>
      <w:r>
        <w:rPr>
          <w:rFonts w:hint="eastAsia" w:ascii="楷体_GB2312" w:hAnsi="宋体" w:eastAsia="楷体_GB2312"/>
          <w:color w:val="000000"/>
          <w:sz w:val="24"/>
        </w:rPr>
        <w:t>号首层</w:t>
      </w:r>
    </w:p>
    <w:p>
      <w:pPr>
        <w:ind w:firstLine="480" w:firstLineChars="200"/>
        <w:rPr>
          <w:rFonts w:ascii="楷体_GB2312" w:hAnsi="宋体" w:eastAsia="楷体_GB2312"/>
          <w:color w:val="000000"/>
          <w:sz w:val="24"/>
          <w:highlight w:val="none"/>
        </w:rPr>
      </w:pPr>
      <w:r>
        <w:rPr>
          <w:rFonts w:hint="eastAsia" w:ascii="楷体_GB2312" w:hAnsi="宋体" w:eastAsia="楷体_GB2312"/>
          <w:color w:val="000000"/>
          <w:sz w:val="24"/>
          <w:highlight w:val="none"/>
        </w:rPr>
        <w:t>产品管理人在此特别披露：</w:t>
      </w:r>
      <w:r>
        <w:rPr>
          <w:rFonts w:hint="eastAsia" w:ascii="楷体_GB2312" w:hAnsi="宋体" w:eastAsia="楷体_GB2312"/>
          <w:color w:val="000000"/>
          <w:sz w:val="24"/>
          <w:highlight w:val="none"/>
          <w:lang w:val="en-US" w:eastAsia="zh-CN"/>
        </w:rPr>
        <w:t>产品托管人为产品管理人的关联方，产品管理人聘请其担任产品托管人已履行了现行法律法规和监管规定所规定必须履行的程序,产品管理人、投资者同意并接受本理财产品由产品托管人托管。</w:t>
      </w:r>
    </w:p>
    <w:p>
      <w:pPr>
        <w:ind w:firstLine="480" w:firstLineChars="200"/>
        <w:rPr>
          <w:rFonts w:ascii="楷体_GB2312" w:hAnsi="宋体" w:eastAsia="楷体_GB2312"/>
          <w:color w:val="000000"/>
          <w:sz w:val="24"/>
          <w:highlight w:val="none"/>
        </w:rPr>
      </w:pPr>
      <w:r>
        <w:rPr>
          <w:rFonts w:hint="eastAsia" w:ascii="楷体_GB2312" w:hAnsi="宋体" w:eastAsia="楷体_GB2312"/>
          <w:color w:val="000000"/>
          <w:sz w:val="24"/>
          <w:highlight w:val="none"/>
        </w:rPr>
        <w:t>2.</w:t>
      </w:r>
      <w:r>
        <w:rPr>
          <w:rFonts w:hint="eastAsia" w:ascii="楷体_GB2312" w:hAnsi="宋体" w:eastAsia="楷体_GB2312"/>
          <w:color w:val="000000"/>
          <w:sz w:val="24"/>
          <w:lang w:eastAsia="zh-CN"/>
        </w:rPr>
        <w:t>产品</w:t>
      </w:r>
      <w:r>
        <w:rPr>
          <w:rFonts w:hint="eastAsia" w:ascii="楷体_GB2312" w:hAnsi="宋体" w:eastAsia="楷体_GB2312"/>
          <w:color w:val="000000"/>
          <w:sz w:val="24"/>
          <w:highlight w:val="none"/>
        </w:rPr>
        <w:t>托管</w:t>
      </w:r>
      <w:r>
        <w:rPr>
          <w:rFonts w:hint="eastAsia" w:ascii="楷体_GB2312" w:hAnsi="宋体" w:eastAsia="楷体_GB2312"/>
          <w:color w:val="000000"/>
          <w:sz w:val="24"/>
          <w:highlight w:val="none"/>
          <w:lang w:val="en-US" w:eastAsia="zh-CN"/>
        </w:rPr>
        <w:t>人</w:t>
      </w:r>
      <w:r>
        <w:rPr>
          <w:rFonts w:hint="eastAsia" w:ascii="楷体_GB2312" w:hAnsi="宋体" w:eastAsia="楷体_GB2312"/>
          <w:color w:val="000000"/>
          <w:sz w:val="24"/>
          <w:highlight w:val="none"/>
        </w:rPr>
        <w:t>主要职责</w:t>
      </w:r>
    </w:p>
    <w:p>
      <w:pPr>
        <w:ind w:firstLine="480" w:firstLineChars="200"/>
        <w:rPr>
          <w:rFonts w:ascii="楷体_GB2312" w:hAnsi="宋体" w:eastAsia="楷体_GB2312"/>
          <w:color w:val="000000"/>
          <w:sz w:val="24"/>
          <w:highlight w:val="none"/>
        </w:rPr>
      </w:pPr>
      <w:r>
        <w:rPr>
          <w:rFonts w:hint="eastAsia" w:ascii="楷体_GB2312" w:hAnsi="宋体" w:eastAsia="楷体_GB2312"/>
          <w:color w:val="000000"/>
          <w:sz w:val="24"/>
          <w:highlight w:val="none"/>
        </w:rPr>
        <w:t>（</w:t>
      </w:r>
      <w:r>
        <w:rPr>
          <w:rFonts w:ascii="楷体_GB2312" w:hAnsi="宋体" w:eastAsia="楷体_GB2312"/>
          <w:color w:val="000000"/>
          <w:sz w:val="24"/>
          <w:highlight w:val="none"/>
        </w:rPr>
        <w:t>1）</w:t>
      </w:r>
      <w:r>
        <w:rPr>
          <w:rFonts w:hint="eastAsia" w:ascii="楷体_GB2312" w:hAnsi="宋体" w:eastAsia="楷体_GB2312"/>
          <w:color w:val="000000"/>
          <w:sz w:val="24"/>
          <w:highlight w:val="none"/>
        </w:rPr>
        <w:t>安全保管</w:t>
      </w:r>
      <w:r>
        <w:rPr>
          <w:rFonts w:hint="eastAsia" w:ascii="楷体_GB2312" w:hAnsi="宋体" w:eastAsia="楷体_GB2312"/>
          <w:color w:val="000000"/>
          <w:sz w:val="24"/>
          <w:highlight w:val="none"/>
          <w:lang w:val="en-US" w:eastAsia="zh-CN"/>
        </w:rPr>
        <w:t>本</w:t>
      </w:r>
      <w:r>
        <w:rPr>
          <w:rFonts w:hint="eastAsia" w:ascii="楷体_GB2312" w:hAnsi="宋体" w:eastAsia="楷体_GB2312"/>
          <w:color w:val="000000"/>
          <w:sz w:val="24"/>
          <w:highlight w:val="none"/>
        </w:rPr>
        <w:t>理财产品财产；</w:t>
      </w:r>
    </w:p>
    <w:p>
      <w:pPr>
        <w:ind w:firstLine="480" w:firstLineChars="200"/>
        <w:rPr>
          <w:rFonts w:ascii="楷体_GB2312" w:hAnsi="宋体" w:eastAsia="楷体_GB2312"/>
          <w:color w:val="000000"/>
          <w:sz w:val="24"/>
          <w:highlight w:val="none"/>
        </w:rPr>
      </w:pPr>
      <w:r>
        <w:rPr>
          <w:rFonts w:hint="eastAsia" w:ascii="楷体_GB2312" w:hAnsi="宋体" w:eastAsia="楷体_GB2312"/>
          <w:color w:val="000000"/>
          <w:sz w:val="24"/>
          <w:highlight w:val="none"/>
        </w:rPr>
        <w:t>（2</w:t>
      </w:r>
      <w:r>
        <w:rPr>
          <w:rFonts w:ascii="楷体_GB2312" w:hAnsi="宋体" w:eastAsia="楷体_GB2312"/>
          <w:color w:val="000000"/>
          <w:sz w:val="24"/>
          <w:highlight w:val="none"/>
        </w:rPr>
        <w:t>）</w:t>
      </w:r>
      <w:r>
        <w:rPr>
          <w:rFonts w:hint="eastAsia" w:ascii="楷体_GB2312" w:hAnsi="宋体" w:eastAsia="楷体_GB2312"/>
          <w:color w:val="000000"/>
          <w:sz w:val="24"/>
          <w:highlight w:val="none"/>
        </w:rPr>
        <w:t>为</w:t>
      </w:r>
      <w:r>
        <w:rPr>
          <w:rFonts w:hint="eastAsia" w:ascii="楷体_GB2312" w:hAnsi="宋体" w:eastAsia="楷体_GB2312"/>
          <w:color w:val="000000"/>
          <w:sz w:val="24"/>
          <w:highlight w:val="none"/>
          <w:lang w:val="en-US" w:eastAsia="zh-CN"/>
        </w:rPr>
        <w:t>本</w:t>
      </w:r>
      <w:r>
        <w:rPr>
          <w:rFonts w:hint="eastAsia" w:ascii="楷体_GB2312" w:hAnsi="宋体" w:eastAsia="楷体_GB2312"/>
          <w:color w:val="000000"/>
          <w:sz w:val="24"/>
          <w:highlight w:val="none"/>
        </w:rPr>
        <w:t>理财产品开立银行托管账户、证券账户等；</w:t>
      </w:r>
    </w:p>
    <w:p>
      <w:pPr>
        <w:ind w:firstLine="480" w:firstLineChars="200"/>
        <w:rPr>
          <w:rFonts w:ascii="楷体_GB2312" w:hAnsi="宋体" w:eastAsia="楷体_GB2312"/>
          <w:color w:val="000000"/>
          <w:sz w:val="24"/>
          <w:highlight w:val="none"/>
        </w:rPr>
      </w:pPr>
      <w:r>
        <w:rPr>
          <w:rFonts w:hint="eastAsia" w:ascii="楷体_GB2312" w:hAnsi="宋体" w:eastAsia="楷体_GB2312"/>
          <w:color w:val="000000"/>
          <w:sz w:val="24"/>
          <w:highlight w:val="none"/>
        </w:rPr>
        <w:t>（3</w:t>
      </w:r>
      <w:r>
        <w:rPr>
          <w:rFonts w:ascii="楷体_GB2312" w:hAnsi="宋体" w:eastAsia="楷体_GB2312"/>
          <w:color w:val="000000"/>
          <w:sz w:val="24"/>
          <w:highlight w:val="none"/>
        </w:rPr>
        <w:t>）</w:t>
      </w:r>
      <w:r>
        <w:rPr>
          <w:rFonts w:hint="eastAsia" w:ascii="楷体_GB2312" w:hAnsi="宋体" w:eastAsia="楷体_GB2312"/>
          <w:color w:val="000000"/>
          <w:sz w:val="24"/>
          <w:highlight w:val="none"/>
        </w:rPr>
        <w:t>确认与执行</w:t>
      </w:r>
      <w:r>
        <w:rPr>
          <w:rFonts w:hint="eastAsia" w:ascii="楷体_GB2312" w:hAnsi="宋体" w:eastAsia="楷体_GB2312"/>
          <w:color w:val="000000"/>
          <w:sz w:val="24"/>
          <w:highlight w:val="none"/>
          <w:lang w:val="en-US" w:eastAsia="zh-CN"/>
        </w:rPr>
        <w:t>本</w:t>
      </w:r>
      <w:r>
        <w:rPr>
          <w:rFonts w:hint="eastAsia" w:ascii="楷体_GB2312" w:hAnsi="宋体" w:eastAsia="楷体_GB2312"/>
          <w:color w:val="000000"/>
          <w:sz w:val="24"/>
          <w:highlight w:val="none"/>
        </w:rPr>
        <w:t>理财产品资金划拨指令，办理</w:t>
      </w:r>
      <w:r>
        <w:rPr>
          <w:rFonts w:hint="eastAsia" w:ascii="楷体_GB2312" w:hAnsi="宋体" w:eastAsia="楷体_GB2312"/>
          <w:color w:val="000000"/>
          <w:sz w:val="24"/>
          <w:highlight w:val="none"/>
          <w:lang w:val="en-US" w:eastAsia="zh-CN"/>
        </w:rPr>
        <w:t>本</w:t>
      </w:r>
      <w:r>
        <w:rPr>
          <w:rFonts w:hint="eastAsia" w:ascii="楷体_GB2312" w:hAnsi="宋体" w:eastAsia="楷体_GB2312"/>
          <w:color w:val="000000"/>
          <w:sz w:val="24"/>
          <w:highlight w:val="none"/>
        </w:rPr>
        <w:t>理财产品资金的收付，核对</w:t>
      </w:r>
      <w:r>
        <w:rPr>
          <w:rFonts w:hint="eastAsia" w:ascii="楷体_GB2312" w:hAnsi="宋体" w:eastAsia="楷体_GB2312"/>
          <w:color w:val="000000"/>
          <w:sz w:val="24"/>
          <w:highlight w:val="none"/>
          <w:lang w:val="en-US" w:eastAsia="zh-CN"/>
        </w:rPr>
        <w:t>本</w:t>
      </w:r>
      <w:r>
        <w:rPr>
          <w:rFonts w:hint="eastAsia" w:ascii="楷体_GB2312" w:hAnsi="宋体" w:eastAsia="楷体_GB2312"/>
          <w:color w:val="000000"/>
          <w:sz w:val="24"/>
          <w:highlight w:val="none"/>
        </w:rPr>
        <w:t>理财产品资金划拨记录；</w:t>
      </w:r>
    </w:p>
    <w:p>
      <w:pPr>
        <w:ind w:firstLine="480" w:firstLineChars="200"/>
        <w:rPr>
          <w:rFonts w:ascii="楷体_GB2312" w:hAnsi="宋体" w:eastAsia="楷体_GB2312"/>
          <w:color w:val="000000"/>
          <w:sz w:val="24"/>
          <w:highlight w:val="none"/>
        </w:rPr>
      </w:pPr>
      <w:r>
        <w:rPr>
          <w:rFonts w:hint="eastAsia" w:ascii="楷体_GB2312" w:hAnsi="宋体" w:eastAsia="楷体_GB2312"/>
          <w:color w:val="000000"/>
          <w:sz w:val="24"/>
          <w:highlight w:val="none"/>
        </w:rPr>
        <w:t>（4</w:t>
      </w:r>
      <w:r>
        <w:rPr>
          <w:rFonts w:ascii="楷体_GB2312" w:hAnsi="宋体" w:eastAsia="楷体_GB2312"/>
          <w:color w:val="000000"/>
          <w:sz w:val="24"/>
          <w:highlight w:val="none"/>
        </w:rPr>
        <w:t>）</w:t>
      </w:r>
      <w:r>
        <w:rPr>
          <w:rFonts w:hint="eastAsia" w:ascii="楷体_GB2312" w:hAnsi="宋体" w:eastAsia="楷体_GB2312"/>
          <w:color w:val="000000"/>
          <w:sz w:val="24"/>
          <w:highlight w:val="none"/>
        </w:rPr>
        <w:t>建立与</w:t>
      </w:r>
      <w:r>
        <w:rPr>
          <w:rFonts w:hint="eastAsia" w:ascii="楷体_GB2312" w:hAnsi="宋体" w:eastAsia="楷体_GB2312"/>
          <w:color w:val="000000"/>
          <w:sz w:val="24"/>
          <w:highlight w:val="none"/>
          <w:lang w:eastAsia="zh-CN"/>
        </w:rPr>
        <w:t>产品管理人</w:t>
      </w:r>
      <w:r>
        <w:rPr>
          <w:rFonts w:hint="eastAsia" w:ascii="楷体_GB2312" w:hAnsi="宋体" w:eastAsia="楷体_GB2312"/>
          <w:color w:val="000000"/>
          <w:sz w:val="24"/>
          <w:highlight w:val="none"/>
        </w:rPr>
        <w:t>的对账机制，复核</w:t>
      </w:r>
      <w:r>
        <w:rPr>
          <w:rFonts w:hint="eastAsia" w:ascii="楷体_GB2312" w:hAnsi="宋体" w:eastAsia="楷体_GB2312"/>
          <w:color w:val="000000"/>
          <w:sz w:val="24"/>
          <w:highlight w:val="none"/>
          <w:lang w:val="en-US" w:eastAsia="zh-CN"/>
        </w:rPr>
        <w:t>本</w:t>
      </w:r>
      <w:r>
        <w:rPr>
          <w:rFonts w:hint="eastAsia" w:ascii="楷体_GB2312" w:hAnsi="宋体" w:eastAsia="楷体_GB2312"/>
          <w:color w:val="000000"/>
          <w:sz w:val="24"/>
          <w:highlight w:val="none"/>
        </w:rPr>
        <w:t>理财产品资产净值、</w:t>
      </w:r>
      <w:r>
        <w:rPr>
          <w:rFonts w:hint="eastAsia" w:ascii="楷体_GB2312" w:hAnsi="宋体" w:eastAsia="楷体_GB2312"/>
          <w:color w:val="000000"/>
          <w:sz w:val="24"/>
          <w:highlight w:val="none"/>
          <w:lang w:val="en-US" w:eastAsia="zh-CN"/>
        </w:rPr>
        <w:t>本</w:t>
      </w:r>
      <w:r>
        <w:rPr>
          <w:rFonts w:hint="eastAsia" w:ascii="楷体_GB2312" w:hAnsi="宋体" w:eastAsia="楷体_GB2312"/>
          <w:color w:val="000000"/>
          <w:sz w:val="24"/>
          <w:highlight w:val="none"/>
        </w:rPr>
        <w:t>理财产品份额申购、赎回价格，及时核查投资资金的支付和到账情况；</w:t>
      </w:r>
    </w:p>
    <w:p>
      <w:pPr>
        <w:ind w:firstLine="480" w:firstLineChars="200"/>
        <w:rPr>
          <w:rFonts w:ascii="楷体_GB2312" w:hAnsi="宋体" w:eastAsia="楷体_GB2312"/>
          <w:color w:val="000000"/>
          <w:sz w:val="24"/>
          <w:highlight w:val="none"/>
        </w:rPr>
      </w:pPr>
      <w:r>
        <w:rPr>
          <w:rFonts w:hint="eastAsia" w:ascii="楷体_GB2312" w:hAnsi="宋体" w:eastAsia="楷体_GB2312"/>
          <w:color w:val="000000"/>
          <w:sz w:val="24"/>
          <w:highlight w:val="none"/>
        </w:rPr>
        <w:t>（5</w:t>
      </w:r>
      <w:r>
        <w:rPr>
          <w:rFonts w:ascii="楷体_GB2312" w:hAnsi="宋体" w:eastAsia="楷体_GB2312"/>
          <w:color w:val="000000"/>
          <w:sz w:val="24"/>
          <w:highlight w:val="none"/>
        </w:rPr>
        <w:t>）</w:t>
      </w:r>
      <w:r>
        <w:rPr>
          <w:rFonts w:hint="eastAsia" w:ascii="楷体_GB2312" w:hAnsi="宋体" w:eastAsia="楷体_GB2312"/>
          <w:color w:val="000000"/>
          <w:sz w:val="24"/>
          <w:highlight w:val="none"/>
        </w:rPr>
        <w:t>监督</w:t>
      </w:r>
      <w:r>
        <w:rPr>
          <w:rFonts w:hint="eastAsia" w:ascii="楷体_GB2312" w:hAnsi="宋体" w:eastAsia="楷体_GB2312"/>
          <w:color w:val="000000"/>
          <w:sz w:val="24"/>
          <w:highlight w:val="none"/>
          <w:lang w:val="en-US" w:eastAsia="zh-CN"/>
        </w:rPr>
        <w:t>本</w:t>
      </w:r>
      <w:r>
        <w:rPr>
          <w:rFonts w:hint="eastAsia" w:ascii="楷体_GB2312" w:hAnsi="宋体" w:eastAsia="楷体_GB2312"/>
          <w:color w:val="000000"/>
          <w:sz w:val="24"/>
          <w:highlight w:val="none"/>
        </w:rPr>
        <w:t>理财产品投资运作；</w:t>
      </w:r>
    </w:p>
    <w:p>
      <w:pPr>
        <w:ind w:firstLine="480" w:firstLineChars="200"/>
        <w:rPr>
          <w:rFonts w:ascii="楷体_GB2312" w:hAnsi="宋体" w:eastAsia="楷体_GB2312"/>
          <w:color w:val="000000"/>
          <w:sz w:val="24"/>
          <w:highlight w:val="none"/>
        </w:rPr>
      </w:pPr>
      <w:r>
        <w:rPr>
          <w:rFonts w:hint="eastAsia" w:ascii="楷体_GB2312" w:hAnsi="宋体" w:eastAsia="楷体_GB2312"/>
          <w:color w:val="000000"/>
          <w:sz w:val="24"/>
          <w:highlight w:val="none"/>
        </w:rPr>
        <w:t>（6</w:t>
      </w:r>
      <w:r>
        <w:rPr>
          <w:rFonts w:ascii="楷体_GB2312" w:hAnsi="宋体" w:eastAsia="楷体_GB2312"/>
          <w:color w:val="000000"/>
          <w:sz w:val="24"/>
          <w:highlight w:val="none"/>
        </w:rPr>
        <w:t>）</w:t>
      </w:r>
      <w:r>
        <w:rPr>
          <w:rFonts w:hint="eastAsia" w:ascii="楷体_GB2312" w:hAnsi="宋体" w:eastAsia="楷体_GB2312"/>
          <w:color w:val="000000"/>
          <w:sz w:val="24"/>
          <w:highlight w:val="none"/>
        </w:rPr>
        <w:t>办理与</w:t>
      </w:r>
      <w:r>
        <w:rPr>
          <w:rFonts w:hint="eastAsia" w:ascii="楷体_GB2312" w:hAnsi="宋体" w:eastAsia="楷体_GB2312"/>
          <w:color w:val="000000"/>
          <w:sz w:val="24"/>
          <w:highlight w:val="none"/>
          <w:lang w:val="en-US" w:eastAsia="zh-CN"/>
        </w:rPr>
        <w:t>本</w:t>
      </w:r>
      <w:r>
        <w:rPr>
          <w:rFonts w:hint="eastAsia" w:ascii="楷体_GB2312" w:hAnsi="宋体" w:eastAsia="楷体_GB2312"/>
          <w:color w:val="000000"/>
          <w:sz w:val="24"/>
          <w:highlight w:val="none"/>
        </w:rPr>
        <w:t>理财产品托管业务活动相关的信息披露事项；</w:t>
      </w:r>
    </w:p>
    <w:p>
      <w:pPr>
        <w:ind w:firstLine="480" w:firstLineChars="200"/>
        <w:rPr>
          <w:rFonts w:ascii="楷体_GB2312" w:hAnsi="宋体" w:eastAsia="楷体_GB2312"/>
          <w:color w:val="000000"/>
          <w:sz w:val="24"/>
          <w:highlight w:val="none"/>
        </w:rPr>
      </w:pPr>
      <w:r>
        <w:rPr>
          <w:rFonts w:hint="eastAsia" w:ascii="楷体_GB2312" w:hAnsi="宋体" w:eastAsia="楷体_GB2312"/>
          <w:color w:val="000000"/>
          <w:sz w:val="24"/>
          <w:highlight w:val="none"/>
        </w:rPr>
        <w:t>（7</w:t>
      </w:r>
      <w:r>
        <w:rPr>
          <w:rFonts w:ascii="楷体_GB2312" w:hAnsi="宋体" w:eastAsia="楷体_GB2312"/>
          <w:color w:val="000000"/>
          <w:sz w:val="24"/>
          <w:highlight w:val="none"/>
        </w:rPr>
        <w:t>）</w:t>
      </w:r>
      <w:r>
        <w:rPr>
          <w:rFonts w:hint="eastAsia" w:ascii="楷体_GB2312" w:hAnsi="宋体" w:eastAsia="楷体_GB2312"/>
          <w:color w:val="000000"/>
          <w:sz w:val="24"/>
          <w:highlight w:val="none"/>
        </w:rPr>
        <w:t>保存</w:t>
      </w:r>
      <w:r>
        <w:rPr>
          <w:rFonts w:hint="eastAsia" w:ascii="楷体_GB2312" w:hAnsi="宋体" w:eastAsia="楷体_GB2312"/>
          <w:color w:val="000000"/>
          <w:sz w:val="24"/>
          <w:highlight w:val="none"/>
          <w:lang w:val="en-US" w:eastAsia="zh-CN"/>
        </w:rPr>
        <w:t>本</w:t>
      </w:r>
      <w:r>
        <w:rPr>
          <w:rFonts w:hint="eastAsia" w:ascii="楷体_GB2312" w:hAnsi="宋体" w:eastAsia="楷体_GB2312"/>
          <w:color w:val="000000"/>
          <w:sz w:val="24"/>
          <w:highlight w:val="none"/>
        </w:rPr>
        <w:t>理财产品托管业务活动的记录、账册、报表和其他相关材料；</w:t>
      </w:r>
    </w:p>
    <w:p>
      <w:pPr>
        <w:ind w:firstLine="480" w:firstLineChars="200"/>
        <w:rPr>
          <w:rFonts w:ascii="楷体_GB2312" w:hAnsi="宋体" w:eastAsia="楷体_GB2312"/>
          <w:color w:val="000000"/>
          <w:sz w:val="24"/>
          <w:highlight w:val="none"/>
        </w:rPr>
      </w:pPr>
      <w:r>
        <w:rPr>
          <w:rFonts w:hint="eastAsia" w:ascii="楷体_GB2312" w:hAnsi="宋体" w:eastAsia="楷体_GB2312"/>
          <w:color w:val="000000"/>
          <w:sz w:val="24"/>
          <w:highlight w:val="none"/>
        </w:rPr>
        <w:t>（8</w:t>
      </w:r>
      <w:r>
        <w:rPr>
          <w:rFonts w:ascii="楷体_GB2312" w:hAnsi="宋体" w:eastAsia="楷体_GB2312"/>
          <w:color w:val="000000"/>
          <w:sz w:val="24"/>
          <w:highlight w:val="none"/>
        </w:rPr>
        <w:t>）</w:t>
      </w:r>
      <w:r>
        <w:rPr>
          <w:rFonts w:hint="eastAsia" w:ascii="楷体_GB2312" w:hAnsi="宋体" w:eastAsia="楷体_GB2312"/>
          <w:color w:val="000000"/>
          <w:sz w:val="24"/>
          <w:highlight w:val="none"/>
        </w:rPr>
        <w:t>对</w:t>
      </w:r>
      <w:r>
        <w:rPr>
          <w:rFonts w:hint="eastAsia" w:ascii="楷体_GB2312" w:hAnsi="宋体" w:eastAsia="楷体_GB2312"/>
          <w:color w:val="000000"/>
          <w:sz w:val="24"/>
          <w:highlight w:val="none"/>
          <w:lang w:val="en-US" w:eastAsia="zh-CN"/>
        </w:rPr>
        <w:t>本</w:t>
      </w:r>
      <w:r>
        <w:rPr>
          <w:rFonts w:hint="eastAsia" w:ascii="楷体_GB2312" w:hAnsi="宋体" w:eastAsia="楷体_GB2312"/>
          <w:color w:val="000000"/>
          <w:sz w:val="24"/>
          <w:highlight w:val="none"/>
        </w:rPr>
        <w:t>理财产品投资信息和相关资料承担保密责任；</w:t>
      </w:r>
    </w:p>
    <w:p>
      <w:pPr>
        <w:ind w:firstLine="480" w:firstLineChars="200"/>
        <w:rPr>
          <w:rFonts w:ascii="楷体_GB2312" w:hAnsi="宋体" w:eastAsia="楷体_GB2312"/>
          <w:color w:val="000000"/>
          <w:sz w:val="24"/>
          <w:highlight w:val="none"/>
        </w:rPr>
      </w:pPr>
      <w:r>
        <w:rPr>
          <w:rFonts w:hint="eastAsia" w:ascii="楷体_GB2312" w:hAnsi="宋体" w:eastAsia="楷体_GB2312"/>
          <w:color w:val="000000"/>
          <w:sz w:val="24"/>
          <w:highlight w:val="none"/>
        </w:rPr>
        <w:t>（9</w:t>
      </w:r>
      <w:r>
        <w:rPr>
          <w:rFonts w:ascii="楷体_GB2312" w:hAnsi="宋体" w:eastAsia="楷体_GB2312"/>
          <w:color w:val="000000"/>
          <w:sz w:val="24"/>
          <w:highlight w:val="none"/>
        </w:rPr>
        <w:t>）</w:t>
      </w:r>
      <w:bookmarkStart w:id="7" w:name="_Hlk146059360"/>
      <w:r>
        <w:rPr>
          <w:rFonts w:hint="eastAsia" w:ascii="楷体_GB2312" w:hAnsi="宋体" w:eastAsia="楷体_GB2312"/>
          <w:color w:val="000000"/>
          <w:sz w:val="24"/>
          <w:highlight w:val="none"/>
        </w:rPr>
        <w:t>法律法规规定、</w:t>
      </w:r>
      <w:bookmarkEnd w:id="7"/>
      <w:r>
        <w:rPr>
          <w:rFonts w:hint="eastAsia" w:ascii="楷体_GB2312" w:hAnsi="宋体" w:eastAsia="楷体_GB2312"/>
          <w:color w:val="000000"/>
          <w:sz w:val="24"/>
          <w:highlight w:val="none"/>
        </w:rPr>
        <w:t>国务院银行业监督管理机构规定</w:t>
      </w:r>
      <w:bookmarkStart w:id="8" w:name="_Hlk146059365"/>
      <w:r>
        <w:rPr>
          <w:rFonts w:hint="eastAsia" w:ascii="楷体_GB2312" w:hAnsi="宋体" w:eastAsia="楷体_GB2312"/>
          <w:color w:val="000000"/>
          <w:sz w:val="24"/>
          <w:highlight w:val="none"/>
          <w:lang w:eastAsia="zh-CN"/>
        </w:rPr>
        <w:t>、</w:t>
      </w:r>
      <w:r>
        <w:rPr>
          <w:rFonts w:hint="eastAsia" w:ascii="楷体_GB2312" w:hAnsi="宋体" w:eastAsia="楷体_GB2312"/>
          <w:color w:val="000000"/>
          <w:sz w:val="24"/>
          <w:highlight w:val="none"/>
          <w:lang w:val="en-US" w:eastAsia="zh-CN"/>
        </w:rPr>
        <w:t>产品管理人和托管机构另行签订的托管协议约定，以</w:t>
      </w:r>
      <w:r>
        <w:rPr>
          <w:rFonts w:hint="eastAsia" w:ascii="楷体_GB2312" w:hAnsi="宋体" w:eastAsia="楷体_GB2312"/>
          <w:color w:val="000000"/>
          <w:sz w:val="24"/>
          <w:highlight w:val="none"/>
        </w:rPr>
        <w:t>及</w:t>
      </w:r>
      <w:r>
        <w:rPr>
          <w:rFonts w:hint="eastAsia" w:ascii="楷体_GB2312" w:hAnsi="宋体" w:eastAsia="楷体_GB2312"/>
          <w:color w:val="000000"/>
          <w:sz w:val="24"/>
          <w:highlight w:val="none"/>
          <w:lang w:eastAsia="zh-CN"/>
        </w:rPr>
        <w:t>本</w:t>
      </w:r>
      <w:r>
        <w:rPr>
          <w:rFonts w:hint="eastAsia" w:ascii="楷体_GB2312" w:hAnsi="宋体" w:eastAsia="楷体_GB2312"/>
          <w:color w:val="000000"/>
          <w:sz w:val="24"/>
          <w:highlight w:val="none"/>
        </w:rPr>
        <w:t>理财产品销售文件约定</w:t>
      </w:r>
      <w:bookmarkEnd w:id="8"/>
      <w:r>
        <w:rPr>
          <w:rFonts w:hint="eastAsia" w:ascii="楷体_GB2312" w:hAnsi="宋体" w:eastAsia="楷体_GB2312"/>
          <w:color w:val="000000"/>
          <w:sz w:val="24"/>
          <w:highlight w:val="none"/>
        </w:rPr>
        <w:t>的其他职责。</w:t>
      </w:r>
    </w:p>
    <w:p>
      <w:pPr>
        <w:ind w:firstLine="480" w:firstLineChars="200"/>
        <w:rPr>
          <w:rFonts w:ascii="楷体_GB2312" w:hAnsi="宋体" w:eastAsia="楷体_GB2312"/>
          <w:color w:val="000000"/>
          <w:sz w:val="24"/>
        </w:rPr>
      </w:pPr>
      <w:r>
        <w:rPr>
          <w:rFonts w:ascii="楷体_GB2312" w:hAnsi="宋体" w:eastAsia="楷体_GB2312"/>
          <w:color w:val="000000"/>
          <w:sz w:val="24"/>
        </w:rPr>
        <w:t>（</w:t>
      </w:r>
      <w:r>
        <w:rPr>
          <w:rFonts w:hint="eastAsia" w:ascii="楷体_GB2312" w:hAnsi="宋体" w:eastAsia="楷体_GB2312"/>
          <w:color w:val="000000"/>
          <w:sz w:val="24"/>
        </w:rPr>
        <w:t>二</w:t>
      </w:r>
      <w:r>
        <w:rPr>
          <w:rFonts w:ascii="楷体_GB2312" w:hAnsi="宋体" w:eastAsia="楷体_GB2312"/>
          <w:color w:val="000000"/>
          <w:sz w:val="24"/>
        </w:rPr>
        <w:t>）</w:t>
      </w:r>
      <w:r>
        <w:rPr>
          <w:rFonts w:hint="eastAsia" w:ascii="楷体_GB2312" w:hAnsi="宋体" w:eastAsia="楷体_GB2312"/>
          <w:color w:val="000000"/>
          <w:sz w:val="24"/>
        </w:rPr>
        <w:t>产品代销机构的基本信息和主要职责</w:t>
      </w:r>
    </w:p>
    <w:p>
      <w:pPr>
        <w:ind w:firstLine="480" w:firstLineChars="200"/>
        <w:rPr>
          <w:rFonts w:ascii="楷体_GB2312" w:hAnsi="宋体" w:eastAsia="楷体_GB2312"/>
          <w:color w:val="000000"/>
          <w:sz w:val="24"/>
        </w:rPr>
      </w:pPr>
      <w:r>
        <w:rPr>
          <w:rFonts w:hint="eastAsia" w:ascii="楷体_GB2312" w:hAnsi="宋体" w:eastAsia="楷体_GB2312"/>
          <w:color w:val="000000"/>
          <w:sz w:val="24"/>
        </w:rPr>
        <w:t>1.代销机构基本信息</w:t>
      </w:r>
    </w:p>
    <w:p>
      <w:pPr>
        <w:ind w:firstLine="480" w:firstLineChars="200"/>
        <w:rPr>
          <w:rFonts w:hint="default" w:ascii="楷体_GB2312" w:eastAsia="楷体_GB2312"/>
          <w:bCs/>
          <w:color w:val="auto"/>
          <w:sz w:val="24"/>
          <w:lang w:val="en-US" w:eastAsia="zh-CN"/>
        </w:rPr>
      </w:pPr>
      <w:r>
        <w:rPr>
          <w:rFonts w:hint="eastAsia" w:ascii="楷体_GB2312" w:eastAsia="楷体_GB2312"/>
          <w:bCs/>
          <w:color w:val="auto"/>
          <w:sz w:val="24"/>
          <w:lang w:val="en-US" w:eastAsia="zh-CN"/>
        </w:rPr>
        <w:t>A</w:t>
      </w:r>
      <w:r>
        <w:rPr>
          <w:rFonts w:hint="eastAsia" w:ascii="楷体_GB2312" w:eastAsia="楷体_GB2312"/>
          <w:bCs/>
          <w:color w:val="auto"/>
          <w:sz w:val="24"/>
          <w:lang w:eastAsia="zh-CN"/>
        </w:rPr>
        <w:t>类份额、</w:t>
      </w:r>
      <w:r>
        <w:rPr>
          <w:rFonts w:hint="eastAsia" w:ascii="楷体_GB2312" w:eastAsia="楷体_GB2312"/>
          <w:bCs/>
          <w:color w:val="auto"/>
          <w:sz w:val="24"/>
          <w:lang w:val="en-US" w:eastAsia="zh-CN"/>
        </w:rPr>
        <w:t>B类份额、浙BA类份额</w:t>
      </w:r>
      <w:r>
        <w:rPr>
          <w:rFonts w:hint="eastAsia" w:ascii="楷体_GB2312" w:eastAsia="楷体_GB2312"/>
          <w:bCs/>
          <w:color w:val="auto"/>
          <w:sz w:val="24"/>
          <w:lang w:eastAsia="zh-CN"/>
        </w:rPr>
        <w:t>：</w:t>
      </w:r>
    </w:p>
    <w:p>
      <w:pPr>
        <w:ind w:firstLine="480" w:firstLineChars="200"/>
        <w:rPr>
          <w:rFonts w:hint="eastAsia" w:ascii="楷体_GB2312" w:hAnsi="宋体" w:eastAsia="楷体_GB2312" w:cs="Times New Roman"/>
          <w:color w:val="auto"/>
          <w:sz w:val="24"/>
          <w:lang w:val="en-US" w:eastAsia="zh-CN"/>
        </w:rPr>
      </w:pPr>
      <w:r>
        <w:rPr>
          <w:rFonts w:hint="eastAsia" w:ascii="楷体_GB2312" w:hAnsi="宋体" w:eastAsia="楷体_GB2312"/>
          <w:color w:val="000000"/>
          <w:sz w:val="24"/>
          <w:highlight w:val="none"/>
          <w:lang w:eastAsia="zh-CN"/>
        </w:rPr>
        <w:t>（</w:t>
      </w:r>
      <w:r>
        <w:rPr>
          <w:rFonts w:hint="eastAsia" w:ascii="楷体_GB2312" w:hAnsi="宋体" w:eastAsia="楷体_GB2312"/>
          <w:color w:val="000000"/>
          <w:sz w:val="24"/>
          <w:highlight w:val="none"/>
          <w:lang w:val="en-US" w:eastAsia="zh-CN"/>
        </w:rPr>
        <w:t>1</w:t>
      </w:r>
      <w:r>
        <w:rPr>
          <w:rFonts w:hint="eastAsia" w:ascii="楷体_GB2312" w:hAnsi="宋体" w:eastAsia="楷体_GB2312"/>
          <w:color w:val="000000"/>
          <w:sz w:val="24"/>
          <w:highlight w:val="none"/>
          <w:lang w:eastAsia="zh-CN"/>
        </w:rPr>
        <w:t>）</w:t>
      </w:r>
      <w:r>
        <w:rPr>
          <w:rFonts w:hint="eastAsia" w:ascii="楷体_GB2312" w:hAnsi="宋体" w:eastAsia="楷体_GB2312"/>
          <w:color w:val="000000"/>
          <w:sz w:val="24"/>
          <w:highlight w:val="none"/>
        </w:rPr>
        <w:t>代销机构名称：</w:t>
      </w:r>
      <w:r>
        <w:rPr>
          <w:rFonts w:hint="eastAsia" w:ascii="楷体_GB2312" w:hAnsi="宋体" w:eastAsia="楷体_GB2312" w:cs="Times New Roman"/>
          <w:color w:val="auto"/>
          <w:sz w:val="24"/>
          <w:lang w:val="en-US" w:eastAsia="zh-CN"/>
        </w:rPr>
        <w:t>浙江龙游农村商业银行股份有限公司（以下简称“龙游农商银行”）</w:t>
      </w:r>
    </w:p>
    <w:p>
      <w:pPr>
        <w:ind w:firstLine="480" w:firstLineChars="200"/>
        <w:rPr>
          <w:rFonts w:hint="eastAsia" w:ascii="楷体_GB2312" w:hAnsi="宋体" w:eastAsia="楷体_GB2312"/>
          <w:color w:val="000000"/>
          <w:sz w:val="24"/>
          <w:highlight w:val="none"/>
          <w:lang w:val="en-US" w:eastAsia="zh-CN"/>
        </w:rPr>
      </w:pPr>
      <w:r>
        <w:rPr>
          <w:rFonts w:hint="eastAsia" w:ascii="楷体_GB2312" w:hAnsi="宋体" w:eastAsia="楷体_GB2312"/>
          <w:color w:val="000000"/>
          <w:sz w:val="24"/>
          <w:highlight w:val="none"/>
        </w:rPr>
        <w:t>法定代表人：</w:t>
      </w:r>
      <w:r>
        <w:rPr>
          <w:rFonts w:hint="eastAsia" w:ascii="楷体_GB2312" w:hAnsi="宋体" w:eastAsia="楷体_GB2312"/>
          <w:color w:val="000000"/>
          <w:sz w:val="24"/>
          <w:highlight w:val="none"/>
          <w:lang w:val="en-US" w:eastAsia="zh-CN"/>
        </w:rPr>
        <w:t>宋利剑</w:t>
      </w:r>
    </w:p>
    <w:p>
      <w:pPr>
        <w:ind w:firstLine="480" w:firstLineChars="200"/>
        <w:rPr>
          <w:rFonts w:hint="eastAsia" w:ascii="楷体_GB2312" w:hAnsi="宋体" w:eastAsia="楷体_GB2312"/>
          <w:color w:val="000000"/>
          <w:sz w:val="24"/>
          <w:highlight w:val="none"/>
        </w:rPr>
      </w:pPr>
      <w:r>
        <w:rPr>
          <w:rFonts w:hint="eastAsia" w:ascii="楷体_GB2312" w:hAnsi="宋体" w:eastAsia="楷体_GB2312"/>
          <w:color w:val="000000"/>
          <w:sz w:val="24"/>
          <w:highlight w:val="none"/>
        </w:rPr>
        <w:t>注册地址：浙江省衢州市龙游县龙洲街道荣昌大道683、685、687号</w:t>
      </w:r>
    </w:p>
    <w:p>
      <w:pPr>
        <w:ind w:firstLine="480" w:firstLineChars="200"/>
        <w:rPr>
          <w:rFonts w:hint="default" w:ascii="楷体_GB2312" w:hAnsi="宋体" w:eastAsia="楷体_GB2312"/>
          <w:color w:val="000000"/>
          <w:sz w:val="24"/>
          <w:highlight w:val="none"/>
          <w:lang w:val="en-US" w:eastAsia="zh-CN"/>
        </w:rPr>
      </w:pPr>
      <w:r>
        <w:rPr>
          <w:rFonts w:hint="eastAsia" w:ascii="楷体_GB2312" w:hAnsi="宋体" w:eastAsia="楷体_GB2312"/>
          <w:color w:val="000000"/>
          <w:sz w:val="24"/>
          <w:highlight w:val="none"/>
        </w:rPr>
        <w:t>投资者服务热线：</w:t>
      </w:r>
      <w:r>
        <w:rPr>
          <w:rFonts w:hint="eastAsia" w:ascii="楷体_GB2312" w:eastAsia="楷体_GB2312"/>
          <w:color w:val="auto"/>
          <w:sz w:val="24"/>
          <w:highlight w:val="none"/>
        </w:rPr>
        <w:t>96596</w:t>
      </w:r>
    </w:p>
    <w:p>
      <w:pPr>
        <w:ind w:firstLine="480" w:firstLineChars="200"/>
        <w:rPr>
          <w:rFonts w:hint="eastAsia" w:ascii="楷体_GB2312" w:hAnsi="宋体" w:eastAsia="楷体_GB2312" w:cs="Times New Roman"/>
          <w:color w:val="auto"/>
          <w:sz w:val="24"/>
          <w:lang w:val="en-US" w:eastAsia="zh-CN"/>
        </w:rPr>
      </w:pPr>
      <w:r>
        <w:rPr>
          <w:rFonts w:hint="eastAsia" w:ascii="楷体_GB2312" w:hAnsi="宋体" w:eastAsia="楷体_GB2312"/>
          <w:color w:val="000000"/>
          <w:sz w:val="24"/>
          <w:highlight w:val="none"/>
          <w:lang w:eastAsia="zh-CN"/>
        </w:rPr>
        <w:t>（</w:t>
      </w:r>
      <w:r>
        <w:rPr>
          <w:rFonts w:hint="eastAsia" w:ascii="楷体_GB2312" w:hAnsi="宋体" w:eastAsia="楷体_GB2312"/>
          <w:color w:val="000000"/>
          <w:sz w:val="24"/>
          <w:highlight w:val="none"/>
          <w:lang w:val="en-US" w:eastAsia="zh-CN"/>
        </w:rPr>
        <w:t>2</w:t>
      </w:r>
      <w:r>
        <w:rPr>
          <w:rFonts w:hint="eastAsia" w:ascii="楷体_GB2312" w:hAnsi="宋体" w:eastAsia="楷体_GB2312"/>
          <w:color w:val="000000"/>
          <w:sz w:val="24"/>
          <w:highlight w:val="none"/>
          <w:lang w:eastAsia="zh-CN"/>
        </w:rPr>
        <w:t>）</w:t>
      </w:r>
      <w:r>
        <w:rPr>
          <w:rFonts w:hint="eastAsia" w:ascii="楷体_GB2312" w:hAnsi="宋体" w:eastAsia="楷体_GB2312"/>
          <w:color w:val="000000"/>
          <w:sz w:val="24"/>
          <w:highlight w:val="none"/>
        </w:rPr>
        <w:t>代销机构名称：</w:t>
      </w:r>
      <w:r>
        <w:rPr>
          <w:rFonts w:hint="eastAsia" w:ascii="楷体_GB2312" w:hAnsi="宋体" w:eastAsia="楷体_GB2312" w:cs="Times New Roman"/>
          <w:color w:val="auto"/>
          <w:sz w:val="24"/>
          <w:lang w:val="en-US" w:eastAsia="zh-CN"/>
        </w:rPr>
        <w:t>浙江青田农村商业银行股份有限公司（以下简称“青田农商银行”）</w:t>
      </w:r>
    </w:p>
    <w:p>
      <w:pPr>
        <w:ind w:firstLine="480" w:firstLineChars="200"/>
        <w:rPr>
          <w:rFonts w:hint="eastAsia" w:ascii="楷体_GB2312" w:hAnsi="宋体" w:eastAsia="楷体_GB2312"/>
          <w:color w:val="000000"/>
          <w:sz w:val="24"/>
          <w:highlight w:val="none"/>
          <w:lang w:val="en-US" w:eastAsia="zh-CN"/>
        </w:rPr>
      </w:pPr>
      <w:r>
        <w:rPr>
          <w:rFonts w:hint="eastAsia" w:ascii="楷体_GB2312" w:hAnsi="宋体" w:eastAsia="楷体_GB2312"/>
          <w:color w:val="000000"/>
          <w:sz w:val="24"/>
          <w:highlight w:val="none"/>
        </w:rPr>
        <w:t>法定代表人：汤伟强</w:t>
      </w:r>
    </w:p>
    <w:p>
      <w:pPr>
        <w:ind w:firstLine="480" w:firstLineChars="200"/>
        <w:rPr>
          <w:rFonts w:hint="eastAsia" w:ascii="楷体_GB2312" w:hAnsi="宋体" w:eastAsia="楷体_GB2312"/>
          <w:color w:val="000000"/>
          <w:sz w:val="24"/>
          <w:highlight w:val="none"/>
        </w:rPr>
      </w:pPr>
      <w:r>
        <w:rPr>
          <w:rFonts w:hint="eastAsia" w:ascii="楷体_GB2312" w:hAnsi="宋体" w:eastAsia="楷体_GB2312"/>
          <w:color w:val="000000"/>
          <w:sz w:val="24"/>
          <w:highlight w:val="none"/>
        </w:rPr>
        <w:t>注册地址：浙江省青田县鹤城街道鹤城东路180号</w:t>
      </w:r>
    </w:p>
    <w:p>
      <w:pPr>
        <w:ind w:firstLine="480" w:firstLineChars="200"/>
        <w:rPr>
          <w:rFonts w:hint="eastAsia" w:ascii="楷体_GB2312" w:hAnsi="宋体" w:eastAsia="楷体_GB2312" w:cs="Times New Roman"/>
          <w:color w:val="auto"/>
          <w:sz w:val="24"/>
          <w:lang w:val="en-US" w:eastAsia="zh-CN"/>
        </w:rPr>
      </w:pPr>
      <w:r>
        <w:rPr>
          <w:rFonts w:hint="eastAsia" w:ascii="楷体_GB2312" w:hAnsi="宋体" w:eastAsia="楷体_GB2312"/>
          <w:color w:val="000000"/>
          <w:sz w:val="24"/>
          <w:highlight w:val="none"/>
        </w:rPr>
        <w:t>投资者服务热线：</w:t>
      </w:r>
      <w:r>
        <w:rPr>
          <w:rFonts w:hint="eastAsia" w:ascii="楷体_GB2312" w:eastAsia="楷体_GB2312"/>
          <w:color w:val="auto"/>
          <w:sz w:val="24"/>
          <w:highlight w:val="none"/>
        </w:rPr>
        <w:t>96596</w:t>
      </w:r>
    </w:p>
    <w:p>
      <w:pPr>
        <w:ind w:firstLine="480" w:firstLineChars="200"/>
        <w:rPr>
          <w:rFonts w:hint="eastAsia" w:ascii="楷体_GB2312" w:hAnsi="宋体" w:eastAsia="楷体_GB2312" w:cs="Times New Roman"/>
          <w:color w:val="auto"/>
          <w:sz w:val="24"/>
          <w:lang w:val="en-US" w:eastAsia="zh-CN"/>
        </w:rPr>
      </w:pPr>
      <w:r>
        <w:rPr>
          <w:rFonts w:hint="eastAsia" w:ascii="楷体_GB2312" w:hAnsi="宋体" w:eastAsia="楷体_GB2312"/>
          <w:color w:val="000000"/>
          <w:sz w:val="24"/>
          <w:highlight w:val="none"/>
          <w:lang w:eastAsia="zh-CN"/>
        </w:rPr>
        <w:t>（</w:t>
      </w:r>
      <w:r>
        <w:rPr>
          <w:rFonts w:hint="eastAsia" w:ascii="楷体_GB2312" w:hAnsi="宋体" w:eastAsia="楷体_GB2312"/>
          <w:color w:val="000000"/>
          <w:sz w:val="24"/>
          <w:highlight w:val="none"/>
          <w:lang w:val="en-US" w:eastAsia="zh-CN"/>
        </w:rPr>
        <w:t>3</w:t>
      </w:r>
      <w:r>
        <w:rPr>
          <w:rFonts w:hint="eastAsia" w:ascii="楷体_GB2312" w:hAnsi="宋体" w:eastAsia="楷体_GB2312"/>
          <w:color w:val="000000"/>
          <w:sz w:val="24"/>
          <w:highlight w:val="none"/>
          <w:lang w:eastAsia="zh-CN"/>
        </w:rPr>
        <w:t>）</w:t>
      </w:r>
      <w:r>
        <w:rPr>
          <w:rFonts w:hint="eastAsia" w:ascii="楷体_GB2312" w:hAnsi="宋体" w:eastAsia="楷体_GB2312"/>
          <w:color w:val="000000"/>
          <w:sz w:val="24"/>
          <w:highlight w:val="none"/>
        </w:rPr>
        <w:t>代销机构名称：</w:t>
      </w:r>
      <w:r>
        <w:rPr>
          <w:rFonts w:hint="eastAsia" w:ascii="楷体_GB2312" w:hAnsi="宋体" w:eastAsia="楷体_GB2312" w:cs="Times New Roman"/>
          <w:color w:val="auto"/>
          <w:sz w:val="24"/>
          <w:lang w:val="en-US" w:eastAsia="zh-CN"/>
        </w:rPr>
        <w:t>浙江德清农村商业银行股份有限公司（以下简称“德清农商银行”）</w:t>
      </w:r>
    </w:p>
    <w:p>
      <w:pPr>
        <w:ind w:firstLine="480" w:firstLineChars="200"/>
        <w:rPr>
          <w:rFonts w:hint="eastAsia" w:ascii="楷体_GB2312" w:hAnsi="宋体" w:eastAsia="楷体_GB2312"/>
          <w:color w:val="000000"/>
          <w:sz w:val="24"/>
          <w:highlight w:val="none"/>
          <w:lang w:val="en-US" w:eastAsia="zh-CN"/>
        </w:rPr>
      </w:pPr>
      <w:r>
        <w:rPr>
          <w:rFonts w:hint="eastAsia" w:ascii="楷体_GB2312" w:hAnsi="宋体" w:eastAsia="楷体_GB2312"/>
          <w:color w:val="000000"/>
          <w:sz w:val="24"/>
          <w:highlight w:val="none"/>
        </w:rPr>
        <w:t>法定代表人：丁爱平</w:t>
      </w:r>
    </w:p>
    <w:p>
      <w:pPr>
        <w:ind w:firstLine="480" w:firstLineChars="200"/>
        <w:rPr>
          <w:rFonts w:hint="eastAsia" w:ascii="楷体_GB2312" w:hAnsi="宋体" w:eastAsia="楷体_GB2312"/>
          <w:color w:val="000000"/>
          <w:sz w:val="24"/>
          <w:highlight w:val="none"/>
        </w:rPr>
      </w:pPr>
      <w:r>
        <w:rPr>
          <w:rFonts w:hint="eastAsia" w:ascii="楷体_GB2312" w:hAnsi="宋体" w:eastAsia="楷体_GB2312"/>
          <w:color w:val="000000"/>
          <w:sz w:val="24"/>
          <w:highlight w:val="none"/>
        </w:rPr>
        <w:t>注册地址：浙江省德清县武康街道沈长圩街50号</w:t>
      </w:r>
    </w:p>
    <w:p>
      <w:pPr>
        <w:ind w:firstLine="480" w:firstLineChars="200"/>
        <w:rPr>
          <w:rFonts w:hint="default" w:ascii="楷体_GB2312" w:hAnsi="宋体" w:eastAsia="楷体_GB2312"/>
          <w:color w:val="000000"/>
          <w:sz w:val="24"/>
          <w:highlight w:val="none"/>
          <w:lang w:val="en-US" w:eastAsia="zh-CN"/>
        </w:rPr>
      </w:pPr>
      <w:r>
        <w:rPr>
          <w:rFonts w:hint="eastAsia" w:ascii="楷体_GB2312" w:hAnsi="宋体" w:eastAsia="楷体_GB2312"/>
          <w:color w:val="000000"/>
          <w:sz w:val="24"/>
          <w:highlight w:val="none"/>
        </w:rPr>
        <w:t>投资者服务热线：</w:t>
      </w:r>
      <w:r>
        <w:rPr>
          <w:rFonts w:hint="eastAsia" w:ascii="楷体_GB2312" w:eastAsia="楷体_GB2312"/>
          <w:color w:val="auto"/>
          <w:sz w:val="24"/>
          <w:highlight w:val="none"/>
        </w:rPr>
        <w:t>96596</w:t>
      </w:r>
    </w:p>
    <w:p>
      <w:pPr>
        <w:ind w:firstLine="480" w:firstLineChars="200"/>
        <w:rPr>
          <w:rFonts w:hint="eastAsia" w:ascii="楷体_GB2312" w:hAnsi="宋体" w:eastAsia="楷体_GB2312" w:cs="Times New Roman"/>
          <w:color w:val="auto"/>
          <w:sz w:val="24"/>
          <w:lang w:val="en-US" w:eastAsia="zh-CN"/>
        </w:rPr>
      </w:pPr>
      <w:r>
        <w:rPr>
          <w:rFonts w:hint="eastAsia" w:ascii="楷体_GB2312" w:hAnsi="宋体" w:eastAsia="楷体_GB2312"/>
          <w:color w:val="000000"/>
          <w:sz w:val="24"/>
          <w:highlight w:val="none"/>
          <w:lang w:eastAsia="zh-CN"/>
        </w:rPr>
        <w:t>（</w:t>
      </w:r>
      <w:r>
        <w:rPr>
          <w:rFonts w:hint="eastAsia" w:ascii="楷体_GB2312" w:hAnsi="宋体" w:eastAsia="楷体_GB2312"/>
          <w:color w:val="000000"/>
          <w:sz w:val="24"/>
          <w:highlight w:val="none"/>
          <w:lang w:val="en-US" w:eastAsia="zh-CN"/>
        </w:rPr>
        <w:t>4</w:t>
      </w:r>
      <w:r>
        <w:rPr>
          <w:rFonts w:hint="eastAsia" w:ascii="楷体_GB2312" w:hAnsi="宋体" w:eastAsia="楷体_GB2312"/>
          <w:color w:val="000000"/>
          <w:sz w:val="24"/>
          <w:highlight w:val="none"/>
          <w:lang w:eastAsia="zh-CN"/>
        </w:rPr>
        <w:t>）</w:t>
      </w:r>
      <w:r>
        <w:rPr>
          <w:rFonts w:hint="eastAsia" w:ascii="楷体_GB2312" w:hAnsi="宋体" w:eastAsia="楷体_GB2312"/>
          <w:color w:val="000000"/>
          <w:sz w:val="24"/>
          <w:highlight w:val="none"/>
        </w:rPr>
        <w:t>代销机构名称：</w:t>
      </w:r>
      <w:r>
        <w:rPr>
          <w:rFonts w:hint="eastAsia" w:ascii="楷体_GB2312" w:hAnsi="宋体" w:eastAsia="楷体_GB2312" w:cs="Times New Roman"/>
          <w:color w:val="auto"/>
          <w:sz w:val="24"/>
          <w:lang w:val="en-US" w:eastAsia="zh-CN"/>
        </w:rPr>
        <w:t>浙江台州路桥农村商业银行股份有限公司（以下简称“台州农商银行”）</w:t>
      </w:r>
    </w:p>
    <w:p>
      <w:pPr>
        <w:ind w:firstLine="480" w:firstLineChars="200"/>
        <w:rPr>
          <w:rFonts w:hint="eastAsia" w:ascii="楷体_GB2312" w:hAnsi="宋体" w:eastAsia="楷体_GB2312"/>
          <w:color w:val="000000"/>
          <w:sz w:val="24"/>
          <w:highlight w:val="none"/>
          <w:lang w:val="en-US" w:eastAsia="zh-CN"/>
        </w:rPr>
      </w:pPr>
      <w:r>
        <w:rPr>
          <w:rFonts w:hint="eastAsia" w:ascii="楷体_GB2312" w:hAnsi="宋体" w:eastAsia="楷体_GB2312"/>
          <w:color w:val="000000"/>
          <w:sz w:val="24"/>
          <w:highlight w:val="none"/>
        </w:rPr>
        <w:t>法定代表人：罗洋明</w:t>
      </w:r>
    </w:p>
    <w:p>
      <w:pPr>
        <w:ind w:firstLine="480" w:firstLineChars="200"/>
        <w:rPr>
          <w:rFonts w:hint="eastAsia" w:ascii="楷体_GB2312" w:hAnsi="宋体" w:eastAsia="楷体_GB2312"/>
          <w:color w:val="000000"/>
          <w:sz w:val="24"/>
          <w:highlight w:val="none"/>
        </w:rPr>
      </w:pPr>
      <w:r>
        <w:rPr>
          <w:rFonts w:hint="eastAsia" w:ascii="楷体_GB2312" w:hAnsi="宋体" w:eastAsia="楷体_GB2312"/>
          <w:color w:val="000000"/>
          <w:sz w:val="24"/>
          <w:highlight w:val="none"/>
        </w:rPr>
        <w:t>注册地址：浙江省台州市路桥区路北街道中心大道5789号</w:t>
      </w:r>
    </w:p>
    <w:p>
      <w:pPr>
        <w:ind w:firstLine="480" w:firstLineChars="200"/>
        <w:rPr>
          <w:rFonts w:hint="default" w:ascii="楷体_GB2312" w:hAnsi="宋体" w:eastAsia="楷体_GB2312"/>
          <w:color w:val="000000"/>
          <w:sz w:val="24"/>
          <w:highlight w:val="none"/>
          <w:lang w:val="en-US" w:eastAsia="zh-CN"/>
        </w:rPr>
      </w:pPr>
      <w:r>
        <w:rPr>
          <w:rFonts w:hint="eastAsia" w:ascii="楷体_GB2312" w:hAnsi="宋体" w:eastAsia="楷体_GB2312"/>
          <w:color w:val="000000"/>
          <w:sz w:val="24"/>
          <w:highlight w:val="none"/>
        </w:rPr>
        <w:t>投资者服务热线：</w:t>
      </w:r>
      <w:r>
        <w:rPr>
          <w:rFonts w:hint="eastAsia" w:ascii="楷体_GB2312" w:eastAsia="楷体_GB2312"/>
          <w:color w:val="auto"/>
          <w:sz w:val="24"/>
          <w:highlight w:val="none"/>
        </w:rPr>
        <w:t>96596</w:t>
      </w:r>
    </w:p>
    <w:p>
      <w:pPr>
        <w:ind w:firstLine="480" w:firstLineChars="200"/>
        <w:rPr>
          <w:rFonts w:hint="eastAsia" w:ascii="楷体_GB2312" w:hAnsi="宋体" w:eastAsia="楷体_GB2312" w:cs="Times New Roman"/>
          <w:color w:val="auto"/>
          <w:sz w:val="24"/>
          <w:lang w:val="en-US" w:eastAsia="zh-CN"/>
        </w:rPr>
      </w:pPr>
      <w:r>
        <w:rPr>
          <w:rFonts w:hint="eastAsia" w:ascii="楷体_GB2312" w:hAnsi="宋体" w:eastAsia="楷体_GB2312"/>
          <w:color w:val="000000"/>
          <w:sz w:val="24"/>
          <w:highlight w:val="none"/>
          <w:lang w:eastAsia="zh-CN"/>
        </w:rPr>
        <w:t>（</w:t>
      </w:r>
      <w:r>
        <w:rPr>
          <w:rFonts w:hint="eastAsia" w:ascii="楷体_GB2312" w:hAnsi="宋体" w:eastAsia="楷体_GB2312"/>
          <w:color w:val="000000"/>
          <w:sz w:val="24"/>
          <w:highlight w:val="none"/>
          <w:lang w:val="en-US" w:eastAsia="zh-CN"/>
        </w:rPr>
        <w:t>5</w:t>
      </w:r>
      <w:r>
        <w:rPr>
          <w:rFonts w:hint="eastAsia" w:ascii="楷体_GB2312" w:hAnsi="宋体" w:eastAsia="楷体_GB2312"/>
          <w:color w:val="000000"/>
          <w:sz w:val="24"/>
          <w:highlight w:val="none"/>
          <w:lang w:eastAsia="zh-CN"/>
        </w:rPr>
        <w:t>）</w:t>
      </w:r>
      <w:r>
        <w:rPr>
          <w:rFonts w:hint="eastAsia" w:ascii="楷体_GB2312" w:hAnsi="宋体" w:eastAsia="楷体_GB2312"/>
          <w:color w:val="000000"/>
          <w:sz w:val="24"/>
          <w:highlight w:val="none"/>
        </w:rPr>
        <w:t>代销机构名称：</w:t>
      </w:r>
      <w:r>
        <w:rPr>
          <w:rFonts w:hint="eastAsia" w:ascii="楷体_GB2312" w:hAnsi="宋体" w:eastAsia="楷体_GB2312" w:cs="Times New Roman"/>
          <w:color w:val="auto"/>
          <w:sz w:val="24"/>
          <w:lang w:val="en-US" w:eastAsia="zh-CN"/>
        </w:rPr>
        <w:t>浙江龙泉农村商业银行股份有限公司（以下简称“龙泉农商银行”）</w:t>
      </w:r>
    </w:p>
    <w:p>
      <w:pPr>
        <w:ind w:firstLine="480" w:firstLineChars="200"/>
        <w:rPr>
          <w:rFonts w:hint="eastAsia" w:ascii="楷体_GB2312" w:hAnsi="宋体" w:eastAsia="楷体_GB2312"/>
          <w:color w:val="000000"/>
          <w:sz w:val="24"/>
          <w:highlight w:val="none"/>
          <w:lang w:val="en-US" w:eastAsia="zh-CN"/>
        </w:rPr>
      </w:pPr>
      <w:r>
        <w:rPr>
          <w:rFonts w:hint="eastAsia" w:ascii="楷体_GB2312" w:hAnsi="宋体" w:eastAsia="楷体_GB2312"/>
          <w:color w:val="000000"/>
          <w:sz w:val="24"/>
          <w:highlight w:val="none"/>
        </w:rPr>
        <w:t>法定代表人：刘紫波</w:t>
      </w:r>
    </w:p>
    <w:p>
      <w:pPr>
        <w:ind w:firstLine="480" w:firstLineChars="200"/>
        <w:rPr>
          <w:rFonts w:hint="eastAsia" w:ascii="楷体_GB2312" w:hAnsi="宋体" w:eastAsia="楷体_GB2312"/>
          <w:color w:val="000000"/>
          <w:sz w:val="24"/>
          <w:highlight w:val="none"/>
        </w:rPr>
      </w:pPr>
      <w:r>
        <w:rPr>
          <w:rFonts w:hint="eastAsia" w:ascii="楷体_GB2312" w:hAnsi="宋体" w:eastAsia="楷体_GB2312"/>
          <w:color w:val="000000"/>
          <w:sz w:val="24"/>
          <w:highlight w:val="none"/>
        </w:rPr>
        <w:t>注册地址：浙江省丽水市龙泉市龙渊街道中山东路101号</w:t>
      </w:r>
    </w:p>
    <w:p>
      <w:pPr>
        <w:ind w:firstLine="480" w:firstLineChars="200"/>
        <w:rPr>
          <w:rFonts w:hint="default" w:ascii="楷体_GB2312" w:hAnsi="宋体" w:eastAsia="楷体_GB2312"/>
          <w:color w:val="000000"/>
          <w:sz w:val="24"/>
          <w:highlight w:val="none"/>
          <w:lang w:val="en-US" w:eastAsia="zh-CN"/>
        </w:rPr>
      </w:pPr>
      <w:r>
        <w:rPr>
          <w:rFonts w:hint="eastAsia" w:ascii="楷体_GB2312" w:hAnsi="宋体" w:eastAsia="楷体_GB2312"/>
          <w:color w:val="000000"/>
          <w:sz w:val="24"/>
          <w:highlight w:val="none"/>
        </w:rPr>
        <w:t>投资者服务热线：</w:t>
      </w:r>
      <w:r>
        <w:rPr>
          <w:rFonts w:hint="eastAsia" w:ascii="楷体_GB2312" w:eastAsia="楷体_GB2312"/>
          <w:color w:val="auto"/>
          <w:sz w:val="24"/>
          <w:highlight w:val="none"/>
        </w:rPr>
        <w:t>96596</w:t>
      </w:r>
    </w:p>
    <w:p>
      <w:pPr>
        <w:ind w:firstLine="480" w:firstLineChars="200"/>
        <w:rPr>
          <w:rFonts w:hint="eastAsia" w:ascii="楷体_GB2312" w:hAnsi="宋体" w:eastAsia="楷体_GB2312" w:cs="Times New Roman"/>
          <w:color w:val="auto"/>
          <w:sz w:val="24"/>
          <w:lang w:val="en-US" w:eastAsia="zh-CN"/>
        </w:rPr>
      </w:pPr>
      <w:r>
        <w:rPr>
          <w:rFonts w:hint="eastAsia" w:ascii="楷体_GB2312" w:hAnsi="宋体" w:eastAsia="楷体_GB2312"/>
          <w:color w:val="000000"/>
          <w:sz w:val="24"/>
          <w:highlight w:val="none"/>
          <w:lang w:eastAsia="zh-CN"/>
        </w:rPr>
        <w:t>（</w:t>
      </w:r>
      <w:r>
        <w:rPr>
          <w:rFonts w:hint="eastAsia" w:ascii="楷体_GB2312" w:hAnsi="宋体" w:eastAsia="楷体_GB2312"/>
          <w:color w:val="000000"/>
          <w:sz w:val="24"/>
          <w:highlight w:val="none"/>
          <w:lang w:val="en-US" w:eastAsia="zh-CN"/>
        </w:rPr>
        <w:t>6</w:t>
      </w:r>
      <w:r>
        <w:rPr>
          <w:rFonts w:hint="eastAsia" w:ascii="楷体_GB2312" w:hAnsi="宋体" w:eastAsia="楷体_GB2312"/>
          <w:color w:val="000000"/>
          <w:sz w:val="24"/>
          <w:highlight w:val="none"/>
          <w:lang w:eastAsia="zh-CN"/>
        </w:rPr>
        <w:t>）</w:t>
      </w:r>
      <w:r>
        <w:rPr>
          <w:rFonts w:hint="eastAsia" w:ascii="楷体_GB2312" w:hAnsi="宋体" w:eastAsia="楷体_GB2312"/>
          <w:color w:val="000000"/>
          <w:sz w:val="24"/>
          <w:highlight w:val="none"/>
        </w:rPr>
        <w:t>代销机构名称：</w:t>
      </w:r>
      <w:r>
        <w:rPr>
          <w:rFonts w:hint="eastAsia" w:ascii="楷体_GB2312" w:hAnsi="宋体" w:eastAsia="楷体_GB2312" w:cs="Times New Roman"/>
          <w:color w:val="auto"/>
          <w:sz w:val="24"/>
          <w:lang w:val="en-US" w:eastAsia="zh-CN"/>
        </w:rPr>
        <w:t>浙江绍兴瑞丰农村商业银行股份有限公司（以下简称“瑞丰农商银行”）</w:t>
      </w:r>
    </w:p>
    <w:p>
      <w:pPr>
        <w:ind w:firstLine="480" w:firstLineChars="200"/>
        <w:rPr>
          <w:rFonts w:hint="eastAsia" w:ascii="楷体_GB2312" w:hAnsi="宋体" w:eastAsia="楷体_GB2312"/>
          <w:color w:val="000000"/>
          <w:sz w:val="24"/>
          <w:highlight w:val="none"/>
          <w:lang w:val="en-US" w:eastAsia="zh-CN"/>
        </w:rPr>
      </w:pPr>
      <w:r>
        <w:rPr>
          <w:rFonts w:hint="eastAsia" w:ascii="楷体_GB2312" w:hAnsi="宋体" w:eastAsia="楷体_GB2312"/>
          <w:color w:val="000000"/>
          <w:sz w:val="24"/>
          <w:highlight w:val="none"/>
        </w:rPr>
        <w:t>法定代表人：吴智晖</w:t>
      </w:r>
    </w:p>
    <w:p>
      <w:pPr>
        <w:ind w:firstLine="480" w:firstLineChars="200"/>
        <w:rPr>
          <w:rFonts w:hint="eastAsia" w:ascii="楷体_GB2312" w:hAnsi="宋体" w:eastAsia="楷体_GB2312"/>
          <w:color w:val="000000"/>
          <w:sz w:val="24"/>
          <w:highlight w:val="none"/>
        </w:rPr>
      </w:pPr>
      <w:r>
        <w:rPr>
          <w:rFonts w:hint="eastAsia" w:ascii="楷体_GB2312" w:hAnsi="宋体" w:eastAsia="楷体_GB2312"/>
          <w:color w:val="000000"/>
          <w:sz w:val="24"/>
          <w:highlight w:val="none"/>
        </w:rPr>
        <w:t>注册地址：浙江省绍兴市柯桥区柯桥笛扬路1363号</w:t>
      </w:r>
    </w:p>
    <w:p>
      <w:pPr>
        <w:ind w:firstLine="480" w:firstLineChars="200"/>
        <w:rPr>
          <w:rFonts w:hint="default" w:ascii="楷体_GB2312" w:hAnsi="宋体" w:eastAsia="楷体_GB2312"/>
          <w:color w:val="000000"/>
          <w:sz w:val="24"/>
          <w:highlight w:val="none"/>
          <w:lang w:val="en-US" w:eastAsia="zh-CN"/>
        </w:rPr>
      </w:pPr>
      <w:r>
        <w:rPr>
          <w:rFonts w:hint="eastAsia" w:ascii="楷体_GB2312" w:hAnsi="宋体" w:eastAsia="楷体_GB2312"/>
          <w:color w:val="000000"/>
          <w:sz w:val="24"/>
          <w:highlight w:val="none"/>
        </w:rPr>
        <w:t>投资者服务热线：</w:t>
      </w:r>
      <w:r>
        <w:rPr>
          <w:rFonts w:hint="eastAsia" w:ascii="楷体_GB2312" w:eastAsia="楷体_GB2312"/>
          <w:color w:val="auto"/>
          <w:sz w:val="24"/>
          <w:highlight w:val="none"/>
        </w:rPr>
        <w:t>96596</w:t>
      </w:r>
    </w:p>
    <w:p>
      <w:pPr>
        <w:ind w:firstLine="480" w:firstLineChars="200"/>
        <w:rPr>
          <w:rFonts w:hint="eastAsia" w:ascii="楷体_GB2312" w:hAnsi="宋体" w:eastAsia="楷体_GB2312" w:cs="Times New Roman"/>
          <w:color w:val="auto"/>
          <w:sz w:val="24"/>
          <w:lang w:val="en-US" w:eastAsia="zh-CN"/>
        </w:rPr>
      </w:pPr>
      <w:r>
        <w:rPr>
          <w:rFonts w:hint="eastAsia" w:ascii="楷体_GB2312" w:hAnsi="宋体" w:eastAsia="楷体_GB2312"/>
          <w:color w:val="000000"/>
          <w:sz w:val="24"/>
          <w:highlight w:val="none"/>
          <w:lang w:eastAsia="zh-CN"/>
        </w:rPr>
        <w:t>（</w:t>
      </w:r>
      <w:r>
        <w:rPr>
          <w:rFonts w:hint="eastAsia" w:ascii="楷体_GB2312" w:hAnsi="宋体" w:eastAsia="楷体_GB2312"/>
          <w:color w:val="000000"/>
          <w:sz w:val="24"/>
          <w:highlight w:val="none"/>
          <w:lang w:val="en-US" w:eastAsia="zh-CN"/>
        </w:rPr>
        <w:t>7</w:t>
      </w:r>
      <w:r>
        <w:rPr>
          <w:rFonts w:hint="eastAsia" w:ascii="楷体_GB2312" w:hAnsi="宋体" w:eastAsia="楷体_GB2312"/>
          <w:color w:val="000000"/>
          <w:sz w:val="24"/>
          <w:highlight w:val="none"/>
          <w:lang w:eastAsia="zh-CN"/>
        </w:rPr>
        <w:t>）</w:t>
      </w:r>
      <w:r>
        <w:rPr>
          <w:rFonts w:hint="eastAsia" w:ascii="楷体_GB2312" w:hAnsi="宋体" w:eastAsia="楷体_GB2312"/>
          <w:color w:val="000000"/>
          <w:sz w:val="24"/>
          <w:highlight w:val="none"/>
        </w:rPr>
        <w:t>代销机构名称：</w:t>
      </w:r>
      <w:r>
        <w:rPr>
          <w:rFonts w:hint="eastAsia" w:ascii="楷体_GB2312" w:hAnsi="宋体" w:eastAsia="楷体_GB2312" w:cs="Times New Roman"/>
          <w:color w:val="auto"/>
          <w:sz w:val="24"/>
          <w:lang w:val="en-US" w:eastAsia="zh-CN"/>
        </w:rPr>
        <w:t>浙江舟山普陀农村商业银行股份有限公司（以下简称“普陀农商银行”）</w:t>
      </w:r>
    </w:p>
    <w:p>
      <w:pPr>
        <w:ind w:firstLine="480" w:firstLineChars="200"/>
        <w:rPr>
          <w:rFonts w:hint="eastAsia" w:ascii="楷体_GB2312" w:hAnsi="宋体" w:eastAsia="楷体_GB2312"/>
          <w:color w:val="000000"/>
          <w:sz w:val="24"/>
          <w:highlight w:val="none"/>
          <w:lang w:val="en-US" w:eastAsia="zh-CN"/>
        </w:rPr>
      </w:pPr>
      <w:r>
        <w:rPr>
          <w:rFonts w:hint="eastAsia" w:ascii="楷体_GB2312" w:hAnsi="宋体" w:eastAsia="楷体_GB2312"/>
          <w:color w:val="000000"/>
          <w:sz w:val="24"/>
          <w:highlight w:val="none"/>
        </w:rPr>
        <w:t>法定代表人：缪军</w:t>
      </w:r>
    </w:p>
    <w:p>
      <w:pPr>
        <w:ind w:firstLine="480" w:firstLineChars="200"/>
        <w:rPr>
          <w:rFonts w:hint="eastAsia" w:ascii="楷体_GB2312" w:hAnsi="宋体" w:eastAsia="楷体_GB2312"/>
          <w:color w:val="000000"/>
          <w:sz w:val="24"/>
          <w:highlight w:val="none"/>
        </w:rPr>
      </w:pPr>
      <w:r>
        <w:rPr>
          <w:rFonts w:hint="eastAsia" w:ascii="楷体_GB2312" w:hAnsi="宋体" w:eastAsia="楷体_GB2312"/>
          <w:color w:val="000000"/>
          <w:sz w:val="24"/>
          <w:highlight w:val="none"/>
        </w:rPr>
        <w:t>注册地址：浙江省舟山市普陀区东港街道麒麟街225号（自贸试验区内）</w:t>
      </w:r>
    </w:p>
    <w:p>
      <w:pPr>
        <w:ind w:firstLine="480" w:firstLineChars="200"/>
        <w:rPr>
          <w:rFonts w:hint="default" w:ascii="楷体_GB2312" w:hAnsi="宋体" w:eastAsia="楷体_GB2312"/>
          <w:color w:val="000000"/>
          <w:sz w:val="24"/>
          <w:highlight w:val="none"/>
          <w:lang w:val="en-US" w:eastAsia="zh-CN"/>
        </w:rPr>
      </w:pPr>
      <w:r>
        <w:rPr>
          <w:rFonts w:hint="eastAsia" w:ascii="楷体_GB2312" w:hAnsi="宋体" w:eastAsia="楷体_GB2312"/>
          <w:color w:val="000000"/>
          <w:sz w:val="24"/>
          <w:highlight w:val="none"/>
        </w:rPr>
        <w:t>投资者服务热线：</w:t>
      </w:r>
      <w:r>
        <w:rPr>
          <w:rFonts w:hint="eastAsia" w:ascii="楷体_GB2312" w:eastAsia="楷体_GB2312"/>
          <w:color w:val="auto"/>
          <w:sz w:val="24"/>
          <w:highlight w:val="none"/>
        </w:rPr>
        <w:t>96596</w:t>
      </w:r>
    </w:p>
    <w:p>
      <w:pPr>
        <w:ind w:firstLine="480" w:firstLineChars="200"/>
        <w:rPr>
          <w:rFonts w:hint="eastAsia" w:ascii="楷体_GB2312" w:hAnsi="宋体" w:eastAsia="楷体_GB2312" w:cs="Times New Roman"/>
          <w:color w:val="auto"/>
          <w:sz w:val="24"/>
          <w:lang w:val="en-US" w:eastAsia="zh-CN"/>
        </w:rPr>
      </w:pPr>
      <w:r>
        <w:rPr>
          <w:rFonts w:hint="eastAsia" w:ascii="楷体_GB2312" w:hAnsi="宋体" w:eastAsia="楷体_GB2312"/>
          <w:color w:val="000000"/>
          <w:sz w:val="24"/>
          <w:highlight w:val="none"/>
          <w:lang w:eastAsia="zh-CN"/>
        </w:rPr>
        <w:t>（</w:t>
      </w:r>
      <w:r>
        <w:rPr>
          <w:rFonts w:hint="eastAsia" w:ascii="楷体_GB2312" w:hAnsi="宋体" w:eastAsia="楷体_GB2312"/>
          <w:color w:val="000000"/>
          <w:sz w:val="24"/>
          <w:highlight w:val="none"/>
          <w:lang w:val="en-US" w:eastAsia="zh-CN"/>
        </w:rPr>
        <w:t>8</w:t>
      </w:r>
      <w:r>
        <w:rPr>
          <w:rFonts w:hint="eastAsia" w:ascii="楷体_GB2312" w:hAnsi="宋体" w:eastAsia="楷体_GB2312"/>
          <w:color w:val="000000"/>
          <w:sz w:val="24"/>
          <w:highlight w:val="none"/>
          <w:lang w:eastAsia="zh-CN"/>
        </w:rPr>
        <w:t>）</w:t>
      </w:r>
      <w:r>
        <w:rPr>
          <w:rFonts w:hint="eastAsia" w:ascii="楷体_GB2312" w:hAnsi="宋体" w:eastAsia="楷体_GB2312"/>
          <w:color w:val="000000"/>
          <w:sz w:val="24"/>
          <w:highlight w:val="none"/>
        </w:rPr>
        <w:t>代销机构名称：</w:t>
      </w:r>
      <w:r>
        <w:rPr>
          <w:rFonts w:hint="eastAsia" w:ascii="楷体_GB2312" w:hAnsi="宋体" w:eastAsia="楷体_GB2312" w:cs="Times New Roman"/>
          <w:color w:val="auto"/>
          <w:sz w:val="24"/>
          <w:lang w:val="en-US" w:eastAsia="zh-CN"/>
        </w:rPr>
        <w:t>浙江建德农村商业银行股份有限公司（以下简称“建德农商银行”）</w:t>
      </w:r>
    </w:p>
    <w:p>
      <w:pPr>
        <w:ind w:firstLine="480" w:firstLineChars="200"/>
        <w:rPr>
          <w:rFonts w:hint="eastAsia" w:ascii="楷体_GB2312" w:hAnsi="宋体" w:eastAsia="楷体_GB2312"/>
          <w:color w:val="000000"/>
          <w:sz w:val="24"/>
          <w:highlight w:val="none"/>
          <w:lang w:val="en-US" w:eastAsia="zh-CN"/>
        </w:rPr>
      </w:pPr>
      <w:r>
        <w:rPr>
          <w:rFonts w:hint="eastAsia" w:ascii="楷体_GB2312" w:hAnsi="宋体" w:eastAsia="楷体_GB2312"/>
          <w:color w:val="000000"/>
          <w:sz w:val="24"/>
          <w:highlight w:val="none"/>
        </w:rPr>
        <w:t>法定代表人：王锦芳</w:t>
      </w:r>
    </w:p>
    <w:p>
      <w:pPr>
        <w:ind w:firstLine="480" w:firstLineChars="200"/>
        <w:rPr>
          <w:rFonts w:hint="eastAsia" w:ascii="楷体_GB2312" w:hAnsi="宋体" w:eastAsia="楷体_GB2312"/>
          <w:color w:val="000000"/>
          <w:sz w:val="24"/>
          <w:highlight w:val="none"/>
        </w:rPr>
      </w:pPr>
      <w:r>
        <w:rPr>
          <w:rFonts w:hint="eastAsia" w:ascii="楷体_GB2312" w:hAnsi="宋体" w:eastAsia="楷体_GB2312"/>
          <w:color w:val="000000"/>
          <w:sz w:val="24"/>
          <w:highlight w:val="none"/>
        </w:rPr>
        <w:t>注册地址：浙江省建德市新安江街道江滨中路176号</w:t>
      </w:r>
    </w:p>
    <w:p>
      <w:pPr>
        <w:ind w:firstLine="480" w:firstLineChars="200"/>
        <w:rPr>
          <w:rFonts w:hint="default" w:ascii="楷体_GB2312" w:hAnsi="宋体" w:eastAsia="楷体_GB2312"/>
          <w:color w:val="000000"/>
          <w:sz w:val="24"/>
          <w:highlight w:val="none"/>
          <w:lang w:val="en-US" w:eastAsia="zh-CN"/>
        </w:rPr>
      </w:pPr>
      <w:r>
        <w:rPr>
          <w:rFonts w:hint="eastAsia" w:ascii="楷体_GB2312" w:hAnsi="宋体" w:eastAsia="楷体_GB2312"/>
          <w:color w:val="000000"/>
          <w:sz w:val="24"/>
          <w:highlight w:val="none"/>
        </w:rPr>
        <w:t>投资者服务热线：</w:t>
      </w:r>
      <w:r>
        <w:rPr>
          <w:rFonts w:hint="eastAsia" w:ascii="楷体_GB2312" w:eastAsia="楷体_GB2312"/>
          <w:color w:val="auto"/>
          <w:sz w:val="24"/>
          <w:highlight w:val="none"/>
        </w:rPr>
        <w:t>96596</w:t>
      </w:r>
    </w:p>
    <w:p>
      <w:pPr>
        <w:ind w:firstLine="480" w:firstLineChars="200"/>
        <w:rPr>
          <w:rFonts w:hint="eastAsia" w:ascii="楷体_GB2312" w:hAnsi="宋体" w:eastAsia="楷体_GB2312" w:cs="Times New Roman"/>
          <w:color w:val="auto"/>
          <w:sz w:val="24"/>
          <w:lang w:val="en-US" w:eastAsia="zh-CN"/>
        </w:rPr>
      </w:pPr>
      <w:r>
        <w:rPr>
          <w:rFonts w:hint="eastAsia" w:ascii="楷体_GB2312" w:hAnsi="宋体" w:eastAsia="楷体_GB2312"/>
          <w:color w:val="000000"/>
          <w:sz w:val="24"/>
          <w:highlight w:val="none"/>
          <w:lang w:eastAsia="zh-CN"/>
        </w:rPr>
        <w:t>（</w:t>
      </w:r>
      <w:r>
        <w:rPr>
          <w:rFonts w:hint="eastAsia" w:ascii="楷体_GB2312" w:hAnsi="宋体" w:eastAsia="楷体_GB2312"/>
          <w:color w:val="000000"/>
          <w:sz w:val="24"/>
          <w:highlight w:val="none"/>
          <w:lang w:val="en-US" w:eastAsia="zh-CN"/>
        </w:rPr>
        <w:t>9</w:t>
      </w:r>
      <w:r>
        <w:rPr>
          <w:rFonts w:hint="eastAsia" w:ascii="楷体_GB2312" w:hAnsi="宋体" w:eastAsia="楷体_GB2312"/>
          <w:color w:val="000000"/>
          <w:sz w:val="24"/>
          <w:highlight w:val="none"/>
          <w:lang w:eastAsia="zh-CN"/>
        </w:rPr>
        <w:t>）</w:t>
      </w:r>
      <w:r>
        <w:rPr>
          <w:rFonts w:hint="eastAsia" w:ascii="楷体_GB2312" w:hAnsi="宋体" w:eastAsia="楷体_GB2312"/>
          <w:color w:val="000000"/>
          <w:sz w:val="24"/>
          <w:highlight w:val="none"/>
        </w:rPr>
        <w:t>代销机构名称：</w:t>
      </w:r>
      <w:r>
        <w:rPr>
          <w:rFonts w:hint="eastAsia" w:ascii="楷体_GB2312" w:hAnsi="宋体" w:eastAsia="楷体_GB2312" w:cs="Times New Roman"/>
          <w:color w:val="auto"/>
          <w:sz w:val="24"/>
          <w:lang w:val="en-US" w:eastAsia="zh-CN"/>
        </w:rPr>
        <w:t>浙江嵊州农村商业银行股份有限公司（以下简称“嵊州农商银行”）</w:t>
      </w:r>
    </w:p>
    <w:p>
      <w:pPr>
        <w:ind w:firstLine="480" w:firstLineChars="200"/>
        <w:rPr>
          <w:rFonts w:hint="eastAsia" w:ascii="楷体_GB2312" w:hAnsi="宋体" w:eastAsia="楷体_GB2312"/>
          <w:color w:val="000000"/>
          <w:sz w:val="24"/>
          <w:highlight w:val="none"/>
          <w:lang w:val="en-US" w:eastAsia="zh-CN"/>
        </w:rPr>
      </w:pPr>
      <w:r>
        <w:rPr>
          <w:rFonts w:hint="eastAsia" w:ascii="楷体_GB2312" w:hAnsi="宋体" w:eastAsia="楷体_GB2312"/>
          <w:color w:val="000000"/>
          <w:sz w:val="24"/>
          <w:highlight w:val="none"/>
        </w:rPr>
        <w:t>法定代表人：林枫</w:t>
      </w:r>
    </w:p>
    <w:p>
      <w:pPr>
        <w:ind w:firstLine="480" w:firstLineChars="200"/>
        <w:rPr>
          <w:rFonts w:hint="eastAsia" w:ascii="楷体_GB2312" w:hAnsi="宋体" w:eastAsia="楷体_GB2312"/>
          <w:color w:val="000000"/>
          <w:sz w:val="24"/>
          <w:highlight w:val="none"/>
        </w:rPr>
      </w:pPr>
      <w:r>
        <w:rPr>
          <w:rFonts w:hint="eastAsia" w:ascii="楷体_GB2312" w:hAnsi="宋体" w:eastAsia="楷体_GB2312"/>
          <w:color w:val="000000"/>
          <w:sz w:val="24"/>
          <w:highlight w:val="none"/>
        </w:rPr>
        <w:t>注册地址：浙江省嵊州市剡湖街道官河路398号</w:t>
      </w:r>
    </w:p>
    <w:p>
      <w:pPr>
        <w:ind w:firstLine="480" w:firstLineChars="200"/>
        <w:rPr>
          <w:rFonts w:hint="default" w:ascii="楷体_GB2312" w:hAnsi="宋体" w:eastAsia="楷体_GB2312"/>
          <w:color w:val="000000"/>
          <w:sz w:val="24"/>
          <w:highlight w:val="none"/>
          <w:lang w:val="en-US" w:eastAsia="zh-CN"/>
        </w:rPr>
      </w:pPr>
      <w:r>
        <w:rPr>
          <w:rFonts w:hint="eastAsia" w:ascii="楷体_GB2312" w:hAnsi="宋体" w:eastAsia="楷体_GB2312"/>
          <w:color w:val="000000"/>
          <w:sz w:val="24"/>
          <w:highlight w:val="none"/>
        </w:rPr>
        <w:t>投资者服务热线：</w:t>
      </w:r>
      <w:r>
        <w:rPr>
          <w:rFonts w:hint="eastAsia" w:ascii="楷体_GB2312" w:eastAsia="楷体_GB2312"/>
          <w:color w:val="auto"/>
          <w:sz w:val="24"/>
          <w:highlight w:val="none"/>
        </w:rPr>
        <w:t>96596</w:t>
      </w:r>
    </w:p>
    <w:p>
      <w:pPr>
        <w:ind w:firstLine="480" w:firstLineChars="200"/>
        <w:rPr>
          <w:rFonts w:hint="eastAsia" w:ascii="楷体_GB2312" w:hAnsi="宋体" w:eastAsia="楷体_GB2312" w:cs="Times New Roman"/>
          <w:color w:val="auto"/>
          <w:sz w:val="24"/>
          <w:lang w:val="en-US" w:eastAsia="zh-CN"/>
        </w:rPr>
      </w:pPr>
      <w:r>
        <w:rPr>
          <w:rFonts w:hint="eastAsia" w:ascii="楷体_GB2312" w:hAnsi="宋体" w:eastAsia="楷体_GB2312"/>
          <w:color w:val="000000"/>
          <w:sz w:val="24"/>
          <w:highlight w:val="none"/>
          <w:lang w:eastAsia="zh-CN"/>
        </w:rPr>
        <w:t>（</w:t>
      </w:r>
      <w:r>
        <w:rPr>
          <w:rFonts w:hint="eastAsia" w:ascii="楷体_GB2312" w:hAnsi="宋体" w:eastAsia="楷体_GB2312"/>
          <w:color w:val="000000"/>
          <w:sz w:val="24"/>
          <w:highlight w:val="none"/>
          <w:lang w:val="en-US" w:eastAsia="zh-CN"/>
        </w:rPr>
        <w:t>10</w:t>
      </w:r>
      <w:r>
        <w:rPr>
          <w:rFonts w:hint="eastAsia" w:ascii="楷体_GB2312" w:hAnsi="宋体" w:eastAsia="楷体_GB2312"/>
          <w:color w:val="000000"/>
          <w:sz w:val="24"/>
          <w:highlight w:val="none"/>
          <w:lang w:eastAsia="zh-CN"/>
        </w:rPr>
        <w:t>）</w:t>
      </w:r>
      <w:r>
        <w:rPr>
          <w:rFonts w:hint="eastAsia" w:ascii="楷体_GB2312" w:hAnsi="宋体" w:eastAsia="楷体_GB2312"/>
          <w:color w:val="000000"/>
          <w:sz w:val="24"/>
          <w:highlight w:val="none"/>
        </w:rPr>
        <w:t>代销机构名称：</w:t>
      </w:r>
      <w:r>
        <w:rPr>
          <w:rFonts w:hint="eastAsia" w:ascii="楷体_GB2312" w:hAnsi="宋体" w:eastAsia="楷体_GB2312" w:cs="Times New Roman"/>
          <w:color w:val="auto"/>
          <w:sz w:val="24"/>
          <w:lang w:val="en-US" w:eastAsia="zh-CN"/>
        </w:rPr>
        <w:t>宁波慈溪农村商业银行股份有限公司（以下简称“慈溪农商银行”）</w:t>
      </w:r>
    </w:p>
    <w:p>
      <w:pPr>
        <w:ind w:firstLine="480" w:firstLineChars="200"/>
        <w:rPr>
          <w:rFonts w:hint="eastAsia" w:ascii="楷体_GB2312" w:hAnsi="宋体" w:eastAsia="楷体_GB2312"/>
          <w:color w:val="000000"/>
          <w:sz w:val="24"/>
          <w:highlight w:val="none"/>
          <w:lang w:val="en-US" w:eastAsia="zh-CN"/>
        </w:rPr>
      </w:pPr>
      <w:r>
        <w:rPr>
          <w:rFonts w:hint="eastAsia" w:ascii="楷体_GB2312" w:hAnsi="宋体" w:eastAsia="楷体_GB2312"/>
          <w:color w:val="000000"/>
          <w:sz w:val="24"/>
          <w:highlight w:val="none"/>
        </w:rPr>
        <w:t>法定代表人：沈雨风</w:t>
      </w:r>
    </w:p>
    <w:p>
      <w:pPr>
        <w:ind w:firstLine="480" w:firstLineChars="200"/>
        <w:rPr>
          <w:rFonts w:hint="eastAsia" w:ascii="楷体_GB2312" w:hAnsi="宋体" w:eastAsia="楷体_GB2312"/>
          <w:color w:val="000000"/>
          <w:sz w:val="24"/>
          <w:highlight w:val="none"/>
        </w:rPr>
      </w:pPr>
      <w:r>
        <w:rPr>
          <w:rFonts w:hint="eastAsia" w:ascii="楷体_GB2312" w:hAnsi="宋体" w:eastAsia="楷体_GB2312"/>
          <w:color w:val="000000"/>
          <w:sz w:val="24"/>
          <w:highlight w:val="none"/>
        </w:rPr>
        <w:t>注册地址：浙江省慈溪市浒山街道南城路25号、59号5-6层</w:t>
      </w:r>
    </w:p>
    <w:p>
      <w:pPr>
        <w:ind w:firstLine="480" w:firstLineChars="200"/>
        <w:rPr>
          <w:rFonts w:hint="default" w:ascii="楷体_GB2312" w:hAnsi="宋体" w:eastAsia="楷体_GB2312"/>
          <w:color w:val="000000"/>
          <w:sz w:val="24"/>
          <w:highlight w:val="none"/>
          <w:lang w:val="en-US" w:eastAsia="zh-CN"/>
        </w:rPr>
      </w:pPr>
      <w:r>
        <w:rPr>
          <w:rFonts w:hint="eastAsia" w:ascii="楷体_GB2312" w:hAnsi="宋体" w:eastAsia="楷体_GB2312"/>
          <w:color w:val="000000"/>
          <w:sz w:val="24"/>
          <w:highlight w:val="none"/>
        </w:rPr>
        <w:t>投资者服务热线：</w:t>
      </w:r>
      <w:r>
        <w:rPr>
          <w:rFonts w:hint="eastAsia" w:ascii="楷体_GB2312" w:eastAsia="楷体_GB2312"/>
          <w:color w:val="auto"/>
          <w:sz w:val="24"/>
          <w:highlight w:val="none"/>
        </w:rPr>
        <w:t>96596</w:t>
      </w:r>
    </w:p>
    <w:p>
      <w:pPr>
        <w:ind w:firstLine="480" w:firstLineChars="200"/>
        <w:rPr>
          <w:rFonts w:hint="eastAsia" w:ascii="楷体_GB2312" w:hAnsi="宋体" w:eastAsia="楷体_GB2312" w:cs="Times New Roman"/>
          <w:color w:val="auto"/>
          <w:sz w:val="24"/>
          <w:lang w:val="en-US" w:eastAsia="zh-CN"/>
        </w:rPr>
      </w:pPr>
      <w:r>
        <w:rPr>
          <w:rFonts w:hint="eastAsia" w:ascii="楷体_GB2312" w:hAnsi="宋体" w:eastAsia="楷体_GB2312"/>
          <w:color w:val="000000"/>
          <w:sz w:val="24"/>
          <w:highlight w:val="none"/>
          <w:lang w:eastAsia="zh-CN"/>
        </w:rPr>
        <w:t>（</w:t>
      </w:r>
      <w:r>
        <w:rPr>
          <w:rFonts w:hint="eastAsia" w:ascii="楷体_GB2312" w:hAnsi="宋体" w:eastAsia="楷体_GB2312"/>
          <w:color w:val="000000"/>
          <w:sz w:val="24"/>
          <w:highlight w:val="none"/>
          <w:lang w:val="en-US" w:eastAsia="zh-CN"/>
        </w:rPr>
        <w:t>11</w:t>
      </w:r>
      <w:r>
        <w:rPr>
          <w:rFonts w:hint="eastAsia" w:ascii="楷体_GB2312" w:hAnsi="宋体" w:eastAsia="楷体_GB2312"/>
          <w:color w:val="000000"/>
          <w:sz w:val="24"/>
          <w:highlight w:val="none"/>
          <w:lang w:eastAsia="zh-CN"/>
        </w:rPr>
        <w:t>）</w:t>
      </w:r>
      <w:r>
        <w:rPr>
          <w:rFonts w:hint="eastAsia" w:ascii="楷体_GB2312" w:hAnsi="宋体" w:eastAsia="楷体_GB2312"/>
          <w:color w:val="000000"/>
          <w:sz w:val="24"/>
          <w:highlight w:val="none"/>
        </w:rPr>
        <w:t>代销机构名称：</w:t>
      </w:r>
      <w:r>
        <w:rPr>
          <w:rFonts w:hint="eastAsia" w:ascii="楷体_GB2312" w:hAnsi="宋体" w:eastAsia="楷体_GB2312" w:cs="Times New Roman"/>
          <w:color w:val="auto"/>
          <w:sz w:val="24"/>
          <w:lang w:val="en-US" w:eastAsia="zh-CN"/>
        </w:rPr>
        <w:t>浙江浦江农村商业银行股份有限公司（以下简称“浦江农商银行”）</w:t>
      </w:r>
    </w:p>
    <w:p>
      <w:pPr>
        <w:ind w:firstLine="480" w:firstLineChars="200"/>
        <w:rPr>
          <w:rFonts w:hint="eastAsia" w:ascii="楷体_GB2312" w:hAnsi="宋体" w:eastAsia="楷体_GB2312"/>
          <w:color w:val="000000"/>
          <w:sz w:val="24"/>
          <w:highlight w:val="none"/>
          <w:lang w:val="en-US" w:eastAsia="zh-CN"/>
        </w:rPr>
      </w:pPr>
      <w:r>
        <w:rPr>
          <w:rFonts w:hint="eastAsia" w:ascii="楷体_GB2312" w:hAnsi="宋体" w:eastAsia="楷体_GB2312"/>
          <w:color w:val="000000"/>
          <w:sz w:val="24"/>
          <w:highlight w:val="none"/>
        </w:rPr>
        <w:t>法定代表人：陈文斌</w:t>
      </w:r>
    </w:p>
    <w:p>
      <w:pPr>
        <w:ind w:firstLine="480" w:firstLineChars="200"/>
        <w:rPr>
          <w:rFonts w:hint="eastAsia" w:ascii="楷体_GB2312" w:hAnsi="宋体" w:eastAsia="楷体_GB2312"/>
          <w:color w:val="000000"/>
          <w:sz w:val="24"/>
          <w:highlight w:val="none"/>
        </w:rPr>
      </w:pPr>
      <w:r>
        <w:rPr>
          <w:rFonts w:hint="eastAsia" w:ascii="楷体_GB2312" w:hAnsi="宋体" w:eastAsia="楷体_GB2312"/>
          <w:color w:val="000000"/>
          <w:sz w:val="24"/>
          <w:highlight w:val="none"/>
        </w:rPr>
        <w:t>注册地址：浙江省浦江县人民东路90号</w:t>
      </w:r>
    </w:p>
    <w:p>
      <w:pPr>
        <w:ind w:firstLine="480" w:firstLineChars="200"/>
        <w:rPr>
          <w:rFonts w:hint="eastAsia" w:ascii="楷体_GB2312" w:eastAsia="楷体_GB2312"/>
          <w:color w:val="auto"/>
          <w:sz w:val="24"/>
          <w:highlight w:val="none"/>
        </w:rPr>
      </w:pPr>
      <w:r>
        <w:rPr>
          <w:rFonts w:hint="eastAsia" w:ascii="楷体_GB2312" w:hAnsi="宋体" w:eastAsia="楷体_GB2312"/>
          <w:color w:val="000000"/>
          <w:sz w:val="24"/>
          <w:highlight w:val="none"/>
        </w:rPr>
        <w:t>投资者服务热线：</w:t>
      </w:r>
      <w:r>
        <w:rPr>
          <w:rFonts w:hint="eastAsia" w:ascii="楷体_GB2312" w:eastAsia="楷体_GB2312"/>
          <w:color w:val="auto"/>
          <w:sz w:val="24"/>
          <w:highlight w:val="none"/>
        </w:rPr>
        <w:t>96596</w:t>
      </w:r>
    </w:p>
    <w:p>
      <w:pPr>
        <w:ind w:firstLine="480" w:firstLineChars="200"/>
        <w:rPr>
          <w:rFonts w:hint="eastAsia" w:ascii="楷体_GB2312" w:hAnsi="宋体" w:eastAsia="楷体_GB2312" w:cs="Times New Roman"/>
          <w:color w:val="auto"/>
          <w:sz w:val="24"/>
          <w:lang w:val="en-US" w:eastAsia="zh-CN"/>
        </w:rPr>
      </w:pPr>
      <w:r>
        <w:rPr>
          <w:rFonts w:hint="eastAsia" w:ascii="楷体_GB2312" w:hAnsi="宋体" w:eastAsia="楷体_GB2312"/>
          <w:color w:val="000000"/>
          <w:sz w:val="24"/>
          <w:highlight w:val="none"/>
          <w:lang w:eastAsia="zh-CN"/>
        </w:rPr>
        <w:t>（</w:t>
      </w:r>
      <w:r>
        <w:rPr>
          <w:rFonts w:hint="eastAsia" w:ascii="楷体_GB2312" w:hAnsi="宋体" w:eastAsia="楷体_GB2312"/>
          <w:color w:val="000000"/>
          <w:sz w:val="24"/>
          <w:highlight w:val="none"/>
          <w:lang w:val="en-US" w:eastAsia="zh-CN"/>
        </w:rPr>
        <w:t>12</w:t>
      </w:r>
      <w:r>
        <w:rPr>
          <w:rFonts w:hint="eastAsia" w:ascii="楷体_GB2312" w:hAnsi="宋体" w:eastAsia="楷体_GB2312"/>
          <w:color w:val="000000"/>
          <w:sz w:val="24"/>
          <w:highlight w:val="none"/>
          <w:lang w:eastAsia="zh-CN"/>
        </w:rPr>
        <w:t>）</w:t>
      </w:r>
      <w:r>
        <w:rPr>
          <w:rFonts w:hint="eastAsia" w:ascii="楷体_GB2312" w:hAnsi="宋体" w:eastAsia="楷体_GB2312"/>
          <w:color w:val="000000"/>
          <w:sz w:val="24"/>
          <w:highlight w:val="none"/>
        </w:rPr>
        <w:t>代销机构名称：</w:t>
      </w:r>
      <w:r>
        <w:rPr>
          <w:rFonts w:hint="eastAsia" w:ascii="楷体_GB2312" w:hAnsi="宋体" w:eastAsia="楷体_GB2312" w:cs="Times New Roman"/>
          <w:color w:val="auto"/>
          <w:sz w:val="24"/>
          <w:lang w:val="en-US" w:eastAsia="zh-CN"/>
        </w:rPr>
        <w:t>浙江平湖农村商业银行股份有限公司（以下简称“平湖农商银行”）</w:t>
      </w:r>
    </w:p>
    <w:p>
      <w:pPr>
        <w:ind w:firstLine="480" w:firstLineChars="200"/>
        <w:rPr>
          <w:rFonts w:hint="eastAsia" w:ascii="楷体_GB2312" w:hAnsi="宋体" w:eastAsia="楷体_GB2312"/>
          <w:color w:val="000000"/>
          <w:sz w:val="24"/>
          <w:highlight w:val="none"/>
          <w:lang w:val="en-US" w:eastAsia="zh-CN"/>
        </w:rPr>
      </w:pPr>
      <w:r>
        <w:rPr>
          <w:rFonts w:hint="eastAsia" w:ascii="楷体_GB2312" w:hAnsi="宋体" w:eastAsia="楷体_GB2312"/>
          <w:color w:val="000000"/>
          <w:sz w:val="24"/>
          <w:highlight w:val="none"/>
        </w:rPr>
        <w:t>法定代表人：李九良</w:t>
      </w:r>
    </w:p>
    <w:p>
      <w:pPr>
        <w:ind w:firstLine="480" w:firstLineChars="200"/>
        <w:rPr>
          <w:rFonts w:hint="eastAsia" w:ascii="楷体_GB2312" w:hAnsi="宋体" w:eastAsia="楷体_GB2312"/>
          <w:color w:val="000000"/>
          <w:sz w:val="24"/>
          <w:highlight w:val="none"/>
        </w:rPr>
      </w:pPr>
      <w:r>
        <w:rPr>
          <w:rFonts w:hint="eastAsia" w:ascii="楷体_GB2312" w:hAnsi="宋体" w:eastAsia="楷体_GB2312"/>
          <w:color w:val="000000"/>
          <w:sz w:val="24"/>
          <w:highlight w:val="none"/>
        </w:rPr>
        <w:t>注册地址：浙江省平湖市当湖街道胜利路518号</w:t>
      </w:r>
    </w:p>
    <w:p>
      <w:pPr>
        <w:ind w:firstLine="480" w:firstLineChars="200"/>
        <w:rPr>
          <w:rFonts w:hint="eastAsia" w:ascii="楷体_GB2312" w:eastAsia="楷体_GB2312"/>
          <w:color w:val="auto"/>
          <w:sz w:val="24"/>
          <w:highlight w:val="none"/>
        </w:rPr>
      </w:pPr>
      <w:r>
        <w:rPr>
          <w:rFonts w:hint="eastAsia" w:ascii="楷体_GB2312" w:hAnsi="宋体" w:eastAsia="楷体_GB2312"/>
          <w:color w:val="000000"/>
          <w:sz w:val="24"/>
          <w:highlight w:val="none"/>
        </w:rPr>
        <w:t>投资者服务热线：</w:t>
      </w:r>
      <w:r>
        <w:rPr>
          <w:rFonts w:hint="eastAsia" w:ascii="楷体_GB2312" w:eastAsia="楷体_GB2312"/>
          <w:color w:val="auto"/>
          <w:sz w:val="24"/>
          <w:highlight w:val="none"/>
        </w:rPr>
        <w:t>96596</w:t>
      </w:r>
    </w:p>
    <w:p>
      <w:pPr>
        <w:ind w:firstLine="480" w:firstLineChars="200"/>
        <w:rPr>
          <w:rFonts w:hint="eastAsia" w:ascii="楷体_GB2312" w:hAnsi="宋体" w:eastAsia="楷体_GB2312" w:cs="Times New Roman"/>
          <w:color w:val="auto"/>
          <w:sz w:val="24"/>
          <w:lang w:val="en-US" w:eastAsia="zh-CN"/>
        </w:rPr>
      </w:pPr>
      <w:r>
        <w:rPr>
          <w:rFonts w:hint="eastAsia" w:ascii="楷体_GB2312" w:hAnsi="宋体" w:eastAsia="楷体_GB2312"/>
          <w:color w:val="000000"/>
          <w:sz w:val="24"/>
          <w:highlight w:val="none"/>
          <w:lang w:eastAsia="zh-CN"/>
        </w:rPr>
        <w:t>（</w:t>
      </w:r>
      <w:r>
        <w:rPr>
          <w:rFonts w:hint="eastAsia" w:ascii="楷体_GB2312" w:hAnsi="宋体" w:eastAsia="楷体_GB2312"/>
          <w:color w:val="000000"/>
          <w:sz w:val="24"/>
          <w:highlight w:val="none"/>
          <w:lang w:val="en-US" w:eastAsia="zh-CN"/>
        </w:rPr>
        <w:t>13</w:t>
      </w:r>
      <w:r>
        <w:rPr>
          <w:rFonts w:hint="eastAsia" w:ascii="楷体_GB2312" w:hAnsi="宋体" w:eastAsia="楷体_GB2312"/>
          <w:color w:val="000000"/>
          <w:sz w:val="24"/>
          <w:highlight w:val="none"/>
          <w:lang w:eastAsia="zh-CN"/>
        </w:rPr>
        <w:t>）</w:t>
      </w:r>
      <w:r>
        <w:rPr>
          <w:rFonts w:hint="eastAsia" w:ascii="楷体_GB2312" w:hAnsi="宋体" w:eastAsia="楷体_GB2312"/>
          <w:color w:val="000000"/>
          <w:sz w:val="24"/>
          <w:highlight w:val="none"/>
        </w:rPr>
        <w:t>代销机构名称：</w:t>
      </w:r>
      <w:r>
        <w:rPr>
          <w:rFonts w:hint="eastAsia" w:ascii="楷体_GB2312" w:hAnsi="宋体" w:eastAsia="楷体_GB2312" w:cs="Times New Roman"/>
          <w:color w:val="auto"/>
          <w:sz w:val="24"/>
          <w:lang w:val="en-US" w:eastAsia="zh-CN"/>
        </w:rPr>
        <w:t>杭州联合农村商业银行股份有限公司（以下简称“杭州联合银行”）</w:t>
      </w:r>
    </w:p>
    <w:p>
      <w:pPr>
        <w:ind w:firstLine="480" w:firstLineChars="200"/>
        <w:rPr>
          <w:rFonts w:hint="eastAsia" w:ascii="楷体_GB2312" w:hAnsi="宋体" w:eastAsia="楷体_GB2312"/>
          <w:color w:val="000000"/>
          <w:sz w:val="24"/>
          <w:highlight w:val="none"/>
          <w:lang w:val="en-US" w:eastAsia="zh-CN"/>
        </w:rPr>
      </w:pPr>
      <w:r>
        <w:rPr>
          <w:rFonts w:hint="eastAsia" w:ascii="楷体_GB2312" w:hAnsi="宋体" w:eastAsia="楷体_GB2312"/>
          <w:color w:val="000000"/>
          <w:sz w:val="24"/>
          <w:highlight w:val="none"/>
        </w:rPr>
        <w:t>法定代表人：林时益</w:t>
      </w:r>
    </w:p>
    <w:p>
      <w:pPr>
        <w:ind w:firstLine="480" w:firstLineChars="200"/>
        <w:rPr>
          <w:rFonts w:hint="eastAsia" w:ascii="楷体_GB2312" w:hAnsi="宋体" w:eastAsia="楷体_GB2312"/>
          <w:color w:val="000000"/>
          <w:sz w:val="24"/>
          <w:highlight w:val="none"/>
        </w:rPr>
      </w:pPr>
      <w:r>
        <w:rPr>
          <w:rFonts w:hint="eastAsia" w:ascii="楷体_GB2312" w:hAnsi="宋体" w:eastAsia="楷体_GB2312"/>
          <w:color w:val="000000"/>
          <w:sz w:val="24"/>
          <w:highlight w:val="none"/>
        </w:rPr>
        <w:t>注册地址：浙江省杭州市上城区建国中路99号</w:t>
      </w:r>
    </w:p>
    <w:p>
      <w:pPr>
        <w:ind w:firstLine="480" w:firstLineChars="200"/>
        <w:rPr>
          <w:rFonts w:hint="eastAsia" w:ascii="楷体_GB2312" w:eastAsia="楷体_GB2312"/>
          <w:color w:val="auto"/>
          <w:sz w:val="24"/>
          <w:highlight w:val="none"/>
        </w:rPr>
      </w:pPr>
      <w:r>
        <w:rPr>
          <w:rFonts w:hint="eastAsia" w:ascii="楷体_GB2312" w:hAnsi="宋体" w:eastAsia="楷体_GB2312"/>
          <w:color w:val="000000"/>
          <w:sz w:val="24"/>
          <w:highlight w:val="none"/>
        </w:rPr>
        <w:t>投资者服务热线：</w:t>
      </w:r>
      <w:r>
        <w:rPr>
          <w:rFonts w:hint="eastAsia" w:ascii="楷体_GB2312" w:eastAsia="楷体_GB2312"/>
          <w:color w:val="auto"/>
          <w:sz w:val="24"/>
          <w:highlight w:val="none"/>
        </w:rPr>
        <w:t>96596</w:t>
      </w:r>
    </w:p>
    <w:p>
      <w:pPr>
        <w:ind w:firstLine="480" w:firstLineChars="200"/>
        <w:rPr>
          <w:rFonts w:hint="eastAsia" w:ascii="楷体_GB2312" w:hAnsi="宋体" w:eastAsia="楷体_GB2312" w:cs="Times New Roman"/>
          <w:color w:val="auto"/>
          <w:sz w:val="24"/>
          <w:lang w:val="en-US" w:eastAsia="zh-CN"/>
        </w:rPr>
      </w:pPr>
      <w:r>
        <w:rPr>
          <w:rFonts w:hint="eastAsia" w:ascii="楷体_GB2312" w:hAnsi="宋体" w:eastAsia="楷体_GB2312"/>
          <w:color w:val="000000"/>
          <w:sz w:val="24"/>
          <w:highlight w:val="none"/>
          <w:lang w:eastAsia="zh-CN"/>
        </w:rPr>
        <w:t>（</w:t>
      </w:r>
      <w:r>
        <w:rPr>
          <w:rFonts w:hint="eastAsia" w:ascii="楷体_GB2312" w:hAnsi="宋体" w:eastAsia="楷体_GB2312"/>
          <w:color w:val="000000"/>
          <w:sz w:val="24"/>
          <w:highlight w:val="none"/>
          <w:lang w:val="en-US" w:eastAsia="zh-CN"/>
        </w:rPr>
        <w:t>14</w:t>
      </w:r>
      <w:r>
        <w:rPr>
          <w:rFonts w:hint="eastAsia" w:ascii="楷体_GB2312" w:hAnsi="宋体" w:eastAsia="楷体_GB2312"/>
          <w:color w:val="000000"/>
          <w:sz w:val="24"/>
          <w:highlight w:val="none"/>
          <w:lang w:eastAsia="zh-CN"/>
        </w:rPr>
        <w:t>）</w:t>
      </w:r>
      <w:r>
        <w:rPr>
          <w:rFonts w:hint="eastAsia" w:ascii="楷体_GB2312" w:hAnsi="宋体" w:eastAsia="楷体_GB2312"/>
          <w:color w:val="000000"/>
          <w:sz w:val="24"/>
          <w:highlight w:val="none"/>
        </w:rPr>
        <w:t>代销机构名称：</w:t>
      </w:r>
      <w:r>
        <w:rPr>
          <w:rFonts w:hint="eastAsia" w:ascii="楷体_GB2312" w:hAnsi="宋体" w:eastAsia="楷体_GB2312" w:cs="Times New Roman"/>
          <w:color w:val="auto"/>
          <w:sz w:val="24"/>
          <w:lang w:val="en-US" w:eastAsia="zh-CN"/>
        </w:rPr>
        <w:t>浙江诸暨农村商业银行股份有限公司（以下简称“诸暨农商银行”）</w:t>
      </w:r>
    </w:p>
    <w:p>
      <w:pPr>
        <w:ind w:firstLine="480" w:firstLineChars="200"/>
        <w:rPr>
          <w:rFonts w:hint="eastAsia" w:ascii="楷体_GB2312" w:hAnsi="宋体" w:eastAsia="楷体_GB2312"/>
          <w:color w:val="000000"/>
          <w:sz w:val="24"/>
          <w:highlight w:val="none"/>
          <w:lang w:val="en-US" w:eastAsia="zh-CN"/>
        </w:rPr>
      </w:pPr>
      <w:r>
        <w:rPr>
          <w:rFonts w:hint="eastAsia" w:ascii="楷体_GB2312" w:hAnsi="宋体" w:eastAsia="楷体_GB2312"/>
          <w:color w:val="000000"/>
          <w:sz w:val="24"/>
          <w:highlight w:val="none"/>
        </w:rPr>
        <w:t>法定代表人：潘金波</w:t>
      </w:r>
    </w:p>
    <w:p>
      <w:pPr>
        <w:ind w:firstLine="480" w:firstLineChars="200"/>
        <w:rPr>
          <w:rFonts w:hint="eastAsia" w:ascii="楷体_GB2312" w:hAnsi="宋体" w:eastAsia="楷体_GB2312"/>
          <w:color w:val="000000"/>
          <w:sz w:val="24"/>
          <w:highlight w:val="none"/>
        </w:rPr>
      </w:pPr>
      <w:r>
        <w:rPr>
          <w:rFonts w:hint="eastAsia" w:ascii="楷体_GB2312" w:hAnsi="宋体" w:eastAsia="楷体_GB2312"/>
          <w:color w:val="000000"/>
          <w:sz w:val="24"/>
          <w:highlight w:val="none"/>
        </w:rPr>
        <w:t>注册地址：浙江省诸暨市暨阳街道大桥东路2号</w:t>
      </w:r>
    </w:p>
    <w:p>
      <w:pPr>
        <w:ind w:firstLine="480" w:firstLineChars="200"/>
        <w:rPr>
          <w:rFonts w:hint="eastAsia"/>
        </w:rPr>
      </w:pPr>
      <w:r>
        <w:rPr>
          <w:rFonts w:hint="eastAsia" w:ascii="楷体_GB2312" w:hAnsi="宋体" w:eastAsia="楷体_GB2312"/>
          <w:color w:val="000000"/>
          <w:sz w:val="24"/>
          <w:highlight w:val="none"/>
        </w:rPr>
        <w:t>投资者服务热线：</w:t>
      </w:r>
      <w:r>
        <w:rPr>
          <w:rFonts w:hint="eastAsia" w:ascii="楷体_GB2312" w:eastAsia="楷体_GB2312"/>
          <w:color w:val="auto"/>
          <w:sz w:val="24"/>
          <w:highlight w:val="none"/>
        </w:rPr>
        <w:t>96596</w:t>
      </w:r>
    </w:p>
    <w:p>
      <w:pPr>
        <w:numPr>
          <w:ilvl w:val="0"/>
          <w:numId w:val="1"/>
        </w:numPr>
        <w:ind w:firstLine="480" w:firstLineChars="200"/>
        <w:rPr>
          <w:rFonts w:hint="eastAsia" w:ascii="楷体_GB2312" w:hAnsi="宋体" w:eastAsia="楷体_GB2312" w:cs="Times New Roman"/>
          <w:color w:val="auto"/>
          <w:sz w:val="24"/>
          <w:lang w:val="en-US" w:eastAsia="zh-CN"/>
        </w:rPr>
      </w:pPr>
      <w:r>
        <w:rPr>
          <w:rFonts w:hint="eastAsia" w:ascii="楷体_GB2312" w:hAnsi="宋体" w:eastAsia="楷体_GB2312"/>
          <w:color w:val="000000"/>
          <w:sz w:val="24"/>
          <w:highlight w:val="none"/>
        </w:rPr>
        <w:t>代销机构名称：</w:t>
      </w:r>
      <w:r>
        <w:rPr>
          <w:rFonts w:hint="eastAsia" w:ascii="楷体_GB2312" w:hAnsi="宋体" w:eastAsia="楷体_GB2312" w:cs="Times New Roman"/>
          <w:color w:val="auto"/>
          <w:sz w:val="24"/>
          <w:lang w:val="en-US" w:eastAsia="zh-CN"/>
        </w:rPr>
        <w:t>宁波余姚农村商业银行股份有限公司（以下简称“余姚农商银行”）</w:t>
      </w:r>
    </w:p>
    <w:p>
      <w:pPr>
        <w:numPr>
          <w:ilvl w:val="-1"/>
          <w:numId w:val="0"/>
        </w:numPr>
        <w:ind w:firstLine="480" w:firstLineChars="200"/>
        <w:rPr>
          <w:rFonts w:hint="eastAsia" w:ascii="楷体_GB2312" w:hAnsi="宋体" w:eastAsia="楷体_GB2312"/>
          <w:color w:val="000000"/>
          <w:sz w:val="24"/>
          <w:highlight w:val="none"/>
          <w:lang w:val="en-US" w:eastAsia="zh-CN"/>
        </w:rPr>
      </w:pPr>
      <w:r>
        <w:rPr>
          <w:rFonts w:hint="eastAsia" w:ascii="楷体_GB2312" w:hAnsi="宋体" w:eastAsia="楷体_GB2312"/>
          <w:color w:val="000000"/>
          <w:sz w:val="24"/>
          <w:highlight w:val="none"/>
        </w:rPr>
        <w:t>法定代表人：</w:t>
      </w:r>
      <w:r>
        <w:rPr>
          <w:rFonts w:hint="eastAsia" w:ascii="楷体_GB2312" w:hAnsi="宋体" w:eastAsia="楷体_GB2312"/>
          <w:color w:val="000000"/>
          <w:sz w:val="24"/>
          <w:highlight w:val="none"/>
          <w:lang w:val="en-US" w:eastAsia="zh-CN"/>
        </w:rPr>
        <w:t>孙</w:t>
      </w:r>
      <w:r>
        <w:rPr>
          <w:rFonts w:hint="eastAsia" w:ascii="楷体_GB2312" w:hAnsi="宋体" w:eastAsia="楷体_GB2312"/>
          <w:color w:val="000000"/>
          <w:sz w:val="24"/>
          <w:highlight w:val="none"/>
        </w:rPr>
        <w:t>继峰</w:t>
      </w:r>
    </w:p>
    <w:p>
      <w:pPr>
        <w:ind w:firstLine="480" w:firstLineChars="200"/>
        <w:rPr>
          <w:rFonts w:hint="eastAsia" w:ascii="楷体_GB2312" w:hAnsi="宋体" w:eastAsia="楷体_GB2312"/>
          <w:color w:val="000000"/>
          <w:sz w:val="24"/>
          <w:highlight w:val="none"/>
        </w:rPr>
      </w:pPr>
      <w:r>
        <w:rPr>
          <w:rFonts w:hint="eastAsia" w:ascii="楷体_GB2312" w:hAnsi="宋体" w:eastAsia="楷体_GB2312"/>
          <w:color w:val="000000"/>
          <w:sz w:val="24"/>
          <w:highlight w:val="none"/>
        </w:rPr>
        <w:t>注册地址：浙江省余姚市新建路69号</w:t>
      </w:r>
    </w:p>
    <w:p>
      <w:pPr>
        <w:ind w:firstLine="480" w:firstLineChars="200"/>
        <w:rPr>
          <w:rFonts w:hint="eastAsia"/>
        </w:rPr>
      </w:pPr>
      <w:r>
        <w:rPr>
          <w:rFonts w:hint="eastAsia" w:ascii="楷体_GB2312" w:hAnsi="宋体" w:eastAsia="楷体_GB2312"/>
          <w:color w:val="000000"/>
          <w:sz w:val="24"/>
          <w:highlight w:val="none"/>
        </w:rPr>
        <w:t>投资者服务热线：</w:t>
      </w:r>
      <w:r>
        <w:rPr>
          <w:rFonts w:hint="eastAsia" w:ascii="楷体_GB2312" w:eastAsia="楷体_GB2312"/>
          <w:color w:val="auto"/>
          <w:sz w:val="24"/>
          <w:highlight w:val="none"/>
        </w:rPr>
        <w:t>96596</w:t>
      </w:r>
    </w:p>
    <w:p>
      <w:pPr>
        <w:numPr>
          <w:ilvl w:val="0"/>
          <w:numId w:val="1"/>
        </w:numPr>
        <w:ind w:firstLine="480" w:firstLineChars="200"/>
        <w:rPr>
          <w:rFonts w:hint="eastAsia" w:ascii="楷体_GB2312" w:hAnsi="宋体" w:eastAsia="楷体_GB2312" w:cs="Times New Roman"/>
          <w:color w:val="auto"/>
          <w:sz w:val="24"/>
          <w:lang w:val="en-US" w:eastAsia="zh-CN"/>
        </w:rPr>
      </w:pPr>
      <w:r>
        <w:rPr>
          <w:rFonts w:hint="eastAsia" w:ascii="楷体_GB2312" w:hAnsi="宋体" w:eastAsia="楷体_GB2312"/>
          <w:color w:val="000000"/>
          <w:sz w:val="24"/>
          <w:highlight w:val="none"/>
        </w:rPr>
        <w:t>代销机构名称：</w:t>
      </w:r>
      <w:r>
        <w:rPr>
          <w:rFonts w:hint="eastAsia" w:ascii="楷体_GB2312" w:hAnsi="宋体" w:eastAsia="楷体_GB2312" w:cs="Times New Roman"/>
          <w:color w:val="auto"/>
          <w:sz w:val="24"/>
          <w:lang w:val="en-US" w:eastAsia="zh-CN"/>
        </w:rPr>
        <w:t>浙江上虞农村商业银行股份有限公司（以下简称“上虞农商银行”）</w:t>
      </w:r>
    </w:p>
    <w:p>
      <w:pPr>
        <w:numPr>
          <w:ilvl w:val="-1"/>
          <w:numId w:val="0"/>
        </w:numPr>
        <w:ind w:firstLine="480" w:firstLineChars="200"/>
        <w:rPr>
          <w:rFonts w:hint="eastAsia" w:ascii="楷体_GB2312" w:hAnsi="宋体" w:eastAsia="楷体_GB2312"/>
          <w:color w:val="000000"/>
          <w:sz w:val="24"/>
          <w:highlight w:val="none"/>
          <w:lang w:val="en-US" w:eastAsia="zh-CN"/>
        </w:rPr>
      </w:pPr>
      <w:r>
        <w:rPr>
          <w:rFonts w:hint="eastAsia" w:ascii="楷体_GB2312" w:hAnsi="宋体" w:eastAsia="楷体_GB2312"/>
          <w:color w:val="000000"/>
          <w:sz w:val="24"/>
          <w:highlight w:val="none"/>
        </w:rPr>
        <w:t>法定代表人：陆斌</w:t>
      </w:r>
    </w:p>
    <w:p>
      <w:pPr>
        <w:ind w:firstLine="480" w:firstLineChars="200"/>
        <w:rPr>
          <w:rFonts w:hint="eastAsia" w:ascii="楷体_GB2312" w:hAnsi="宋体" w:eastAsia="楷体_GB2312"/>
          <w:color w:val="000000"/>
          <w:sz w:val="24"/>
          <w:highlight w:val="none"/>
        </w:rPr>
      </w:pPr>
      <w:r>
        <w:rPr>
          <w:rFonts w:hint="eastAsia" w:ascii="楷体_GB2312" w:hAnsi="宋体" w:eastAsia="楷体_GB2312"/>
          <w:color w:val="000000"/>
          <w:sz w:val="24"/>
          <w:highlight w:val="none"/>
        </w:rPr>
        <w:t>注册地址：浙江省绍兴市上虞区百官街道德盛路55号</w:t>
      </w:r>
    </w:p>
    <w:p>
      <w:pPr>
        <w:ind w:firstLine="480" w:firstLineChars="200"/>
        <w:rPr>
          <w:rFonts w:hint="eastAsia"/>
        </w:rPr>
      </w:pPr>
      <w:r>
        <w:rPr>
          <w:rFonts w:hint="eastAsia" w:ascii="楷体_GB2312" w:hAnsi="宋体" w:eastAsia="楷体_GB2312"/>
          <w:color w:val="000000"/>
          <w:sz w:val="24"/>
          <w:highlight w:val="none"/>
        </w:rPr>
        <w:t>投资者服务热线：</w:t>
      </w:r>
      <w:r>
        <w:rPr>
          <w:rFonts w:hint="eastAsia" w:ascii="楷体_GB2312" w:eastAsia="楷体_GB2312"/>
          <w:color w:val="auto"/>
          <w:sz w:val="24"/>
          <w:highlight w:val="none"/>
        </w:rPr>
        <w:t>96596</w:t>
      </w:r>
    </w:p>
    <w:p>
      <w:pPr>
        <w:numPr>
          <w:ilvl w:val="0"/>
          <w:numId w:val="1"/>
        </w:numPr>
        <w:ind w:firstLine="480" w:firstLineChars="200"/>
        <w:rPr>
          <w:rFonts w:hint="eastAsia" w:ascii="楷体_GB2312" w:hAnsi="宋体" w:eastAsia="楷体_GB2312" w:cs="Times New Roman"/>
          <w:color w:val="auto"/>
          <w:sz w:val="24"/>
          <w:lang w:val="en-US" w:eastAsia="zh-CN"/>
        </w:rPr>
      </w:pPr>
      <w:r>
        <w:rPr>
          <w:rFonts w:hint="eastAsia" w:ascii="楷体_GB2312" w:hAnsi="宋体" w:eastAsia="楷体_GB2312"/>
          <w:color w:val="000000"/>
          <w:sz w:val="24"/>
          <w:highlight w:val="none"/>
        </w:rPr>
        <w:t>代销机构名称：</w:t>
      </w:r>
      <w:r>
        <w:rPr>
          <w:rFonts w:hint="eastAsia" w:ascii="楷体_GB2312" w:hAnsi="宋体" w:eastAsia="楷体_GB2312" w:cs="Times New Roman"/>
          <w:color w:val="auto"/>
          <w:sz w:val="24"/>
          <w:lang w:val="en-US" w:eastAsia="zh-CN"/>
        </w:rPr>
        <w:t>浙江富阳农村商业银行股份有限公司（以下简称“富阳农商银行”）</w:t>
      </w:r>
    </w:p>
    <w:p>
      <w:pPr>
        <w:numPr>
          <w:ilvl w:val="-1"/>
          <w:numId w:val="0"/>
        </w:numPr>
        <w:ind w:firstLine="480" w:firstLineChars="200"/>
        <w:rPr>
          <w:rFonts w:hint="eastAsia" w:ascii="楷体_GB2312" w:hAnsi="宋体" w:eastAsia="楷体_GB2312"/>
          <w:color w:val="000000"/>
          <w:sz w:val="24"/>
          <w:highlight w:val="none"/>
          <w:lang w:val="en-US" w:eastAsia="zh-CN"/>
        </w:rPr>
      </w:pPr>
      <w:r>
        <w:rPr>
          <w:rFonts w:hint="eastAsia" w:ascii="楷体_GB2312" w:hAnsi="宋体" w:eastAsia="楷体_GB2312"/>
          <w:color w:val="000000"/>
          <w:sz w:val="24"/>
          <w:highlight w:val="none"/>
        </w:rPr>
        <w:t>法定代表人：赖立明</w:t>
      </w:r>
    </w:p>
    <w:p>
      <w:pPr>
        <w:ind w:firstLine="480" w:firstLineChars="200"/>
        <w:rPr>
          <w:rFonts w:hint="eastAsia" w:ascii="楷体_GB2312" w:hAnsi="宋体" w:eastAsia="楷体_GB2312"/>
          <w:color w:val="000000"/>
          <w:sz w:val="24"/>
          <w:highlight w:val="none"/>
        </w:rPr>
      </w:pPr>
      <w:r>
        <w:rPr>
          <w:rFonts w:hint="eastAsia" w:ascii="楷体_GB2312" w:hAnsi="宋体" w:eastAsia="楷体_GB2312"/>
          <w:color w:val="000000"/>
          <w:sz w:val="24"/>
          <w:highlight w:val="none"/>
        </w:rPr>
        <w:t>注册地址：浙江省杭州市富阳区依江路501号</w:t>
      </w:r>
    </w:p>
    <w:p>
      <w:pPr>
        <w:ind w:firstLine="480" w:firstLineChars="200"/>
        <w:rPr>
          <w:rFonts w:hint="eastAsia"/>
        </w:rPr>
      </w:pPr>
      <w:r>
        <w:rPr>
          <w:rFonts w:hint="eastAsia" w:ascii="楷体_GB2312" w:hAnsi="宋体" w:eastAsia="楷体_GB2312"/>
          <w:color w:val="000000"/>
          <w:sz w:val="24"/>
          <w:highlight w:val="none"/>
        </w:rPr>
        <w:t>投资者服务热线：</w:t>
      </w:r>
      <w:r>
        <w:rPr>
          <w:rFonts w:hint="eastAsia" w:ascii="楷体_GB2312" w:eastAsia="楷体_GB2312"/>
          <w:color w:val="auto"/>
          <w:sz w:val="24"/>
          <w:highlight w:val="none"/>
        </w:rPr>
        <w:t>96596</w:t>
      </w:r>
    </w:p>
    <w:p>
      <w:pPr>
        <w:numPr>
          <w:ilvl w:val="0"/>
          <w:numId w:val="1"/>
        </w:numPr>
        <w:ind w:firstLine="480" w:firstLineChars="200"/>
        <w:rPr>
          <w:rFonts w:hint="eastAsia" w:ascii="楷体_GB2312" w:hAnsi="宋体" w:eastAsia="楷体_GB2312" w:cs="Times New Roman"/>
          <w:color w:val="auto"/>
          <w:sz w:val="24"/>
          <w:lang w:val="en-US" w:eastAsia="zh-CN"/>
        </w:rPr>
      </w:pPr>
      <w:r>
        <w:rPr>
          <w:rFonts w:hint="eastAsia" w:ascii="楷体_GB2312" w:hAnsi="宋体" w:eastAsia="楷体_GB2312"/>
          <w:color w:val="000000"/>
          <w:sz w:val="24"/>
          <w:highlight w:val="none"/>
        </w:rPr>
        <w:t>代销机构名称：</w:t>
      </w:r>
      <w:r>
        <w:rPr>
          <w:rFonts w:hint="eastAsia" w:ascii="楷体_GB2312" w:hAnsi="宋体" w:eastAsia="楷体_GB2312" w:cs="Times New Roman"/>
          <w:color w:val="auto"/>
          <w:sz w:val="24"/>
          <w:lang w:val="en-US" w:eastAsia="zh-CN"/>
        </w:rPr>
        <w:t>浙江衢州柯城农村商业银行股份有限公司</w:t>
      </w:r>
    </w:p>
    <w:p>
      <w:pPr>
        <w:numPr>
          <w:ilvl w:val="-1"/>
          <w:numId w:val="0"/>
        </w:numPr>
        <w:ind w:firstLine="480" w:firstLineChars="200"/>
        <w:rPr>
          <w:rFonts w:hint="eastAsia" w:ascii="楷体_GB2312" w:hAnsi="宋体" w:eastAsia="楷体_GB2312"/>
          <w:color w:val="000000"/>
          <w:sz w:val="24"/>
          <w:highlight w:val="none"/>
          <w:lang w:val="en-US" w:eastAsia="zh-CN"/>
        </w:rPr>
      </w:pPr>
      <w:r>
        <w:rPr>
          <w:rFonts w:hint="eastAsia" w:ascii="楷体_GB2312" w:hAnsi="宋体" w:eastAsia="楷体_GB2312"/>
          <w:color w:val="000000"/>
          <w:sz w:val="24"/>
          <w:highlight w:val="none"/>
        </w:rPr>
        <w:t>法定代表人：王洪君</w:t>
      </w:r>
    </w:p>
    <w:p>
      <w:pPr>
        <w:ind w:firstLine="480" w:firstLineChars="200"/>
        <w:rPr>
          <w:rFonts w:hint="eastAsia" w:ascii="楷体_GB2312" w:hAnsi="宋体" w:eastAsia="楷体_GB2312"/>
          <w:color w:val="000000"/>
          <w:sz w:val="24"/>
          <w:highlight w:val="none"/>
        </w:rPr>
      </w:pPr>
      <w:r>
        <w:rPr>
          <w:rFonts w:hint="eastAsia" w:ascii="楷体_GB2312" w:hAnsi="宋体" w:eastAsia="楷体_GB2312"/>
          <w:color w:val="000000"/>
          <w:sz w:val="24"/>
          <w:highlight w:val="none"/>
        </w:rPr>
        <w:t>注册地址：浙江省衢州市柯城区上街92号三楼零售金融部</w:t>
      </w:r>
    </w:p>
    <w:p>
      <w:pPr>
        <w:ind w:firstLine="480" w:firstLineChars="200"/>
        <w:rPr>
          <w:rFonts w:hint="eastAsia"/>
        </w:rPr>
      </w:pPr>
      <w:r>
        <w:rPr>
          <w:rFonts w:hint="eastAsia" w:ascii="楷体_GB2312" w:hAnsi="宋体" w:eastAsia="楷体_GB2312"/>
          <w:color w:val="000000"/>
          <w:sz w:val="24"/>
          <w:highlight w:val="none"/>
        </w:rPr>
        <w:t>投资者服务热线：</w:t>
      </w:r>
      <w:r>
        <w:rPr>
          <w:rFonts w:hint="eastAsia" w:ascii="楷体_GB2312" w:eastAsia="楷体_GB2312"/>
          <w:color w:val="auto"/>
          <w:sz w:val="24"/>
          <w:highlight w:val="none"/>
        </w:rPr>
        <w:t>96596</w:t>
      </w:r>
    </w:p>
    <w:p>
      <w:pPr>
        <w:numPr>
          <w:ilvl w:val="0"/>
          <w:numId w:val="1"/>
        </w:numPr>
        <w:ind w:firstLine="480" w:firstLineChars="200"/>
        <w:rPr>
          <w:rFonts w:hint="eastAsia" w:ascii="楷体_GB2312" w:hAnsi="宋体" w:eastAsia="楷体_GB2312" w:cs="Times New Roman"/>
          <w:color w:val="auto"/>
          <w:sz w:val="24"/>
          <w:lang w:val="en-US" w:eastAsia="zh-CN"/>
        </w:rPr>
      </w:pPr>
      <w:r>
        <w:rPr>
          <w:rFonts w:hint="eastAsia" w:ascii="楷体_GB2312" w:hAnsi="宋体" w:eastAsia="楷体_GB2312"/>
          <w:color w:val="000000"/>
          <w:sz w:val="24"/>
          <w:highlight w:val="none"/>
        </w:rPr>
        <w:t>代销机构名称：</w:t>
      </w:r>
      <w:r>
        <w:rPr>
          <w:rFonts w:hint="eastAsia" w:ascii="楷体_GB2312" w:hAnsi="宋体" w:eastAsia="楷体_GB2312" w:cs="Times New Roman"/>
          <w:color w:val="auto"/>
          <w:sz w:val="24"/>
          <w:lang w:val="en-US" w:eastAsia="zh-CN"/>
        </w:rPr>
        <w:t>浙江松阳农村商业银行股份有限公司</w:t>
      </w:r>
    </w:p>
    <w:p>
      <w:pPr>
        <w:numPr>
          <w:ilvl w:val="-1"/>
          <w:numId w:val="0"/>
        </w:numPr>
        <w:ind w:firstLine="480" w:firstLineChars="200"/>
        <w:rPr>
          <w:rFonts w:hint="eastAsia" w:ascii="楷体_GB2312" w:hAnsi="宋体" w:eastAsia="楷体_GB2312"/>
          <w:color w:val="000000"/>
          <w:sz w:val="24"/>
          <w:highlight w:val="none"/>
          <w:lang w:val="en-US" w:eastAsia="zh-CN"/>
        </w:rPr>
      </w:pPr>
      <w:r>
        <w:rPr>
          <w:rFonts w:hint="eastAsia" w:ascii="楷体_GB2312" w:hAnsi="宋体" w:eastAsia="楷体_GB2312"/>
          <w:color w:val="000000"/>
          <w:sz w:val="24"/>
          <w:highlight w:val="none"/>
        </w:rPr>
        <w:t>法定代表人：郑旭勇</w:t>
      </w:r>
    </w:p>
    <w:p>
      <w:pPr>
        <w:ind w:firstLine="480" w:firstLineChars="200"/>
        <w:rPr>
          <w:rFonts w:hint="eastAsia" w:ascii="楷体_GB2312" w:hAnsi="宋体" w:eastAsia="楷体_GB2312"/>
          <w:color w:val="000000"/>
          <w:sz w:val="24"/>
          <w:highlight w:val="none"/>
        </w:rPr>
      </w:pPr>
      <w:r>
        <w:rPr>
          <w:rFonts w:hint="eastAsia" w:ascii="楷体_GB2312" w:hAnsi="宋体" w:eastAsia="楷体_GB2312"/>
          <w:color w:val="000000"/>
          <w:sz w:val="24"/>
          <w:highlight w:val="none"/>
        </w:rPr>
        <w:t>注册地址：浙江省丽水市松阳县水南街道要津南路71号</w:t>
      </w:r>
    </w:p>
    <w:p>
      <w:pPr>
        <w:ind w:firstLine="480" w:firstLineChars="200"/>
        <w:rPr>
          <w:rFonts w:hint="eastAsia"/>
        </w:rPr>
      </w:pPr>
      <w:r>
        <w:rPr>
          <w:rFonts w:hint="eastAsia" w:ascii="楷体_GB2312" w:hAnsi="宋体" w:eastAsia="楷体_GB2312"/>
          <w:color w:val="000000"/>
          <w:sz w:val="24"/>
          <w:highlight w:val="none"/>
        </w:rPr>
        <w:t>投资者服务热线：</w:t>
      </w:r>
      <w:r>
        <w:rPr>
          <w:rFonts w:hint="eastAsia" w:ascii="楷体_GB2312" w:eastAsia="楷体_GB2312"/>
          <w:color w:val="auto"/>
          <w:sz w:val="24"/>
          <w:highlight w:val="none"/>
        </w:rPr>
        <w:t>96596</w:t>
      </w:r>
    </w:p>
    <w:p>
      <w:pPr>
        <w:numPr>
          <w:ilvl w:val="0"/>
          <w:numId w:val="1"/>
        </w:numPr>
        <w:ind w:firstLine="480" w:firstLineChars="200"/>
        <w:rPr>
          <w:rFonts w:hint="eastAsia" w:ascii="楷体_GB2312" w:hAnsi="宋体" w:eastAsia="楷体_GB2312" w:cs="Times New Roman"/>
          <w:color w:val="auto"/>
          <w:sz w:val="24"/>
          <w:lang w:val="en-US" w:eastAsia="zh-CN"/>
        </w:rPr>
      </w:pPr>
      <w:r>
        <w:rPr>
          <w:rFonts w:hint="eastAsia" w:ascii="楷体_GB2312" w:hAnsi="宋体" w:eastAsia="楷体_GB2312"/>
          <w:color w:val="000000"/>
          <w:sz w:val="24"/>
          <w:highlight w:val="none"/>
        </w:rPr>
        <w:t>代销机构名称：浙江江山农村商业银行股份有限公司</w:t>
      </w:r>
    </w:p>
    <w:p>
      <w:pPr>
        <w:numPr>
          <w:ilvl w:val="-1"/>
          <w:numId w:val="0"/>
        </w:numPr>
        <w:ind w:firstLine="480" w:firstLineChars="200"/>
        <w:rPr>
          <w:rFonts w:hint="eastAsia" w:ascii="楷体_GB2312" w:hAnsi="宋体" w:eastAsia="楷体_GB2312"/>
          <w:color w:val="000000"/>
          <w:sz w:val="24"/>
          <w:highlight w:val="none"/>
          <w:lang w:val="en-US" w:eastAsia="zh-CN"/>
        </w:rPr>
      </w:pPr>
      <w:r>
        <w:rPr>
          <w:rFonts w:hint="eastAsia" w:ascii="楷体_GB2312" w:hAnsi="宋体" w:eastAsia="楷体_GB2312"/>
          <w:color w:val="000000"/>
          <w:sz w:val="24"/>
          <w:highlight w:val="none"/>
        </w:rPr>
        <w:t>法定代表人：祝春凰</w:t>
      </w:r>
    </w:p>
    <w:p>
      <w:pPr>
        <w:ind w:firstLine="480" w:firstLineChars="200"/>
        <w:rPr>
          <w:rFonts w:hint="eastAsia" w:ascii="楷体_GB2312" w:hAnsi="宋体" w:eastAsia="楷体_GB2312"/>
          <w:color w:val="000000"/>
          <w:sz w:val="24"/>
          <w:highlight w:val="none"/>
        </w:rPr>
      </w:pPr>
      <w:r>
        <w:rPr>
          <w:rFonts w:hint="eastAsia" w:ascii="楷体_GB2312" w:hAnsi="宋体" w:eastAsia="楷体_GB2312"/>
          <w:color w:val="000000"/>
          <w:sz w:val="24"/>
          <w:highlight w:val="none"/>
        </w:rPr>
        <w:t>注册地址：浙江省江山市江滨路188号</w:t>
      </w:r>
    </w:p>
    <w:p>
      <w:pPr>
        <w:ind w:firstLine="480" w:firstLineChars="200"/>
        <w:rPr>
          <w:rFonts w:hint="eastAsia" w:ascii="楷体_GB2312" w:eastAsia="楷体_GB2312"/>
          <w:color w:val="auto"/>
          <w:sz w:val="24"/>
          <w:highlight w:val="none"/>
        </w:rPr>
      </w:pPr>
      <w:r>
        <w:rPr>
          <w:rFonts w:hint="eastAsia" w:ascii="楷体_GB2312" w:hAnsi="宋体" w:eastAsia="楷体_GB2312"/>
          <w:color w:val="000000"/>
          <w:sz w:val="24"/>
          <w:highlight w:val="none"/>
        </w:rPr>
        <w:t>投资者服务热线：</w:t>
      </w:r>
      <w:r>
        <w:rPr>
          <w:rFonts w:hint="eastAsia" w:ascii="楷体_GB2312" w:eastAsia="楷体_GB2312"/>
          <w:color w:val="auto"/>
          <w:sz w:val="24"/>
          <w:highlight w:val="none"/>
        </w:rPr>
        <w:t>96596</w:t>
      </w:r>
    </w:p>
    <w:p>
      <w:pPr>
        <w:numPr>
          <w:ilvl w:val="0"/>
          <w:numId w:val="1"/>
        </w:numPr>
        <w:ind w:firstLine="480" w:firstLineChars="200"/>
        <w:rPr>
          <w:rFonts w:hint="eastAsia" w:ascii="楷体_GB2312" w:hAnsi="宋体" w:eastAsia="楷体_GB2312" w:cs="Times New Roman"/>
          <w:color w:val="auto"/>
          <w:sz w:val="24"/>
          <w:lang w:val="en-US" w:eastAsia="zh-CN"/>
        </w:rPr>
      </w:pPr>
      <w:r>
        <w:rPr>
          <w:rFonts w:hint="eastAsia" w:ascii="楷体_GB2312" w:hAnsi="宋体" w:eastAsia="楷体_GB2312"/>
          <w:color w:val="000000"/>
          <w:sz w:val="24"/>
          <w:highlight w:val="none"/>
        </w:rPr>
        <w:t>代销机构名称：浙江义乌农村商业银行股份有限公司（以下简称“义乌农商银行”）</w:t>
      </w:r>
    </w:p>
    <w:p>
      <w:pPr>
        <w:numPr>
          <w:ilvl w:val="-1"/>
          <w:numId w:val="0"/>
        </w:numPr>
        <w:ind w:firstLine="480" w:firstLineChars="200"/>
        <w:rPr>
          <w:rFonts w:hint="eastAsia" w:ascii="楷体_GB2312" w:hAnsi="宋体" w:eastAsia="楷体_GB2312"/>
          <w:color w:val="000000"/>
          <w:sz w:val="24"/>
          <w:highlight w:val="none"/>
          <w:lang w:val="en-US" w:eastAsia="zh-CN"/>
        </w:rPr>
      </w:pPr>
      <w:r>
        <w:rPr>
          <w:rFonts w:hint="eastAsia" w:ascii="楷体_GB2312" w:hAnsi="宋体" w:eastAsia="楷体_GB2312"/>
          <w:color w:val="000000"/>
          <w:sz w:val="24"/>
          <w:highlight w:val="none"/>
        </w:rPr>
        <w:t>法定代表人：吴志良</w:t>
      </w:r>
    </w:p>
    <w:p>
      <w:pPr>
        <w:ind w:firstLine="480" w:firstLineChars="200"/>
        <w:rPr>
          <w:rFonts w:hint="eastAsia" w:ascii="楷体_GB2312" w:hAnsi="宋体" w:eastAsia="楷体_GB2312"/>
          <w:color w:val="000000"/>
          <w:sz w:val="24"/>
          <w:highlight w:val="none"/>
        </w:rPr>
      </w:pPr>
      <w:r>
        <w:rPr>
          <w:rFonts w:hint="eastAsia" w:ascii="楷体_GB2312" w:hAnsi="宋体" w:eastAsia="楷体_GB2312"/>
          <w:color w:val="000000"/>
          <w:sz w:val="24"/>
          <w:highlight w:val="none"/>
        </w:rPr>
        <w:t>注册地址：浙江省义乌市福田街道城北路677号</w:t>
      </w:r>
    </w:p>
    <w:p>
      <w:pPr>
        <w:ind w:firstLine="480" w:firstLineChars="200"/>
        <w:rPr>
          <w:rFonts w:hint="eastAsia" w:ascii="楷体_GB2312" w:eastAsia="楷体_GB2312"/>
          <w:color w:val="auto"/>
          <w:sz w:val="24"/>
          <w:highlight w:val="none"/>
        </w:rPr>
      </w:pPr>
      <w:r>
        <w:rPr>
          <w:rFonts w:hint="eastAsia" w:ascii="楷体_GB2312" w:hAnsi="宋体" w:eastAsia="楷体_GB2312"/>
          <w:color w:val="000000"/>
          <w:sz w:val="24"/>
          <w:highlight w:val="none"/>
        </w:rPr>
        <w:t>投资者服务热线：</w:t>
      </w:r>
      <w:r>
        <w:rPr>
          <w:rFonts w:hint="eastAsia" w:ascii="楷体_GB2312" w:eastAsia="楷体_GB2312"/>
          <w:color w:val="auto"/>
          <w:sz w:val="24"/>
          <w:highlight w:val="none"/>
        </w:rPr>
        <w:t>96596</w:t>
      </w:r>
    </w:p>
    <w:p>
      <w:pPr>
        <w:numPr>
          <w:ilvl w:val="0"/>
          <w:numId w:val="1"/>
        </w:numPr>
        <w:ind w:firstLine="480" w:firstLineChars="200"/>
        <w:rPr>
          <w:rFonts w:hint="eastAsia" w:ascii="楷体_GB2312" w:hAnsi="宋体" w:eastAsia="楷体_GB2312" w:cs="Times New Roman"/>
          <w:color w:val="000000"/>
          <w:sz w:val="24"/>
          <w:highlight w:val="none"/>
          <w:lang w:val="en-US" w:eastAsia="zh-CN"/>
        </w:rPr>
      </w:pPr>
      <w:r>
        <w:rPr>
          <w:rFonts w:hint="eastAsia" w:ascii="楷体_GB2312" w:hAnsi="宋体" w:eastAsia="楷体_GB2312"/>
          <w:color w:val="000000"/>
          <w:sz w:val="24"/>
          <w:highlight w:val="none"/>
        </w:rPr>
        <w:t>代销机构名称：浙江桐庐农村商业银行股份有限公司</w:t>
      </w:r>
    </w:p>
    <w:p>
      <w:pPr>
        <w:numPr>
          <w:ilvl w:val="-1"/>
          <w:numId w:val="0"/>
        </w:numPr>
        <w:ind w:firstLine="480" w:firstLineChars="200"/>
        <w:rPr>
          <w:rFonts w:hint="eastAsia" w:ascii="楷体_GB2312" w:hAnsi="宋体" w:eastAsia="楷体_GB2312"/>
          <w:color w:val="000000"/>
          <w:sz w:val="24"/>
          <w:highlight w:val="none"/>
          <w:lang w:val="en-US" w:eastAsia="zh-CN"/>
        </w:rPr>
      </w:pPr>
      <w:r>
        <w:rPr>
          <w:rFonts w:hint="eastAsia" w:ascii="楷体_GB2312" w:hAnsi="宋体" w:eastAsia="楷体_GB2312"/>
          <w:color w:val="000000"/>
          <w:sz w:val="24"/>
          <w:highlight w:val="none"/>
        </w:rPr>
        <w:t>法定代表人：杨妙清</w:t>
      </w:r>
    </w:p>
    <w:p>
      <w:pPr>
        <w:ind w:firstLine="480" w:firstLineChars="200"/>
        <w:rPr>
          <w:rFonts w:hint="eastAsia" w:ascii="楷体_GB2312" w:hAnsi="宋体" w:eastAsia="楷体_GB2312"/>
          <w:color w:val="000000"/>
          <w:sz w:val="24"/>
          <w:highlight w:val="none"/>
        </w:rPr>
      </w:pPr>
      <w:r>
        <w:rPr>
          <w:rFonts w:hint="eastAsia" w:ascii="楷体_GB2312" w:hAnsi="宋体" w:eastAsia="楷体_GB2312"/>
          <w:color w:val="000000"/>
          <w:sz w:val="24"/>
          <w:highlight w:val="none"/>
        </w:rPr>
        <w:t>注册地址：浙江省杭州市桐庐县城迎春南路278号</w:t>
      </w:r>
    </w:p>
    <w:p>
      <w:pPr>
        <w:ind w:firstLine="480" w:firstLineChars="200"/>
        <w:rPr>
          <w:rFonts w:hint="eastAsia" w:ascii="楷体_GB2312" w:eastAsia="楷体_GB2312"/>
          <w:color w:val="auto"/>
          <w:sz w:val="24"/>
          <w:highlight w:val="none"/>
        </w:rPr>
      </w:pPr>
      <w:r>
        <w:rPr>
          <w:rFonts w:hint="eastAsia" w:ascii="楷体_GB2312" w:hAnsi="宋体" w:eastAsia="楷体_GB2312"/>
          <w:color w:val="000000"/>
          <w:sz w:val="24"/>
          <w:highlight w:val="none"/>
        </w:rPr>
        <w:t>投资者服务热线：</w:t>
      </w:r>
      <w:r>
        <w:rPr>
          <w:rFonts w:hint="eastAsia" w:ascii="楷体_GB2312" w:eastAsia="楷体_GB2312"/>
          <w:color w:val="auto"/>
          <w:sz w:val="24"/>
          <w:highlight w:val="none"/>
        </w:rPr>
        <w:t>96596</w:t>
      </w:r>
    </w:p>
    <w:p>
      <w:pPr>
        <w:numPr>
          <w:ilvl w:val="0"/>
          <w:numId w:val="1"/>
        </w:numPr>
        <w:ind w:firstLine="480" w:firstLineChars="200"/>
        <w:rPr>
          <w:rFonts w:hint="eastAsia" w:ascii="楷体_GB2312" w:hAnsi="宋体" w:eastAsia="楷体_GB2312" w:cs="Times New Roman"/>
          <w:color w:val="000000"/>
          <w:sz w:val="24"/>
          <w:highlight w:val="none"/>
          <w:lang w:val="en-US" w:eastAsia="zh-CN"/>
        </w:rPr>
      </w:pPr>
      <w:r>
        <w:rPr>
          <w:rFonts w:hint="eastAsia" w:ascii="楷体_GB2312" w:hAnsi="宋体" w:eastAsia="楷体_GB2312"/>
          <w:color w:val="000000"/>
          <w:sz w:val="24"/>
          <w:highlight w:val="none"/>
        </w:rPr>
        <w:t>代销机构名称：浙江新昌农村商业银行股份有限公司</w:t>
      </w:r>
    </w:p>
    <w:p>
      <w:pPr>
        <w:numPr>
          <w:ilvl w:val="-1"/>
          <w:numId w:val="0"/>
        </w:numPr>
        <w:ind w:firstLine="480" w:firstLineChars="200"/>
        <w:rPr>
          <w:rFonts w:hint="eastAsia" w:ascii="楷体_GB2312" w:hAnsi="宋体" w:eastAsia="楷体_GB2312"/>
          <w:color w:val="000000"/>
          <w:sz w:val="24"/>
          <w:highlight w:val="none"/>
          <w:lang w:val="en-US" w:eastAsia="zh-CN"/>
        </w:rPr>
      </w:pPr>
      <w:r>
        <w:rPr>
          <w:rFonts w:hint="eastAsia" w:ascii="楷体_GB2312" w:hAnsi="宋体" w:eastAsia="楷体_GB2312"/>
          <w:color w:val="000000"/>
          <w:sz w:val="24"/>
          <w:highlight w:val="none"/>
        </w:rPr>
        <w:t>法定代表人：陈一峰</w:t>
      </w:r>
    </w:p>
    <w:p>
      <w:pPr>
        <w:ind w:firstLine="480" w:firstLineChars="200"/>
        <w:rPr>
          <w:rFonts w:hint="eastAsia" w:ascii="楷体_GB2312" w:hAnsi="宋体" w:eastAsia="楷体_GB2312"/>
          <w:color w:val="000000"/>
          <w:sz w:val="24"/>
          <w:highlight w:val="none"/>
        </w:rPr>
      </w:pPr>
      <w:r>
        <w:rPr>
          <w:rFonts w:hint="eastAsia" w:ascii="楷体_GB2312" w:hAnsi="宋体" w:eastAsia="楷体_GB2312"/>
          <w:color w:val="000000"/>
          <w:sz w:val="24"/>
          <w:highlight w:val="none"/>
        </w:rPr>
        <w:t>注册地址：浙江省新昌县七星街道七星路18号</w:t>
      </w:r>
    </w:p>
    <w:p>
      <w:pPr>
        <w:ind w:firstLine="480" w:firstLineChars="200"/>
        <w:rPr>
          <w:rFonts w:hint="eastAsia" w:ascii="楷体_GB2312" w:eastAsia="楷体_GB2312"/>
          <w:color w:val="auto"/>
          <w:sz w:val="24"/>
          <w:highlight w:val="none"/>
        </w:rPr>
      </w:pPr>
      <w:r>
        <w:rPr>
          <w:rFonts w:hint="eastAsia" w:ascii="楷体_GB2312" w:hAnsi="宋体" w:eastAsia="楷体_GB2312"/>
          <w:color w:val="000000"/>
          <w:sz w:val="24"/>
          <w:highlight w:val="none"/>
        </w:rPr>
        <w:t>投资者服务热线：</w:t>
      </w:r>
      <w:r>
        <w:rPr>
          <w:rFonts w:hint="eastAsia" w:ascii="楷体_GB2312" w:eastAsia="楷体_GB2312"/>
          <w:color w:val="auto"/>
          <w:sz w:val="24"/>
          <w:highlight w:val="none"/>
        </w:rPr>
        <w:t>96596</w:t>
      </w:r>
    </w:p>
    <w:p>
      <w:pPr>
        <w:numPr>
          <w:ilvl w:val="0"/>
          <w:numId w:val="1"/>
        </w:numPr>
        <w:ind w:firstLine="480" w:firstLineChars="200"/>
        <w:rPr>
          <w:rFonts w:hint="eastAsia" w:ascii="楷体_GB2312" w:hAnsi="宋体" w:eastAsia="楷体_GB2312" w:cs="Times New Roman"/>
          <w:color w:val="000000"/>
          <w:sz w:val="24"/>
          <w:highlight w:val="none"/>
          <w:lang w:val="en-US" w:eastAsia="zh-CN"/>
        </w:rPr>
      </w:pPr>
      <w:r>
        <w:rPr>
          <w:rFonts w:hint="eastAsia" w:ascii="楷体_GB2312" w:hAnsi="宋体" w:eastAsia="楷体_GB2312"/>
          <w:color w:val="000000"/>
          <w:sz w:val="24"/>
          <w:highlight w:val="none"/>
        </w:rPr>
        <w:t>代销机构名称：浙江衢州衢江农村商业银行股份有限公司</w:t>
      </w:r>
    </w:p>
    <w:p>
      <w:pPr>
        <w:numPr>
          <w:ilvl w:val="-1"/>
          <w:numId w:val="0"/>
        </w:numPr>
        <w:ind w:firstLine="480" w:firstLineChars="200"/>
        <w:rPr>
          <w:rFonts w:hint="eastAsia" w:ascii="楷体_GB2312" w:hAnsi="宋体" w:eastAsia="楷体_GB2312"/>
          <w:color w:val="000000"/>
          <w:sz w:val="24"/>
          <w:highlight w:val="none"/>
          <w:lang w:val="en-US" w:eastAsia="zh-CN"/>
        </w:rPr>
      </w:pPr>
      <w:r>
        <w:rPr>
          <w:rFonts w:hint="eastAsia" w:ascii="楷体_GB2312" w:hAnsi="宋体" w:eastAsia="楷体_GB2312"/>
          <w:color w:val="000000"/>
          <w:sz w:val="24"/>
          <w:highlight w:val="none"/>
        </w:rPr>
        <w:t>法定代表人：郑坚伟</w:t>
      </w:r>
    </w:p>
    <w:p>
      <w:pPr>
        <w:ind w:firstLine="480" w:firstLineChars="200"/>
        <w:rPr>
          <w:rFonts w:hint="eastAsia" w:ascii="楷体_GB2312" w:hAnsi="宋体" w:eastAsia="楷体_GB2312"/>
          <w:color w:val="000000"/>
          <w:sz w:val="24"/>
          <w:highlight w:val="none"/>
        </w:rPr>
      </w:pPr>
      <w:r>
        <w:rPr>
          <w:rFonts w:hint="eastAsia" w:ascii="楷体_GB2312" w:hAnsi="宋体" w:eastAsia="楷体_GB2312"/>
          <w:color w:val="000000"/>
          <w:sz w:val="24"/>
          <w:highlight w:val="none"/>
        </w:rPr>
        <w:t>注册地址：浙江省衢州市衢江区樟潭街道信安东路37号</w:t>
      </w:r>
    </w:p>
    <w:p>
      <w:pPr>
        <w:ind w:firstLine="480" w:firstLineChars="200"/>
        <w:rPr>
          <w:rFonts w:hint="eastAsia" w:ascii="楷体_GB2312" w:eastAsia="楷体_GB2312"/>
          <w:color w:val="auto"/>
          <w:sz w:val="24"/>
          <w:highlight w:val="none"/>
        </w:rPr>
      </w:pPr>
      <w:r>
        <w:rPr>
          <w:rFonts w:hint="eastAsia" w:ascii="楷体_GB2312" w:hAnsi="宋体" w:eastAsia="楷体_GB2312"/>
          <w:color w:val="000000"/>
          <w:sz w:val="24"/>
          <w:highlight w:val="none"/>
        </w:rPr>
        <w:t>投资者服务热线：</w:t>
      </w:r>
      <w:r>
        <w:rPr>
          <w:rFonts w:hint="eastAsia" w:ascii="楷体_GB2312" w:eastAsia="楷体_GB2312"/>
          <w:color w:val="auto"/>
          <w:sz w:val="24"/>
          <w:highlight w:val="none"/>
        </w:rPr>
        <w:t>96596</w:t>
      </w:r>
    </w:p>
    <w:p>
      <w:pPr>
        <w:ind w:firstLine="480" w:firstLineChars="200"/>
        <w:rPr>
          <w:rFonts w:hint="eastAsia" w:ascii="楷体_GB2312" w:hAnsi="宋体" w:eastAsia="楷体_GB2312"/>
          <w:color w:val="000000"/>
          <w:sz w:val="24"/>
          <w:highlight w:val="none"/>
          <w:lang w:val="en-US" w:eastAsia="zh-CN"/>
        </w:rPr>
      </w:pPr>
      <w:r>
        <w:rPr>
          <w:rFonts w:hint="eastAsia" w:ascii="楷体_GB2312" w:hAnsi="宋体" w:eastAsia="楷体_GB2312"/>
          <w:color w:val="000000"/>
          <w:sz w:val="24"/>
          <w:highlight w:val="none"/>
          <w:lang w:eastAsia="zh-CN"/>
        </w:rPr>
        <w:t>（</w:t>
      </w:r>
      <w:r>
        <w:rPr>
          <w:rFonts w:hint="eastAsia" w:ascii="楷体_GB2312" w:hAnsi="宋体" w:eastAsia="楷体_GB2312"/>
          <w:color w:val="000000"/>
          <w:sz w:val="24"/>
          <w:highlight w:val="none"/>
          <w:lang w:val="en-US" w:eastAsia="zh-CN"/>
        </w:rPr>
        <w:t>25）</w:t>
      </w:r>
      <w:r>
        <w:rPr>
          <w:rFonts w:hint="eastAsia" w:ascii="楷体_GB2312" w:hAnsi="宋体" w:eastAsia="楷体_GB2312"/>
          <w:color w:val="000000"/>
          <w:sz w:val="24"/>
          <w:highlight w:val="none"/>
        </w:rPr>
        <w:t>代销机构名称：</w:t>
      </w:r>
      <w:r>
        <w:rPr>
          <w:rFonts w:hint="eastAsia" w:ascii="楷体_GB2312" w:hAnsi="宋体" w:eastAsia="楷体_GB2312"/>
          <w:color w:val="000000"/>
          <w:sz w:val="24"/>
          <w:highlight w:val="none"/>
          <w:lang w:val="en-US" w:eastAsia="zh-CN"/>
        </w:rPr>
        <w:t>浙江临安农村商业银行股份有限公司</w:t>
      </w:r>
    </w:p>
    <w:p>
      <w:pPr>
        <w:numPr>
          <w:ilvl w:val="-1"/>
          <w:numId w:val="0"/>
        </w:numPr>
        <w:ind w:firstLine="480" w:firstLineChars="200"/>
        <w:rPr>
          <w:rFonts w:hint="eastAsia" w:ascii="楷体_GB2312" w:hAnsi="宋体" w:eastAsia="楷体_GB2312"/>
          <w:color w:val="000000"/>
          <w:sz w:val="24"/>
          <w:highlight w:val="none"/>
          <w:lang w:val="en-US" w:eastAsia="zh-CN"/>
        </w:rPr>
      </w:pPr>
      <w:r>
        <w:rPr>
          <w:rFonts w:hint="eastAsia" w:ascii="楷体_GB2312" w:hAnsi="宋体" w:eastAsia="楷体_GB2312"/>
          <w:color w:val="000000"/>
          <w:sz w:val="24"/>
          <w:highlight w:val="none"/>
        </w:rPr>
        <w:t>法定代表人：张远明</w:t>
      </w:r>
    </w:p>
    <w:p>
      <w:pPr>
        <w:ind w:firstLine="480" w:firstLineChars="200"/>
        <w:rPr>
          <w:rFonts w:hint="eastAsia" w:ascii="楷体_GB2312" w:hAnsi="宋体" w:eastAsia="楷体_GB2312"/>
          <w:color w:val="000000"/>
          <w:sz w:val="24"/>
          <w:highlight w:val="none"/>
        </w:rPr>
      </w:pPr>
      <w:r>
        <w:rPr>
          <w:rFonts w:hint="eastAsia" w:ascii="楷体_GB2312" w:hAnsi="宋体" w:eastAsia="楷体_GB2312"/>
          <w:color w:val="000000"/>
          <w:sz w:val="24"/>
          <w:highlight w:val="none"/>
        </w:rPr>
        <w:t>注册地址：浙江省杭州市临安区锦城街道城中街442号</w:t>
      </w:r>
    </w:p>
    <w:p>
      <w:pPr>
        <w:ind w:firstLine="480" w:firstLineChars="200"/>
        <w:rPr>
          <w:rFonts w:hint="eastAsia" w:ascii="楷体_GB2312" w:eastAsia="楷体_GB2312"/>
          <w:color w:val="auto"/>
          <w:sz w:val="24"/>
          <w:highlight w:val="none"/>
        </w:rPr>
      </w:pPr>
      <w:r>
        <w:rPr>
          <w:rFonts w:hint="eastAsia" w:ascii="楷体_GB2312" w:hAnsi="宋体" w:eastAsia="楷体_GB2312"/>
          <w:color w:val="000000"/>
          <w:sz w:val="24"/>
          <w:highlight w:val="none"/>
        </w:rPr>
        <w:t>投资者服务热线：</w:t>
      </w:r>
      <w:r>
        <w:rPr>
          <w:rFonts w:hint="eastAsia" w:ascii="楷体_GB2312" w:eastAsia="楷体_GB2312"/>
          <w:color w:val="auto"/>
          <w:sz w:val="24"/>
          <w:highlight w:val="none"/>
        </w:rPr>
        <w:t>96596</w:t>
      </w:r>
    </w:p>
    <w:p>
      <w:pPr>
        <w:ind w:firstLine="480" w:firstLineChars="200"/>
        <w:rPr>
          <w:rFonts w:ascii="楷体_GB2312" w:hAnsi="宋体" w:eastAsia="楷体_GB2312"/>
          <w:color w:val="000000"/>
          <w:sz w:val="24"/>
          <w:highlight w:val="none"/>
        </w:rPr>
      </w:pPr>
      <w:r>
        <w:rPr>
          <w:rFonts w:hint="eastAsia" w:ascii="楷体_GB2312" w:hAnsi="宋体" w:eastAsia="楷体_GB2312"/>
          <w:color w:val="000000"/>
          <w:sz w:val="24"/>
          <w:highlight w:val="none"/>
          <w:lang w:val="en-US" w:eastAsia="zh-CN"/>
        </w:rPr>
        <w:t>2.</w:t>
      </w:r>
      <w:r>
        <w:rPr>
          <w:rFonts w:hint="eastAsia" w:ascii="楷体_GB2312" w:hAnsi="宋体" w:eastAsia="楷体_GB2312"/>
          <w:color w:val="000000"/>
          <w:sz w:val="24"/>
          <w:highlight w:val="none"/>
        </w:rPr>
        <w:t>代销机构主要职责</w:t>
      </w:r>
    </w:p>
    <w:p>
      <w:pPr>
        <w:ind w:firstLine="480" w:firstLineChars="200"/>
        <w:rPr>
          <w:rFonts w:ascii="楷体_GB2312" w:hAnsi="宋体" w:eastAsia="楷体_GB2312"/>
          <w:color w:val="000000"/>
          <w:sz w:val="24"/>
          <w:highlight w:val="none"/>
        </w:rPr>
      </w:pPr>
      <w:r>
        <w:rPr>
          <w:rFonts w:hint="eastAsia" w:ascii="楷体_GB2312" w:hAnsi="宋体" w:eastAsia="楷体_GB2312"/>
          <w:color w:val="000000"/>
          <w:sz w:val="24"/>
          <w:highlight w:val="none"/>
        </w:rPr>
        <w:t>（</w:t>
      </w:r>
      <w:r>
        <w:rPr>
          <w:rFonts w:ascii="楷体_GB2312" w:hAnsi="宋体" w:eastAsia="楷体_GB2312"/>
          <w:color w:val="000000"/>
          <w:sz w:val="24"/>
          <w:highlight w:val="none"/>
        </w:rPr>
        <w:t>1）</w:t>
      </w:r>
      <w:r>
        <w:rPr>
          <w:rFonts w:hint="eastAsia" w:ascii="楷体_GB2312" w:hAnsi="宋体" w:eastAsia="楷体_GB2312"/>
          <w:color w:val="000000"/>
          <w:sz w:val="24"/>
          <w:highlight w:val="none"/>
        </w:rPr>
        <w:t>宣传推介</w:t>
      </w:r>
      <w:r>
        <w:rPr>
          <w:rFonts w:hint="eastAsia" w:ascii="楷体_GB2312" w:hAnsi="宋体" w:eastAsia="楷体_GB2312"/>
          <w:color w:val="000000"/>
          <w:sz w:val="24"/>
          <w:highlight w:val="none"/>
          <w:lang w:val="en-US" w:eastAsia="zh-CN"/>
        </w:rPr>
        <w:t>本</w:t>
      </w:r>
      <w:r>
        <w:rPr>
          <w:rFonts w:hint="eastAsia" w:ascii="楷体_GB2312" w:hAnsi="宋体" w:eastAsia="楷体_GB2312"/>
          <w:color w:val="000000"/>
          <w:sz w:val="24"/>
          <w:highlight w:val="none"/>
        </w:rPr>
        <w:t>理财产品；</w:t>
      </w:r>
    </w:p>
    <w:p>
      <w:pPr>
        <w:ind w:firstLine="480" w:firstLineChars="200"/>
        <w:rPr>
          <w:rFonts w:ascii="楷体_GB2312" w:hAnsi="宋体" w:eastAsia="楷体_GB2312"/>
          <w:color w:val="000000"/>
          <w:sz w:val="24"/>
          <w:highlight w:val="none"/>
        </w:rPr>
      </w:pPr>
      <w:r>
        <w:rPr>
          <w:rFonts w:hint="eastAsia" w:ascii="楷体_GB2312" w:hAnsi="宋体" w:eastAsia="楷体_GB2312"/>
          <w:color w:val="000000"/>
          <w:sz w:val="24"/>
          <w:highlight w:val="none"/>
        </w:rPr>
        <w:t>（2</w:t>
      </w:r>
      <w:r>
        <w:rPr>
          <w:rFonts w:ascii="楷体_GB2312" w:hAnsi="宋体" w:eastAsia="楷体_GB2312"/>
          <w:color w:val="000000"/>
          <w:sz w:val="24"/>
          <w:highlight w:val="none"/>
        </w:rPr>
        <w:t>）</w:t>
      </w:r>
      <w:r>
        <w:rPr>
          <w:rFonts w:hint="eastAsia" w:ascii="楷体_GB2312" w:hAnsi="宋体" w:eastAsia="楷体_GB2312"/>
          <w:color w:val="000000"/>
          <w:sz w:val="24"/>
          <w:highlight w:val="none"/>
        </w:rPr>
        <w:t>为投资者办理产品认购、申购和赎回；</w:t>
      </w:r>
    </w:p>
    <w:p>
      <w:pPr>
        <w:ind w:firstLine="480" w:firstLineChars="200"/>
        <w:rPr>
          <w:rFonts w:ascii="楷体_GB2312" w:hAnsi="宋体" w:eastAsia="楷体_GB2312"/>
          <w:color w:val="000000"/>
          <w:sz w:val="24"/>
          <w:highlight w:val="none"/>
        </w:rPr>
      </w:pPr>
      <w:r>
        <w:rPr>
          <w:rFonts w:hint="eastAsia" w:ascii="楷体_GB2312" w:hAnsi="宋体" w:eastAsia="楷体_GB2312"/>
          <w:color w:val="000000"/>
          <w:sz w:val="24"/>
          <w:highlight w:val="none"/>
        </w:rPr>
        <w:t>（3</w:t>
      </w:r>
      <w:r>
        <w:rPr>
          <w:rFonts w:ascii="楷体_GB2312" w:hAnsi="宋体" w:eastAsia="楷体_GB2312"/>
          <w:color w:val="000000"/>
          <w:sz w:val="24"/>
          <w:highlight w:val="none"/>
        </w:rPr>
        <w:t>）</w:t>
      </w:r>
      <w:r>
        <w:rPr>
          <w:rFonts w:hint="eastAsia" w:ascii="楷体_GB2312" w:hAnsi="宋体" w:eastAsia="楷体_GB2312"/>
          <w:color w:val="000000"/>
          <w:sz w:val="24"/>
          <w:highlight w:val="none"/>
        </w:rPr>
        <w:t>在销售过程中对投资者进行身份识别和尽职调查；</w:t>
      </w:r>
    </w:p>
    <w:p>
      <w:pPr>
        <w:ind w:firstLine="480" w:firstLineChars="200"/>
        <w:rPr>
          <w:rFonts w:ascii="楷体_GB2312" w:hAnsi="宋体" w:eastAsia="楷体_GB2312"/>
          <w:color w:val="000000"/>
          <w:sz w:val="24"/>
          <w:highlight w:val="none"/>
        </w:rPr>
      </w:pPr>
      <w:r>
        <w:rPr>
          <w:rFonts w:hint="eastAsia" w:ascii="楷体_GB2312" w:hAnsi="宋体" w:eastAsia="楷体_GB2312"/>
          <w:color w:val="000000"/>
          <w:sz w:val="24"/>
          <w:highlight w:val="none"/>
        </w:rPr>
        <w:t>（4</w:t>
      </w:r>
      <w:r>
        <w:rPr>
          <w:rFonts w:ascii="楷体_GB2312" w:hAnsi="宋体" w:eastAsia="楷体_GB2312"/>
          <w:color w:val="000000"/>
          <w:sz w:val="24"/>
          <w:highlight w:val="none"/>
        </w:rPr>
        <w:t>）</w:t>
      </w:r>
      <w:r>
        <w:rPr>
          <w:rFonts w:hint="eastAsia" w:ascii="楷体_GB2312" w:hAnsi="宋体" w:eastAsia="楷体_GB2312"/>
          <w:color w:val="000000"/>
          <w:sz w:val="24"/>
          <w:highlight w:val="none"/>
        </w:rPr>
        <w:t>承担</w:t>
      </w:r>
      <w:r>
        <w:rPr>
          <w:rFonts w:hint="eastAsia" w:ascii="楷体_GB2312" w:hAnsi="宋体" w:eastAsia="楷体_GB2312"/>
          <w:color w:val="000000"/>
          <w:sz w:val="24"/>
          <w:highlight w:val="none"/>
          <w:lang w:val="en-US" w:eastAsia="zh-CN"/>
        </w:rPr>
        <w:t>本</w:t>
      </w:r>
      <w:r>
        <w:rPr>
          <w:rFonts w:hint="eastAsia" w:ascii="楷体_GB2312" w:hAnsi="宋体" w:eastAsia="楷体_GB2312"/>
          <w:color w:val="000000"/>
          <w:sz w:val="24"/>
          <w:highlight w:val="none"/>
        </w:rPr>
        <w:t>理财产品的投资者适当性和销售适当性管理职责；</w:t>
      </w:r>
    </w:p>
    <w:p>
      <w:pPr>
        <w:ind w:firstLine="480" w:firstLineChars="200"/>
        <w:rPr>
          <w:rFonts w:ascii="楷体_GB2312" w:hAnsi="宋体" w:eastAsia="楷体_GB2312"/>
          <w:color w:val="000000"/>
          <w:sz w:val="24"/>
          <w:highlight w:val="none"/>
        </w:rPr>
      </w:pPr>
      <w:r>
        <w:rPr>
          <w:rFonts w:hint="eastAsia" w:ascii="楷体_GB2312" w:hAnsi="宋体" w:eastAsia="楷体_GB2312"/>
          <w:color w:val="000000"/>
          <w:sz w:val="24"/>
          <w:highlight w:val="none"/>
        </w:rPr>
        <w:t>（5</w:t>
      </w:r>
      <w:r>
        <w:rPr>
          <w:rFonts w:ascii="楷体_GB2312" w:hAnsi="宋体" w:eastAsia="楷体_GB2312"/>
          <w:color w:val="000000"/>
          <w:sz w:val="24"/>
          <w:highlight w:val="none"/>
        </w:rPr>
        <w:t>）</w:t>
      </w:r>
      <w:r>
        <w:rPr>
          <w:rFonts w:hint="eastAsia" w:ascii="楷体_GB2312" w:hAnsi="宋体" w:eastAsia="楷体_GB2312"/>
          <w:color w:val="000000"/>
          <w:sz w:val="24"/>
          <w:highlight w:val="none"/>
        </w:rPr>
        <w:t>适用法律法规规定</w:t>
      </w:r>
      <w:bookmarkStart w:id="9" w:name="_Hlk146059378"/>
      <w:r>
        <w:rPr>
          <w:rFonts w:hint="eastAsia" w:ascii="楷体_GB2312" w:hAnsi="宋体" w:eastAsia="楷体_GB2312"/>
          <w:color w:val="000000"/>
          <w:sz w:val="24"/>
          <w:highlight w:val="none"/>
        </w:rPr>
        <w:t>、国务院银行业监督管理机构规定</w:t>
      </w:r>
      <w:bookmarkEnd w:id="9"/>
      <w:r>
        <w:rPr>
          <w:rFonts w:hint="eastAsia" w:ascii="楷体_GB2312" w:hAnsi="宋体" w:eastAsia="楷体_GB2312"/>
          <w:color w:val="000000"/>
          <w:sz w:val="24"/>
          <w:highlight w:val="none"/>
          <w:lang w:eastAsia="zh-CN"/>
        </w:rPr>
        <w:t>、</w:t>
      </w:r>
      <w:r>
        <w:rPr>
          <w:rFonts w:hint="eastAsia" w:ascii="楷体_GB2312" w:hAnsi="宋体" w:eastAsia="楷体_GB2312"/>
          <w:color w:val="000000"/>
          <w:sz w:val="24"/>
          <w:highlight w:val="none"/>
          <w:lang w:val="en-US" w:eastAsia="zh-CN"/>
        </w:rPr>
        <w:t>产品管理人和代销机构另行签订的代理销售合作协议约定，以及本</w:t>
      </w:r>
      <w:r>
        <w:rPr>
          <w:rFonts w:hint="eastAsia" w:ascii="楷体_GB2312" w:hAnsi="宋体" w:eastAsia="楷体_GB2312"/>
          <w:color w:val="000000"/>
          <w:sz w:val="24"/>
          <w:highlight w:val="none"/>
        </w:rPr>
        <w:t>理财产品销售文件约定的其他职责。</w:t>
      </w:r>
    </w:p>
    <w:p>
      <w:pPr>
        <w:widowControl/>
        <w:ind w:firstLine="420" w:firstLineChars="200"/>
        <w:jc w:val="left"/>
        <w:rPr>
          <w:rFonts w:ascii="楷体_GB2312" w:hAnsi="楷体" w:eastAsia="楷体_GB2312"/>
        </w:rPr>
      </w:pPr>
      <w:bookmarkStart w:id="10" w:name="_GoBack"/>
      <w:bookmarkEnd w:id="10"/>
    </w:p>
    <w:sectPr>
      <w:headerReference r:id="rId3" w:type="default"/>
      <w:footerReference r:id="rId4" w:type="default"/>
      <w:footerReference r:id="rId5"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moder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仿宋_GB2312">
    <w:altName w:val="仿宋"/>
    <w:panose1 w:val="02010609030101010101"/>
    <w:charset w:val="86"/>
    <w:family w:val="swiss"/>
    <w:pitch w:val="default"/>
    <w:sig w:usb0="00000000" w:usb1="00000000" w:usb2="00000000" w:usb3="00000000" w:csb0="00040000" w:csb1="00000000"/>
  </w:font>
  <w:font w:name="Tahoma">
    <w:panose1 w:val="020B0604030504040204"/>
    <w:charset w:val="00"/>
    <w:family w:val="decorative"/>
    <w:pitch w:val="default"/>
    <w:sig w:usb0="E1002EFF" w:usb1="C000605B" w:usb2="00000029" w:usb3="00000000" w:csb0="200101FF" w:csb1="20280000"/>
  </w:font>
  <w:font w:name="楷体">
    <w:panose1 w:val="02010609060101010101"/>
    <w:charset w:val="86"/>
    <w:family w:val="swiss"/>
    <w:pitch w:val="default"/>
    <w:sig w:usb0="800002BF" w:usb1="38CF7CFA" w:usb2="00000016" w:usb3="00000000" w:csb0="00040001" w:csb1="00000000"/>
  </w:font>
  <w:font w:name="仿宋">
    <w:panose1 w:val="02010609060101010101"/>
    <w:charset w:val="86"/>
    <w:family w:val="swiss"/>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123877"/>
    </w:sdtPr>
    <w:sdtContent>
      <w:sdt>
        <w:sdtPr>
          <w:id w:val="171357217"/>
        </w:sdtPr>
        <w:sdtContent>
          <w:p>
            <w:pPr>
              <w:pStyle w:val="12"/>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19</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41</w:t>
            </w:r>
            <w:r>
              <w:rPr>
                <w:b/>
                <w:sz w:val="24"/>
                <w:szCs w:val="24"/>
              </w:rPr>
              <w:fldChar w:fldCharType="end"/>
            </w:r>
          </w:p>
        </w:sdtContent>
      </w:sdt>
    </w:sdtContent>
  </w:sdt>
  <w:p>
    <w:pPr>
      <w:pStyle w:val="12"/>
      <w:jc w:val="center"/>
      <w:rPr>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19"/>
      </w:rPr>
    </w:pPr>
    <w:r>
      <w:fldChar w:fldCharType="begin"/>
    </w:r>
    <w:r>
      <w:rPr>
        <w:rStyle w:val="19"/>
      </w:rPr>
      <w:instrText xml:space="preserve">PAGE  </w:instrText>
    </w:r>
    <w:r>
      <w:fldChar w:fldCharType="end"/>
    </w:r>
  </w:p>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b/>
        <w:u w:val="single"/>
      </w:rPr>
    </w:pPr>
    <w:r>
      <w:rPr>
        <w:rFonts w:hint="eastAsia" w:ascii="黑体" w:hAnsi="黑体" w:eastAsia="黑体"/>
        <w:b/>
      </w:rPr>
      <w:t>北银理财·京华远见</w:t>
    </w:r>
    <w:r>
      <w:rPr>
        <w:rFonts w:hint="eastAsia" w:ascii="黑体" w:hAnsi="黑体" w:eastAsia="黑体"/>
        <w:b/>
        <w:lang w:val="en-US" w:eastAsia="zh-CN"/>
      </w:rPr>
      <w:t>春系列诚享</w:t>
    </w:r>
    <w:r>
      <w:rPr>
        <w:rFonts w:hint="eastAsia" w:ascii="黑体" w:hAnsi="黑体" w:eastAsia="黑体"/>
        <w:b/>
      </w:rPr>
      <w:t xml:space="preserve">持有期      </w:t>
    </w:r>
    <w:r>
      <w:rPr>
        <w:rFonts w:hint="eastAsia" w:ascii="黑体" w:hAnsi="黑体" w:eastAsia="黑体"/>
        <w:b/>
        <w:sz w:val="24"/>
        <w:szCs w:val="32"/>
      </w:rPr>
      <w:t>理财非存款，产品有风险，投资须谨慎！</w:t>
    </w:r>
    <w:r>
      <w:rPr>
        <w:b/>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5FAA2D"/>
    <w:multiLevelType w:val="singleLevel"/>
    <w:tmpl w:val="0C5FAA2D"/>
    <w:lvl w:ilvl="0" w:tentative="0">
      <w:start w:val="15"/>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0A65"/>
    <w:rsid w:val="0001130F"/>
    <w:rsid w:val="00023027"/>
    <w:rsid w:val="00023624"/>
    <w:rsid w:val="00023E25"/>
    <w:rsid w:val="00031959"/>
    <w:rsid w:val="0004142F"/>
    <w:rsid w:val="00042AB1"/>
    <w:rsid w:val="00073152"/>
    <w:rsid w:val="00075959"/>
    <w:rsid w:val="000927EA"/>
    <w:rsid w:val="000A6512"/>
    <w:rsid w:val="000B06F2"/>
    <w:rsid w:val="000B4AAB"/>
    <w:rsid w:val="000B4F4A"/>
    <w:rsid w:val="000E1184"/>
    <w:rsid w:val="000F1B5E"/>
    <w:rsid w:val="0010341C"/>
    <w:rsid w:val="00114FA2"/>
    <w:rsid w:val="00127573"/>
    <w:rsid w:val="00133A37"/>
    <w:rsid w:val="0013433A"/>
    <w:rsid w:val="00135BA4"/>
    <w:rsid w:val="00136EE0"/>
    <w:rsid w:val="00140605"/>
    <w:rsid w:val="0014653B"/>
    <w:rsid w:val="0016438C"/>
    <w:rsid w:val="001A19A8"/>
    <w:rsid w:val="001A1AF2"/>
    <w:rsid w:val="001A4AA4"/>
    <w:rsid w:val="001D2398"/>
    <w:rsid w:val="001D298D"/>
    <w:rsid w:val="001D6E08"/>
    <w:rsid w:val="001E4E0A"/>
    <w:rsid w:val="002108E2"/>
    <w:rsid w:val="0021550A"/>
    <w:rsid w:val="00216360"/>
    <w:rsid w:val="00235432"/>
    <w:rsid w:val="0023619B"/>
    <w:rsid w:val="00240AB8"/>
    <w:rsid w:val="00251C33"/>
    <w:rsid w:val="00265479"/>
    <w:rsid w:val="002A495F"/>
    <w:rsid w:val="002B4144"/>
    <w:rsid w:val="002B4FF6"/>
    <w:rsid w:val="002C6A5C"/>
    <w:rsid w:val="002D1A2E"/>
    <w:rsid w:val="002D5B8E"/>
    <w:rsid w:val="002F3E26"/>
    <w:rsid w:val="00300B76"/>
    <w:rsid w:val="00301B4C"/>
    <w:rsid w:val="00304018"/>
    <w:rsid w:val="00306DF0"/>
    <w:rsid w:val="00311054"/>
    <w:rsid w:val="00312DEE"/>
    <w:rsid w:val="00312FBA"/>
    <w:rsid w:val="0031305A"/>
    <w:rsid w:val="00314971"/>
    <w:rsid w:val="00316E6E"/>
    <w:rsid w:val="00346B0F"/>
    <w:rsid w:val="00354BD8"/>
    <w:rsid w:val="00365415"/>
    <w:rsid w:val="00367620"/>
    <w:rsid w:val="00370C09"/>
    <w:rsid w:val="00383602"/>
    <w:rsid w:val="00383738"/>
    <w:rsid w:val="0038646E"/>
    <w:rsid w:val="0039453C"/>
    <w:rsid w:val="00395CDA"/>
    <w:rsid w:val="003B62AA"/>
    <w:rsid w:val="003D08CE"/>
    <w:rsid w:val="003D5C4E"/>
    <w:rsid w:val="003E35AE"/>
    <w:rsid w:val="0040047D"/>
    <w:rsid w:val="00402C91"/>
    <w:rsid w:val="00407BFC"/>
    <w:rsid w:val="00413047"/>
    <w:rsid w:val="00417689"/>
    <w:rsid w:val="0041771D"/>
    <w:rsid w:val="00436F86"/>
    <w:rsid w:val="004568C0"/>
    <w:rsid w:val="00463041"/>
    <w:rsid w:val="004635B0"/>
    <w:rsid w:val="0047342B"/>
    <w:rsid w:val="0047354A"/>
    <w:rsid w:val="0047635F"/>
    <w:rsid w:val="00480F5E"/>
    <w:rsid w:val="004918CA"/>
    <w:rsid w:val="00491F21"/>
    <w:rsid w:val="00493993"/>
    <w:rsid w:val="004967C7"/>
    <w:rsid w:val="004A19BD"/>
    <w:rsid w:val="004A7006"/>
    <w:rsid w:val="004C3397"/>
    <w:rsid w:val="004D17AB"/>
    <w:rsid w:val="004E1624"/>
    <w:rsid w:val="004E4340"/>
    <w:rsid w:val="004F098A"/>
    <w:rsid w:val="004F1F50"/>
    <w:rsid w:val="005002F1"/>
    <w:rsid w:val="005132A5"/>
    <w:rsid w:val="00516B28"/>
    <w:rsid w:val="00517AD7"/>
    <w:rsid w:val="00520D2F"/>
    <w:rsid w:val="00530E7E"/>
    <w:rsid w:val="00537946"/>
    <w:rsid w:val="00546347"/>
    <w:rsid w:val="0056230B"/>
    <w:rsid w:val="00562769"/>
    <w:rsid w:val="005837A2"/>
    <w:rsid w:val="00583A81"/>
    <w:rsid w:val="005A2C68"/>
    <w:rsid w:val="005B2D06"/>
    <w:rsid w:val="005C004E"/>
    <w:rsid w:val="005C21F3"/>
    <w:rsid w:val="005C460A"/>
    <w:rsid w:val="005D4317"/>
    <w:rsid w:val="005D6C65"/>
    <w:rsid w:val="005E0942"/>
    <w:rsid w:val="005E25BF"/>
    <w:rsid w:val="005F24B4"/>
    <w:rsid w:val="005F586A"/>
    <w:rsid w:val="00613C69"/>
    <w:rsid w:val="006214FF"/>
    <w:rsid w:val="00642C17"/>
    <w:rsid w:val="00643A8B"/>
    <w:rsid w:val="0064575E"/>
    <w:rsid w:val="00651CC1"/>
    <w:rsid w:val="00660403"/>
    <w:rsid w:val="00661AF1"/>
    <w:rsid w:val="00662142"/>
    <w:rsid w:val="00666B61"/>
    <w:rsid w:val="006732E2"/>
    <w:rsid w:val="006772DB"/>
    <w:rsid w:val="006818F7"/>
    <w:rsid w:val="0068343D"/>
    <w:rsid w:val="006A29F2"/>
    <w:rsid w:val="006A6A7E"/>
    <w:rsid w:val="006B218B"/>
    <w:rsid w:val="006B5AA6"/>
    <w:rsid w:val="006B7B80"/>
    <w:rsid w:val="006D105A"/>
    <w:rsid w:val="006D5AAE"/>
    <w:rsid w:val="006D6E4E"/>
    <w:rsid w:val="006E4400"/>
    <w:rsid w:val="006F7466"/>
    <w:rsid w:val="007042CA"/>
    <w:rsid w:val="007076AB"/>
    <w:rsid w:val="00714088"/>
    <w:rsid w:val="007156F1"/>
    <w:rsid w:val="0072662A"/>
    <w:rsid w:val="00730D15"/>
    <w:rsid w:val="007326F9"/>
    <w:rsid w:val="00737904"/>
    <w:rsid w:val="00742805"/>
    <w:rsid w:val="007449E2"/>
    <w:rsid w:val="00751EF9"/>
    <w:rsid w:val="00764E4A"/>
    <w:rsid w:val="00771F9A"/>
    <w:rsid w:val="007758DF"/>
    <w:rsid w:val="00785E98"/>
    <w:rsid w:val="0079317D"/>
    <w:rsid w:val="007B1BB4"/>
    <w:rsid w:val="007C57DF"/>
    <w:rsid w:val="007D5C91"/>
    <w:rsid w:val="007E7F92"/>
    <w:rsid w:val="007F4838"/>
    <w:rsid w:val="008007B8"/>
    <w:rsid w:val="00804CF5"/>
    <w:rsid w:val="00817013"/>
    <w:rsid w:val="008304FE"/>
    <w:rsid w:val="0083501E"/>
    <w:rsid w:val="008407B3"/>
    <w:rsid w:val="00841AE4"/>
    <w:rsid w:val="0085183C"/>
    <w:rsid w:val="0086543F"/>
    <w:rsid w:val="00867416"/>
    <w:rsid w:val="0086797D"/>
    <w:rsid w:val="00886947"/>
    <w:rsid w:val="00886B4B"/>
    <w:rsid w:val="00887ECE"/>
    <w:rsid w:val="00890461"/>
    <w:rsid w:val="008A24E0"/>
    <w:rsid w:val="008A3465"/>
    <w:rsid w:val="008A402A"/>
    <w:rsid w:val="008A4FEB"/>
    <w:rsid w:val="008C345E"/>
    <w:rsid w:val="008D4619"/>
    <w:rsid w:val="008F4FFE"/>
    <w:rsid w:val="00904CBF"/>
    <w:rsid w:val="00905A53"/>
    <w:rsid w:val="00905C80"/>
    <w:rsid w:val="009210EF"/>
    <w:rsid w:val="00922C2C"/>
    <w:rsid w:val="00954C27"/>
    <w:rsid w:val="009655CF"/>
    <w:rsid w:val="00976980"/>
    <w:rsid w:val="00980936"/>
    <w:rsid w:val="009842AA"/>
    <w:rsid w:val="00992AA6"/>
    <w:rsid w:val="009963DD"/>
    <w:rsid w:val="009A0DE1"/>
    <w:rsid w:val="009C743C"/>
    <w:rsid w:val="00A038AD"/>
    <w:rsid w:val="00A135BD"/>
    <w:rsid w:val="00A13F5F"/>
    <w:rsid w:val="00A151D8"/>
    <w:rsid w:val="00A172CA"/>
    <w:rsid w:val="00A20990"/>
    <w:rsid w:val="00A2116A"/>
    <w:rsid w:val="00A241C7"/>
    <w:rsid w:val="00A367FB"/>
    <w:rsid w:val="00A373A1"/>
    <w:rsid w:val="00A4170F"/>
    <w:rsid w:val="00A459AA"/>
    <w:rsid w:val="00A46F50"/>
    <w:rsid w:val="00A51270"/>
    <w:rsid w:val="00A52DF4"/>
    <w:rsid w:val="00A54C05"/>
    <w:rsid w:val="00A72E56"/>
    <w:rsid w:val="00A91EE4"/>
    <w:rsid w:val="00A9221B"/>
    <w:rsid w:val="00A95A3E"/>
    <w:rsid w:val="00AA1629"/>
    <w:rsid w:val="00AA6C1B"/>
    <w:rsid w:val="00AB4F9B"/>
    <w:rsid w:val="00AC773E"/>
    <w:rsid w:val="00AD5617"/>
    <w:rsid w:val="00AD619A"/>
    <w:rsid w:val="00B0445A"/>
    <w:rsid w:val="00B04631"/>
    <w:rsid w:val="00B06084"/>
    <w:rsid w:val="00B35CAA"/>
    <w:rsid w:val="00B47D72"/>
    <w:rsid w:val="00B52BA3"/>
    <w:rsid w:val="00B535BC"/>
    <w:rsid w:val="00B6532C"/>
    <w:rsid w:val="00B76749"/>
    <w:rsid w:val="00B93B6A"/>
    <w:rsid w:val="00BA0A18"/>
    <w:rsid w:val="00BA6061"/>
    <w:rsid w:val="00BB0A85"/>
    <w:rsid w:val="00BB34B4"/>
    <w:rsid w:val="00BB6E39"/>
    <w:rsid w:val="00BB6F2B"/>
    <w:rsid w:val="00BC7957"/>
    <w:rsid w:val="00BF4171"/>
    <w:rsid w:val="00BF7A7C"/>
    <w:rsid w:val="00C02489"/>
    <w:rsid w:val="00C12C47"/>
    <w:rsid w:val="00C138D1"/>
    <w:rsid w:val="00C173B0"/>
    <w:rsid w:val="00C2692B"/>
    <w:rsid w:val="00C27F49"/>
    <w:rsid w:val="00C43892"/>
    <w:rsid w:val="00C448C8"/>
    <w:rsid w:val="00C451F7"/>
    <w:rsid w:val="00C52634"/>
    <w:rsid w:val="00C64B32"/>
    <w:rsid w:val="00C64F34"/>
    <w:rsid w:val="00C708A7"/>
    <w:rsid w:val="00C76286"/>
    <w:rsid w:val="00C7668C"/>
    <w:rsid w:val="00C816AD"/>
    <w:rsid w:val="00C96F19"/>
    <w:rsid w:val="00CB0B96"/>
    <w:rsid w:val="00CD1DD1"/>
    <w:rsid w:val="00CE0A91"/>
    <w:rsid w:val="00CF62F3"/>
    <w:rsid w:val="00CF6E3A"/>
    <w:rsid w:val="00CF7E1D"/>
    <w:rsid w:val="00D01A6B"/>
    <w:rsid w:val="00D171E4"/>
    <w:rsid w:val="00D26758"/>
    <w:rsid w:val="00D338B6"/>
    <w:rsid w:val="00D5110D"/>
    <w:rsid w:val="00D708E7"/>
    <w:rsid w:val="00D710D9"/>
    <w:rsid w:val="00D870C8"/>
    <w:rsid w:val="00DA0167"/>
    <w:rsid w:val="00DD33B7"/>
    <w:rsid w:val="00DD5596"/>
    <w:rsid w:val="00DE01E8"/>
    <w:rsid w:val="00DE2FA6"/>
    <w:rsid w:val="00DE6793"/>
    <w:rsid w:val="00DF2EB8"/>
    <w:rsid w:val="00DF7384"/>
    <w:rsid w:val="00E3462F"/>
    <w:rsid w:val="00E400F5"/>
    <w:rsid w:val="00E422E0"/>
    <w:rsid w:val="00E61B7C"/>
    <w:rsid w:val="00E64230"/>
    <w:rsid w:val="00E7504C"/>
    <w:rsid w:val="00E7566B"/>
    <w:rsid w:val="00E942AD"/>
    <w:rsid w:val="00E952E0"/>
    <w:rsid w:val="00E97BCC"/>
    <w:rsid w:val="00EA0FD4"/>
    <w:rsid w:val="00EA2AD4"/>
    <w:rsid w:val="00EB5E71"/>
    <w:rsid w:val="00EB7005"/>
    <w:rsid w:val="00EC055B"/>
    <w:rsid w:val="00ED2FC8"/>
    <w:rsid w:val="00EE18EB"/>
    <w:rsid w:val="00EE51C9"/>
    <w:rsid w:val="00EF6EAF"/>
    <w:rsid w:val="00F00CDC"/>
    <w:rsid w:val="00F05DCE"/>
    <w:rsid w:val="00F24F48"/>
    <w:rsid w:val="00F36736"/>
    <w:rsid w:val="00F37052"/>
    <w:rsid w:val="00F42817"/>
    <w:rsid w:val="00F43D36"/>
    <w:rsid w:val="00F4490E"/>
    <w:rsid w:val="00F47DEE"/>
    <w:rsid w:val="00F510F3"/>
    <w:rsid w:val="00F52590"/>
    <w:rsid w:val="00F82D20"/>
    <w:rsid w:val="00F92BA9"/>
    <w:rsid w:val="00FA2A28"/>
    <w:rsid w:val="00FA74DF"/>
    <w:rsid w:val="00FB0648"/>
    <w:rsid w:val="00FC114A"/>
    <w:rsid w:val="00FC1917"/>
    <w:rsid w:val="00FC2733"/>
    <w:rsid w:val="00FC36E0"/>
    <w:rsid w:val="00FC4E48"/>
    <w:rsid w:val="00FC794D"/>
    <w:rsid w:val="00FC796E"/>
    <w:rsid w:val="00FD02F6"/>
    <w:rsid w:val="00FD2F6B"/>
    <w:rsid w:val="00FD5F1B"/>
    <w:rsid w:val="00FD61D0"/>
    <w:rsid w:val="00FE1DB6"/>
    <w:rsid w:val="00FF1667"/>
    <w:rsid w:val="0106671B"/>
    <w:rsid w:val="01374E54"/>
    <w:rsid w:val="013B4944"/>
    <w:rsid w:val="01F66A58"/>
    <w:rsid w:val="021F2974"/>
    <w:rsid w:val="028D1981"/>
    <w:rsid w:val="0370113C"/>
    <w:rsid w:val="042D3AC1"/>
    <w:rsid w:val="044D11B2"/>
    <w:rsid w:val="04A80419"/>
    <w:rsid w:val="04AE10ED"/>
    <w:rsid w:val="0504144A"/>
    <w:rsid w:val="05966E7A"/>
    <w:rsid w:val="05BF5990"/>
    <w:rsid w:val="05F01773"/>
    <w:rsid w:val="0714394A"/>
    <w:rsid w:val="07507D94"/>
    <w:rsid w:val="07832498"/>
    <w:rsid w:val="088F4C22"/>
    <w:rsid w:val="0A1C34D3"/>
    <w:rsid w:val="0A7C6626"/>
    <w:rsid w:val="0A7E5B69"/>
    <w:rsid w:val="0A8B01B5"/>
    <w:rsid w:val="0AE700DE"/>
    <w:rsid w:val="0B7B363D"/>
    <w:rsid w:val="0BD65D63"/>
    <w:rsid w:val="0C133D3E"/>
    <w:rsid w:val="0CDD0B3C"/>
    <w:rsid w:val="0E826D80"/>
    <w:rsid w:val="0FD74B35"/>
    <w:rsid w:val="11B521C9"/>
    <w:rsid w:val="126B4A74"/>
    <w:rsid w:val="12890F5D"/>
    <w:rsid w:val="129F7B9C"/>
    <w:rsid w:val="12F627A9"/>
    <w:rsid w:val="133F1E85"/>
    <w:rsid w:val="1380270E"/>
    <w:rsid w:val="1421301B"/>
    <w:rsid w:val="144058DE"/>
    <w:rsid w:val="14707AFE"/>
    <w:rsid w:val="15150275"/>
    <w:rsid w:val="1628152E"/>
    <w:rsid w:val="162B35F7"/>
    <w:rsid w:val="163E130D"/>
    <w:rsid w:val="16507D3B"/>
    <w:rsid w:val="179429FE"/>
    <w:rsid w:val="17E21276"/>
    <w:rsid w:val="197F6915"/>
    <w:rsid w:val="198F2EA3"/>
    <w:rsid w:val="19DA32F5"/>
    <w:rsid w:val="1AEC1938"/>
    <w:rsid w:val="1BC340CB"/>
    <w:rsid w:val="1BE40BE2"/>
    <w:rsid w:val="1C4908F7"/>
    <w:rsid w:val="1D207C54"/>
    <w:rsid w:val="1D343F1A"/>
    <w:rsid w:val="1E254D87"/>
    <w:rsid w:val="1EFB696C"/>
    <w:rsid w:val="1F966CEF"/>
    <w:rsid w:val="206A117F"/>
    <w:rsid w:val="2136164D"/>
    <w:rsid w:val="214B6046"/>
    <w:rsid w:val="21902C1B"/>
    <w:rsid w:val="21953B77"/>
    <w:rsid w:val="22562E4A"/>
    <w:rsid w:val="22EC1FB8"/>
    <w:rsid w:val="231C32E1"/>
    <w:rsid w:val="23A91789"/>
    <w:rsid w:val="24DC18C6"/>
    <w:rsid w:val="25BF65EA"/>
    <w:rsid w:val="262B1925"/>
    <w:rsid w:val="283D4410"/>
    <w:rsid w:val="286E581F"/>
    <w:rsid w:val="28A51477"/>
    <w:rsid w:val="28B362F0"/>
    <w:rsid w:val="28CB790F"/>
    <w:rsid w:val="294218C8"/>
    <w:rsid w:val="29930B4A"/>
    <w:rsid w:val="29D9624E"/>
    <w:rsid w:val="2A560E0F"/>
    <w:rsid w:val="2A71773B"/>
    <w:rsid w:val="2A845844"/>
    <w:rsid w:val="2B751FAB"/>
    <w:rsid w:val="2BA77503"/>
    <w:rsid w:val="2C294243"/>
    <w:rsid w:val="2C3976D2"/>
    <w:rsid w:val="2C41491A"/>
    <w:rsid w:val="2C891B68"/>
    <w:rsid w:val="2D773D38"/>
    <w:rsid w:val="2DB6549B"/>
    <w:rsid w:val="2E20794F"/>
    <w:rsid w:val="2F261F74"/>
    <w:rsid w:val="2F581BE0"/>
    <w:rsid w:val="30700688"/>
    <w:rsid w:val="31200B1F"/>
    <w:rsid w:val="31207139"/>
    <w:rsid w:val="31935B34"/>
    <w:rsid w:val="319E75B6"/>
    <w:rsid w:val="31EF6CC3"/>
    <w:rsid w:val="31FA58B6"/>
    <w:rsid w:val="32374347"/>
    <w:rsid w:val="323C077E"/>
    <w:rsid w:val="343C751C"/>
    <w:rsid w:val="358D2569"/>
    <w:rsid w:val="35A20C08"/>
    <w:rsid w:val="35CF32C4"/>
    <w:rsid w:val="37CD5327"/>
    <w:rsid w:val="3826648A"/>
    <w:rsid w:val="385A298F"/>
    <w:rsid w:val="38830A0F"/>
    <w:rsid w:val="389C1598"/>
    <w:rsid w:val="391753D8"/>
    <w:rsid w:val="398163A9"/>
    <w:rsid w:val="3A422681"/>
    <w:rsid w:val="3A6E3B4F"/>
    <w:rsid w:val="3A8D500B"/>
    <w:rsid w:val="3B612EFA"/>
    <w:rsid w:val="3B930AB2"/>
    <w:rsid w:val="3BA85FA7"/>
    <w:rsid w:val="3C177EDB"/>
    <w:rsid w:val="3C2C38C7"/>
    <w:rsid w:val="3CD919AB"/>
    <w:rsid w:val="3D2B63EB"/>
    <w:rsid w:val="3F422B55"/>
    <w:rsid w:val="3F4C446F"/>
    <w:rsid w:val="3FA11997"/>
    <w:rsid w:val="40B04D17"/>
    <w:rsid w:val="413C17C4"/>
    <w:rsid w:val="41913EA6"/>
    <w:rsid w:val="41DF4411"/>
    <w:rsid w:val="41F0045C"/>
    <w:rsid w:val="429E457A"/>
    <w:rsid w:val="42C059E3"/>
    <w:rsid w:val="430147FA"/>
    <w:rsid w:val="43237373"/>
    <w:rsid w:val="437E77C4"/>
    <w:rsid w:val="43BC0231"/>
    <w:rsid w:val="43C129BA"/>
    <w:rsid w:val="44194F18"/>
    <w:rsid w:val="44697131"/>
    <w:rsid w:val="44E909A3"/>
    <w:rsid w:val="4547614C"/>
    <w:rsid w:val="4582210E"/>
    <w:rsid w:val="45DE540E"/>
    <w:rsid w:val="466D0103"/>
    <w:rsid w:val="46E32BCE"/>
    <w:rsid w:val="47FD5FDB"/>
    <w:rsid w:val="49875DCE"/>
    <w:rsid w:val="4995019C"/>
    <w:rsid w:val="4A492440"/>
    <w:rsid w:val="4B8A1C53"/>
    <w:rsid w:val="4C3E433E"/>
    <w:rsid w:val="4D0F2901"/>
    <w:rsid w:val="4E55337F"/>
    <w:rsid w:val="4F7A2A19"/>
    <w:rsid w:val="4F7E1BFB"/>
    <w:rsid w:val="508F641B"/>
    <w:rsid w:val="50A12E60"/>
    <w:rsid w:val="510D3370"/>
    <w:rsid w:val="51CC25D5"/>
    <w:rsid w:val="525955B1"/>
    <w:rsid w:val="53D00DBF"/>
    <w:rsid w:val="53F07DE5"/>
    <w:rsid w:val="54426194"/>
    <w:rsid w:val="54512311"/>
    <w:rsid w:val="548E38FF"/>
    <w:rsid w:val="54905820"/>
    <w:rsid w:val="54C066DC"/>
    <w:rsid w:val="552402DA"/>
    <w:rsid w:val="555820B5"/>
    <w:rsid w:val="572E18FD"/>
    <w:rsid w:val="578E488B"/>
    <w:rsid w:val="57C135B2"/>
    <w:rsid w:val="58191195"/>
    <w:rsid w:val="581A4CC0"/>
    <w:rsid w:val="596270B3"/>
    <w:rsid w:val="59757966"/>
    <w:rsid w:val="59CE6345"/>
    <w:rsid w:val="5A3B0686"/>
    <w:rsid w:val="5A882A6A"/>
    <w:rsid w:val="5A9A22F9"/>
    <w:rsid w:val="5AC21DB2"/>
    <w:rsid w:val="5C183BCB"/>
    <w:rsid w:val="5C610FD2"/>
    <w:rsid w:val="5C652FAE"/>
    <w:rsid w:val="5DA15318"/>
    <w:rsid w:val="5DD221CC"/>
    <w:rsid w:val="60887E5E"/>
    <w:rsid w:val="60AB572B"/>
    <w:rsid w:val="60E742FD"/>
    <w:rsid w:val="61E50F12"/>
    <w:rsid w:val="630531DA"/>
    <w:rsid w:val="63661564"/>
    <w:rsid w:val="63EB5A74"/>
    <w:rsid w:val="644436E8"/>
    <w:rsid w:val="64EC5BF4"/>
    <w:rsid w:val="652C5971"/>
    <w:rsid w:val="65766292"/>
    <w:rsid w:val="65E35E14"/>
    <w:rsid w:val="6651210B"/>
    <w:rsid w:val="66935C05"/>
    <w:rsid w:val="66D555F0"/>
    <w:rsid w:val="66FC0D2C"/>
    <w:rsid w:val="672E4672"/>
    <w:rsid w:val="67773C81"/>
    <w:rsid w:val="6810393D"/>
    <w:rsid w:val="682D7901"/>
    <w:rsid w:val="6836676F"/>
    <w:rsid w:val="687938F3"/>
    <w:rsid w:val="6890026C"/>
    <w:rsid w:val="695C7769"/>
    <w:rsid w:val="6A06258C"/>
    <w:rsid w:val="6A1A4CD8"/>
    <w:rsid w:val="6A57315D"/>
    <w:rsid w:val="6B200010"/>
    <w:rsid w:val="6B88487B"/>
    <w:rsid w:val="6C053863"/>
    <w:rsid w:val="6CC42F8F"/>
    <w:rsid w:val="6CE54404"/>
    <w:rsid w:val="6D1D442E"/>
    <w:rsid w:val="6D4818D6"/>
    <w:rsid w:val="6D596CF4"/>
    <w:rsid w:val="6DBD503F"/>
    <w:rsid w:val="6E5B561D"/>
    <w:rsid w:val="6E7A07CF"/>
    <w:rsid w:val="70AA6167"/>
    <w:rsid w:val="70E4702B"/>
    <w:rsid w:val="71596E67"/>
    <w:rsid w:val="717D724A"/>
    <w:rsid w:val="71970440"/>
    <w:rsid w:val="71C346B5"/>
    <w:rsid w:val="72441D02"/>
    <w:rsid w:val="724B6478"/>
    <w:rsid w:val="73AF6017"/>
    <w:rsid w:val="73E72C13"/>
    <w:rsid w:val="74E731ED"/>
    <w:rsid w:val="75024F92"/>
    <w:rsid w:val="753F0B17"/>
    <w:rsid w:val="758E5463"/>
    <w:rsid w:val="75EB4ED6"/>
    <w:rsid w:val="768C7E47"/>
    <w:rsid w:val="77003B40"/>
    <w:rsid w:val="770229FA"/>
    <w:rsid w:val="77156C7D"/>
    <w:rsid w:val="771F4878"/>
    <w:rsid w:val="77D00302"/>
    <w:rsid w:val="77E66B14"/>
    <w:rsid w:val="78570879"/>
    <w:rsid w:val="793A670D"/>
    <w:rsid w:val="79BA78FA"/>
    <w:rsid w:val="79CE0279"/>
    <w:rsid w:val="7A0849C7"/>
    <w:rsid w:val="7A377612"/>
    <w:rsid w:val="7A3C6949"/>
    <w:rsid w:val="7B8E5C3C"/>
    <w:rsid w:val="7B9A5BD4"/>
    <w:rsid w:val="7BC60E22"/>
    <w:rsid w:val="7C1B3BD2"/>
    <w:rsid w:val="7C8A0DE0"/>
    <w:rsid w:val="7CFD1DAF"/>
    <w:rsid w:val="7D96647C"/>
    <w:rsid w:val="7E08657F"/>
    <w:rsid w:val="7E726B1F"/>
    <w:rsid w:val="7F1C2108"/>
    <w:rsid w:val="7F327624"/>
    <w:rsid w:val="7F62241E"/>
    <w:rsid w:val="7F9346C0"/>
    <w:rsid w:val="7FA347F6"/>
    <w:rsid w:val="7FB12C0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6">
    <w:name w:val="heading 1"/>
    <w:basedOn w:val="1"/>
    <w:next w:val="1"/>
    <w:link w:val="22"/>
    <w:qFormat/>
    <w:uiPriority w:val="0"/>
    <w:pPr>
      <w:keepNext/>
      <w:keepLines/>
      <w:spacing w:before="340" w:after="330" w:line="578" w:lineRule="auto"/>
      <w:outlineLvl w:val="0"/>
    </w:pPr>
    <w:rPr>
      <w:b/>
      <w:bCs/>
      <w:kern w:val="44"/>
      <w:sz w:val="44"/>
      <w:szCs w:val="44"/>
    </w:rPr>
  </w:style>
  <w:style w:type="paragraph" w:styleId="7">
    <w:name w:val="heading 3"/>
    <w:basedOn w:val="1"/>
    <w:next w:val="1"/>
    <w:link w:val="23"/>
    <w:qFormat/>
    <w:uiPriority w:val="0"/>
    <w:pPr>
      <w:keepNext/>
      <w:keepLines/>
      <w:spacing w:before="260" w:after="260" w:line="416" w:lineRule="auto"/>
      <w:outlineLvl w:val="2"/>
    </w:pPr>
    <w:rPr>
      <w:b/>
      <w:bCs/>
      <w:sz w:val="32"/>
      <w:szCs w:val="32"/>
    </w:rPr>
  </w:style>
  <w:style w:type="character" w:default="1" w:styleId="17">
    <w:name w:val="Default Paragraph Font"/>
    <w:unhideWhenUsed/>
    <w:qFormat/>
    <w:uiPriority w:val="1"/>
  </w:style>
  <w:style w:type="table" w:default="1" w:styleId="16">
    <w:name w:val="Normal Table"/>
    <w:unhideWhenUsed/>
    <w:qFormat/>
    <w:uiPriority w:val="99"/>
    <w:tblPr>
      <w:tblCellMar>
        <w:top w:w="0" w:type="dxa"/>
        <w:left w:w="108" w:type="dxa"/>
        <w:bottom w:w="0" w:type="dxa"/>
        <w:right w:w="108" w:type="dxa"/>
      </w:tblCellMar>
    </w:tblPr>
  </w:style>
  <w:style w:type="paragraph" w:styleId="2">
    <w:name w:val="Body Text First Indent 2"/>
    <w:basedOn w:val="3"/>
    <w:next w:val="5"/>
    <w:qFormat/>
    <w:uiPriority w:val="0"/>
    <w:pPr>
      <w:spacing w:after="0"/>
      <w:ind w:left="360" w:firstLine="360"/>
    </w:pPr>
  </w:style>
  <w:style w:type="paragraph" w:styleId="3">
    <w:name w:val="Body Text Indent"/>
    <w:basedOn w:val="1"/>
    <w:next w:val="4"/>
    <w:link w:val="26"/>
    <w:qFormat/>
    <w:uiPriority w:val="0"/>
    <w:pPr>
      <w:spacing w:after="120"/>
      <w:ind w:left="420" w:leftChars="200"/>
    </w:pPr>
    <w:rPr>
      <w:szCs w:val="21"/>
    </w:rPr>
  </w:style>
  <w:style w:type="paragraph" w:styleId="4">
    <w:name w:val="Normal Indent"/>
    <w:basedOn w:val="1"/>
    <w:next w:val="1"/>
    <w:unhideWhenUsed/>
    <w:qFormat/>
    <w:uiPriority w:val="99"/>
    <w:pPr>
      <w:ind w:firstLine="420" w:firstLineChars="200"/>
    </w:pPr>
  </w:style>
  <w:style w:type="paragraph" w:styleId="5">
    <w:name w:val="Body Text"/>
    <w:basedOn w:val="1"/>
    <w:next w:val="1"/>
    <w:qFormat/>
    <w:uiPriority w:val="0"/>
    <w:pPr>
      <w:spacing w:before="120" w:after="120"/>
    </w:pPr>
  </w:style>
  <w:style w:type="paragraph" w:styleId="8">
    <w:name w:val="Document Map"/>
    <w:basedOn w:val="1"/>
    <w:link w:val="32"/>
    <w:qFormat/>
    <w:uiPriority w:val="0"/>
    <w:rPr>
      <w:rFonts w:ascii="宋体"/>
      <w:sz w:val="18"/>
      <w:szCs w:val="18"/>
    </w:rPr>
  </w:style>
  <w:style w:type="paragraph" w:styleId="9">
    <w:name w:val="annotation text"/>
    <w:basedOn w:val="1"/>
    <w:link w:val="33"/>
    <w:qFormat/>
    <w:uiPriority w:val="0"/>
    <w:pPr>
      <w:jc w:val="left"/>
    </w:pPr>
  </w:style>
  <w:style w:type="paragraph" w:styleId="10">
    <w:name w:val="Block Text"/>
    <w:basedOn w:val="1"/>
    <w:qFormat/>
    <w:uiPriority w:val="0"/>
    <w:pPr>
      <w:widowControl/>
      <w:ind w:left="-929" w:leftChars="-387" w:right="-751" w:rightChars="-313"/>
      <w:jc w:val="left"/>
    </w:pPr>
    <w:rPr>
      <w:rFonts w:ascii="宋体" w:hAnsi="宋体"/>
      <w:kern w:val="0"/>
    </w:rPr>
  </w:style>
  <w:style w:type="paragraph" w:styleId="11">
    <w:name w:val="Balloon Text"/>
    <w:basedOn w:val="1"/>
    <w:link w:val="30"/>
    <w:unhideWhenUsed/>
    <w:qFormat/>
    <w:uiPriority w:val="0"/>
    <w:rPr>
      <w:sz w:val="18"/>
      <w:szCs w:val="18"/>
    </w:rPr>
  </w:style>
  <w:style w:type="paragraph" w:styleId="12">
    <w:name w:val="footer"/>
    <w:basedOn w:val="1"/>
    <w:link w:val="25"/>
    <w:unhideWhenUsed/>
    <w:qFormat/>
    <w:uiPriority w:val="99"/>
    <w:pPr>
      <w:tabs>
        <w:tab w:val="center" w:pos="4153"/>
        <w:tab w:val="right" w:pos="8306"/>
      </w:tabs>
      <w:snapToGrid w:val="0"/>
      <w:jc w:val="left"/>
    </w:pPr>
    <w:rPr>
      <w:sz w:val="18"/>
      <w:szCs w:val="18"/>
    </w:rPr>
  </w:style>
  <w:style w:type="paragraph" w:styleId="13">
    <w:name w:val="header"/>
    <w:basedOn w:val="1"/>
    <w:link w:val="24"/>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itle"/>
    <w:basedOn w:val="1"/>
    <w:next w:val="1"/>
    <w:link w:val="35"/>
    <w:qFormat/>
    <w:uiPriority w:val="0"/>
    <w:pPr>
      <w:spacing w:before="240" w:after="60"/>
      <w:jc w:val="center"/>
      <w:outlineLvl w:val="0"/>
    </w:pPr>
    <w:rPr>
      <w:rFonts w:ascii="Cambria" w:hAnsi="Cambria" w:eastAsia="楷体_GB2312"/>
      <w:b/>
      <w:bCs/>
      <w:kern w:val="0"/>
      <w:sz w:val="32"/>
      <w:szCs w:val="32"/>
    </w:rPr>
  </w:style>
  <w:style w:type="paragraph" w:styleId="15">
    <w:name w:val="annotation subject"/>
    <w:basedOn w:val="9"/>
    <w:next w:val="9"/>
    <w:link w:val="36"/>
    <w:qFormat/>
    <w:uiPriority w:val="0"/>
    <w:rPr>
      <w:b/>
      <w:bCs/>
    </w:rPr>
  </w:style>
  <w:style w:type="character" w:styleId="18">
    <w:name w:val="Strong"/>
    <w:qFormat/>
    <w:uiPriority w:val="0"/>
    <w:rPr>
      <w:b/>
      <w:bCs/>
    </w:rPr>
  </w:style>
  <w:style w:type="character" w:styleId="19">
    <w:name w:val="page number"/>
    <w:qFormat/>
    <w:uiPriority w:val="0"/>
  </w:style>
  <w:style w:type="character" w:styleId="20">
    <w:name w:val="Hyperlink"/>
    <w:qFormat/>
    <w:uiPriority w:val="0"/>
    <w:rPr>
      <w:color w:val="0000FF"/>
      <w:u w:val="single"/>
    </w:rPr>
  </w:style>
  <w:style w:type="character" w:styleId="21">
    <w:name w:val="annotation reference"/>
    <w:qFormat/>
    <w:uiPriority w:val="0"/>
    <w:rPr>
      <w:sz w:val="21"/>
      <w:szCs w:val="21"/>
    </w:rPr>
  </w:style>
  <w:style w:type="character" w:customStyle="1" w:styleId="22">
    <w:name w:val="标题 1 Char"/>
    <w:basedOn w:val="17"/>
    <w:link w:val="6"/>
    <w:qFormat/>
    <w:uiPriority w:val="0"/>
    <w:rPr>
      <w:rFonts w:ascii="Times New Roman" w:hAnsi="Times New Roman" w:eastAsia="宋体" w:cs="Times New Roman"/>
      <w:b/>
      <w:bCs/>
      <w:kern w:val="44"/>
      <w:sz w:val="44"/>
      <w:szCs w:val="44"/>
    </w:rPr>
  </w:style>
  <w:style w:type="character" w:customStyle="1" w:styleId="23">
    <w:name w:val="标题 3 Char"/>
    <w:basedOn w:val="17"/>
    <w:link w:val="7"/>
    <w:qFormat/>
    <w:uiPriority w:val="0"/>
    <w:rPr>
      <w:rFonts w:ascii="Times New Roman" w:hAnsi="Times New Roman" w:eastAsia="宋体" w:cs="Times New Roman"/>
      <w:b/>
      <w:bCs/>
      <w:sz w:val="32"/>
      <w:szCs w:val="32"/>
    </w:rPr>
  </w:style>
  <w:style w:type="character" w:customStyle="1" w:styleId="24">
    <w:name w:val="页眉 Char"/>
    <w:basedOn w:val="17"/>
    <w:link w:val="13"/>
    <w:qFormat/>
    <w:uiPriority w:val="0"/>
    <w:rPr>
      <w:rFonts w:ascii="Times New Roman" w:hAnsi="Times New Roman" w:eastAsia="宋体" w:cs="Times New Roman"/>
      <w:sz w:val="18"/>
      <w:szCs w:val="18"/>
    </w:rPr>
  </w:style>
  <w:style w:type="character" w:customStyle="1" w:styleId="25">
    <w:name w:val="页脚 Char1"/>
    <w:basedOn w:val="17"/>
    <w:link w:val="12"/>
    <w:qFormat/>
    <w:uiPriority w:val="99"/>
    <w:rPr>
      <w:rFonts w:ascii="Times New Roman" w:hAnsi="Times New Roman" w:eastAsia="宋体" w:cs="Times New Roman"/>
      <w:sz w:val="18"/>
      <w:szCs w:val="18"/>
    </w:rPr>
  </w:style>
  <w:style w:type="character" w:customStyle="1" w:styleId="26">
    <w:name w:val="正文文本缩进 Char"/>
    <w:link w:val="3"/>
    <w:qFormat/>
    <w:uiPriority w:val="0"/>
    <w:rPr>
      <w:rFonts w:ascii="Times New Roman" w:hAnsi="Times New Roman" w:eastAsia="宋体" w:cs="Times New Roman"/>
      <w:szCs w:val="21"/>
    </w:rPr>
  </w:style>
  <w:style w:type="character" w:customStyle="1" w:styleId="27">
    <w:name w:val="正文文本缩进 字符"/>
    <w:basedOn w:val="17"/>
    <w:semiHidden/>
    <w:qFormat/>
    <w:uiPriority w:val="99"/>
    <w:rPr>
      <w:rFonts w:ascii="Times New Roman" w:hAnsi="Times New Roman" w:eastAsia="宋体" w:cs="Times New Roman"/>
      <w:szCs w:val="24"/>
    </w:rPr>
  </w:style>
  <w:style w:type="character" w:customStyle="1" w:styleId="28">
    <w:name w:val="页脚 Char"/>
    <w:qFormat/>
    <w:locked/>
    <w:uiPriority w:val="99"/>
    <w:rPr>
      <w:rFonts w:cs="Times New Roman"/>
      <w:sz w:val="18"/>
      <w:szCs w:val="18"/>
    </w:rPr>
  </w:style>
  <w:style w:type="paragraph" w:customStyle="1" w:styleId="29">
    <w:name w:val="特点"/>
    <w:basedOn w:val="1"/>
    <w:next w:val="3"/>
    <w:qFormat/>
    <w:uiPriority w:val="0"/>
    <w:pPr>
      <w:spacing w:line="300" w:lineRule="exact"/>
      <w:ind w:right="26" w:firstLine="435"/>
    </w:pPr>
    <w:rPr>
      <w:rFonts w:eastAsia="黑体"/>
      <w:sz w:val="18"/>
    </w:rPr>
  </w:style>
  <w:style w:type="character" w:customStyle="1" w:styleId="30">
    <w:name w:val="批注框文本 Char"/>
    <w:basedOn w:val="17"/>
    <w:link w:val="11"/>
    <w:semiHidden/>
    <w:qFormat/>
    <w:uiPriority w:val="99"/>
    <w:rPr>
      <w:rFonts w:ascii="Times New Roman" w:hAnsi="Times New Roman" w:eastAsia="宋体" w:cs="Times New Roman"/>
      <w:sz w:val="18"/>
      <w:szCs w:val="18"/>
    </w:rPr>
  </w:style>
  <w:style w:type="paragraph" w:customStyle="1" w:styleId="31">
    <w:name w:val="Default"/>
    <w:qFormat/>
    <w:uiPriority w:val="0"/>
    <w:pPr>
      <w:widowControl w:val="0"/>
      <w:autoSpaceDE w:val="0"/>
      <w:autoSpaceDN w:val="0"/>
      <w:adjustRightInd w:val="0"/>
    </w:pPr>
    <w:rPr>
      <w:rFonts w:ascii="仿宋_GB2312" w:eastAsia="仿宋_GB2312" w:cs="仿宋_GB2312" w:hAnsiTheme="minorHAnsi"/>
      <w:color w:val="000000"/>
      <w:sz w:val="24"/>
      <w:szCs w:val="24"/>
      <w:lang w:val="en-US" w:eastAsia="zh-CN" w:bidi="ar-SA"/>
    </w:rPr>
  </w:style>
  <w:style w:type="character" w:customStyle="1" w:styleId="32">
    <w:name w:val="文档结构图 Char"/>
    <w:basedOn w:val="17"/>
    <w:link w:val="8"/>
    <w:qFormat/>
    <w:uiPriority w:val="0"/>
    <w:rPr>
      <w:rFonts w:ascii="宋体" w:hAnsi="Times New Roman" w:eastAsia="宋体" w:cs="Times New Roman"/>
      <w:sz w:val="18"/>
      <w:szCs w:val="18"/>
    </w:rPr>
  </w:style>
  <w:style w:type="character" w:customStyle="1" w:styleId="33">
    <w:name w:val="批注文字 Char"/>
    <w:basedOn w:val="17"/>
    <w:link w:val="9"/>
    <w:qFormat/>
    <w:uiPriority w:val="0"/>
    <w:rPr>
      <w:rFonts w:ascii="Times New Roman" w:hAnsi="Times New Roman" w:eastAsia="宋体" w:cs="Times New Roman"/>
      <w:szCs w:val="24"/>
    </w:rPr>
  </w:style>
  <w:style w:type="character" w:customStyle="1" w:styleId="34">
    <w:name w:val="页眉 Char1"/>
    <w:qFormat/>
    <w:locked/>
    <w:uiPriority w:val="99"/>
    <w:rPr>
      <w:rFonts w:cs="Times New Roman"/>
      <w:sz w:val="18"/>
      <w:szCs w:val="18"/>
    </w:rPr>
  </w:style>
  <w:style w:type="character" w:customStyle="1" w:styleId="35">
    <w:name w:val="标题 Char"/>
    <w:basedOn w:val="17"/>
    <w:link w:val="14"/>
    <w:qFormat/>
    <w:uiPriority w:val="0"/>
    <w:rPr>
      <w:rFonts w:ascii="Cambria" w:hAnsi="Cambria" w:eastAsia="楷体_GB2312" w:cs="Times New Roman"/>
      <w:b/>
      <w:bCs/>
      <w:kern w:val="0"/>
      <w:sz w:val="32"/>
      <w:szCs w:val="32"/>
    </w:rPr>
  </w:style>
  <w:style w:type="character" w:customStyle="1" w:styleId="36">
    <w:name w:val="批注主题 Char"/>
    <w:basedOn w:val="33"/>
    <w:link w:val="15"/>
    <w:qFormat/>
    <w:uiPriority w:val="0"/>
    <w:rPr>
      <w:rFonts w:ascii="Times New Roman" w:hAnsi="Times New Roman" w:eastAsia="宋体" w:cs="Times New Roman"/>
      <w:b/>
      <w:bCs/>
      <w:szCs w:val="24"/>
    </w:rPr>
  </w:style>
  <w:style w:type="paragraph" w:customStyle="1" w:styleId="37">
    <w:name w:val="列出段落1"/>
    <w:basedOn w:val="1"/>
    <w:qFormat/>
    <w:uiPriority w:val="0"/>
    <w:pPr>
      <w:ind w:firstLine="420" w:firstLineChars="200"/>
    </w:pPr>
    <w:rPr>
      <w:rFonts w:ascii="Calibri" w:hAnsi="Calibri"/>
      <w:szCs w:val="22"/>
    </w:rPr>
  </w:style>
  <w:style w:type="paragraph" w:customStyle="1" w:styleId="38">
    <w:name w:val="列出段落2"/>
    <w:basedOn w:val="1"/>
    <w:qFormat/>
    <w:uiPriority w:val="34"/>
    <w:pPr>
      <w:ind w:firstLine="420" w:firstLineChars="200"/>
    </w:pPr>
  </w:style>
  <w:style w:type="paragraph" w:customStyle="1" w:styleId="39">
    <w:name w:val="Char Char Char Char Char Char Char"/>
    <w:basedOn w:val="1"/>
    <w:qFormat/>
    <w:uiPriority w:val="0"/>
    <w:rPr>
      <w:rFonts w:ascii="Tahoma" w:hAnsi="Tahoma"/>
      <w:sz w:val="24"/>
      <w:szCs w:val="20"/>
    </w:rPr>
  </w:style>
  <w:style w:type="paragraph" w:customStyle="1" w:styleId="40">
    <w:name w:val="p0"/>
    <w:basedOn w:val="1"/>
    <w:qFormat/>
    <w:uiPriority w:val="0"/>
    <w:pPr>
      <w:widowControl/>
    </w:pPr>
    <w:rPr>
      <w:kern w:val="0"/>
      <w:szCs w:val="21"/>
    </w:rPr>
  </w:style>
  <w:style w:type="paragraph" w:customStyle="1" w:styleId="41">
    <w:name w:val="修订1"/>
    <w:unhideWhenUsed/>
    <w:qFormat/>
    <w:uiPriority w:val="99"/>
    <w:rPr>
      <w:rFonts w:ascii="Times New Roman" w:hAnsi="Times New Roman" w:eastAsia="宋体" w:cs="Times New Roman"/>
      <w:kern w:val="2"/>
      <w:sz w:val="21"/>
      <w:szCs w:val="24"/>
      <w:lang w:val="en-US" w:eastAsia="zh-CN" w:bidi="ar-SA"/>
    </w:rPr>
  </w:style>
  <w:style w:type="paragraph" w:customStyle="1" w:styleId="42">
    <w:name w:val="列出段落3"/>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36C92B-BD9C-428C-89DE-9A4A14445917}">
  <ds:schemaRefs/>
</ds:datastoreItem>
</file>

<file path=docProps/app.xml><?xml version="1.0" encoding="utf-8"?>
<Properties xmlns="http://schemas.openxmlformats.org/officeDocument/2006/extended-properties" xmlns:vt="http://schemas.openxmlformats.org/officeDocument/2006/docPropsVTypes">
  <Template>Normal</Template>
  <Pages>26</Pages>
  <Words>26927</Words>
  <Characters>27585</Characters>
  <Lines>267</Lines>
  <Paragraphs>75</Paragraphs>
  <TotalTime>5</TotalTime>
  <ScaleCrop>false</ScaleCrop>
  <LinksUpToDate>false</LinksUpToDate>
  <CharactersWithSpaces>27593</CharactersWithSpaces>
  <Application>WPS Office_11.8.2.12055_F1E327BC-269C-435d-A152-05C5408002CA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2023-08-16T08:00:00Z</dcterms:created>
  <dc:creator>Song Cangnan</dc:creator>
  <cp:lastModifiedBy>刘芳勤_产品管理部</cp:lastModifiedBy>
  <cp:lastPrinted>2022-12-23T14:07:00Z</cp:lastPrinted>
  <dcterms:modified xsi:type="dcterms:W3CDTF">2025-08-26T06:44:50Z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2052-11.8.2.12055</vt:lpwstr>
  </property>
  <property fmtid="{D5CDD505-2E9C-101B-9397-08002B2CF9AE}" pid="3" name="ICV">
    <vt:lpwstr>D41662C12E7845FF984A3324AE7B06E7</vt:lpwstr>
  </property>
</Properties>
</file>