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15"/>
          <w:tab w:val="center" w:pos="5273"/>
        </w:tabs>
        <w:spacing w:before="50"/>
        <w:jc w:val="center"/>
        <w:rPr>
          <w:rFonts w:ascii="楷体" w:hAnsi="楷体" w:eastAsia="楷体"/>
          <w:b/>
          <w:sz w:val="32"/>
          <w:szCs w:val="32"/>
        </w:rPr>
      </w:pPr>
      <w:r>
        <w:rPr>
          <w:rFonts w:hint="eastAsia" w:ascii="楷体" w:hAnsi="楷体" w:eastAsia="楷体"/>
          <w:b/>
          <w:sz w:val="32"/>
          <w:szCs w:val="32"/>
        </w:rPr>
        <w:t>理财非存款、产品有风险、投资须谨慎！</w:t>
      </w:r>
    </w:p>
    <w:p>
      <w:pPr>
        <w:tabs>
          <w:tab w:val="left" w:pos="915"/>
          <w:tab w:val="center" w:pos="5273"/>
        </w:tabs>
        <w:spacing w:before="50"/>
        <w:jc w:val="center"/>
        <w:rPr>
          <w:rFonts w:ascii="黑体" w:eastAsia="黑体"/>
          <w:bCs/>
          <w:color w:val="000000"/>
          <w:sz w:val="30"/>
          <w:szCs w:val="30"/>
        </w:rPr>
      </w:pPr>
    </w:p>
    <w:p>
      <w:pPr>
        <w:tabs>
          <w:tab w:val="left" w:pos="915"/>
          <w:tab w:val="center" w:pos="5273"/>
        </w:tabs>
        <w:spacing w:before="50"/>
        <w:jc w:val="center"/>
        <w:rPr>
          <w:rFonts w:ascii="黑体" w:eastAsia="黑体"/>
          <w:bCs/>
          <w:color w:val="000000"/>
          <w:sz w:val="30"/>
          <w:szCs w:val="30"/>
        </w:rPr>
      </w:pPr>
    </w:p>
    <w:p>
      <w:pPr>
        <w:tabs>
          <w:tab w:val="left" w:pos="915"/>
          <w:tab w:val="center" w:pos="5273"/>
        </w:tabs>
        <w:spacing w:before="50"/>
        <w:jc w:val="center"/>
        <w:rPr>
          <w:rFonts w:ascii="黑体" w:eastAsia="黑体"/>
          <w:bCs/>
          <w:color w:val="000000"/>
          <w:sz w:val="30"/>
          <w:szCs w:val="30"/>
        </w:rPr>
      </w:pPr>
    </w:p>
    <w:p>
      <w:pPr>
        <w:tabs>
          <w:tab w:val="left" w:pos="915"/>
          <w:tab w:val="center" w:pos="5273"/>
        </w:tabs>
        <w:spacing w:before="50"/>
        <w:jc w:val="center"/>
        <w:rPr>
          <w:rFonts w:ascii="黑体" w:eastAsia="黑体"/>
          <w:bCs/>
          <w:color w:val="000000"/>
          <w:sz w:val="30"/>
          <w:szCs w:val="30"/>
        </w:rPr>
      </w:pPr>
    </w:p>
    <w:p>
      <w:pPr>
        <w:tabs>
          <w:tab w:val="left" w:pos="915"/>
          <w:tab w:val="center" w:pos="5273"/>
        </w:tabs>
        <w:spacing w:before="50"/>
        <w:jc w:val="center"/>
        <w:rPr>
          <w:rFonts w:ascii="黑体" w:eastAsia="黑体"/>
          <w:bCs/>
          <w:color w:val="000000"/>
          <w:sz w:val="30"/>
          <w:szCs w:val="30"/>
        </w:rPr>
      </w:pPr>
    </w:p>
    <w:p>
      <w:pPr>
        <w:tabs>
          <w:tab w:val="left" w:pos="915"/>
          <w:tab w:val="center" w:pos="5273"/>
        </w:tabs>
        <w:spacing w:before="50"/>
        <w:jc w:val="center"/>
        <w:rPr>
          <w:rFonts w:ascii="楷体" w:hAnsi="楷体" w:eastAsia="楷体"/>
          <w:bCs/>
          <w:color w:val="000000"/>
          <w:sz w:val="48"/>
          <w:szCs w:val="48"/>
        </w:rPr>
      </w:pPr>
    </w:p>
    <w:p>
      <w:pPr>
        <w:tabs>
          <w:tab w:val="left" w:pos="915"/>
          <w:tab w:val="center" w:pos="5273"/>
        </w:tabs>
        <w:spacing w:before="50" w:line="600" w:lineRule="auto"/>
        <w:jc w:val="center"/>
        <w:rPr>
          <w:rFonts w:hint="eastAsia" w:ascii="华文楷体" w:hAnsi="华文楷体" w:eastAsia="华文楷体"/>
          <w:b/>
          <w:bCs/>
          <w:color w:val="000000"/>
          <w:spacing w:val="-28"/>
          <w:sz w:val="52"/>
          <w:szCs w:val="52"/>
          <w:lang w:eastAsia="zh-CN"/>
        </w:rPr>
      </w:pPr>
      <w:r>
        <w:rPr>
          <w:rFonts w:hint="eastAsia" w:ascii="华文楷体" w:hAnsi="华文楷体" w:eastAsia="华文楷体"/>
          <w:b/>
          <w:bCs/>
          <w:color w:val="000000"/>
          <w:spacing w:val="-28"/>
          <w:sz w:val="52"/>
          <w:szCs w:val="52"/>
          <w:lang w:eastAsia="zh-CN"/>
        </w:rPr>
        <w:t>北银理财丰收系列京华远见春系列诚享</w:t>
      </w:r>
    </w:p>
    <w:p>
      <w:pPr>
        <w:tabs>
          <w:tab w:val="left" w:pos="915"/>
          <w:tab w:val="center" w:pos="5273"/>
        </w:tabs>
        <w:spacing w:before="50"/>
        <w:jc w:val="center"/>
        <w:rPr>
          <w:rFonts w:ascii="楷体" w:hAnsi="楷体" w:eastAsia="楷体"/>
          <w:bCs/>
          <w:color w:val="000000"/>
          <w:sz w:val="48"/>
          <w:szCs w:val="48"/>
        </w:rPr>
      </w:pPr>
      <w:permStart w:id="0" w:edGrp="everyone"/>
      <w:r>
        <w:rPr>
          <w:rFonts w:hint="eastAsia" w:ascii="华文楷体" w:hAnsi="华文楷体" w:eastAsia="华文楷体"/>
          <w:b/>
          <w:bCs/>
          <w:color w:val="000000"/>
          <w:spacing w:val="-28"/>
          <w:sz w:val="52"/>
          <w:szCs w:val="52"/>
          <w:lang w:val="en-US" w:eastAsia="zh-CN"/>
        </w:rPr>
        <w:t>7</w:t>
      </w:r>
      <w:permEnd w:id="0"/>
      <w:r>
        <w:rPr>
          <w:rFonts w:hint="eastAsia" w:ascii="华文楷体" w:hAnsi="华文楷体" w:eastAsia="华文楷体"/>
          <w:b/>
          <w:bCs/>
          <w:color w:val="000000"/>
          <w:spacing w:val="-28"/>
          <w:sz w:val="52"/>
          <w:szCs w:val="52"/>
          <w:lang w:eastAsia="zh-CN"/>
        </w:rPr>
        <w:t>天持有期</w:t>
      </w:r>
      <w:permStart w:id="1" w:edGrp="everyone"/>
      <w:r>
        <w:rPr>
          <w:rFonts w:hint="eastAsia" w:ascii="华文楷体" w:hAnsi="华文楷体" w:eastAsia="华文楷体"/>
          <w:b/>
          <w:bCs/>
          <w:color w:val="000000"/>
          <w:spacing w:val="-28"/>
          <w:sz w:val="52"/>
          <w:szCs w:val="52"/>
          <w:lang w:val="en-US" w:eastAsia="zh-CN"/>
        </w:rPr>
        <w:t>1</w:t>
      </w:r>
      <w:permEnd w:id="1"/>
      <w:r>
        <w:rPr>
          <w:rFonts w:hint="eastAsia" w:ascii="华文楷体" w:hAnsi="华文楷体" w:eastAsia="华文楷体"/>
          <w:b/>
          <w:bCs/>
          <w:color w:val="000000"/>
          <w:spacing w:val="-28"/>
          <w:sz w:val="52"/>
          <w:szCs w:val="52"/>
          <w:lang w:eastAsia="zh-CN"/>
        </w:rPr>
        <w:t>号理财产品</w:t>
      </w:r>
    </w:p>
    <w:p>
      <w:pPr>
        <w:tabs>
          <w:tab w:val="left" w:pos="915"/>
          <w:tab w:val="center" w:pos="5273"/>
        </w:tabs>
        <w:spacing w:before="50"/>
        <w:jc w:val="center"/>
        <w:rPr>
          <w:rFonts w:ascii="黑体" w:eastAsia="黑体"/>
          <w:bCs/>
          <w:color w:val="000000"/>
          <w:sz w:val="30"/>
          <w:szCs w:val="30"/>
        </w:rPr>
      </w:pPr>
    </w:p>
    <w:p>
      <w:pPr>
        <w:tabs>
          <w:tab w:val="left" w:pos="915"/>
          <w:tab w:val="center" w:pos="5273"/>
        </w:tabs>
        <w:spacing w:before="50"/>
        <w:jc w:val="center"/>
        <w:rPr>
          <w:rFonts w:ascii="黑体" w:eastAsia="黑体"/>
          <w:bCs/>
          <w:color w:val="000000"/>
          <w:sz w:val="30"/>
          <w:szCs w:val="30"/>
        </w:rPr>
      </w:pPr>
    </w:p>
    <w:p>
      <w:pPr>
        <w:tabs>
          <w:tab w:val="left" w:pos="915"/>
          <w:tab w:val="center" w:pos="5273"/>
        </w:tabs>
        <w:spacing w:before="50"/>
        <w:jc w:val="center"/>
        <w:rPr>
          <w:rFonts w:ascii="黑体" w:eastAsia="黑体"/>
          <w:bCs/>
          <w:color w:val="000000"/>
          <w:sz w:val="30"/>
          <w:szCs w:val="30"/>
        </w:rPr>
      </w:pPr>
    </w:p>
    <w:p>
      <w:pPr>
        <w:pStyle w:val="5"/>
      </w:pPr>
    </w:p>
    <w:p>
      <w:pPr>
        <w:tabs>
          <w:tab w:val="left" w:pos="915"/>
          <w:tab w:val="center" w:pos="5273"/>
        </w:tabs>
        <w:spacing w:before="50"/>
        <w:jc w:val="center"/>
        <w:rPr>
          <w:rFonts w:ascii="黑体" w:eastAsia="黑体"/>
          <w:bCs/>
          <w:color w:val="000000"/>
          <w:sz w:val="30"/>
          <w:szCs w:val="30"/>
        </w:rPr>
      </w:pPr>
    </w:p>
    <w:p>
      <w:pPr>
        <w:tabs>
          <w:tab w:val="left" w:pos="915"/>
          <w:tab w:val="center" w:pos="5273"/>
        </w:tabs>
        <w:spacing w:before="50"/>
        <w:jc w:val="center"/>
        <w:rPr>
          <w:rFonts w:ascii="黑体" w:eastAsia="黑体"/>
          <w:bCs/>
          <w:color w:val="000000"/>
          <w:sz w:val="30"/>
          <w:szCs w:val="30"/>
        </w:rPr>
      </w:pPr>
    </w:p>
    <w:p>
      <w:pPr>
        <w:tabs>
          <w:tab w:val="left" w:pos="915"/>
          <w:tab w:val="center" w:pos="5273"/>
        </w:tabs>
        <w:spacing w:before="50"/>
        <w:jc w:val="center"/>
        <w:rPr>
          <w:rFonts w:ascii="黑体" w:eastAsia="黑体"/>
          <w:b/>
          <w:bCs/>
          <w:color w:val="000000"/>
          <w:sz w:val="30"/>
          <w:szCs w:val="30"/>
        </w:rPr>
      </w:pPr>
      <w:r>
        <w:rPr>
          <w:rFonts w:ascii="黑体" w:eastAsia="黑体"/>
          <w:bCs/>
          <w:color w:val="000000"/>
          <w:sz w:val="30"/>
          <w:szCs w:val="30"/>
        </w:rPr>
        <w:drawing>
          <wp:inline distT="0" distB="0" distL="0" distR="0">
            <wp:extent cx="5274310" cy="1313180"/>
            <wp:effectExtent l="19050" t="0" r="2540" b="0"/>
            <wp:docPr id="3" name="图片 3" descr="C:\Users\zy\Desktop\北银理财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zy\Desktop\北银理财logo.jpg"/>
                    <pic:cNvPicPr>
                      <a:picLocks noChangeAspect="1" noChangeArrowheads="1"/>
                    </pic:cNvPicPr>
                  </pic:nvPicPr>
                  <pic:blipFill>
                    <a:blip r:embed="rId7" cstate="print"/>
                    <a:srcRect/>
                    <a:stretch>
                      <a:fillRect/>
                    </a:stretch>
                  </pic:blipFill>
                  <pic:spPr>
                    <a:xfrm>
                      <a:off x="0" y="0"/>
                      <a:ext cx="5274310" cy="1313572"/>
                    </a:xfrm>
                    <a:prstGeom prst="rect">
                      <a:avLst/>
                    </a:prstGeom>
                    <a:noFill/>
                    <a:ln w="9525">
                      <a:noFill/>
                      <a:miter lim="800000"/>
                      <a:headEnd/>
                      <a:tailEnd/>
                    </a:ln>
                  </pic:spPr>
                </pic:pic>
              </a:graphicData>
            </a:graphic>
          </wp:inline>
        </w:drawing>
      </w:r>
    </w:p>
    <w:p>
      <w:pPr>
        <w:tabs>
          <w:tab w:val="left" w:pos="915"/>
          <w:tab w:val="center" w:pos="5273"/>
        </w:tabs>
        <w:spacing w:before="50"/>
        <w:jc w:val="center"/>
        <w:rPr>
          <w:rFonts w:hint="eastAsia" w:ascii="黑体" w:hAnsi="楷体" w:eastAsia="黑体"/>
          <w:b/>
          <w:bCs w:val="0"/>
          <w:color w:val="auto"/>
          <w:spacing w:val="0"/>
          <w:sz w:val="30"/>
          <w:szCs w:val="30"/>
          <w:lang w:eastAsia="zh-CN"/>
        </w:rPr>
      </w:pPr>
    </w:p>
    <w:p>
      <w:pPr>
        <w:tabs>
          <w:tab w:val="left" w:pos="915"/>
          <w:tab w:val="center" w:pos="5273"/>
        </w:tabs>
        <w:spacing w:before="50"/>
        <w:jc w:val="center"/>
        <w:rPr>
          <w:rFonts w:hint="eastAsia" w:ascii="黑体" w:hAnsi="楷体" w:eastAsia="黑体"/>
          <w:b/>
          <w:bCs w:val="0"/>
          <w:color w:val="auto"/>
          <w:spacing w:val="0"/>
          <w:sz w:val="30"/>
          <w:szCs w:val="30"/>
          <w:lang w:eastAsia="zh-CN"/>
        </w:rPr>
      </w:pPr>
      <w:r>
        <w:rPr>
          <w:rFonts w:hint="eastAsia" w:ascii="黑体" w:hAnsi="楷体" w:eastAsia="黑体"/>
          <w:b/>
          <w:bCs w:val="0"/>
          <w:color w:val="auto"/>
          <w:spacing w:val="0"/>
          <w:sz w:val="30"/>
          <w:szCs w:val="30"/>
          <w:lang w:eastAsia="zh-CN"/>
        </w:rPr>
        <w:t>北银理财丰收系列京华远见春系列</w:t>
      </w:r>
    </w:p>
    <w:p>
      <w:pPr>
        <w:tabs>
          <w:tab w:val="left" w:pos="915"/>
          <w:tab w:val="center" w:pos="5273"/>
        </w:tabs>
        <w:spacing w:before="50"/>
        <w:jc w:val="center"/>
        <w:rPr>
          <w:rFonts w:hint="eastAsia" w:ascii="黑体" w:hAnsi="楷体" w:eastAsia="黑体"/>
          <w:b/>
          <w:bCs w:val="0"/>
          <w:color w:val="auto"/>
          <w:spacing w:val="0"/>
          <w:sz w:val="30"/>
          <w:szCs w:val="30"/>
          <w:lang w:eastAsia="zh-CN"/>
        </w:rPr>
      </w:pPr>
      <w:r>
        <w:rPr>
          <w:rFonts w:hint="eastAsia" w:ascii="黑体" w:hAnsi="楷体" w:eastAsia="黑体"/>
          <w:b/>
          <w:bCs w:val="0"/>
          <w:color w:val="auto"/>
          <w:spacing w:val="0"/>
          <w:sz w:val="30"/>
          <w:szCs w:val="30"/>
          <w:lang w:val="en-US" w:eastAsia="zh-CN"/>
        </w:rPr>
        <w:t>诚享</w:t>
      </w:r>
      <w:r>
        <w:rPr>
          <w:rFonts w:hint="eastAsia" w:ascii="黑体" w:eastAsia="黑体"/>
          <w:b/>
          <w:bCs/>
          <w:color w:val="000000"/>
          <w:sz w:val="30"/>
          <w:szCs w:val="30"/>
          <w:highlight w:val="none"/>
          <w:lang w:val="en-US" w:eastAsia="zh-CN"/>
        </w:rPr>
        <w:t>7</w:t>
      </w:r>
      <w:r>
        <w:rPr>
          <w:rFonts w:hint="eastAsia" w:ascii="黑体" w:eastAsia="黑体"/>
          <w:b/>
          <w:bCs/>
          <w:color w:val="000000"/>
          <w:sz w:val="30"/>
          <w:szCs w:val="30"/>
          <w:highlight w:val="none"/>
          <w:lang w:eastAsia="zh-CN"/>
        </w:rPr>
        <w:t>天持有期</w:t>
      </w:r>
      <w:permStart w:id="2" w:edGrp="everyone"/>
      <w:r>
        <w:rPr>
          <w:rFonts w:hint="eastAsia" w:ascii="黑体" w:eastAsia="黑体"/>
          <w:b/>
          <w:bCs/>
          <w:color w:val="000000"/>
          <w:sz w:val="30"/>
          <w:szCs w:val="30"/>
          <w:highlight w:val="none"/>
          <w:lang w:val="en-US" w:eastAsia="zh-CN"/>
        </w:rPr>
        <w:t>1</w:t>
      </w:r>
      <w:permEnd w:id="2"/>
      <w:r>
        <w:rPr>
          <w:rFonts w:hint="eastAsia" w:ascii="黑体" w:eastAsia="黑体"/>
          <w:b/>
          <w:bCs/>
          <w:color w:val="000000"/>
          <w:sz w:val="30"/>
          <w:szCs w:val="30"/>
          <w:highlight w:val="none"/>
          <w:lang w:eastAsia="zh-CN"/>
        </w:rPr>
        <w:t>号</w:t>
      </w:r>
      <w:r>
        <w:rPr>
          <w:rFonts w:hint="eastAsia" w:ascii="黑体" w:hAnsi="楷体" w:eastAsia="黑体"/>
          <w:b/>
          <w:bCs w:val="0"/>
          <w:color w:val="auto"/>
          <w:spacing w:val="0"/>
          <w:sz w:val="30"/>
          <w:szCs w:val="30"/>
          <w:lang w:eastAsia="zh-CN"/>
        </w:rPr>
        <w:t>理财产品</w:t>
      </w:r>
    </w:p>
    <w:p>
      <w:pPr>
        <w:tabs>
          <w:tab w:val="left" w:pos="915"/>
          <w:tab w:val="center" w:pos="5273"/>
        </w:tabs>
        <w:spacing w:before="50" w:line="600" w:lineRule="auto"/>
        <w:jc w:val="center"/>
        <w:rPr>
          <w:rFonts w:ascii="黑体" w:hAnsi="楷体" w:eastAsia="黑体"/>
          <w:b/>
          <w:sz w:val="30"/>
          <w:szCs w:val="30"/>
        </w:rPr>
      </w:pPr>
      <w:r>
        <w:rPr>
          <w:rFonts w:hint="eastAsia" w:ascii="黑体" w:hAnsi="楷体" w:eastAsia="黑体"/>
          <w:b/>
          <w:sz w:val="30"/>
          <w:szCs w:val="30"/>
        </w:rPr>
        <w:t>风险揭示书</w:t>
      </w:r>
    </w:p>
    <w:p>
      <w:pPr>
        <w:rPr>
          <w:rFonts w:ascii="楷体_GB2312" w:hAnsi="楷体" w:eastAsia="楷体_GB2312"/>
          <w:b/>
          <w:sz w:val="24"/>
        </w:rPr>
      </w:pPr>
      <w:r>
        <w:rPr>
          <w:rFonts w:hint="eastAsia" w:ascii="楷体_GB2312" w:hAnsi="楷体" w:eastAsia="楷体_GB2312"/>
          <w:b/>
          <w:sz w:val="24"/>
        </w:rPr>
        <w:t>尊敬的投资者：</w:t>
      </w:r>
    </w:p>
    <w:p>
      <w:pPr>
        <w:ind w:firstLine="480" w:firstLineChars="200"/>
        <w:rPr>
          <w:rFonts w:ascii="楷体_GB2312" w:hAnsi="楷体" w:eastAsia="楷体_GB2312" w:cs="Times New Roman"/>
          <w:b/>
          <w:bCs/>
          <w:color w:val="auto"/>
          <w:sz w:val="24"/>
          <w:highlight w:val="none"/>
        </w:rPr>
      </w:pPr>
      <w:r>
        <w:rPr>
          <w:rFonts w:ascii="楷体_GB2312" w:hAnsi="楷体" w:eastAsia="楷体_GB2312"/>
          <w:sz w:val="24"/>
          <w:highlight w:val="none"/>
        </w:rPr>
        <w:t>理财资金管理运用可能面临多种风险因素，根据</w:t>
      </w:r>
      <w:r>
        <w:rPr>
          <w:rFonts w:hint="eastAsia" w:ascii="楷体_GB2312" w:hAnsi="楷体" w:eastAsia="楷体_GB2312"/>
          <w:sz w:val="24"/>
          <w:highlight w:val="none"/>
        </w:rPr>
        <w:t>国家金融监督管理总局</w:t>
      </w:r>
      <w:r>
        <w:rPr>
          <w:rFonts w:ascii="楷体_GB2312" w:hAnsi="楷体" w:eastAsia="楷体_GB2312"/>
          <w:sz w:val="24"/>
          <w:highlight w:val="none"/>
        </w:rPr>
        <w:t>相关监管规定的要求，</w:t>
      </w:r>
      <w:r>
        <w:rPr>
          <w:rFonts w:hint="eastAsia" w:ascii="楷体_GB2312" w:hAnsi="楷体" w:eastAsia="楷体_GB2312"/>
          <w:b/>
          <w:bCs/>
          <w:sz w:val="24"/>
          <w:highlight w:val="none"/>
        </w:rPr>
        <w:t>北</w:t>
      </w:r>
      <w:r>
        <w:rPr>
          <w:rFonts w:ascii="楷体_GB2312" w:hAnsi="楷体" w:eastAsia="楷体_GB2312"/>
          <w:b/>
          <w:bCs/>
          <w:sz w:val="24"/>
          <w:highlight w:val="none"/>
        </w:rPr>
        <w:t>银理</w:t>
      </w:r>
      <w:r>
        <w:rPr>
          <w:rFonts w:hint="eastAsia" w:ascii="楷体_GB2312" w:hAnsi="楷体" w:eastAsia="楷体_GB2312"/>
          <w:b/>
          <w:bCs/>
          <w:sz w:val="24"/>
          <w:highlight w:val="none"/>
        </w:rPr>
        <w:t>财有限责任公司（以下简称“北银理财”或“</w:t>
      </w:r>
      <w:r>
        <w:rPr>
          <w:rFonts w:hint="eastAsia" w:ascii="楷体_GB2312" w:hAnsi="楷体" w:eastAsia="楷体_GB2312"/>
          <w:b/>
          <w:bCs/>
          <w:sz w:val="24"/>
          <w:highlight w:val="none"/>
          <w:lang w:eastAsia="zh-CN"/>
        </w:rPr>
        <w:t>产品管理人</w:t>
      </w:r>
      <w:r>
        <w:rPr>
          <w:rFonts w:hint="eastAsia" w:ascii="楷体_GB2312" w:hAnsi="楷体" w:eastAsia="楷体_GB2312"/>
          <w:b/>
          <w:bCs/>
          <w:sz w:val="24"/>
          <w:highlight w:val="none"/>
        </w:rPr>
        <w:t>”）作为本理财产品的</w:t>
      </w:r>
      <w:r>
        <w:rPr>
          <w:rFonts w:hint="eastAsia" w:ascii="楷体_GB2312" w:hAnsi="楷体" w:eastAsia="楷体_GB2312"/>
          <w:b/>
          <w:bCs/>
          <w:sz w:val="24"/>
          <w:highlight w:val="none"/>
          <w:lang w:eastAsia="zh-CN"/>
        </w:rPr>
        <w:t>产品管理</w:t>
      </w:r>
      <w:r>
        <w:rPr>
          <w:rFonts w:hint="eastAsia" w:ascii="楷体_GB2312" w:hAnsi="楷体" w:eastAsia="楷体_GB2312"/>
          <w:b/>
          <w:bCs/>
          <w:color w:val="auto"/>
          <w:sz w:val="24"/>
          <w:highlight w:val="none"/>
          <w:lang w:eastAsia="zh-CN"/>
        </w:rPr>
        <w:t>人</w:t>
      </w:r>
      <w:r>
        <w:rPr>
          <w:rFonts w:hint="eastAsia" w:ascii="楷体_GB2312" w:hAnsi="楷体" w:eastAsia="楷体_GB2312"/>
          <w:b/>
          <w:bCs/>
          <w:color w:val="auto"/>
          <w:sz w:val="24"/>
          <w:highlight w:val="none"/>
        </w:rPr>
        <w:t>郑重提示您：</w:t>
      </w:r>
      <w:r>
        <w:rPr>
          <w:rFonts w:ascii="楷体_GB2312" w:hAnsi="楷体" w:eastAsia="楷体_GB2312" w:cs="Times New Roman"/>
          <w:b/>
          <w:bCs/>
          <w:color w:val="auto"/>
          <w:sz w:val="24"/>
          <w:highlight w:val="none"/>
        </w:rPr>
        <w:t>在选择购买</w:t>
      </w:r>
      <w:r>
        <w:rPr>
          <w:rFonts w:hint="eastAsia" w:ascii="楷体_GB2312" w:hAnsi="楷体" w:eastAsia="楷体_GB2312" w:cs="Times New Roman"/>
          <w:b/>
          <w:bCs/>
          <w:color w:val="auto"/>
          <w:sz w:val="24"/>
          <w:highlight w:val="none"/>
          <w:lang w:val="en-US" w:eastAsia="zh-CN"/>
        </w:rPr>
        <w:t>本</w:t>
      </w:r>
      <w:r>
        <w:rPr>
          <w:rFonts w:ascii="楷体_GB2312" w:hAnsi="楷体" w:eastAsia="楷体_GB2312" w:cs="Times New Roman"/>
          <w:b/>
          <w:bCs/>
          <w:color w:val="auto"/>
          <w:sz w:val="24"/>
          <w:highlight w:val="none"/>
        </w:rPr>
        <w:t>理财产品前，请注意投资风险，仔细阅读本</w:t>
      </w:r>
      <w:r>
        <w:rPr>
          <w:rFonts w:hint="eastAsia" w:ascii="楷体_GB2312" w:hAnsi="楷体" w:eastAsia="楷体_GB2312" w:cs="Times New Roman"/>
          <w:b/>
          <w:bCs/>
          <w:color w:val="auto"/>
          <w:sz w:val="24"/>
          <w:highlight w:val="none"/>
          <w:lang w:val="en-US" w:eastAsia="zh-CN"/>
        </w:rPr>
        <w:t>理财产品</w:t>
      </w:r>
      <w:r>
        <w:rPr>
          <w:rFonts w:hint="eastAsia" w:ascii="楷体_GB2312" w:hAnsi="楷体" w:eastAsia="楷体_GB2312" w:cs="Times New Roman"/>
          <w:b/>
          <w:bCs/>
          <w:color w:val="auto"/>
          <w:sz w:val="24"/>
          <w:highlight w:val="none"/>
        </w:rPr>
        <w:t>销售文件</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lang w:val="en-US" w:eastAsia="zh-CN"/>
        </w:rPr>
        <w:t>包括《</w:t>
      </w:r>
      <w:r>
        <w:rPr>
          <w:rFonts w:hint="eastAsia" w:ascii="楷体_GB2312" w:hAnsi="楷体" w:eastAsia="楷体_GB2312" w:cs="Times New Roman"/>
          <w:b/>
          <w:bCs/>
          <w:color w:val="auto"/>
          <w:sz w:val="24"/>
          <w:highlight w:val="none"/>
        </w:rPr>
        <w:t>理财产品投资协议书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rPr>
        <w:t>、</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rPr>
        <w:t>理财产品说明书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rPr>
        <w:t>风险揭示书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lang w:val="en-US" w:eastAsia="zh-CN"/>
        </w:rPr>
        <w:t>、《</w:t>
      </w:r>
      <w:r>
        <w:rPr>
          <w:rFonts w:hint="eastAsia" w:ascii="楷体_GB2312" w:hAnsi="楷体" w:eastAsia="楷体_GB2312" w:cs="Times New Roman"/>
          <w:b/>
          <w:bCs/>
          <w:color w:val="auto"/>
          <w:sz w:val="24"/>
          <w:highlight w:val="none"/>
        </w:rPr>
        <w:t>投资者权益须知</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lang w:val="en-US" w:eastAsia="zh-CN"/>
        </w:rPr>
        <w:t>和《代理销售</w:t>
      </w:r>
      <w:r>
        <w:rPr>
          <w:rFonts w:hint="eastAsia" w:ascii="楷体_GB2312" w:hAnsi="楷体" w:eastAsia="楷体_GB2312" w:cs="Times New Roman"/>
          <w:b/>
          <w:bCs/>
          <w:color w:val="auto"/>
          <w:sz w:val="24"/>
          <w:highlight w:val="none"/>
        </w:rPr>
        <w:t>协议书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lang w:val="en-US" w:eastAsia="zh-CN"/>
        </w:rPr>
        <w:t>具体名称以代销机构为准</w:t>
      </w:r>
      <w:r>
        <w:rPr>
          <w:rFonts w:hint="eastAsia" w:ascii="楷体_GB2312" w:hAnsi="楷体" w:eastAsia="楷体_GB2312" w:cs="Times New Roman"/>
          <w:b/>
          <w:bCs/>
          <w:color w:val="auto"/>
          <w:sz w:val="24"/>
          <w:highlight w:val="none"/>
          <w:lang w:eastAsia="zh-CN"/>
        </w:rPr>
        <w:t>）</w:t>
      </w:r>
      <w:r>
        <w:rPr>
          <w:rFonts w:ascii="楷体_GB2312" w:hAnsi="楷体" w:eastAsia="楷体_GB2312" w:cs="Times New Roman"/>
          <w:b/>
          <w:bCs/>
          <w:color w:val="auto"/>
          <w:sz w:val="24"/>
          <w:highlight w:val="none"/>
        </w:rPr>
        <w:t>，</w:t>
      </w:r>
      <w:r>
        <w:rPr>
          <w:rFonts w:hint="eastAsia" w:ascii="楷体_GB2312" w:hAnsi="楷体" w:eastAsia="楷体_GB2312" w:cs="Times New Roman"/>
          <w:b/>
          <w:bCs/>
          <w:color w:val="auto"/>
          <w:sz w:val="24"/>
          <w:highlight w:val="none"/>
        </w:rPr>
        <w:t>特别是加黑及加“★”标识、以及有关责任或权利限制的条款</w:t>
      </w:r>
      <w:r>
        <w:rPr>
          <w:rFonts w:hint="eastAsia" w:ascii="楷体_GB2312" w:hAnsi="楷体" w:eastAsia="楷体_GB2312" w:cs="Times New Roman"/>
          <w:b/>
          <w:bCs/>
          <w:color w:val="auto"/>
          <w:sz w:val="24"/>
          <w:highlight w:val="none"/>
          <w:lang w:eastAsia="zh-CN"/>
        </w:rPr>
        <w:t>，</w:t>
      </w:r>
      <w:r>
        <w:rPr>
          <w:rFonts w:ascii="楷体_GB2312" w:hAnsi="楷体" w:eastAsia="楷体_GB2312" w:cs="Times New Roman"/>
          <w:b/>
          <w:bCs/>
          <w:color w:val="auto"/>
          <w:sz w:val="24"/>
          <w:highlight w:val="none"/>
        </w:rPr>
        <w:t>了解</w:t>
      </w:r>
      <w:r>
        <w:rPr>
          <w:rFonts w:hint="eastAsia" w:ascii="楷体_GB2312" w:hAnsi="楷体" w:eastAsia="楷体_GB2312" w:cs="Times New Roman"/>
          <w:b/>
          <w:bCs/>
          <w:color w:val="auto"/>
          <w:sz w:val="24"/>
          <w:highlight w:val="none"/>
          <w:lang w:val="en-US" w:eastAsia="zh-CN"/>
        </w:rPr>
        <w:t>本</w:t>
      </w:r>
      <w:r>
        <w:rPr>
          <w:rFonts w:ascii="楷体_GB2312" w:hAnsi="楷体" w:eastAsia="楷体_GB2312" w:cs="Times New Roman"/>
          <w:b/>
          <w:bCs/>
          <w:color w:val="auto"/>
          <w:sz w:val="24"/>
          <w:highlight w:val="none"/>
        </w:rPr>
        <w:t>理财产品具体情况</w:t>
      </w:r>
      <w:r>
        <w:rPr>
          <w:rFonts w:hint="default" w:ascii="楷体_GB2312" w:hAnsi="楷体" w:eastAsia="楷体_GB2312" w:cs="Times New Roman"/>
          <w:b/>
          <w:bCs/>
          <w:color w:val="auto"/>
          <w:sz w:val="24"/>
          <w:highlight w:val="none"/>
          <w:lang w:eastAsia="zh-Hans"/>
        </w:rPr>
        <w:t>，充分认识</w:t>
      </w:r>
      <w:r>
        <w:rPr>
          <w:rFonts w:hint="eastAsia" w:ascii="楷体_GB2312" w:hAnsi="楷体" w:eastAsia="楷体_GB2312" w:cs="Times New Roman"/>
          <w:b/>
          <w:bCs/>
          <w:color w:val="auto"/>
          <w:sz w:val="24"/>
          <w:highlight w:val="none"/>
          <w:lang w:eastAsia="zh-Hans"/>
        </w:rPr>
        <w:t>以下</w:t>
      </w:r>
      <w:r>
        <w:rPr>
          <w:rFonts w:hint="eastAsia" w:ascii="楷体_GB2312" w:hAnsi="楷体" w:eastAsia="楷体_GB2312" w:cs="Times New Roman"/>
          <w:b/>
          <w:bCs/>
          <w:color w:val="auto"/>
          <w:sz w:val="24"/>
          <w:highlight w:val="none"/>
          <w:lang w:val="en-US" w:eastAsia="zh-CN"/>
        </w:rPr>
        <w:t>投资</w:t>
      </w:r>
      <w:r>
        <w:rPr>
          <w:rFonts w:hint="eastAsia" w:ascii="楷体_GB2312" w:hAnsi="楷体" w:eastAsia="楷体_GB2312" w:cs="Times New Roman"/>
          <w:b/>
          <w:bCs/>
          <w:color w:val="auto"/>
          <w:sz w:val="24"/>
          <w:highlight w:val="none"/>
          <w:lang w:eastAsia="zh-Hans"/>
        </w:rPr>
        <w:t>风险</w:t>
      </w:r>
      <w:r>
        <w:rPr>
          <w:rFonts w:ascii="楷体_GB2312" w:hAnsi="楷体" w:eastAsia="楷体_GB2312" w:cs="Times New Roman"/>
          <w:b/>
          <w:bCs/>
          <w:color w:val="auto"/>
          <w:sz w:val="24"/>
          <w:highlight w:val="none"/>
        </w:rPr>
        <w:t>；在购买</w:t>
      </w:r>
      <w:r>
        <w:rPr>
          <w:rFonts w:hint="eastAsia" w:ascii="楷体_GB2312" w:hAnsi="楷体" w:eastAsia="楷体_GB2312" w:cs="Times New Roman"/>
          <w:b/>
          <w:bCs/>
          <w:color w:val="auto"/>
          <w:sz w:val="24"/>
          <w:highlight w:val="none"/>
          <w:lang w:val="en-US" w:eastAsia="zh-CN"/>
        </w:rPr>
        <w:t>本</w:t>
      </w:r>
      <w:r>
        <w:rPr>
          <w:rFonts w:ascii="楷体_GB2312" w:hAnsi="楷体" w:eastAsia="楷体_GB2312" w:cs="Times New Roman"/>
          <w:b/>
          <w:bCs/>
          <w:color w:val="auto"/>
          <w:sz w:val="24"/>
          <w:highlight w:val="none"/>
        </w:rPr>
        <w:t>理财产品后，请关注</w:t>
      </w:r>
      <w:r>
        <w:rPr>
          <w:rFonts w:hint="eastAsia" w:ascii="楷体_GB2312" w:hAnsi="楷体" w:eastAsia="楷体_GB2312" w:cs="Times New Roman"/>
          <w:b/>
          <w:bCs/>
          <w:color w:val="auto"/>
          <w:sz w:val="24"/>
          <w:highlight w:val="none"/>
          <w:lang w:val="en-US" w:eastAsia="zh-CN"/>
        </w:rPr>
        <w:t>本</w:t>
      </w:r>
      <w:r>
        <w:rPr>
          <w:rFonts w:ascii="楷体_GB2312" w:hAnsi="楷体" w:eastAsia="楷体_GB2312" w:cs="Times New Roman"/>
          <w:b/>
          <w:bCs/>
          <w:color w:val="auto"/>
          <w:sz w:val="24"/>
          <w:highlight w:val="none"/>
        </w:rPr>
        <w:t>理财产品的信息披露情况，及时获取相关信息。</w:t>
      </w:r>
    </w:p>
    <w:p>
      <w:pPr>
        <w:ind w:firstLine="482" w:firstLineChars="200"/>
        <w:rPr>
          <w:rFonts w:ascii="楷体_GB2312" w:hAnsi="楷体" w:eastAsia="楷体_GB2312"/>
          <w:b/>
          <w:bCs/>
          <w:sz w:val="24"/>
          <w:highlight w:val="none"/>
        </w:rPr>
      </w:pPr>
      <w:r>
        <w:rPr>
          <w:rFonts w:hint="eastAsia" w:ascii="楷体_GB2312" w:hAnsi="楷体" w:eastAsia="楷体_GB2312"/>
          <w:b/>
          <w:bCs/>
          <w:sz w:val="24"/>
          <w:highlight w:val="none"/>
        </w:rPr>
        <w:t>★一、风险揭示</w:t>
      </w:r>
    </w:p>
    <w:p>
      <w:pPr>
        <w:ind w:firstLine="482" w:firstLineChars="200"/>
        <w:rPr>
          <w:rFonts w:ascii="楷体_GB2312" w:hAnsi="楷体" w:eastAsia="楷体_GB2312"/>
          <w:sz w:val="24"/>
          <w:highlight w:val="none"/>
        </w:rPr>
      </w:pPr>
      <w:r>
        <w:rPr>
          <w:rFonts w:hint="eastAsia" w:ascii="楷体_GB2312" w:hAnsi="楷体" w:eastAsia="楷体_GB2312"/>
          <w:b/>
          <w:bCs/>
          <w:sz w:val="24"/>
          <w:highlight w:val="none"/>
        </w:rPr>
        <w:t>本</w:t>
      </w:r>
      <w:r>
        <w:rPr>
          <w:rFonts w:hint="eastAsia" w:ascii="楷体_GB2312" w:hAnsi="楷体" w:eastAsia="楷体_GB2312"/>
          <w:b/>
          <w:bCs/>
          <w:sz w:val="24"/>
          <w:highlight w:val="none"/>
          <w:lang w:val="en-US" w:eastAsia="zh-CN"/>
        </w:rPr>
        <w:t>理财</w:t>
      </w:r>
      <w:r>
        <w:rPr>
          <w:rFonts w:hint="eastAsia" w:ascii="楷体_GB2312" w:hAnsi="楷体" w:eastAsia="楷体_GB2312"/>
          <w:b/>
          <w:bCs/>
          <w:sz w:val="24"/>
          <w:highlight w:val="none"/>
        </w:rPr>
        <w:t>产品不保证本金和收益。</w:t>
      </w:r>
      <w:r>
        <w:rPr>
          <w:rFonts w:hint="eastAsia" w:ascii="楷体_GB2312" w:hAnsi="楷体" w:eastAsia="楷体_GB2312"/>
          <w:sz w:val="24"/>
          <w:highlight w:val="none"/>
        </w:rPr>
        <w:t>本</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风险揭示书</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旨在向您揭示投资本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rPr>
        <w:t>产品所具有的各种风险，以帮助您根据自身的投资经验、财务状况、投资目标、风险承受能力等情况评估和确定是否做出投资决策，但本</w:t>
      </w:r>
      <w:r>
        <w:rPr>
          <w:rFonts w:hint="eastAsia" w:ascii="楷体_GB2312" w:hAnsi="楷体" w:eastAsia="楷体_GB2312"/>
          <w:sz w:val="24"/>
          <w:highlight w:val="none"/>
          <w:lang w:eastAsia="zh-CN"/>
        </w:rPr>
        <w:t>《</w:t>
      </w:r>
      <w:r>
        <w:rPr>
          <w:rFonts w:hint="eastAsia" w:ascii="楷体_GB2312" w:hAnsi="楷体" w:eastAsia="楷体_GB2312"/>
          <w:sz w:val="24"/>
          <w:highlight w:val="none"/>
          <w:lang w:val="en-US" w:eastAsia="zh-CN"/>
        </w:rPr>
        <w:t>风险</w:t>
      </w:r>
      <w:r>
        <w:rPr>
          <w:rFonts w:hint="eastAsia" w:ascii="楷体_GB2312" w:hAnsi="楷体" w:eastAsia="楷体_GB2312"/>
          <w:sz w:val="24"/>
          <w:highlight w:val="none"/>
        </w:rPr>
        <w:t>揭示书</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仅供您作为决策参考，且仅为列举性质，不可能完全覆盖和揭示所有风险，因此，在</w:t>
      </w:r>
      <w:r>
        <w:rPr>
          <w:rFonts w:hint="eastAsia" w:ascii="楷体_GB2312" w:hAnsi="楷体" w:eastAsia="楷体_GB2312"/>
          <w:sz w:val="24"/>
          <w:highlight w:val="none"/>
          <w:lang w:eastAsia="zh-Hans"/>
        </w:rPr>
        <w:t>您选择购买本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lang w:eastAsia="zh-Hans"/>
        </w:rPr>
        <w:t>产品</w:t>
      </w:r>
      <w:r>
        <w:rPr>
          <w:rFonts w:hint="eastAsia" w:ascii="楷体_GB2312" w:hAnsi="楷体" w:eastAsia="楷体_GB2312"/>
          <w:sz w:val="24"/>
          <w:highlight w:val="none"/>
        </w:rPr>
        <w:t>前，应当仔细阅读本</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风险揭示书</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w:t>
      </w:r>
      <w:r>
        <w:rPr>
          <w:rFonts w:hint="eastAsia" w:ascii="楷体_GB2312" w:hAnsi="楷体" w:eastAsia="楷体_GB2312"/>
          <w:sz w:val="24"/>
          <w:highlight w:val="none"/>
          <w:lang w:eastAsia="zh-CN"/>
        </w:rPr>
        <w:t>《</w:t>
      </w:r>
      <w:r>
        <w:rPr>
          <w:rFonts w:hint="eastAsia" w:ascii="楷体_GB2312" w:hAnsi="楷体" w:eastAsia="楷体_GB2312"/>
          <w:b w:val="0"/>
          <w:bCs w:val="0"/>
          <w:sz w:val="24"/>
          <w:szCs w:val="24"/>
          <w:highlight w:val="none"/>
        </w:rPr>
        <w:t>理财产品投资协议书</w:t>
      </w:r>
      <w:r>
        <w:rPr>
          <w:rFonts w:hint="eastAsia" w:ascii="楷体_GB2312" w:hAnsi="楷体" w:eastAsia="楷体_GB2312"/>
          <w:b w:val="0"/>
          <w:bCs w:val="0"/>
          <w:sz w:val="24"/>
          <w:szCs w:val="24"/>
          <w:highlight w:val="none"/>
          <w:lang w:eastAsia="zh-CN"/>
        </w:rPr>
        <w:t>》、《</w:t>
      </w:r>
      <w:r>
        <w:rPr>
          <w:rFonts w:hint="eastAsia" w:ascii="楷体_GB2312" w:hAnsi="楷体" w:eastAsia="楷体_GB2312"/>
          <w:b w:val="0"/>
          <w:bCs w:val="0"/>
          <w:sz w:val="24"/>
          <w:szCs w:val="24"/>
          <w:highlight w:val="none"/>
        </w:rPr>
        <w:t>理财产品说明书</w:t>
      </w:r>
      <w:r>
        <w:rPr>
          <w:rFonts w:hint="eastAsia" w:ascii="楷体_GB2312" w:hAnsi="楷体" w:eastAsia="楷体_GB2312"/>
          <w:b w:val="0"/>
          <w:bCs w:val="0"/>
          <w:sz w:val="24"/>
          <w:szCs w:val="24"/>
          <w:highlight w:val="none"/>
          <w:lang w:eastAsia="zh-CN"/>
        </w:rPr>
        <w:t>》</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投资者权益须知</w:t>
      </w:r>
      <w:r>
        <w:rPr>
          <w:rFonts w:hint="eastAsia" w:ascii="楷体_GB2312" w:hAnsi="楷体" w:eastAsia="楷体_GB2312"/>
          <w:sz w:val="24"/>
          <w:highlight w:val="none"/>
          <w:lang w:eastAsia="zh-CN"/>
        </w:rPr>
        <w:t>》</w:t>
      </w:r>
      <w:r>
        <w:rPr>
          <w:rFonts w:hint="eastAsia" w:ascii="楷体_GB2312" w:hAnsi="楷体" w:eastAsia="楷体_GB2312"/>
          <w:sz w:val="24"/>
          <w:highlight w:val="none"/>
          <w:lang w:val="en-US" w:eastAsia="zh-CN"/>
        </w:rPr>
        <w:t>和《</w:t>
      </w:r>
      <w:r>
        <w:rPr>
          <w:rFonts w:hint="eastAsia" w:ascii="楷体_GB2312" w:hAnsi="楷体" w:eastAsia="楷体_GB2312"/>
          <w:b w:val="0"/>
          <w:bCs w:val="0"/>
          <w:sz w:val="24"/>
          <w:szCs w:val="24"/>
          <w:highlight w:val="none"/>
          <w:lang w:val="en-US" w:eastAsia="zh-CN"/>
        </w:rPr>
        <w:t>代理销售</w:t>
      </w:r>
      <w:r>
        <w:rPr>
          <w:rFonts w:hint="eastAsia" w:ascii="楷体_GB2312" w:hAnsi="楷体" w:eastAsia="楷体_GB2312"/>
          <w:b w:val="0"/>
          <w:bCs w:val="0"/>
          <w:sz w:val="24"/>
          <w:highlight w:val="none"/>
        </w:rPr>
        <w:t>协议书</w:t>
      </w:r>
      <w:r>
        <w:rPr>
          <w:rFonts w:hint="eastAsia" w:ascii="楷体_GB2312" w:hAnsi="楷体" w:eastAsia="楷体_GB2312"/>
          <w:b w:val="0"/>
          <w:bCs w:val="0"/>
          <w:sz w:val="24"/>
          <w:highlight w:val="none"/>
          <w:lang w:eastAsia="zh-CN"/>
        </w:rPr>
        <w:t>》</w:t>
      </w:r>
      <w:r>
        <w:rPr>
          <w:rFonts w:hint="eastAsia" w:ascii="楷体_GB2312" w:hAnsi="楷体" w:eastAsia="楷体_GB2312"/>
          <w:b w:val="0"/>
          <w:bCs/>
          <w:sz w:val="24"/>
          <w:highlight w:val="none"/>
          <w:lang w:eastAsia="zh-CN"/>
        </w:rPr>
        <w:t>（</w:t>
      </w:r>
      <w:r>
        <w:rPr>
          <w:rFonts w:hint="eastAsia" w:ascii="楷体_GB2312" w:hAnsi="楷体" w:eastAsia="楷体_GB2312"/>
          <w:b w:val="0"/>
          <w:bCs/>
          <w:sz w:val="24"/>
          <w:highlight w:val="none"/>
          <w:lang w:val="en-US" w:eastAsia="zh-CN"/>
        </w:rPr>
        <w:t>具体名称以代销机构为准</w:t>
      </w:r>
      <w:r>
        <w:rPr>
          <w:rFonts w:hint="eastAsia" w:ascii="楷体_GB2312" w:hAnsi="楷体" w:eastAsia="楷体_GB2312"/>
          <w:b w:val="0"/>
          <w:bCs/>
          <w:sz w:val="24"/>
          <w:highlight w:val="none"/>
          <w:lang w:eastAsia="zh-CN"/>
        </w:rPr>
        <w:t>）</w:t>
      </w:r>
      <w:r>
        <w:rPr>
          <w:rFonts w:hint="eastAsia" w:ascii="楷体_GB2312" w:hAnsi="楷体" w:eastAsia="楷体_GB2312"/>
          <w:sz w:val="24"/>
          <w:highlight w:val="none"/>
        </w:rPr>
        <w:t>等</w:t>
      </w:r>
      <w:r>
        <w:rPr>
          <w:rFonts w:hint="eastAsia" w:ascii="楷体_GB2312" w:hAnsi="楷体" w:eastAsia="楷体_GB2312"/>
          <w:sz w:val="24"/>
          <w:highlight w:val="none"/>
          <w:lang w:val="en-US" w:eastAsia="zh-CN"/>
        </w:rPr>
        <w:t>本</w:t>
      </w:r>
      <w:r>
        <w:rPr>
          <w:rFonts w:hint="eastAsia" w:ascii="楷体_GB2312" w:hAnsi="楷体" w:eastAsia="楷体_GB2312"/>
          <w:sz w:val="24"/>
          <w:highlight w:val="none"/>
        </w:rPr>
        <w:t>理财产品销售文件的全部内容，同时向</w:t>
      </w:r>
      <w:r>
        <w:rPr>
          <w:rFonts w:hint="eastAsia" w:ascii="楷体_GB2312" w:hAnsi="楷体" w:eastAsia="楷体_GB2312"/>
          <w:sz w:val="24"/>
          <w:highlight w:val="none"/>
          <w:lang w:eastAsia="zh-Hans"/>
        </w:rPr>
        <w:t>产品管理人</w:t>
      </w:r>
      <w:r>
        <w:rPr>
          <w:rFonts w:hint="eastAsia" w:ascii="楷体_GB2312" w:hAnsi="楷体" w:eastAsia="楷体_GB2312"/>
          <w:sz w:val="24"/>
          <w:highlight w:val="none"/>
        </w:rPr>
        <w:t>或</w:t>
      </w:r>
      <w:r>
        <w:rPr>
          <w:rFonts w:hint="eastAsia" w:ascii="楷体_GB2312" w:hAnsi="楷体" w:eastAsia="楷体_GB2312"/>
          <w:sz w:val="24"/>
          <w:highlight w:val="none"/>
          <w:lang w:val="en-US" w:eastAsia="zh-CN"/>
        </w:rPr>
        <w:t>代理销售</w:t>
      </w:r>
      <w:r>
        <w:rPr>
          <w:rFonts w:hint="eastAsia" w:ascii="楷体_GB2312" w:hAnsi="楷体" w:eastAsia="楷体_GB2312"/>
          <w:sz w:val="24"/>
          <w:highlight w:val="none"/>
        </w:rPr>
        <w:t>机构了解本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lang w:eastAsia="zh-Hans"/>
        </w:rPr>
        <w:t>产品</w:t>
      </w:r>
      <w:r>
        <w:rPr>
          <w:rFonts w:hint="eastAsia" w:ascii="楷体_GB2312" w:hAnsi="楷体" w:eastAsia="楷体_GB2312"/>
          <w:sz w:val="24"/>
          <w:highlight w:val="none"/>
        </w:rPr>
        <w:t>的其他相关信息，自</w:t>
      </w:r>
      <w:r>
        <w:rPr>
          <w:rFonts w:hint="eastAsia" w:ascii="楷体_GB2312" w:hAnsi="楷体" w:eastAsia="楷体_GB2312"/>
          <w:sz w:val="24"/>
          <w:highlight w:val="none"/>
          <w:lang w:eastAsia="zh-Hans"/>
        </w:rPr>
        <w:t>行</w:t>
      </w:r>
      <w:r>
        <w:rPr>
          <w:rFonts w:hint="eastAsia" w:ascii="楷体_GB2312" w:hAnsi="楷体" w:eastAsia="楷体_GB2312"/>
          <w:sz w:val="24"/>
          <w:highlight w:val="none"/>
        </w:rPr>
        <w:t>独立作出是否认购</w:t>
      </w:r>
      <w:r>
        <w:rPr>
          <w:rFonts w:hint="eastAsia" w:ascii="楷体_GB2312" w:hAnsi="楷体" w:eastAsia="楷体_GB2312"/>
          <w:sz w:val="24"/>
          <w:highlight w:val="none"/>
          <w:lang w:val="en-US" w:eastAsia="zh-CN"/>
        </w:rPr>
        <w:t>/申购</w:t>
      </w:r>
      <w:r>
        <w:rPr>
          <w:rFonts w:hint="eastAsia" w:ascii="楷体_GB2312" w:hAnsi="楷体" w:eastAsia="楷体_GB2312"/>
          <w:sz w:val="24"/>
          <w:highlight w:val="none"/>
        </w:rPr>
        <w:t>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lang w:eastAsia="zh-Hans"/>
        </w:rPr>
        <w:t>产品</w:t>
      </w:r>
      <w:r>
        <w:rPr>
          <w:rFonts w:hint="eastAsia" w:ascii="楷体_GB2312" w:hAnsi="楷体" w:eastAsia="楷体_GB2312"/>
          <w:sz w:val="24"/>
          <w:highlight w:val="none"/>
        </w:rPr>
        <w:t>的决定</w:t>
      </w:r>
      <w:r>
        <w:rPr>
          <w:rFonts w:hint="eastAsia" w:ascii="楷体_GB2312" w:hAnsi="楷体" w:eastAsia="楷体_GB2312"/>
          <w:sz w:val="24"/>
          <w:highlight w:val="none"/>
          <w:lang w:eastAsia="zh-Hans"/>
        </w:rPr>
        <w:t>，</w:t>
      </w:r>
      <w:r>
        <w:rPr>
          <w:rFonts w:hint="eastAsia" w:ascii="楷体_GB2312" w:hAnsi="楷体" w:eastAsia="楷体_GB2312"/>
          <w:sz w:val="24"/>
          <w:highlight w:val="none"/>
        </w:rPr>
        <w:t>并自行承担决策后果和责任。本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rPr>
        <w:t>产品涉及的主要风险，包括但不限于：</w:t>
      </w:r>
    </w:p>
    <w:p>
      <w:pPr>
        <w:ind w:firstLine="361" w:firstLineChars="150"/>
        <w:rPr>
          <w:rFonts w:ascii="楷体_GB2312" w:hAnsi="楷体" w:eastAsia="楷体_GB2312"/>
          <w:sz w:val="24"/>
          <w:highlight w:val="none"/>
        </w:rPr>
      </w:pPr>
      <w:r>
        <w:rPr>
          <w:rFonts w:hint="eastAsia" w:ascii="楷体_GB2312" w:hAnsi="楷体" w:eastAsia="楷体_GB2312"/>
          <w:b/>
          <w:bCs/>
          <w:sz w:val="24"/>
          <w:highlight w:val="none"/>
        </w:rPr>
        <w:t>（一）信用风险：</w:t>
      </w:r>
      <w:r>
        <w:rPr>
          <w:rFonts w:hint="eastAsia" w:ascii="楷体_GB2312" w:hAnsi="楷体" w:eastAsia="楷体_GB2312"/>
          <w:sz w:val="24"/>
          <w:highlight w:val="none"/>
        </w:rPr>
        <w:t>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rPr>
        <w:t>产品所投资的债券、债权资产等金融产品涉及融资人的信用风险，若融资人发生信用风险事件，将导致相应金融产品的市场价值下跌或收益、到期本金等无法足额按时偿还，</w:t>
      </w:r>
      <w:r>
        <w:rPr>
          <w:rFonts w:hint="eastAsia" w:ascii="楷体_GB2312" w:hAnsi="楷体" w:eastAsia="楷体_GB2312"/>
          <w:sz w:val="24"/>
          <w:highlight w:val="none"/>
          <w:lang w:val="en-US" w:eastAsia="zh-CN"/>
        </w:rPr>
        <w:t>则</w:t>
      </w:r>
      <w:r>
        <w:rPr>
          <w:rFonts w:hint="eastAsia" w:ascii="楷体_GB2312" w:hAnsi="楷体" w:eastAsia="楷体_GB2312"/>
          <w:sz w:val="24"/>
          <w:highlight w:val="none"/>
        </w:rPr>
        <w:t>投资者</w:t>
      </w:r>
      <w:r>
        <w:rPr>
          <w:rFonts w:hint="eastAsia" w:ascii="楷体_GB2312" w:hAnsi="楷体" w:eastAsia="楷体_GB2312"/>
          <w:sz w:val="24"/>
          <w:highlight w:val="none"/>
          <w:lang w:val="en-US" w:eastAsia="zh-CN"/>
        </w:rPr>
        <w:t>可能面临本金和收益</w:t>
      </w:r>
      <w:r>
        <w:rPr>
          <w:rFonts w:hint="eastAsia" w:ascii="楷体_GB2312" w:hAnsi="楷体" w:eastAsia="楷体_GB2312"/>
          <w:sz w:val="24"/>
          <w:highlight w:val="none"/>
        </w:rPr>
        <w:t>遭受</w:t>
      </w:r>
      <w:r>
        <w:rPr>
          <w:rFonts w:hint="eastAsia" w:ascii="楷体_GB2312" w:hAnsi="楷体" w:eastAsia="楷体_GB2312"/>
          <w:sz w:val="24"/>
          <w:highlight w:val="none"/>
          <w:lang w:val="en-US" w:eastAsia="zh-CN"/>
        </w:rPr>
        <w:t>部分甚至全部</w:t>
      </w:r>
      <w:r>
        <w:rPr>
          <w:rFonts w:hint="eastAsia" w:ascii="楷体_GB2312" w:hAnsi="楷体" w:eastAsia="楷体_GB2312"/>
          <w:sz w:val="24"/>
          <w:highlight w:val="none"/>
        </w:rPr>
        <w:t>损失</w:t>
      </w:r>
      <w:r>
        <w:rPr>
          <w:rFonts w:hint="eastAsia" w:ascii="楷体_GB2312" w:hAnsi="楷体" w:eastAsia="楷体_GB2312"/>
          <w:sz w:val="24"/>
          <w:highlight w:val="none"/>
          <w:lang w:val="en-US" w:eastAsia="zh-CN"/>
        </w:rPr>
        <w:t>的风险</w:t>
      </w:r>
      <w:r>
        <w:rPr>
          <w:rFonts w:hint="eastAsia" w:ascii="楷体_GB2312" w:hAnsi="楷体" w:eastAsia="楷体_GB2312"/>
          <w:sz w:val="24"/>
          <w:highlight w:val="none"/>
        </w:rPr>
        <w:t>。</w:t>
      </w:r>
    </w:p>
    <w:p>
      <w:pPr>
        <w:ind w:firstLine="361" w:firstLineChars="150"/>
        <w:rPr>
          <w:rFonts w:ascii="楷体_GB2312" w:hAnsi="楷体" w:eastAsia="楷体_GB2312"/>
          <w:sz w:val="24"/>
          <w:highlight w:val="none"/>
        </w:rPr>
      </w:pPr>
      <w:r>
        <w:rPr>
          <w:rFonts w:hint="eastAsia" w:ascii="楷体_GB2312" w:hAnsi="楷体" w:eastAsia="楷体_GB2312"/>
          <w:b/>
          <w:bCs/>
          <w:sz w:val="24"/>
          <w:highlight w:val="none"/>
        </w:rPr>
        <w:t>（二）市场风险</w:t>
      </w:r>
      <w:r>
        <w:rPr>
          <w:rFonts w:hint="eastAsia" w:ascii="楷体_GB2312" w:hAnsi="楷体" w:eastAsia="楷体_GB2312"/>
          <w:sz w:val="24"/>
          <w:highlight w:val="none"/>
        </w:rPr>
        <w:t>：本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rPr>
        <w:t>产品投资收益来源于</w:t>
      </w:r>
      <w:r>
        <w:rPr>
          <w:rFonts w:hint="eastAsia" w:ascii="楷体_GB2312" w:hAnsi="楷体" w:eastAsia="楷体_GB2312"/>
          <w:sz w:val="24"/>
          <w:highlight w:val="none"/>
          <w:lang w:val="en-US" w:eastAsia="zh-CN"/>
        </w:rPr>
        <w:t>本</w:t>
      </w:r>
      <w:r>
        <w:rPr>
          <w:rFonts w:hint="eastAsia" w:ascii="楷体_GB2312" w:hAnsi="楷体" w:eastAsia="楷体_GB2312"/>
          <w:sz w:val="24"/>
          <w:highlight w:val="none"/>
        </w:rPr>
        <w:t>理财产品对应投资组合的运作和回报，因国家政策、经济周期、利率、汇率等因素可能发生变化，导致投资品种的市场价格发生波动，由此可能</w:t>
      </w:r>
      <w:r>
        <w:rPr>
          <w:rFonts w:hint="eastAsia" w:ascii="楷体_GB2312" w:hAnsi="楷体" w:eastAsia="楷体_GB2312"/>
          <w:sz w:val="24"/>
          <w:highlight w:val="none"/>
          <w:lang w:val="en-US" w:eastAsia="zh-CN"/>
        </w:rPr>
        <w:t>影响</w:t>
      </w:r>
      <w:r>
        <w:rPr>
          <w:rFonts w:hint="eastAsia" w:ascii="楷体_GB2312" w:hAnsi="楷体" w:eastAsia="楷体_GB2312"/>
          <w:sz w:val="24"/>
          <w:highlight w:val="none"/>
        </w:rPr>
        <w:t>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rPr>
        <w:t>产品的收益</w:t>
      </w:r>
      <w:r>
        <w:rPr>
          <w:rFonts w:hint="eastAsia" w:ascii="楷体_GB2312" w:hAnsi="楷体" w:eastAsia="楷体_GB2312"/>
          <w:sz w:val="24"/>
          <w:highlight w:val="none"/>
          <w:lang w:val="en-US" w:eastAsia="zh-CN"/>
        </w:rPr>
        <w:t>水平</w:t>
      </w:r>
      <w:r>
        <w:rPr>
          <w:rFonts w:hint="eastAsia" w:ascii="楷体_GB2312" w:hAnsi="楷体" w:eastAsia="楷体_GB2312"/>
          <w:sz w:val="24"/>
          <w:highlight w:val="none"/>
          <w:lang w:eastAsia="zh-CN"/>
        </w:rPr>
        <w:t>，</w:t>
      </w:r>
      <w:r>
        <w:rPr>
          <w:rFonts w:hint="eastAsia" w:ascii="楷体_GB2312" w:hAnsi="楷体" w:eastAsia="楷体_GB2312"/>
          <w:sz w:val="24"/>
          <w:highlight w:val="none"/>
          <w:lang w:val="en-US" w:eastAsia="zh-CN"/>
        </w:rPr>
        <w:t>则</w:t>
      </w:r>
      <w:r>
        <w:rPr>
          <w:rFonts w:hint="eastAsia" w:ascii="楷体_GB2312" w:hAnsi="楷体" w:eastAsia="楷体_GB2312"/>
          <w:sz w:val="24"/>
          <w:highlight w:val="none"/>
        </w:rPr>
        <w:t>投资者</w:t>
      </w:r>
      <w:r>
        <w:rPr>
          <w:rFonts w:hint="eastAsia" w:ascii="楷体_GB2312" w:hAnsi="楷体" w:eastAsia="楷体_GB2312"/>
          <w:sz w:val="24"/>
          <w:highlight w:val="none"/>
          <w:lang w:val="en-US" w:eastAsia="zh-CN"/>
        </w:rPr>
        <w:t>可能面临本金和收益</w:t>
      </w:r>
      <w:r>
        <w:rPr>
          <w:rFonts w:hint="eastAsia" w:ascii="楷体_GB2312" w:hAnsi="楷体" w:eastAsia="楷体_GB2312"/>
          <w:sz w:val="24"/>
          <w:highlight w:val="none"/>
        </w:rPr>
        <w:t>遭受</w:t>
      </w:r>
      <w:r>
        <w:rPr>
          <w:rFonts w:hint="eastAsia" w:ascii="楷体_GB2312" w:hAnsi="楷体" w:eastAsia="楷体_GB2312"/>
          <w:sz w:val="24"/>
          <w:highlight w:val="none"/>
          <w:lang w:val="en-US" w:eastAsia="zh-CN"/>
        </w:rPr>
        <w:t>部分甚至全部</w:t>
      </w:r>
      <w:r>
        <w:rPr>
          <w:rFonts w:hint="eastAsia" w:ascii="楷体_GB2312" w:hAnsi="楷体" w:eastAsia="楷体_GB2312"/>
          <w:sz w:val="24"/>
          <w:highlight w:val="none"/>
        </w:rPr>
        <w:t>损失</w:t>
      </w:r>
      <w:r>
        <w:rPr>
          <w:rFonts w:hint="eastAsia" w:ascii="楷体_GB2312" w:hAnsi="楷体" w:eastAsia="楷体_GB2312"/>
          <w:sz w:val="24"/>
          <w:highlight w:val="none"/>
          <w:lang w:val="en-US" w:eastAsia="zh-CN"/>
        </w:rPr>
        <w:t>的风险</w:t>
      </w:r>
      <w:r>
        <w:rPr>
          <w:rFonts w:hint="eastAsia" w:ascii="楷体_GB2312" w:hAnsi="楷体" w:eastAsia="楷体_GB2312"/>
          <w:sz w:val="24"/>
          <w:highlight w:val="none"/>
        </w:rPr>
        <w:t>。</w:t>
      </w:r>
    </w:p>
    <w:p>
      <w:pPr>
        <w:pStyle w:val="31"/>
        <w:ind w:firstLine="361" w:firstLineChars="150"/>
        <w:rPr>
          <w:rFonts w:hint="eastAsia" w:ascii="楷体_GB2312" w:hAnsi="楷体" w:eastAsia="楷体_GB2312"/>
          <w:b/>
          <w:bCs/>
          <w:highlight w:val="none"/>
        </w:rPr>
      </w:pPr>
      <w:r>
        <w:rPr>
          <w:rFonts w:hint="eastAsia" w:ascii="楷体_GB2312" w:hAnsi="楷体" w:eastAsia="楷体_GB2312"/>
          <w:b/>
          <w:bCs/>
          <w:highlight w:val="none"/>
        </w:rPr>
        <w:t>（三）流动性风险：</w:t>
      </w:r>
      <w:r>
        <w:rPr>
          <w:rFonts w:hint="eastAsia" w:ascii="楷体_GB2312" w:hAnsi="楷体" w:eastAsia="楷体_GB2312"/>
          <w:highlight w:val="none"/>
        </w:rPr>
        <w:t>流动性风险是指理财产品无法通过变现资产等途径以合理成本及时获得充足资金，用于满足该理财产品的投资者赎回需求、履行其他支付义务的风险。</w:t>
      </w:r>
    </w:p>
    <w:p>
      <w:pPr>
        <w:pStyle w:val="31"/>
        <w:spacing w:beforeLines="0" w:afterLines="0"/>
        <w:ind w:firstLine="480" w:firstLineChars="200"/>
        <w:rPr>
          <w:rFonts w:hint="eastAsia" w:ascii="楷体_GB2312" w:hAnsi="楷体" w:eastAsia="楷体_GB2312" w:cs="Times New Roman"/>
          <w:color w:val="auto"/>
          <w:kern w:val="2"/>
          <w:highlight w:val="none"/>
        </w:rPr>
      </w:pPr>
      <w:r>
        <w:rPr>
          <w:rFonts w:hint="eastAsia" w:ascii="楷体_GB2312" w:hAnsi="楷体" w:eastAsia="楷体_GB2312" w:cs="Times New Roman"/>
          <w:color w:val="auto"/>
          <w:kern w:val="2"/>
          <w:highlight w:val="none"/>
          <w:lang w:val="en-US" w:eastAsia="zh-CN"/>
        </w:rPr>
        <w:t>1.</w:t>
      </w:r>
      <w:r>
        <w:rPr>
          <w:rFonts w:hint="eastAsia" w:ascii="楷体_GB2312" w:hAnsi="楷体" w:eastAsia="楷体_GB2312" w:cs="Times New Roman"/>
          <w:color w:val="auto"/>
          <w:kern w:val="2"/>
          <w:highlight w:val="none"/>
        </w:rPr>
        <w:t>拟投资市场、行业及资产的流动性风险</w:t>
      </w:r>
    </w:p>
    <w:p>
      <w:pPr>
        <w:pStyle w:val="31"/>
        <w:spacing w:beforeLines="0" w:afterLines="0"/>
        <w:ind w:firstLine="480" w:firstLineChars="200"/>
        <w:rPr>
          <w:rFonts w:hint="eastAsia" w:ascii="楷体_GB2312" w:hAnsi="楷体" w:eastAsia="楷体_GB2312" w:cs="Times New Roman"/>
          <w:color w:val="auto"/>
          <w:kern w:val="2"/>
          <w:highlight w:val="none"/>
          <w:lang w:val="en-US" w:eastAsia="zh-CN"/>
        </w:rPr>
      </w:pPr>
      <w:r>
        <w:rPr>
          <w:rFonts w:hint="eastAsia" w:ascii="楷体_GB2312" w:hAnsi="楷体" w:eastAsia="楷体_GB2312" w:cs="Times New Roman"/>
          <w:color w:val="auto"/>
          <w:kern w:val="2"/>
          <w:highlight w:val="none"/>
        </w:rPr>
        <w:t>本</w:t>
      </w:r>
      <w:r>
        <w:rPr>
          <w:rFonts w:hint="eastAsia" w:ascii="楷体_GB2312" w:hAnsi="楷体" w:eastAsia="楷体_GB2312" w:cs="Times New Roman"/>
          <w:color w:val="auto"/>
          <w:kern w:val="2"/>
          <w:highlight w:val="none"/>
          <w:lang w:val="en-US" w:eastAsia="zh-CN"/>
        </w:rPr>
        <w:t>理财</w:t>
      </w:r>
      <w:r>
        <w:rPr>
          <w:rFonts w:hint="eastAsia" w:ascii="楷体_GB2312" w:hAnsi="楷体" w:eastAsia="楷体_GB2312" w:cs="Times New Roman"/>
          <w:color w:val="auto"/>
          <w:kern w:val="2"/>
          <w:highlight w:val="none"/>
        </w:rPr>
        <w:t>产品的投资范围</w:t>
      </w:r>
      <w:r>
        <w:rPr>
          <w:rFonts w:hint="eastAsia" w:ascii="楷体_GB2312" w:hAnsi="楷体" w:eastAsia="楷体_GB2312" w:cs="Times New Roman"/>
          <w:color w:val="auto"/>
          <w:kern w:val="2"/>
          <w:highlight w:val="none"/>
          <w:lang w:eastAsia="zh-CN"/>
        </w:rPr>
        <w:t>、</w:t>
      </w:r>
      <w:r>
        <w:rPr>
          <w:rFonts w:hint="eastAsia" w:ascii="楷体_GB2312" w:hAnsi="楷体" w:eastAsia="楷体_GB2312" w:cs="Times New Roman"/>
          <w:color w:val="auto"/>
          <w:kern w:val="2"/>
          <w:highlight w:val="none"/>
          <w:lang w:val="en-US" w:eastAsia="zh-CN"/>
        </w:rPr>
        <w:t>投资策略、投资限制等因素</w:t>
      </w:r>
      <w:r>
        <w:rPr>
          <w:rFonts w:hint="eastAsia" w:ascii="楷体_GB2312" w:hAnsi="楷体" w:eastAsia="楷体_GB2312" w:cs="Times New Roman"/>
          <w:color w:val="auto"/>
          <w:kern w:val="2"/>
          <w:highlight w:val="none"/>
        </w:rPr>
        <w:t>具体请参见</w:t>
      </w:r>
      <w:r>
        <w:rPr>
          <w:rFonts w:hint="eastAsia" w:ascii="楷体_GB2312" w:hAnsi="楷体" w:eastAsia="楷体_GB2312" w:cs="Times New Roman"/>
          <w:color w:val="auto"/>
          <w:kern w:val="2"/>
          <w:highlight w:val="none"/>
          <w:lang w:eastAsia="zh-CN"/>
        </w:rPr>
        <w:t>《</w:t>
      </w:r>
      <w:r>
        <w:rPr>
          <w:rFonts w:hint="eastAsia" w:ascii="楷体_GB2312" w:hAnsi="楷体" w:eastAsia="楷体_GB2312" w:cs="Times New Roman"/>
          <w:color w:val="auto"/>
          <w:kern w:val="2"/>
          <w:highlight w:val="none"/>
          <w:lang w:val="en-US" w:eastAsia="zh-CN"/>
        </w:rPr>
        <w:t>理财</w:t>
      </w:r>
      <w:r>
        <w:rPr>
          <w:rFonts w:hint="eastAsia" w:ascii="楷体_GB2312" w:hAnsi="楷体" w:eastAsia="楷体_GB2312" w:cs="Times New Roman"/>
          <w:color w:val="auto"/>
          <w:kern w:val="2"/>
          <w:highlight w:val="none"/>
        </w:rPr>
        <w:t>产品说明书</w:t>
      </w:r>
      <w:r>
        <w:rPr>
          <w:rFonts w:hint="eastAsia" w:ascii="楷体_GB2312" w:hAnsi="楷体" w:eastAsia="楷体_GB2312" w:cs="Times New Roman"/>
          <w:color w:val="auto"/>
          <w:kern w:val="2"/>
          <w:highlight w:val="none"/>
          <w:lang w:eastAsia="zh-CN"/>
        </w:rPr>
        <w:t>》</w:t>
      </w:r>
      <w:r>
        <w:rPr>
          <w:rFonts w:hint="eastAsia" w:ascii="楷体_GB2312" w:hAnsi="楷体" w:eastAsia="楷体_GB2312" w:cs="Times New Roman"/>
          <w:color w:val="auto"/>
          <w:kern w:val="2"/>
          <w:highlight w:val="none"/>
        </w:rPr>
        <w:t>“四、产品的投资运作”部分。</w:t>
      </w:r>
      <w:r>
        <w:rPr>
          <w:rFonts w:hint="eastAsia" w:ascii="楷体_GB2312" w:hAnsi="楷体" w:eastAsia="楷体_GB2312" w:cs="Times New Roman"/>
          <w:color w:val="auto"/>
          <w:kern w:val="2"/>
          <w:highlight w:val="none"/>
          <w:lang w:val="en-US" w:eastAsia="zh-CN"/>
        </w:rPr>
        <w:t>经综合评估，在正常市场环境下</w:t>
      </w:r>
      <w:r>
        <w:rPr>
          <w:rFonts w:hint="eastAsia" w:ascii="楷体_GB2312" w:hAnsi="楷体" w:eastAsia="楷体_GB2312" w:cs="Times New Roman"/>
          <w:color w:val="auto"/>
          <w:kern w:val="2"/>
          <w:highlight w:val="none"/>
        </w:rPr>
        <w:t>本</w:t>
      </w:r>
      <w:r>
        <w:rPr>
          <w:rFonts w:hint="eastAsia" w:ascii="楷体_GB2312" w:hAnsi="楷体" w:eastAsia="楷体_GB2312" w:cs="Times New Roman"/>
          <w:color w:val="auto"/>
          <w:kern w:val="2"/>
          <w:highlight w:val="none"/>
          <w:lang w:val="en-US" w:eastAsia="zh-CN"/>
        </w:rPr>
        <w:t>理财</w:t>
      </w:r>
      <w:r>
        <w:rPr>
          <w:rFonts w:hint="eastAsia" w:ascii="楷体_GB2312" w:hAnsi="楷体" w:eastAsia="楷体_GB2312" w:cs="Times New Roman"/>
          <w:color w:val="auto"/>
          <w:kern w:val="2"/>
          <w:highlight w:val="none"/>
        </w:rPr>
        <w:t>产品</w:t>
      </w:r>
      <w:r>
        <w:rPr>
          <w:rFonts w:hint="eastAsia" w:ascii="楷体_GB2312" w:hAnsi="楷体" w:eastAsia="楷体_GB2312" w:cs="Times New Roman"/>
          <w:color w:val="auto"/>
          <w:kern w:val="2"/>
          <w:highlight w:val="none"/>
          <w:lang w:val="en-US" w:eastAsia="zh-CN"/>
        </w:rPr>
        <w:t>的整体流动性风险可控</w:t>
      </w:r>
      <w:r>
        <w:rPr>
          <w:rFonts w:hint="eastAsia" w:ascii="楷体_GB2312" w:hAnsi="楷体" w:eastAsia="楷体_GB2312" w:cs="Times New Roman"/>
          <w:color w:val="auto"/>
          <w:kern w:val="2"/>
          <w:highlight w:val="none"/>
        </w:rPr>
        <w:t>，</w:t>
      </w:r>
      <w:r>
        <w:rPr>
          <w:rFonts w:hint="eastAsia" w:ascii="楷体_GB2312" w:hAnsi="楷体" w:eastAsia="楷体_GB2312" w:cs="Times New Roman"/>
          <w:color w:val="auto"/>
          <w:kern w:val="2"/>
          <w:highlight w:val="none"/>
          <w:lang w:val="en-US" w:eastAsia="zh-CN"/>
        </w:rPr>
        <w:t>但不排除因证券市场波动、上市公司股票停牌、市场交易量不足等情形导致流动性风险。</w:t>
      </w:r>
    </w:p>
    <w:p>
      <w:pPr>
        <w:pStyle w:val="31"/>
        <w:numPr>
          <w:ilvl w:val="0"/>
          <w:numId w:val="1"/>
        </w:numPr>
        <w:spacing w:beforeLines="0" w:afterLines="0"/>
        <w:ind w:firstLine="480" w:firstLineChars="200"/>
        <w:rPr>
          <w:rFonts w:hint="eastAsia" w:ascii="楷体_GB2312" w:hAnsi="楷体" w:eastAsia="楷体_GB2312"/>
          <w:b w:val="0"/>
          <w:bCs w:val="0"/>
          <w:highlight w:val="none"/>
          <w:lang w:val="en-US" w:eastAsia="zh-CN"/>
        </w:rPr>
      </w:pPr>
      <w:r>
        <w:rPr>
          <w:rFonts w:hint="eastAsia" w:ascii="楷体_GB2312" w:hAnsi="楷体" w:eastAsia="楷体_GB2312"/>
          <w:b w:val="0"/>
          <w:bCs w:val="0"/>
          <w:highlight w:val="none"/>
          <w:lang w:val="en-US" w:eastAsia="zh-CN"/>
        </w:rPr>
        <w:t>流动性风险应对措施及对投资者的潜在影响</w:t>
      </w:r>
    </w:p>
    <w:p>
      <w:pPr>
        <w:pStyle w:val="31"/>
        <w:numPr>
          <w:ilvl w:val="0"/>
          <w:numId w:val="0"/>
        </w:numPr>
        <w:spacing w:beforeLines="0" w:afterLines="0"/>
        <w:ind w:firstLine="480" w:firstLineChars="200"/>
        <w:rPr>
          <w:rFonts w:hint="eastAsia" w:ascii="楷体_GB2312" w:hAnsi="楷体" w:eastAsia="楷体_GB2312"/>
          <w:b w:val="0"/>
          <w:bCs w:val="0"/>
          <w:highlight w:val="none"/>
          <w:lang w:val="en-US" w:eastAsia="zh-CN"/>
        </w:rPr>
      </w:pPr>
      <w:r>
        <w:rPr>
          <w:rFonts w:hint="eastAsia" w:ascii="楷体_GB2312" w:hAnsi="楷体" w:eastAsia="楷体_GB2312" w:cs="Times New Roman"/>
          <w:color w:val="auto"/>
          <w:kern w:val="2"/>
          <w:highlight w:val="none"/>
        </w:rPr>
        <w:t>若本</w:t>
      </w:r>
      <w:r>
        <w:rPr>
          <w:rFonts w:hint="eastAsia" w:ascii="楷体_GB2312" w:hAnsi="楷体" w:eastAsia="楷体_GB2312" w:cs="Times New Roman"/>
          <w:color w:val="auto"/>
          <w:kern w:val="2"/>
          <w:highlight w:val="none"/>
          <w:lang w:val="en-US" w:eastAsia="zh-CN"/>
        </w:rPr>
        <w:t>理财</w:t>
      </w:r>
      <w:r>
        <w:rPr>
          <w:rFonts w:hint="eastAsia" w:ascii="楷体_GB2312" w:hAnsi="楷体" w:eastAsia="楷体_GB2312" w:cs="Times New Roman"/>
          <w:color w:val="auto"/>
          <w:kern w:val="2"/>
          <w:highlight w:val="none"/>
        </w:rPr>
        <w:t>产品出现流动性风险，</w:t>
      </w:r>
      <w:r>
        <w:rPr>
          <w:rFonts w:hint="eastAsia" w:ascii="楷体_GB2312" w:hAnsi="楷体" w:eastAsia="楷体_GB2312"/>
          <w:b w:val="0"/>
          <w:bCs w:val="0"/>
          <w:highlight w:val="none"/>
          <w:lang w:val="en-US" w:eastAsia="zh-CN"/>
        </w:rPr>
        <w:t>为保护本理财产品投资者利益，产品管理人可以依照法律法规及本理财产品销售文件的约定，综合运用理财产品流动性风险应对措施，包括但不限于：</w:t>
      </w:r>
    </w:p>
    <w:p>
      <w:pPr>
        <w:pStyle w:val="31"/>
        <w:numPr>
          <w:ilvl w:val="0"/>
          <w:numId w:val="0"/>
        </w:numPr>
        <w:spacing w:beforeLines="0" w:afterLines="0"/>
        <w:ind w:firstLine="480" w:firstLineChars="200"/>
        <w:rPr>
          <w:rFonts w:hint="eastAsia" w:ascii="楷体_GB2312" w:hAnsi="仿宋" w:eastAsia="楷体_GB2312"/>
          <w:bCs/>
          <w:highlight w:val="none"/>
        </w:rPr>
      </w:pPr>
      <w:r>
        <w:rPr>
          <w:rFonts w:hint="eastAsia" w:ascii="楷体_GB2312" w:hAnsi="仿宋" w:eastAsia="楷体_GB2312"/>
          <w:bCs/>
          <w:highlight w:val="none"/>
          <w:lang w:eastAsia="zh-CN"/>
        </w:rPr>
        <w:t>（</w:t>
      </w:r>
      <w:r>
        <w:rPr>
          <w:rFonts w:hint="eastAsia" w:ascii="楷体_GB2312" w:hAnsi="仿宋" w:eastAsia="楷体_GB2312"/>
          <w:bCs/>
          <w:highlight w:val="none"/>
          <w:lang w:val="en-US" w:eastAsia="zh-CN"/>
        </w:rPr>
        <w:t>1）</w:t>
      </w:r>
      <w:r>
        <w:rPr>
          <w:rFonts w:hint="eastAsia" w:ascii="楷体_GB2312" w:hAnsi="仿宋" w:eastAsia="楷体_GB2312"/>
          <w:bCs/>
          <w:highlight w:val="none"/>
        </w:rPr>
        <w:t>设定单一投资者</w:t>
      </w:r>
      <w:r>
        <w:rPr>
          <w:rFonts w:hint="eastAsia" w:ascii="楷体_GB2312" w:hAnsi="仿宋" w:eastAsia="楷体_GB2312"/>
          <w:bCs/>
          <w:highlight w:val="none"/>
          <w:lang w:val="en-US" w:eastAsia="zh-CN"/>
        </w:rPr>
        <w:t>持有金额</w:t>
      </w:r>
      <w:r>
        <w:rPr>
          <w:rFonts w:hint="eastAsia" w:ascii="楷体_GB2312" w:hAnsi="仿宋" w:eastAsia="楷体_GB2312"/>
          <w:bCs/>
          <w:highlight w:val="none"/>
        </w:rPr>
        <w:t>上限</w:t>
      </w:r>
    </w:p>
    <w:p>
      <w:pPr>
        <w:pStyle w:val="31"/>
        <w:numPr>
          <w:ilvl w:val="0"/>
          <w:numId w:val="0"/>
        </w:numPr>
        <w:spacing w:beforeLines="0" w:afterLines="0"/>
        <w:ind w:firstLine="480" w:firstLineChars="200"/>
        <w:rPr>
          <w:rFonts w:hint="eastAsia" w:ascii="楷体_GB2312" w:hAnsi="仿宋" w:eastAsia="楷体_GB2312"/>
          <w:bCs/>
          <w:highlight w:val="none"/>
          <w:lang w:val="en-US" w:eastAsia="zh-CN"/>
        </w:rPr>
      </w:pPr>
      <w:r>
        <w:rPr>
          <w:rFonts w:hint="eastAsia" w:ascii="楷体_GB2312" w:hAnsi="楷体" w:eastAsia="楷体_GB2312"/>
          <w:b w:val="0"/>
          <w:bCs w:val="0"/>
          <w:highlight w:val="none"/>
          <w:lang w:val="en-US" w:eastAsia="zh-CN"/>
        </w:rPr>
        <w:t>本理财产品的产品管理人可根据实际业务情况</w:t>
      </w:r>
      <w:r>
        <w:rPr>
          <w:rFonts w:hint="eastAsia" w:ascii="楷体_GB2312" w:hAnsi="仿宋" w:eastAsia="楷体_GB2312"/>
          <w:bCs/>
          <w:highlight w:val="none"/>
        </w:rPr>
        <w:t>设定单一投资者</w:t>
      </w:r>
      <w:r>
        <w:rPr>
          <w:rFonts w:hint="eastAsia" w:ascii="楷体_GB2312" w:hAnsi="仿宋" w:eastAsia="楷体_GB2312"/>
          <w:bCs/>
          <w:highlight w:val="none"/>
          <w:lang w:val="en-US" w:eastAsia="zh-CN"/>
        </w:rPr>
        <w:t>持有金额</w:t>
      </w:r>
      <w:r>
        <w:rPr>
          <w:rFonts w:hint="eastAsia" w:ascii="楷体_GB2312" w:hAnsi="仿宋" w:eastAsia="楷体_GB2312"/>
          <w:bCs/>
          <w:highlight w:val="none"/>
        </w:rPr>
        <w:t>上限</w:t>
      </w:r>
      <w:r>
        <w:rPr>
          <w:rFonts w:hint="eastAsia" w:ascii="楷体_GB2312" w:hAnsi="仿宋" w:eastAsia="楷体_GB2312"/>
          <w:bCs/>
          <w:highlight w:val="none"/>
          <w:lang w:eastAsia="zh-CN"/>
        </w:rPr>
        <w:t>，</w:t>
      </w:r>
      <w:r>
        <w:rPr>
          <w:rFonts w:hint="eastAsia" w:ascii="楷体_GB2312" w:hAnsi="仿宋" w:eastAsia="楷体_GB2312"/>
          <w:bCs/>
          <w:highlight w:val="none"/>
          <w:lang w:val="en-US" w:eastAsia="zh-CN"/>
        </w:rPr>
        <w:t>对于超出</w:t>
      </w:r>
      <w:r>
        <w:rPr>
          <w:rFonts w:hint="eastAsia" w:ascii="楷体_GB2312" w:hAnsi="仿宋" w:eastAsia="楷体_GB2312"/>
          <w:bCs/>
          <w:highlight w:val="none"/>
        </w:rPr>
        <w:t>单一投资者</w:t>
      </w:r>
      <w:r>
        <w:rPr>
          <w:rFonts w:hint="eastAsia" w:ascii="楷体_GB2312" w:hAnsi="仿宋" w:eastAsia="楷体_GB2312"/>
          <w:bCs/>
          <w:highlight w:val="none"/>
          <w:lang w:val="en-US" w:eastAsia="zh-CN"/>
        </w:rPr>
        <w:t>持有金额</w:t>
      </w:r>
      <w:r>
        <w:rPr>
          <w:rFonts w:hint="eastAsia" w:ascii="楷体_GB2312" w:hAnsi="仿宋" w:eastAsia="楷体_GB2312"/>
          <w:bCs/>
          <w:highlight w:val="none"/>
        </w:rPr>
        <w:t>上限</w:t>
      </w:r>
      <w:r>
        <w:rPr>
          <w:rFonts w:hint="eastAsia" w:ascii="楷体_GB2312" w:hAnsi="仿宋" w:eastAsia="楷体_GB2312"/>
          <w:bCs/>
          <w:highlight w:val="none"/>
          <w:lang w:val="en-US" w:eastAsia="zh-CN"/>
        </w:rPr>
        <w:t>的申请，投资者可能面临全部或部分认购/</w:t>
      </w:r>
      <w:r>
        <w:rPr>
          <w:rFonts w:hint="eastAsia" w:ascii="楷体_GB2312" w:hAnsi="仿宋" w:eastAsia="楷体_GB2312"/>
          <w:bCs/>
          <w:highlight w:val="none"/>
        </w:rPr>
        <w:t>申购</w:t>
      </w:r>
      <w:r>
        <w:rPr>
          <w:rFonts w:hint="eastAsia" w:ascii="楷体_GB2312" w:hAnsi="仿宋" w:eastAsia="楷体_GB2312"/>
          <w:bCs/>
          <w:highlight w:val="none"/>
          <w:lang w:val="en-US" w:eastAsia="zh-CN"/>
        </w:rPr>
        <w:t>申请被拒绝的风险。</w:t>
      </w:r>
    </w:p>
    <w:p>
      <w:pPr>
        <w:pStyle w:val="31"/>
        <w:spacing w:beforeLines="0" w:afterLines="0"/>
        <w:ind w:firstLine="480" w:firstLineChars="200"/>
        <w:rPr>
          <w:rFonts w:hint="eastAsia" w:ascii="楷体_GB2312" w:hAnsi="楷体" w:eastAsia="楷体_GB2312"/>
          <w:highlight w:val="none"/>
          <w:lang w:eastAsia="zh-CN"/>
        </w:rPr>
      </w:pPr>
      <w:r>
        <w:rPr>
          <w:rFonts w:hint="eastAsia" w:ascii="楷体_GB2312" w:hAnsi="楷体" w:eastAsia="楷体_GB2312"/>
          <w:highlight w:val="none"/>
          <w:lang w:eastAsia="zh-CN"/>
        </w:rPr>
        <w:t>（</w:t>
      </w:r>
      <w:r>
        <w:rPr>
          <w:rFonts w:hint="eastAsia" w:ascii="楷体_GB2312" w:hAnsi="楷体" w:eastAsia="楷体_GB2312"/>
          <w:highlight w:val="none"/>
          <w:lang w:val="en-US" w:eastAsia="zh-CN"/>
        </w:rPr>
        <w:t>2）</w:t>
      </w:r>
      <w:r>
        <w:rPr>
          <w:rFonts w:hint="eastAsia" w:ascii="楷体_GB2312" w:hAnsi="楷体" w:eastAsia="楷体_GB2312"/>
          <w:highlight w:val="none"/>
        </w:rPr>
        <w:t>巨额赎回情形下的流动性风险应对措施</w:t>
      </w:r>
    </w:p>
    <w:p>
      <w:pPr>
        <w:pStyle w:val="31"/>
        <w:numPr>
          <w:ilvl w:val="0"/>
          <w:numId w:val="0"/>
        </w:numPr>
        <w:spacing w:beforeLines="0" w:afterLines="0"/>
        <w:ind w:firstLine="480" w:firstLineChars="200"/>
        <w:rPr>
          <w:rFonts w:hint="eastAsia" w:ascii="楷体_GB2312" w:hAnsi="仿宋" w:eastAsia="楷体_GB2312"/>
          <w:bCs/>
          <w:highlight w:val="none"/>
          <w:lang w:val="en-US" w:eastAsia="zh-CN"/>
        </w:rPr>
      </w:pPr>
      <w:r>
        <w:rPr>
          <w:rFonts w:hint="eastAsia" w:ascii="楷体_GB2312" w:hAnsi="楷体" w:eastAsia="楷体_GB2312" w:cs="Times New Roman"/>
          <w:color w:val="auto"/>
          <w:kern w:val="2"/>
          <w:highlight w:val="none"/>
        </w:rPr>
        <w:t>本</w:t>
      </w:r>
      <w:r>
        <w:rPr>
          <w:rFonts w:hint="eastAsia" w:ascii="楷体_GB2312" w:hAnsi="楷体" w:eastAsia="楷体_GB2312" w:cs="Times New Roman"/>
          <w:color w:val="auto"/>
          <w:kern w:val="2"/>
          <w:highlight w:val="none"/>
          <w:lang w:val="en-US" w:eastAsia="zh-CN"/>
        </w:rPr>
        <w:t>理财</w:t>
      </w:r>
      <w:r>
        <w:rPr>
          <w:rFonts w:hint="eastAsia" w:ascii="楷体_GB2312" w:hAnsi="楷体" w:eastAsia="楷体_GB2312" w:cs="Times New Roman"/>
          <w:color w:val="auto"/>
          <w:kern w:val="2"/>
          <w:highlight w:val="none"/>
        </w:rPr>
        <w:t>产品</w:t>
      </w:r>
      <w:r>
        <w:rPr>
          <w:rFonts w:hint="eastAsia" w:ascii="楷体_GB2312" w:hAnsi="楷体" w:eastAsia="楷体_GB2312"/>
          <w:highlight w:val="none"/>
        </w:rPr>
        <w:t>在</w:t>
      </w:r>
      <w:r>
        <w:rPr>
          <w:rFonts w:hint="eastAsia" w:ascii="楷体_GB2312" w:hAnsi="楷体" w:eastAsia="楷体_GB2312"/>
          <w:highlight w:val="none"/>
          <w:lang w:eastAsia="zh-CN"/>
        </w:rPr>
        <w:t>开放日</w:t>
      </w:r>
      <w:r>
        <w:rPr>
          <w:rFonts w:hint="eastAsia" w:ascii="楷体_GB2312" w:hAnsi="楷体" w:eastAsia="楷体_GB2312"/>
          <w:highlight w:val="none"/>
        </w:rPr>
        <w:t>发生</w:t>
      </w:r>
      <w:r>
        <w:rPr>
          <w:rFonts w:hint="eastAsia" w:ascii="楷体_GB2312" w:hAnsi="楷体" w:eastAsia="楷体_GB2312" w:cs="Times New Roman"/>
          <w:color w:val="auto"/>
          <w:kern w:val="2"/>
          <w:highlight w:val="none"/>
          <w:lang w:eastAsia="zh-CN"/>
        </w:rPr>
        <w:t>《</w:t>
      </w:r>
      <w:r>
        <w:rPr>
          <w:rFonts w:hint="eastAsia" w:ascii="楷体_GB2312" w:hAnsi="楷体" w:eastAsia="楷体_GB2312" w:cs="Times New Roman"/>
          <w:color w:val="auto"/>
          <w:kern w:val="2"/>
          <w:highlight w:val="none"/>
          <w:lang w:val="en-US" w:eastAsia="zh-CN"/>
        </w:rPr>
        <w:t>理财</w:t>
      </w:r>
      <w:r>
        <w:rPr>
          <w:rFonts w:hint="eastAsia" w:ascii="楷体_GB2312" w:hAnsi="楷体" w:eastAsia="楷体_GB2312" w:cs="Times New Roman"/>
          <w:color w:val="auto"/>
          <w:kern w:val="2"/>
          <w:highlight w:val="none"/>
        </w:rPr>
        <w:t>产品说明书</w:t>
      </w:r>
      <w:r>
        <w:rPr>
          <w:rFonts w:hint="eastAsia" w:ascii="楷体_GB2312" w:hAnsi="楷体" w:eastAsia="楷体_GB2312" w:cs="Times New Roman"/>
          <w:color w:val="auto"/>
          <w:kern w:val="2"/>
          <w:highlight w:val="none"/>
          <w:lang w:eastAsia="zh-CN"/>
        </w:rPr>
        <w:t>》</w:t>
      </w:r>
      <w:r>
        <w:rPr>
          <w:rFonts w:hint="eastAsia" w:ascii="楷体_GB2312" w:hAnsi="楷体" w:eastAsia="楷体_GB2312" w:cs="Times New Roman"/>
          <w:color w:val="auto"/>
          <w:kern w:val="2"/>
          <w:highlight w:val="none"/>
        </w:rPr>
        <w:t>“</w:t>
      </w:r>
      <w:r>
        <w:rPr>
          <w:rFonts w:hint="eastAsia" w:ascii="楷体_GB2312" w:hAnsi="楷体" w:eastAsia="楷体_GB2312"/>
          <w:highlight w:val="none"/>
        </w:rPr>
        <w:t>六、产品的申购和赎回</w:t>
      </w:r>
      <w:r>
        <w:rPr>
          <w:rFonts w:hint="eastAsia" w:ascii="楷体_GB2312" w:hAnsi="楷体" w:eastAsia="楷体_GB2312" w:cs="Times New Roman"/>
          <w:color w:val="auto"/>
          <w:kern w:val="2"/>
          <w:highlight w:val="none"/>
        </w:rPr>
        <w:t>”</w:t>
      </w:r>
      <w:r>
        <w:rPr>
          <w:rFonts w:hint="eastAsia" w:ascii="楷体_GB2312" w:hAnsi="楷体" w:eastAsia="楷体_GB2312" w:cs="Times New Roman"/>
          <w:color w:val="auto"/>
          <w:kern w:val="2"/>
          <w:highlight w:val="none"/>
          <w:lang w:val="en-US" w:eastAsia="zh-CN"/>
        </w:rPr>
        <w:t>中“</w:t>
      </w:r>
      <w:r>
        <w:rPr>
          <w:rFonts w:hint="eastAsia" w:ascii="楷体_GB2312" w:hAnsi="楷体" w:eastAsia="楷体_GB2312" w:cs="Times New Roman"/>
          <w:color w:val="auto"/>
          <w:kern w:val="2"/>
          <w:highlight w:val="none"/>
        </w:rPr>
        <w:t>（四）巨额赎回</w:t>
      </w:r>
      <w:r>
        <w:rPr>
          <w:rFonts w:hint="eastAsia" w:ascii="楷体_GB2312" w:hAnsi="楷体" w:eastAsia="楷体_GB2312" w:cs="Times New Roman"/>
          <w:color w:val="auto"/>
          <w:kern w:val="2"/>
          <w:highlight w:val="none"/>
          <w:lang w:eastAsia="zh-CN"/>
        </w:rPr>
        <w:t>”</w:t>
      </w:r>
      <w:r>
        <w:rPr>
          <w:rFonts w:hint="eastAsia" w:ascii="楷体_GB2312" w:hAnsi="楷体" w:eastAsia="楷体_GB2312" w:cs="Times New Roman"/>
          <w:color w:val="auto"/>
          <w:kern w:val="2"/>
          <w:highlight w:val="none"/>
          <w:lang w:val="en-US" w:eastAsia="zh-CN"/>
        </w:rPr>
        <w:t>条款约定的</w:t>
      </w:r>
      <w:r>
        <w:rPr>
          <w:rFonts w:hint="eastAsia" w:ascii="楷体_GB2312" w:hAnsi="楷体" w:eastAsia="楷体_GB2312"/>
          <w:highlight w:val="none"/>
        </w:rPr>
        <w:t>情形</w:t>
      </w:r>
      <w:r>
        <w:rPr>
          <w:rFonts w:hint="eastAsia" w:ascii="楷体_GB2312" w:hAnsi="楷体" w:eastAsia="楷体_GB2312"/>
          <w:highlight w:val="none"/>
          <w:lang w:val="en-US" w:eastAsia="zh-CN"/>
        </w:rPr>
        <w:t>时</w:t>
      </w:r>
      <w:r>
        <w:rPr>
          <w:rFonts w:hint="eastAsia" w:ascii="楷体_GB2312" w:hAnsi="楷体" w:eastAsia="楷体_GB2312"/>
          <w:highlight w:val="none"/>
        </w:rPr>
        <w:t>，为应对巨额赎回情形下可能发生的流动性风险，</w:t>
      </w:r>
      <w:r>
        <w:rPr>
          <w:rFonts w:hint="eastAsia" w:ascii="楷体_GB2312" w:hAnsi="楷体" w:eastAsia="楷体_GB2312"/>
          <w:highlight w:val="none"/>
          <w:lang w:eastAsia="zh-CN"/>
        </w:rPr>
        <w:t>产品管理人</w:t>
      </w:r>
      <w:r>
        <w:rPr>
          <w:rFonts w:hint="eastAsia" w:ascii="楷体_GB2312" w:hAnsi="楷体" w:eastAsia="楷体_GB2312"/>
          <w:highlight w:val="none"/>
        </w:rPr>
        <w:t>有权根据</w:t>
      </w:r>
      <w:r>
        <w:rPr>
          <w:rFonts w:hint="eastAsia" w:ascii="楷体_GB2312" w:hAnsi="楷体" w:eastAsia="楷体_GB2312"/>
          <w:highlight w:val="none"/>
          <w:lang w:val="en-US" w:eastAsia="zh-CN"/>
        </w:rPr>
        <w:t>本理财</w:t>
      </w:r>
      <w:r>
        <w:rPr>
          <w:rFonts w:hint="eastAsia" w:ascii="楷体_GB2312" w:hAnsi="楷体" w:eastAsia="楷体_GB2312"/>
          <w:highlight w:val="none"/>
        </w:rPr>
        <w:t>产品当时的投资运作情况决定采取全额赎回</w:t>
      </w:r>
      <w:r>
        <w:rPr>
          <w:rFonts w:hint="eastAsia" w:ascii="楷体_GB2312" w:hAnsi="楷体" w:eastAsia="楷体_GB2312"/>
          <w:highlight w:val="none"/>
          <w:lang w:eastAsia="zh-CN"/>
        </w:rPr>
        <w:t>、</w:t>
      </w:r>
      <w:r>
        <w:rPr>
          <w:rFonts w:hint="eastAsia" w:ascii="楷体_GB2312" w:hAnsi="楷体" w:eastAsia="楷体_GB2312"/>
          <w:highlight w:val="none"/>
        </w:rPr>
        <w:t>部分赎回</w:t>
      </w:r>
      <w:r>
        <w:rPr>
          <w:rFonts w:hint="eastAsia" w:ascii="楷体_GB2312" w:hAnsi="楷体" w:eastAsia="楷体_GB2312"/>
          <w:highlight w:val="none"/>
          <w:lang w:val="en-US" w:eastAsia="zh-CN"/>
        </w:rPr>
        <w:t>或</w:t>
      </w:r>
      <w:r>
        <w:rPr>
          <w:rFonts w:hint="eastAsia" w:ascii="楷体_GB2312" w:hAnsi="楷体" w:eastAsia="楷体_GB2312"/>
          <w:highlight w:val="none"/>
        </w:rPr>
        <w:t>延缓支付赎回款项等措施。</w:t>
      </w:r>
      <w:r>
        <w:rPr>
          <w:rFonts w:hint="eastAsia" w:ascii="楷体_GB2312" w:hAnsi="楷体" w:eastAsia="楷体_GB2312" w:cs="Times New Roman"/>
          <w:color w:val="auto"/>
          <w:kern w:val="2"/>
          <w:highlight w:val="none"/>
        </w:rPr>
        <w:t>投资者将面临不能及时赎回</w:t>
      </w:r>
      <w:r>
        <w:rPr>
          <w:rFonts w:hint="eastAsia" w:ascii="楷体_GB2312" w:hAnsi="楷体" w:eastAsia="楷体_GB2312" w:cs="Times New Roman"/>
          <w:color w:val="auto"/>
          <w:kern w:val="2"/>
          <w:highlight w:val="none"/>
          <w:lang w:eastAsia="zh-CN"/>
        </w:rPr>
        <w:t>本</w:t>
      </w:r>
      <w:r>
        <w:rPr>
          <w:rFonts w:hint="eastAsia" w:ascii="楷体_GB2312" w:hAnsi="楷体" w:eastAsia="楷体_GB2312" w:cs="Times New Roman"/>
          <w:color w:val="auto"/>
          <w:kern w:val="2"/>
          <w:highlight w:val="none"/>
        </w:rPr>
        <w:t>理财产品或赎回款项延缓支付的风险。</w:t>
      </w:r>
    </w:p>
    <w:p>
      <w:pPr>
        <w:pStyle w:val="31"/>
        <w:spacing w:beforeLines="0" w:afterLines="0"/>
        <w:ind w:firstLine="480" w:firstLineChars="200"/>
        <w:rPr>
          <w:rFonts w:hint="eastAsia" w:ascii="楷体_GB2312" w:hAnsi="仿宋" w:eastAsia="楷体_GB2312"/>
          <w:bCs/>
          <w:highlight w:val="none"/>
          <w:lang w:val="en-US" w:eastAsia="zh-CN"/>
        </w:rPr>
      </w:pPr>
      <w:r>
        <w:rPr>
          <w:rFonts w:hint="eastAsia" w:ascii="楷体_GB2312" w:hAnsi="仿宋" w:eastAsia="楷体_GB2312"/>
          <w:bCs/>
          <w:highlight w:val="none"/>
          <w:lang w:val="en-US" w:eastAsia="zh-CN"/>
        </w:rPr>
        <w:t>（3）拒绝或暂停申购</w:t>
      </w:r>
    </w:p>
    <w:p>
      <w:pPr>
        <w:pStyle w:val="31"/>
        <w:spacing w:beforeLines="0" w:afterLines="0"/>
        <w:ind w:firstLine="480" w:firstLineChars="200"/>
        <w:rPr>
          <w:rFonts w:hint="eastAsia" w:ascii="楷体_GB2312" w:hAnsi="仿宋" w:eastAsia="楷体_GB2312"/>
          <w:bCs/>
          <w:highlight w:val="none"/>
          <w:lang w:val="en-US" w:eastAsia="zh-CN"/>
        </w:rPr>
      </w:pPr>
      <w:r>
        <w:rPr>
          <w:rFonts w:hint="eastAsia" w:ascii="楷体_GB2312" w:hAnsi="楷体" w:eastAsia="楷体_GB2312"/>
          <w:highlight w:val="none"/>
          <w:lang w:val="en-US" w:eastAsia="zh-CN"/>
        </w:rPr>
        <w:t>发生</w:t>
      </w:r>
      <w:r>
        <w:rPr>
          <w:rFonts w:hint="eastAsia" w:ascii="楷体_GB2312" w:hAnsi="楷体" w:eastAsia="楷体_GB2312" w:cs="Times New Roman"/>
          <w:color w:val="auto"/>
          <w:kern w:val="2"/>
          <w:highlight w:val="none"/>
          <w:lang w:eastAsia="zh-CN"/>
        </w:rPr>
        <w:t>《</w:t>
      </w:r>
      <w:r>
        <w:rPr>
          <w:rFonts w:hint="eastAsia" w:ascii="楷体_GB2312" w:hAnsi="楷体" w:eastAsia="楷体_GB2312" w:cs="Times New Roman"/>
          <w:color w:val="auto"/>
          <w:kern w:val="2"/>
          <w:highlight w:val="none"/>
          <w:lang w:val="en-US" w:eastAsia="zh-CN"/>
        </w:rPr>
        <w:t>理财</w:t>
      </w:r>
      <w:r>
        <w:rPr>
          <w:rFonts w:hint="eastAsia" w:ascii="楷体_GB2312" w:hAnsi="楷体" w:eastAsia="楷体_GB2312" w:cs="Times New Roman"/>
          <w:color w:val="auto"/>
          <w:kern w:val="2"/>
          <w:highlight w:val="none"/>
        </w:rPr>
        <w:t>产品说明书</w:t>
      </w:r>
      <w:r>
        <w:rPr>
          <w:rFonts w:hint="eastAsia" w:ascii="楷体_GB2312" w:hAnsi="楷体" w:eastAsia="楷体_GB2312" w:cs="Times New Roman"/>
          <w:color w:val="auto"/>
          <w:kern w:val="2"/>
          <w:highlight w:val="none"/>
          <w:lang w:eastAsia="zh-CN"/>
        </w:rPr>
        <w:t>》</w:t>
      </w:r>
      <w:r>
        <w:rPr>
          <w:rFonts w:hint="eastAsia" w:ascii="楷体_GB2312" w:hAnsi="楷体" w:eastAsia="楷体_GB2312" w:cs="Times New Roman"/>
          <w:color w:val="auto"/>
          <w:kern w:val="2"/>
          <w:highlight w:val="none"/>
        </w:rPr>
        <w:t>“</w:t>
      </w:r>
      <w:r>
        <w:rPr>
          <w:rFonts w:hint="eastAsia" w:ascii="楷体_GB2312" w:hAnsi="楷体" w:eastAsia="楷体_GB2312"/>
          <w:highlight w:val="none"/>
        </w:rPr>
        <w:t>六、产品的申购和赎回</w:t>
      </w:r>
      <w:r>
        <w:rPr>
          <w:rFonts w:hint="eastAsia" w:ascii="楷体_GB2312" w:hAnsi="楷体" w:eastAsia="楷体_GB2312" w:cs="Times New Roman"/>
          <w:color w:val="auto"/>
          <w:kern w:val="2"/>
          <w:highlight w:val="none"/>
        </w:rPr>
        <w:t>”</w:t>
      </w:r>
      <w:r>
        <w:rPr>
          <w:rFonts w:hint="eastAsia" w:ascii="楷体_GB2312" w:hAnsi="楷体" w:eastAsia="楷体_GB2312" w:cs="Times New Roman"/>
          <w:color w:val="auto"/>
          <w:kern w:val="2"/>
          <w:highlight w:val="none"/>
          <w:lang w:val="en-US" w:eastAsia="zh-CN"/>
        </w:rPr>
        <w:t>中“</w:t>
      </w:r>
      <w:r>
        <w:rPr>
          <w:rFonts w:hint="eastAsia" w:ascii="楷体_GB2312" w:hAnsi="楷体" w:eastAsia="楷体_GB2312" w:cs="Times New Roman"/>
          <w:color w:val="auto"/>
          <w:kern w:val="2"/>
          <w:highlight w:val="none"/>
        </w:rPr>
        <w:t>（五）</w:t>
      </w:r>
      <w:r>
        <w:rPr>
          <w:rFonts w:hint="eastAsia" w:ascii="楷体_GB2312" w:hAnsi="宋体" w:eastAsia="楷体_GB2312"/>
          <w:color w:val="000000"/>
          <w:sz w:val="24"/>
          <w:highlight w:val="none"/>
          <w:lang w:val="en-US" w:eastAsia="zh-CN"/>
        </w:rPr>
        <w:t>拒绝或</w:t>
      </w:r>
      <w:r>
        <w:rPr>
          <w:rFonts w:hint="eastAsia" w:ascii="楷体_GB2312" w:hAnsi="宋体" w:eastAsia="楷体_GB2312"/>
          <w:color w:val="000000"/>
          <w:sz w:val="24"/>
          <w:highlight w:val="none"/>
        </w:rPr>
        <w:t>暂停申购</w:t>
      </w:r>
      <w:r>
        <w:rPr>
          <w:rFonts w:hint="eastAsia" w:ascii="楷体_GB2312" w:hAnsi="楷体" w:eastAsia="楷体_GB2312" w:cs="Times New Roman"/>
          <w:color w:val="auto"/>
          <w:kern w:val="2"/>
          <w:highlight w:val="none"/>
          <w:lang w:eastAsia="zh-CN"/>
        </w:rPr>
        <w:t>”</w:t>
      </w:r>
      <w:r>
        <w:rPr>
          <w:rFonts w:hint="eastAsia" w:ascii="楷体_GB2312" w:hAnsi="楷体" w:eastAsia="楷体_GB2312" w:cs="Times New Roman"/>
          <w:color w:val="auto"/>
          <w:kern w:val="2"/>
          <w:highlight w:val="none"/>
          <w:lang w:val="en-US" w:eastAsia="zh-CN"/>
        </w:rPr>
        <w:t>条款约定的</w:t>
      </w:r>
      <w:r>
        <w:rPr>
          <w:rFonts w:hint="eastAsia" w:ascii="楷体_GB2312" w:hAnsi="楷体" w:eastAsia="楷体_GB2312"/>
          <w:highlight w:val="none"/>
        </w:rPr>
        <w:t>情形</w:t>
      </w:r>
      <w:r>
        <w:rPr>
          <w:rFonts w:hint="eastAsia" w:ascii="楷体_GB2312" w:hAnsi="楷体" w:eastAsia="楷体_GB2312"/>
          <w:highlight w:val="none"/>
          <w:lang w:val="en-US" w:eastAsia="zh-CN"/>
        </w:rPr>
        <w:t>时，</w:t>
      </w:r>
      <w:r>
        <w:rPr>
          <w:rFonts w:hint="eastAsia" w:ascii="楷体_GB2312" w:hAnsi="楷体" w:eastAsia="楷体_GB2312"/>
          <w:b w:val="0"/>
          <w:bCs w:val="0"/>
          <w:highlight w:val="none"/>
          <w:lang w:val="en-US" w:eastAsia="zh-CN"/>
        </w:rPr>
        <w:t>本理财产品的</w:t>
      </w:r>
      <w:r>
        <w:rPr>
          <w:rFonts w:hint="eastAsia" w:ascii="楷体_GB2312" w:hAnsi="楷体" w:eastAsia="楷体_GB2312"/>
          <w:highlight w:val="none"/>
          <w:lang w:val="en-US" w:eastAsia="zh-CN"/>
        </w:rPr>
        <w:t>产品管理人有权选择拒绝接受或暂停接受投资者的申购申请，届时投资者</w:t>
      </w:r>
      <w:r>
        <w:rPr>
          <w:rFonts w:hint="eastAsia" w:ascii="楷体_GB2312" w:hAnsi="仿宋" w:eastAsia="楷体_GB2312"/>
          <w:bCs/>
          <w:highlight w:val="none"/>
          <w:lang w:val="en-US" w:eastAsia="zh-CN"/>
        </w:rPr>
        <w:t>将面临全部或部分</w:t>
      </w:r>
      <w:r>
        <w:rPr>
          <w:rFonts w:hint="eastAsia" w:ascii="楷体_GB2312" w:hAnsi="仿宋" w:eastAsia="楷体_GB2312"/>
          <w:bCs/>
          <w:highlight w:val="none"/>
        </w:rPr>
        <w:t>申购</w:t>
      </w:r>
      <w:r>
        <w:rPr>
          <w:rFonts w:hint="eastAsia" w:ascii="楷体_GB2312" w:hAnsi="仿宋" w:eastAsia="楷体_GB2312"/>
          <w:bCs/>
          <w:highlight w:val="none"/>
          <w:lang w:val="en-US" w:eastAsia="zh-CN"/>
        </w:rPr>
        <w:t>申请被拒绝的风险。</w:t>
      </w:r>
    </w:p>
    <w:p>
      <w:pPr>
        <w:pStyle w:val="31"/>
        <w:spacing w:beforeLines="0" w:afterLines="0"/>
        <w:ind w:firstLine="480" w:firstLineChars="200"/>
        <w:rPr>
          <w:rFonts w:hint="eastAsia" w:ascii="楷体_GB2312" w:hAnsi="仿宋" w:eastAsia="楷体_GB2312"/>
          <w:bCs/>
          <w:highlight w:val="none"/>
          <w:lang w:val="en-US" w:eastAsia="zh-CN"/>
        </w:rPr>
      </w:pPr>
      <w:r>
        <w:rPr>
          <w:rFonts w:hint="eastAsia" w:ascii="楷体_GB2312" w:hAnsi="仿宋" w:eastAsia="楷体_GB2312"/>
          <w:bCs/>
          <w:highlight w:val="none"/>
          <w:lang w:val="en-US" w:eastAsia="zh-CN"/>
        </w:rPr>
        <w:t>（4）拒绝或</w:t>
      </w:r>
      <w:r>
        <w:rPr>
          <w:rFonts w:hint="eastAsia" w:ascii="楷体_GB2312" w:hAnsi="仿宋" w:eastAsia="楷体_GB2312"/>
          <w:bCs/>
          <w:highlight w:val="none"/>
        </w:rPr>
        <w:t>暂停赎回</w:t>
      </w:r>
    </w:p>
    <w:p>
      <w:pPr>
        <w:pStyle w:val="31"/>
        <w:spacing w:beforeLines="0" w:afterLines="0"/>
        <w:ind w:firstLine="480" w:firstLineChars="200"/>
        <w:rPr>
          <w:rFonts w:hint="eastAsia" w:ascii="楷体_GB2312" w:hAnsi="仿宋" w:eastAsia="楷体_GB2312"/>
          <w:bCs/>
          <w:highlight w:val="none"/>
          <w:lang w:val="en-US" w:eastAsia="zh-CN"/>
        </w:rPr>
      </w:pPr>
      <w:r>
        <w:rPr>
          <w:rFonts w:hint="eastAsia" w:ascii="楷体_GB2312" w:hAnsi="楷体" w:eastAsia="楷体_GB2312"/>
          <w:highlight w:val="none"/>
          <w:lang w:val="en-US" w:eastAsia="zh-CN"/>
        </w:rPr>
        <w:t>发生</w:t>
      </w:r>
      <w:r>
        <w:rPr>
          <w:rFonts w:hint="eastAsia" w:ascii="楷体_GB2312" w:hAnsi="楷体" w:eastAsia="楷体_GB2312" w:cs="Times New Roman"/>
          <w:color w:val="auto"/>
          <w:kern w:val="2"/>
          <w:highlight w:val="none"/>
          <w:lang w:eastAsia="zh-CN"/>
        </w:rPr>
        <w:t>《</w:t>
      </w:r>
      <w:r>
        <w:rPr>
          <w:rFonts w:hint="eastAsia" w:ascii="楷体_GB2312" w:hAnsi="楷体" w:eastAsia="楷体_GB2312" w:cs="Times New Roman"/>
          <w:color w:val="auto"/>
          <w:kern w:val="2"/>
          <w:highlight w:val="none"/>
          <w:lang w:val="en-US" w:eastAsia="zh-CN"/>
        </w:rPr>
        <w:t>理财</w:t>
      </w:r>
      <w:r>
        <w:rPr>
          <w:rFonts w:hint="eastAsia" w:ascii="楷体_GB2312" w:hAnsi="楷体" w:eastAsia="楷体_GB2312" w:cs="Times New Roman"/>
          <w:color w:val="auto"/>
          <w:kern w:val="2"/>
          <w:highlight w:val="none"/>
        </w:rPr>
        <w:t>产品说明书</w:t>
      </w:r>
      <w:r>
        <w:rPr>
          <w:rFonts w:hint="eastAsia" w:ascii="楷体_GB2312" w:hAnsi="楷体" w:eastAsia="楷体_GB2312" w:cs="Times New Roman"/>
          <w:color w:val="auto"/>
          <w:kern w:val="2"/>
          <w:highlight w:val="none"/>
          <w:lang w:eastAsia="zh-CN"/>
        </w:rPr>
        <w:t>》</w:t>
      </w:r>
      <w:r>
        <w:rPr>
          <w:rFonts w:hint="eastAsia" w:ascii="楷体_GB2312" w:hAnsi="楷体" w:eastAsia="楷体_GB2312" w:cs="Times New Roman"/>
          <w:color w:val="auto"/>
          <w:kern w:val="2"/>
          <w:highlight w:val="none"/>
        </w:rPr>
        <w:t>“</w:t>
      </w:r>
      <w:r>
        <w:rPr>
          <w:rFonts w:hint="eastAsia" w:ascii="楷体_GB2312" w:hAnsi="楷体" w:eastAsia="楷体_GB2312"/>
          <w:highlight w:val="none"/>
        </w:rPr>
        <w:t>六、产品的申购和赎回</w:t>
      </w:r>
      <w:r>
        <w:rPr>
          <w:rFonts w:hint="eastAsia" w:ascii="楷体_GB2312" w:hAnsi="楷体" w:eastAsia="楷体_GB2312" w:cs="Times New Roman"/>
          <w:color w:val="auto"/>
          <w:kern w:val="2"/>
          <w:highlight w:val="none"/>
        </w:rPr>
        <w:t>”</w:t>
      </w:r>
      <w:r>
        <w:rPr>
          <w:rFonts w:hint="eastAsia" w:ascii="楷体_GB2312" w:hAnsi="楷体" w:eastAsia="楷体_GB2312" w:cs="Times New Roman"/>
          <w:color w:val="auto"/>
          <w:kern w:val="2"/>
          <w:highlight w:val="none"/>
          <w:lang w:val="en-US" w:eastAsia="zh-CN"/>
        </w:rPr>
        <w:t>中“</w:t>
      </w:r>
      <w:r>
        <w:rPr>
          <w:rFonts w:hint="eastAsia" w:ascii="楷体_GB2312" w:hAnsi="楷体" w:eastAsia="楷体_GB2312" w:cs="Times New Roman"/>
          <w:color w:val="auto"/>
          <w:kern w:val="2"/>
          <w:highlight w:val="none"/>
        </w:rPr>
        <w:t>（六）拒绝或暂停赎回</w:t>
      </w:r>
      <w:r>
        <w:rPr>
          <w:rFonts w:hint="eastAsia" w:ascii="楷体_GB2312" w:hAnsi="楷体" w:eastAsia="楷体_GB2312" w:cs="Times New Roman"/>
          <w:color w:val="auto"/>
          <w:kern w:val="2"/>
          <w:highlight w:val="none"/>
          <w:lang w:eastAsia="zh-CN"/>
        </w:rPr>
        <w:t>”</w:t>
      </w:r>
      <w:r>
        <w:rPr>
          <w:rFonts w:hint="eastAsia" w:ascii="楷体_GB2312" w:hAnsi="楷体" w:eastAsia="楷体_GB2312" w:cs="Times New Roman"/>
          <w:color w:val="auto"/>
          <w:kern w:val="2"/>
          <w:highlight w:val="none"/>
          <w:lang w:val="en-US" w:eastAsia="zh-CN"/>
        </w:rPr>
        <w:t>条款约定的</w:t>
      </w:r>
      <w:r>
        <w:rPr>
          <w:rFonts w:hint="eastAsia" w:ascii="楷体_GB2312" w:hAnsi="楷体" w:eastAsia="楷体_GB2312"/>
          <w:highlight w:val="none"/>
        </w:rPr>
        <w:t>情形</w:t>
      </w:r>
      <w:r>
        <w:rPr>
          <w:rFonts w:hint="eastAsia" w:ascii="楷体_GB2312" w:hAnsi="楷体" w:eastAsia="楷体_GB2312"/>
          <w:highlight w:val="none"/>
          <w:lang w:val="en-US" w:eastAsia="zh-CN"/>
        </w:rPr>
        <w:t>时，</w:t>
      </w:r>
      <w:r>
        <w:rPr>
          <w:rFonts w:hint="eastAsia" w:ascii="楷体_GB2312" w:hAnsi="楷体" w:eastAsia="楷体_GB2312"/>
          <w:b w:val="0"/>
          <w:bCs w:val="0"/>
          <w:highlight w:val="none"/>
          <w:lang w:val="en-US" w:eastAsia="zh-CN"/>
        </w:rPr>
        <w:t>本理财产品的</w:t>
      </w:r>
      <w:r>
        <w:rPr>
          <w:rFonts w:hint="eastAsia" w:ascii="楷体_GB2312" w:hAnsi="楷体" w:eastAsia="楷体_GB2312"/>
          <w:highlight w:val="none"/>
          <w:lang w:val="en-US" w:eastAsia="zh-CN"/>
        </w:rPr>
        <w:t>产品管理人有权选择拒绝接受或暂停接受投资者的赎回申请</w:t>
      </w:r>
      <w:r>
        <w:rPr>
          <w:rFonts w:hint="eastAsia" w:ascii="楷体_GB2312" w:hAnsi="楷体" w:eastAsia="楷体_GB2312"/>
          <w:highlight w:val="none"/>
        </w:rPr>
        <w:t>，</w:t>
      </w:r>
      <w:r>
        <w:rPr>
          <w:rFonts w:hint="eastAsia" w:ascii="楷体_GB2312" w:hAnsi="楷体" w:eastAsia="楷体_GB2312"/>
          <w:highlight w:val="none"/>
          <w:lang w:val="en-US" w:eastAsia="zh-CN"/>
        </w:rPr>
        <w:t>届时</w:t>
      </w:r>
      <w:r>
        <w:rPr>
          <w:rFonts w:hint="eastAsia" w:ascii="楷体_GB2312" w:hAnsi="楷体" w:eastAsia="楷体_GB2312"/>
          <w:highlight w:val="none"/>
        </w:rPr>
        <w:t>投资者将无法赎回其持有的</w:t>
      </w:r>
      <w:r>
        <w:rPr>
          <w:rFonts w:hint="eastAsia" w:ascii="楷体_GB2312" w:hAnsi="楷体" w:eastAsia="楷体_GB2312"/>
          <w:highlight w:val="none"/>
          <w:lang w:eastAsia="zh-CN"/>
        </w:rPr>
        <w:t>本</w:t>
      </w:r>
      <w:r>
        <w:rPr>
          <w:rFonts w:hint="eastAsia" w:ascii="楷体_GB2312" w:hAnsi="楷体" w:eastAsia="楷体_GB2312"/>
          <w:highlight w:val="none"/>
          <w:lang w:val="en-US" w:eastAsia="zh-CN"/>
        </w:rPr>
        <w:t>理财</w:t>
      </w:r>
      <w:r>
        <w:rPr>
          <w:rFonts w:hint="eastAsia" w:ascii="楷体_GB2312" w:hAnsi="楷体" w:eastAsia="楷体_GB2312"/>
          <w:highlight w:val="none"/>
        </w:rPr>
        <w:t>产品份额，并且投资者未能赎回的</w:t>
      </w:r>
      <w:r>
        <w:rPr>
          <w:rFonts w:hint="eastAsia" w:ascii="楷体_GB2312" w:hAnsi="楷体" w:eastAsia="楷体_GB2312"/>
          <w:highlight w:val="none"/>
          <w:lang w:eastAsia="zh-CN"/>
        </w:rPr>
        <w:t>本</w:t>
      </w:r>
      <w:r>
        <w:rPr>
          <w:rFonts w:hint="eastAsia" w:ascii="楷体_GB2312" w:hAnsi="楷体" w:eastAsia="楷体_GB2312"/>
          <w:highlight w:val="none"/>
          <w:lang w:val="en-US" w:eastAsia="zh-CN"/>
        </w:rPr>
        <w:t>理财</w:t>
      </w:r>
      <w:r>
        <w:rPr>
          <w:rFonts w:hint="eastAsia" w:ascii="楷体_GB2312" w:hAnsi="仿宋" w:eastAsia="楷体_GB2312"/>
          <w:bCs/>
          <w:highlight w:val="none"/>
          <w:lang w:val="en-US" w:eastAsia="zh-CN"/>
        </w:rPr>
        <w:t>产品份额还将面临净值波动的风险。</w:t>
      </w:r>
    </w:p>
    <w:p>
      <w:pPr>
        <w:pStyle w:val="31"/>
        <w:spacing w:beforeLines="0" w:afterLines="0"/>
        <w:ind w:firstLine="480" w:firstLineChars="200"/>
        <w:rPr>
          <w:rFonts w:hint="eastAsia" w:ascii="楷体_GB2312" w:hAnsi="仿宋" w:eastAsia="楷体_GB2312"/>
          <w:bCs/>
          <w:highlight w:val="none"/>
          <w:lang w:val="en-US" w:eastAsia="zh-CN"/>
        </w:rPr>
      </w:pPr>
      <w:r>
        <w:rPr>
          <w:rFonts w:hint="eastAsia" w:ascii="楷体_GB2312" w:hAnsi="仿宋" w:eastAsia="楷体_GB2312"/>
          <w:bCs/>
          <w:highlight w:val="none"/>
          <w:lang w:val="en-US" w:eastAsia="zh-CN"/>
        </w:rPr>
        <w:t>（5）延期办理赎回申请</w:t>
      </w:r>
    </w:p>
    <w:p>
      <w:pPr>
        <w:pStyle w:val="31"/>
        <w:spacing w:beforeLines="0" w:afterLines="0"/>
        <w:ind w:firstLine="480" w:firstLineChars="200"/>
        <w:rPr>
          <w:rFonts w:hint="eastAsia" w:ascii="楷体_GB2312" w:hAnsi="仿宋" w:eastAsia="楷体_GB2312"/>
          <w:bCs/>
          <w:highlight w:val="none"/>
          <w:lang w:val="en-US" w:eastAsia="zh-CN"/>
        </w:rPr>
      </w:pPr>
      <w:r>
        <w:rPr>
          <w:rFonts w:hint="eastAsia" w:ascii="楷体_GB2312" w:hAnsi="仿宋" w:eastAsia="楷体_GB2312"/>
          <w:bCs/>
          <w:highlight w:val="none"/>
          <w:lang w:val="en-US" w:eastAsia="zh-CN"/>
        </w:rPr>
        <w:t>发生《理财产品说明书》“六、产品的申购和赎回”中“（七）延期办理赎回申请”条款约定的情形时，本理财产品的产品管理人有权选择延期办理赎回申请，届时投资者将无法及时赎回其持有的本理财产品份额，并且投资者未能及时赎回的本理财产品份额还将面临净值波动的风险。</w:t>
      </w:r>
    </w:p>
    <w:p>
      <w:pPr>
        <w:pStyle w:val="31"/>
        <w:spacing w:beforeLines="0" w:afterLines="0"/>
        <w:ind w:firstLine="480" w:firstLineChars="200"/>
        <w:rPr>
          <w:rFonts w:hint="eastAsia" w:ascii="楷体_GB2312" w:hAnsi="仿宋" w:eastAsia="楷体_GB2312"/>
          <w:bCs/>
          <w:highlight w:val="none"/>
          <w:lang w:val="en-US" w:eastAsia="zh-CN"/>
        </w:rPr>
      </w:pPr>
      <w:r>
        <w:rPr>
          <w:rFonts w:hint="eastAsia" w:ascii="楷体_GB2312" w:hAnsi="仿宋" w:eastAsia="楷体_GB2312"/>
          <w:bCs/>
          <w:highlight w:val="none"/>
          <w:lang w:val="en-US" w:eastAsia="zh-CN"/>
        </w:rPr>
        <w:t>（</w:t>
      </w:r>
      <w:r>
        <w:rPr>
          <w:rFonts w:hint="default" w:ascii="楷体_GB2312" w:hAnsi="仿宋" w:eastAsia="楷体_GB2312"/>
          <w:bCs/>
          <w:highlight w:val="none"/>
          <w:lang w:val="en-US" w:eastAsia="zh-CN"/>
        </w:rPr>
        <w:t>6</w:t>
      </w:r>
      <w:r>
        <w:rPr>
          <w:rFonts w:hint="eastAsia" w:ascii="楷体_GB2312" w:hAnsi="仿宋" w:eastAsia="楷体_GB2312"/>
          <w:bCs/>
          <w:highlight w:val="none"/>
          <w:lang w:val="en-US" w:eastAsia="zh-CN"/>
        </w:rPr>
        <w:t>）延缓支付赎回款项</w:t>
      </w:r>
    </w:p>
    <w:p>
      <w:pPr>
        <w:pStyle w:val="31"/>
        <w:spacing w:beforeLines="0" w:afterLines="0"/>
        <w:ind w:firstLine="480" w:firstLineChars="200"/>
        <w:rPr>
          <w:rFonts w:hint="eastAsia" w:ascii="楷体_GB2312" w:hAnsi="楷体" w:eastAsia="楷体_GB2312"/>
          <w:highlight w:val="none"/>
        </w:rPr>
      </w:pPr>
      <w:r>
        <w:rPr>
          <w:rFonts w:hint="eastAsia" w:ascii="楷体_GB2312" w:hAnsi="楷体" w:eastAsia="楷体_GB2312"/>
          <w:highlight w:val="none"/>
          <w:lang w:val="en-US" w:eastAsia="zh-CN"/>
        </w:rPr>
        <w:t>发生</w:t>
      </w:r>
      <w:r>
        <w:rPr>
          <w:rFonts w:hint="eastAsia" w:ascii="楷体_GB2312" w:hAnsi="楷体" w:eastAsia="楷体_GB2312" w:cs="Times New Roman"/>
          <w:color w:val="auto"/>
          <w:kern w:val="2"/>
          <w:highlight w:val="none"/>
          <w:lang w:eastAsia="zh-CN"/>
        </w:rPr>
        <w:t>《</w:t>
      </w:r>
      <w:r>
        <w:rPr>
          <w:rFonts w:hint="eastAsia" w:ascii="楷体_GB2312" w:hAnsi="楷体" w:eastAsia="楷体_GB2312" w:cs="Times New Roman"/>
          <w:color w:val="auto"/>
          <w:kern w:val="2"/>
          <w:highlight w:val="none"/>
          <w:lang w:val="en-US" w:eastAsia="zh-CN"/>
        </w:rPr>
        <w:t>理财</w:t>
      </w:r>
      <w:r>
        <w:rPr>
          <w:rFonts w:hint="eastAsia" w:ascii="楷体_GB2312" w:hAnsi="楷体" w:eastAsia="楷体_GB2312" w:cs="Times New Roman"/>
          <w:color w:val="auto"/>
          <w:kern w:val="2"/>
          <w:highlight w:val="none"/>
        </w:rPr>
        <w:t>产品说明书</w:t>
      </w:r>
      <w:r>
        <w:rPr>
          <w:rFonts w:hint="eastAsia" w:ascii="楷体_GB2312" w:hAnsi="楷体" w:eastAsia="楷体_GB2312" w:cs="Times New Roman"/>
          <w:color w:val="auto"/>
          <w:kern w:val="2"/>
          <w:highlight w:val="none"/>
          <w:lang w:eastAsia="zh-CN"/>
        </w:rPr>
        <w:t>》</w:t>
      </w:r>
      <w:r>
        <w:rPr>
          <w:rFonts w:hint="eastAsia" w:ascii="楷体_GB2312" w:hAnsi="楷体" w:eastAsia="楷体_GB2312" w:cs="Times New Roman"/>
          <w:color w:val="auto"/>
          <w:kern w:val="2"/>
          <w:highlight w:val="none"/>
        </w:rPr>
        <w:t>“</w:t>
      </w:r>
      <w:r>
        <w:rPr>
          <w:rFonts w:hint="eastAsia" w:ascii="楷体_GB2312" w:hAnsi="楷体" w:eastAsia="楷体_GB2312"/>
          <w:highlight w:val="none"/>
        </w:rPr>
        <w:t>六、产品的申购和赎回</w:t>
      </w:r>
      <w:r>
        <w:rPr>
          <w:rFonts w:hint="eastAsia" w:ascii="楷体_GB2312" w:hAnsi="楷体" w:eastAsia="楷体_GB2312" w:cs="Times New Roman"/>
          <w:color w:val="auto"/>
          <w:kern w:val="2"/>
          <w:highlight w:val="none"/>
        </w:rPr>
        <w:t>”</w:t>
      </w:r>
      <w:r>
        <w:rPr>
          <w:rFonts w:hint="eastAsia" w:ascii="楷体_GB2312" w:hAnsi="楷体" w:eastAsia="楷体_GB2312" w:cs="Times New Roman"/>
          <w:color w:val="auto"/>
          <w:kern w:val="2"/>
          <w:highlight w:val="none"/>
          <w:lang w:val="en-US" w:eastAsia="zh-CN"/>
        </w:rPr>
        <w:t>中“</w:t>
      </w:r>
      <w:r>
        <w:rPr>
          <w:rFonts w:hint="eastAsia" w:ascii="楷体_GB2312" w:hAnsi="楷体" w:eastAsia="楷体_GB2312" w:cs="Times New Roman"/>
          <w:color w:val="auto"/>
          <w:kern w:val="2"/>
          <w:highlight w:val="none"/>
        </w:rPr>
        <w:t>（</w:t>
      </w:r>
      <w:r>
        <w:rPr>
          <w:rFonts w:hint="eastAsia" w:ascii="楷体_GB2312" w:hAnsi="楷体" w:eastAsia="楷体_GB2312" w:cs="Times New Roman"/>
          <w:color w:val="auto"/>
          <w:kern w:val="2"/>
          <w:highlight w:val="none"/>
          <w:lang w:val="en-US" w:eastAsia="zh-CN"/>
        </w:rPr>
        <w:t>八</w:t>
      </w:r>
      <w:r>
        <w:rPr>
          <w:rFonts w:hint="eastAsia" w:ascii="楷体_GB2312" w:hAnsi="楷体" w:eastAsia="楷体_GB2312" w:cs="Times New Roman"/>
          <w:color w:val="auto"/>
          <w:kern w:val="2"/>
          <w:highlight w:val="none"/>
        </w:rPr>
        <w:t>）延缓支付赎回款项</w:t>
      </w:r>
      <w:r>
        <w:rPr>
          <w:rFonts w:hint="eastAsia" w:ascii="楷体_GB2312" w:hAnsi="楷体" w:eastAsia="楷体_GB2312" w:cs="Times New Roman"/>
          <w:color w:val="auto"/>
          <w:kern w:val="2"/>
          <w:highlight w:val="none"/>
          <w:lang w:eastAsia="zh-CN"/>
        </w:rPr>
        <w:t>”</w:t>
      </w:r>
      <w:r>
        <w:rPr>
          <w:rFonts w:hint="eastAsia" w:ascii="楷体_GB2312" w:hAnsi="楷体" w:eastAsia="楷体_GB2312" w:cs="Times New Roman"/>
          <w:color w:val="auto"/>
          <w:kern w:val="2"/>
          <w:highlight w:val="none"/>
          <w:lang w:val="en-US" w:eastAsia="zh-CN"/>
        </w:rPr>
        <w:t>条款约定的</w:t>
      </w:r>
      <w:r>
        <w:rPr>
          <w:rFonts w:hint="eastAsia" w:ascii="楷体_GB2312" w:hAnsi="楷体" w:eastAsia="楷体_GB2312"/>
          <w:highlight w:val="none"/>
        </w:rPr>
        <w:t>情形</w:t>
      </w:r>
      <w:r>
        <w:rPr>
          <w:rFonts w:hint="eastAsia" w:ascii="楷体_GB2312" w:hAnsi="楷体" w:eastAsia="楷体_GB2312"/>
          <w:highlight w:val="none"/>
          <w:lang w:val="en-US" w:eastAsia="zh-CN"/>
        </w:rPr>
        <w:t>时，</w:t>
      </w:r>
      <w:r>
        <w:rPr>
          <w:rFonts w:hint="eastAsia" w:ascii="楷体_GB2312" w:hAnsi="楷体" w:eastAsia="楷体_GB2312"/>
          <w:b w:val="0"/>
          <w:bCs w:val="0"/>
          <w:highlight w:val="none"/>
          <w:lang w:val="en-US" w:eastAsia="zh-CN"/>
        </w:rPr>
        <w:t>本理财产品的</w:t>
      </w:r>
      <w:r>
        <w:rPr>
          <w:rFonts w:hint="eastAsia" w:ascii="楷体_GB2312" w:hAnsi="楷体" w:eastAsia="楷体_GB2312"/>
          <w:highlight w:val="none"/>
          <w:lang w:val="en-US" w:eastAsia="zh-CN"/>
        </w:rPr>
        <w:t>产品管理人有权</w:t>
      </w:r>
      <w:r>
        <w:rPr>
          <w:rFonts w:hint="eastAsia" w:ascii="楷体_GB2312" w:hAnsi="楷体" w:eastAsia="楷体_GB2312"/>
          <w:highlight w:val="none"/>
        </w:rPr>
        <w:t>采用延缓支付赎回款项的流动性风险应对措施</w:t>
      </w:r>
      <w:r>
        <w:rPr>
          <w:rFonts w:hint="eastAsia" w:ascii="楷体_GB2312" w:hAnsi="楷体" w:eastAsia="楷体_GB2312"/>
          <w:highlight w:val="none"/>
          <w:lang w:eastAsia="zh-CN"/>
        </w:rPr>
        <w:t>，</w:t>
      </w:r>
      <w:r>
        <w:rPr>
          <w:rFonts w:hint="eastAsia" w:ascii="楷体_GB2312" w:hAnsi="楷体" w:eastAsia="楷体_GB2312"/>
          <w:highlight w:val="none"/>
          <w:lang w:val="en-US" w:eastAsia="zh-CN"/>
        </w:rPr>
        <w:t>届时</w:t>
      </w:r>
      <w:r>
        <w:rPr>
          <w:rFonts w:hint="eastAsia" w:ascii="楷体_GB2312" w:hAnsi="楷体" w:eastAsia="楷体_GB2312"/>
          <w:highlight w:val="none"/>
        </w:rPr>
        <w:t>投资</w:t>
      </w:r>
      <w:r>
        <w:rPr>
          <w:rFonts w:hint="eastAsia" w:ascii="楷体_GB2312" w:hAnsi="楷体" w:eastAsia="楷体_GB2312"/>
          <w:highlight w:val="none"/>
          <w:lang w:val="en-US" w:eastAsia="zh-CN"/>
        </w:rPr>
        <w:t>者将面临延迟</w:t>
      </w:r>
      <w:r>
        <w:rPr>
          <w:rFonts w:hint="eastAsia" w:ascii="楷体_GB2312" w:hAnsi="楷体" w:eastAsia="楷体_GB2312"/>
          <w:highlight w:val="none"/>
        </w:rPr>
        <w:t>接收赎回款项</w:t>
      </w:r>
      <w:r>
        <w:rPr>
          <w:rFonts w:hint="eastAsia" w:ascii="楷体_GB2312" w:hAnsi="楷体" w:eastAsia="楷体_GB2312"/>
          <w:highlight w:val="none"/>
          <w:lang w:val="en-US" w:eastAsia="zh-CN"/>
        </w:rPr>
        <w:t>的风险</w:t>
      </w:r>
      <w:r>
        <w:rPr>
          <w:rFonts w:hint="eastAsia" w:ascii="楷体_GB2312" w:hAnsi="楷体" w:eastAsia="楷体_GB2312"/>
          <w:highlight w:val="none"/>
        </w:rPr>
        <w:t>。</w:t>
      </w:r>
    </w:p>
    <w:p>
      <w:pPr>
        <w:pStyle w:val="31"/>
        <w:spacing w:beforeLines="0" w:afterLines="0"/>
        <w:ind w:firstLine="480" w:firstLineChars="200"/>
        <w:rPr>
          <w:rFonts w:hint="eastAsia" w:ascii="楷体_GB2312" w:hAnsi="楷体" w:eastAsia="楷体_GB2312" w:cs="Times New Roman"/>
          <w:color w:val="auto"/>
          <w:kern w:val="2"/>
          <w:highlight w:val="none"/>
        </w:rPr>
      </w:pPr>
      <w:r>
        <w:rPr>
          <w:rFonts w:hint="eastAsia" w:ascii="楷体_GB2312" w:hAnsi="楷体" w:eastAsia="楷体_GB2312"/>
          <w:highlight w:val="none"/>
          <w:lang w:val="en-US" w:eastAsia="zh-CN"/>
        </w:rPr>
        <w:t>除上述</w:t>
      </w:r>
      <w:r>
        <w:rPr>
          <w:rFonts w:hint="eastAsia" w:ascii="楷体_GB2312" w:hAnsi="楷体" w:eastAsia="楷体_GB2312"/>
          <w:highlight w:val="none"/>
        </w:rPr>
        <w:t>流动性风险应对措施</w:t>
      </w:r>
      <w:r>
        <w:rPr>
          <w:rFonts w:hint="eastAsia" w:ascii="楷体_GB2312" w:hAnsi="楷体" w:eastAsia="楷体_GB2312"/>
          <w:highlight w:val="none"/>
          <w:lang w:val="en-US" w:eastAsia="zh-CN"/>
        </w:rPr>
        <w:t>外，本理财产品的产品管理人还可根据实际业务情况，采取收取短期赎回费、暂停理财产品估值等</w:t>
      </w:r>
      <w:r>
        <w:rPr>
          <w:rFonts w:hint="eastAsia" w:ascii="楷体_GB2312" w:hAnsi="楷体" w:eastAsia="楷体_GB2312"/>
          <w:sz w:val="24"/>
          <w:highlight w:val="none"/>
        </w:rPr>
        <w:t>国家金融监督管理总局</w:t>
      </w:r>
      <w:r>
        <w:rPr>
          <w:rFonts w:hint="eastAsia" w:ascii="楷体_GB2312" w:hAnsi="楷体" w:eastAsia="楷体_GB2312"/>
          <w:sz w:val="24"/>
          <w:highlight w:val="none"/>
          <w:lang w:val="en-US" w:eastAsia="zh-CN"/>
        </w:rPr>
        <w:t>规定的其他措施。</w:t>
      </w:r>
    </w:p>
    <w:p>
      <w:pPr>
        <w:pStyle w:val="31"/>
        <w:numPr>
          <w:ilvl w:val="0"/>
          <w:numId w:val="1"/>
        </w:numPr>
        <w:ind w:firstLine="482" w:firstLineChars="200"/>
        <w:rPr>
          <w:rFonts w:hint="eastAsia" w:ascii="楷体_GB2312" w:hAnsi="楷体" w:eastAsia="楷体_GB2312" w:cs="Times New Roman"/>
          <w:b/>
          <w:bCs/>
          <w:color w:val="auto"/>
          <w:kern w:val="2"/>
          <w:highlight w:val="none"/>
          <w:lang w:val="en-US" w:eastAsia="zh-CN"/>
        </w:rPr>
      </w:pPr>
      <w:r>
        <w:rPr>
          <w:rFonts w:hint="eastAsia" w:ascii="楷体_GB2312" w:hAnsi="楷体" w:eastAsia="楷体_GB2312" w:cs="Times New Roman"/>
          <w:b/>
          <w:bCs/>
          <w:color w:val="auto"/>
          <w:kern w:val="2"/>
          <w:highlight w:val="none"/>
          <w:lang w:val="en-US" w:eastAsia="zh-CN"/>
        </w:rPr>
        <w:t>因投资者流动性需求与本理财产品的认/申购、赎回安排不相符而产生的风险。</w:t>
      </w:r>
    </w:p>
    <w:p>
      <w:pPr>
        <w:pStyle w:val="31"/>
        <w:spacing w:beforeLines="0" w:afterLines="0"/>
        <w:ind w:firstLine="482" w:firstLineChars="200"/>
        <w:rPr>
          <w:rFonts w:ascii="楷体_GB2312" w:hAnsi="楷体" w:eastAsia="楷体_GB2312"/>
          <w:b/>
          <w:bCs/>
          <w:highlight w:val="none"/>
        </w:rPr>
      </w:pPr>
      <w:r>
        <w:rPr>
          <w:rFonts w:hint="eastAsia" w:ascii="楷体_GB2312" w:hAnsi="楷体" w:eastAsia="楷体_GB2312" w:cs="Times New Roman"/>
          <w:b/>
          <w:bCs/>
          <w:color w:val="auto"/>
          <w:kern w:val="2"/>
          <w:highlight w:val="none"/>
          <w:lang w:val="en-US" w:eastAsia="zh-CN"/>
        </w:rPr>
        <w:t>本理财产品为开放式产品，除本理财产品销售文件另有约定外，投资者只能在理财产品开放日的交易时间内进行申购、赎回，具体请参见《理财产品说明书》“三、产品概况和基本要素”部分。上述安排可能影响投资者的资金流动性安排，如果投资者在非开放日产生流动性需求，则可能面临本理财产品不能随时变现、持有期与资金需求日不匹配的风险。投资者应当根据自身投资目标、投资期限等情况审慎作出投资决策。</w:t>
      </w:r>
    </w:p>
    <w:p>
      <w:pPr>
        <w:ind w:firstLine="361" w:firstLineChars="150"/>
        <w:rPr>
          <w:rFonts w:ascii="楷体_GB2312" w:hAnsi="楷体" w:eastAsia="楷体_GB2312"/>
          <w:sz w:val="24"/>
          <w:highlight w:val="none"/>
        </w:rPr>
      </w:pPr>
      <w:r>
        <w:rPr>
          <w:rFonts w:hint="eastAsia" w:ascii="楷体_GB2312" w:hAnsi="楷体" w:eastAsia="楷体_GB2312"/>
          <w:b/>
          <w:bCs/>
          <w:sz w:val="24"/>
          <w:highlight w:val="none"/>
        </w:rPr>
        <w:t>（四）管理风险：</w:t>
      </w:r>
      <w:r>
        <w:rPr>
          <w:rFonts w:hint="eastAsia" w:ascii="楷体_GB2312" w:hAnsi="楷体" w:eastAsia="楷体_GB2312"/>
          <w:sz w:val="24"/>
          <w:highlight w:val="none"/>
        </w:rPr>
        <w:t>由于本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lang w:eastAsia="zh-CN"/>
        </w:rPr>
        <w:t>产品的产品管理人</w:t>
      </w:r>
      <w:r>
        <w:rPr>
          <w:rFonts w:hint="eastAsia" w:ascii="楷体_GB2312" w:hAnsi="楷体" w:eastAsia="楷体_GB2312"/>
          <w:sz w:val="24"/>
          <w:highlight w:val="none"/>
        </w:rPr>
        <w:t>、所投资的信托计划</w:t>
      </w:r>
      <w:r>
        <w:rPr>
          <w:rFonts w:ascii="楷体_GB2312" w:hAnsi="楷体" w:eastAsia="楷体_GB2312"/>
          <w:sz w:val="24"/>
          <w:highlight w:val="none"/>
        </w:rPr>
        <w:t>/</w:t>
      </w:r>
      <w:r>
        <w:rPr>
          <w:rFonts w:hint="eastAsia" w:ascii="楷体_GB2312" w:hAnsi="楷体" w:eastAsia="楷体_GB2312"/>
          <w:sz w:val="24"/>
          <w:highlight w:val="none"/>
        </w:rPr>
        <w:t>资管计划的受托人</w:t>
      </w:r>
      <w:r>
        <w:rPr>
          <w:rFonts w:ascii="楷体_GB2312" w:hAnsi="楷体" w:eastAsia="楷体_GB2312"/>
          <w:sz w:val="24"/>
          <w:highlight w:val="none"/>
        </w:rPr>
        <w:t>/</w:t>
      </w:r>
      <w:r>
        <w:rPr>
          <w:rFonts w:hint="eastAsia" w:ascii="楷体_GB2312" w:hAnsi="楷体" w:eastAsia="楷体_GB2312"/>
          <w:sz w:val="24"/>
          <w:highlight w:val="none"/>
        </w:rPr>
        <w:t>资产</w:t>
      </w:r>
      <w:r>
        <w:rPr>
          <w:rFonts w:hint="eastAsia" w:ascii="楷体_GB2312" w:hAnsi="楷体" w:eastAsia="楷体_GB2312"/>
          <w:sz w:val="24"/>
          <w:highlight w:val="none"/>
          <w:lang w:eastAsia="zh-CN"/>
        </w:rPr>
        <w:t>管理人</w:t>
      </w:r>
      <w:r>
        <w:rPr>
          <w:rFonts w:hint="eastAsia" w:ascii="楷体_GB2312" w:hAnsi="楷体" w:eastAsia="楷体_GB2312"/>
          <w:sz w:val="24"/>
          <w:highlight w:val="none"/>
        </w:rPr>
        <w:t>（若有）、投资顾问（若有）等，受经验、技能等因素的限制，会影响其对信息的获取和对经济形势、金融市场价格走势的判断</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如</w:t>
      </w:r>
      <w:r>
        <w:rPr>
          <w:rFonts w:hint="eastAsia" w:ascii="楷体_GB2312" w:hAnsi="楷体" w:eastAsia="楷体_GB2312"/>
          <w:sz w:val="24"/>
          <w:highlight w:val="none"/>
          <w:lang w:eastAsia="zh-CN"/>
        </w:rPr>
        <w:t>产品管理人</w:t>
      </w:r>
      <w:r>
        <w:rPr>
          <w:rFonts w:hint="eastAsia" w:ascii="楷体_GB2312" w:hAnsi="楷体" w:eastAsia="楷体_GB2312"/>
          <w:sz w:val="24"/>
          <w:highlight w:val="none"/>
          <w:lang w:val="en-US" w:eastAsia="zh-CN"/>
        </w:rPr>
        <w:t>、</w:t>
      </w:r>
      <w:r>
        <w:rPr>
          <w:rFonts w:hint="eastAsia" w:ascii="楷体_GB2312" w:hAnsi="楷体" w:eastAsia="楷体_GB2312"/>
          <w:sz w:val="24"/>
          <w:highlight w:val="none"/>
        </w:rPr>
        <w:t>受托人</w:t>
      </w:r>
      <w:r>
        <w:rPr>
          <w:rFonts w:ascii="楷体_GB2312" w:hAnsi="楷体" w:eastAsia="楷体_GB2312"/>
          <w:sz w:val="24"/>
          <w:highlight w:val="none"/>
        </w:rPr>
        <w:t>/</w:t>
      </w:r>
      <w:r>
        <w:rPr>
          <w:rFonts w:hint="eastAsia" w:ascii="楷体_GB2312" w:hAnsi="楷体" w:eastAsia="楷体_GB2312"/>
          <w:sz w:val="24"/>
          <w:highlight w:val="none"/>
        </w:rPr>
        <w:t>资产</w:t>
      </w:r>
      <w:r>
        <w:rPr>
          <w:rFonts w:hint="eastAsia" w:ascii="楷体_GB2312" w:hAnsi="楷体" w:eastAsia="楷体_GB2312"/>
          <w:sz w:val="24"/>
          <w:highlight w:val="none"/>
          <w:lang w:eastAsia="zh-CN"/>
        </w:rPr>
        <w:t>管理人</w:t>
      </w:r>
      <w:r>
        <w:rPr>
          <w:rFonts w:hint="eastAsia" w:ascii="楷体_GB2312" w:hAnsi="楷体" w:eastAsia="楷体_GB2312"/>
          <w:sz w:val="24"/>
          <w:highlight w:val="none"/>
        </w:rPr>
        <w:t>（若有）、投资顾问（若有）等判断有误、获取信息不全或对投资工具使用不当等，可能会对本理财产品的运作和管理造成一定影响，</w:t>
      </w:r>
      <w:r>
        <w:rPr>
          <w:rFonts w:hint="eastAsia" w:ascii="楷体_GB2312" w:hAnsi="楷体" w:eastAsia="楷体_GB2312"/>
          <w:sz w:val="24"/>
          <w:highlight w:val="none"/>
          <w:lang w:val="en-US" w:eastAsia="zh-CN"/>
        </w:rPr>
        <w:t>则</w:t>
      </w:r>
      <w:r>
        <w:rPr>
          <w:rFonts w:hint="eastAsia" w:ascii="楷体_GB2312" w:hAnsi="楷体" w:eastAsia="楷体_GB2312"/>
          <w:sz w:val="24"/>
          <w:highlight w:val="none"/>
        </w:rPr>
        <w:t>投资者可能面临本金和收益遭受部分甚至全部损失的风险</w:t>
      </w:r>
      <w:r>
        <w:rPr>
          <w:rFonts w:hint="eastAsia" w:ascii="楷体_GB2312" w:hAnsi="楷体" w:eastAsia="楷体_GB2312"/>
          <w:sz w:val="24"/>
          <w:highlight w:val="none"/>
          <w:lang w:eastAsia="zh-CN"/>
        </w:rPr>
        <w:t>。</w:t>
      </w:r>
    </w:p>
    <w:p>
      <w:pPr>
        <w:ind w:firstLine="361" w:firstLineChars="150"/>
        <w:rPr>
          <w:rFonts w:ascii="楷体_GB2312" w:hAnsi="楷体" w:eastAsia="楷体_GB2312"/>
          <w:sz w:val="24"/>
          <w:highlight w:val="none"/>
        </w:rPr>
      </w:pPr>
      <w:r>
        <w:rPr>
          <w:rFonts w:hint="eastAsia" w:ascii="楷体_GB2312" w:hAnsi="楷体" w:eastAsia="楷体_GB2312"/>
          <w:b/>
          <w:bCs/>
          <w:sz w:val="24"/>
          <w:highlight w:val="none"/>
        </w:rPr>
        <w:t>（五）操作风险：</w:t>
      </w:r>
      <w:r>
        <w:rPr>
          <w:rFonts w:hint="eastAsia" w:ascii="楷体_GB2312" w:hAnsi="楷体" w:eastAsia="楷体_GB2312"/>
          <w:sz w:val="24"/>
          <w:highlight w:val="none"/>
        </w:rPr>
        <w:t>如本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lang w:eastAsia="zh-CN"/>
        </w:rPr>
        <w:t>产品的产品管理人</w:t>
      </w:r>
      <w:r>
        <w:rPr>
          <w:rFonts w:hint="eastAsia" w:ascii="楷体_GB2312" w:hAnsi="楷体" w:eastAsia="楷体_GB2312"/>
          <w:sz w:val="24"/>
          <w:highlight w:val="none"/>
        </w:rPr>
        <w:t>由于内部作业、人员管理、系统操作及事务处理不当或失误等，</w:t>
      </w:r>
      <w:r>
        <w:rPr>
          <w:rFonts w:hint="eastAsia" w:ascii="楷体_GB2312" w:hAnsi="楷体" w:eastAsia="楷体_GB2312"/>
          <w:b w:val="0"/>
          <w:bCs w:val="0"/>
          <w:sz w:val="24"/>
          <w:highlight w:val="none"/>
        </w:rPr>
        <w:t>则投资者可能面临本金和收益遭受部分甚至全部损失的风险。</w:t>
      </w:r>
    </w:p>
    <w:p>
      <w:pPr>
        <w:ind w:firstLine="361" w:firstLineChars="150"/>
        <w:rPr>
          <w:rFonts w:ascii="楷体_GB2312" w:hAnsi="华文中宋" w:eastAsia="楷体_GB2312"/>
          <w:bCs/>
          <w:sz w:val="24"/>
          <w:highlight w:val="none"/>
        </w:rPr>
      </w:pPr>
      <w:r>
        <w:rPr>
          <w:rFonts w:hint="eastAsia" w:ascii="楷体_GB2312" w:hAnsi="楷体" w:eastAsia="楷体_GB2312"/>
          <w:b/>
          <w:bCs/>
          <w:sz w:val="24"/>
          <w:highlight w:val="none"/>
        </w:rPr>
        <w:t>（六）</w:t>
      </w:r>
      <w:r>
        <w:rPr>
          <w:rFonts w:hint="eastAsia" w:ascii="楷体_GB2312" w:hAnsi="楷体" w:eastAsia="楷体_GB2312"/>
          <w:b/>
          <w:bCs/>
          <w:sz w:val="24"/>
          <w:highlight w:val="none"/>
          <w:lang w:val="en-US" w:eastAsia="zh-CN"/>
        </w:rPr>
        <w:t>法律和</w:t>
      </w:r>
      <w:r>
        <w:rPr>
          <w:rFonts w:hint="eastAsia" w:ascii="楷体_GB2312" w:hAnsi="楷体" w:eastAsia="楷体_GB2312"/>
          <w:b/>
          <w:bCs/>
          <w:sz w:val="24"/>
          <w:highlight w:val="none"/>
        </w:rPr>
        <w:t>政策风险：</w:t>
      </w:r>
      <w:r>
        <w:rPr>
          <w:rFonts w:hint="eastAsia" w:ascii="楷体_GB2312" w:hAnsi="华文中宋" w:eastAsia="楷体_GB2312"/>
          <w:bCs/>
          <w:sz w:val="24"/>
          <w:highlight w:val="none"/>
        </w:rPr>
        <w:t>本</w:t>
      </w:r>
      <w:r>
        <w:rPr>
          <w:rFonts w:hint="eastAsia" w:ascii="楷体_GB2312" w:hAnsi="楷体" w:eastAsia="楷体_GB2312"/>
          <w:sz w:val="24"/>
          <w:highlight w:val="none"/>
          <w:lang w:val="en-US" w:eastAsia="zh-CN"/>
        </w:rPr>
        <w:t>理财</w:t>
      </w:r>
      <w:r>
        <w:rPr>
          <w:rFonts w:hint="eastAsia" w:ascii="楷体_GB2312" w:hAnsi="华文中宋" w:eastAsia="楷体_GB2312"/>
          <w:bCs/>
          <w:sz w:val="24"/>
          <w:highlight w:val="none"/>
        </w:rPr>
        <w:t>产品是针对当前的相关法律法规、监管要求和政策设计的，如国家宏观政策以及相关法律法规、监管要求发生变化，将影响</w:t>
      </w:r>
      <w:r>
        <w:rPr>
          <w:rFonts w:hint="eastAsia" w:ascii="楷体_GB2312" w:hAnsi="华文中宋" w:eastAsia="楷体_GB2312"/>
          <w:bCs/>
          <w:sz w:val="24"/>
          <w:highlight w:val="none"/>
          <w:lang w:eastAsia="zh-CN"/>
        </w:rPr>
        <w:t>本理财产品</w:t>
      </w:r>
      <w:r>
        <w:rPr>
          <w:rFonts w:hint="eastAsia" w:ascii="楷体_GB2312" w:hAnsi="华文中宋" w:eastAsia="楷体_GB2312"/>
          <w:bCs/>
          <w:sz w:val="24"/>
          <w:highlight w:val="none"/>
        </w:rPr>
        <w:t>发行、投资、兑付等工作的正常进行，进而可能造成</w:t>
      </w:r>
      <w:r>
        <w:rPr>
          <w:rFonts w:hint="eastAsia" w:ascii="楷体_GB2312" w:hAnsi="华文中宋" w:eastAsia="楷体_GB2312"/>
          <w:bCs/>
          <w:sz w:val="24"/>
          <w:highlight w:val="none"/>
          <w:lang w:eastAsia="zh-CN"/>
        </w:rPr>
        <w:t>本理财产品</w:t>
      </w:r>
      <w:r>
        <w:rPr>
          <w:rFonts w:hint="eastAsia" w:ascii="楷体_GB2312" w:hAnsi="华文中宋" w:eastAsia="楷体_GB2312"/>
          <w:bCs/>
          <w:sz w:val="24"/>
          <w:highlight w:val="none"/>
        </w:rPr>
        <w:t>的收益降低</w:t>
      </w:r>
      <w:r>
        <w:rPr>
          <w:rFonts w:hint="eastAsia" w:ascii="楷体_GB2312" w:hAnsi="华文中宋" w:eastAsia="楷体_GB2312"/>
          <w:bCs/>
          <w:sz w:val="24"/>
          <w:highlight w:val="none"/>
          <w:lang w:eastAsia="zh-CN"/>
        </w:rPr>
        <w:t>或</w:t>
      </w:r>
      <w:r>
        <w:rPr>
          <w:rFonts w:hint="eastAsia" w:ascii="楷体_GB2312" w:hAnsi="楷体" w:eastAsia="楷体_GB2312"/>
          <w:bCs/>
          <w:sz w:val="24"/>
          <w:highlight w:val="none"/>
        </w:rPr>
        <w:t>本金损失</w:t>
      </w:r>
      <w:r>
        <w:rPr>
          <w:rFonts w:hint="eastAsia" w:ascii="楷体_GB2312" w:hAnsi="楷体" w:eastAsia="楷体_GB2312"/>
          <w:bCs/>
          <w:sz w:val="24"/>
          <w:highlight w:val="none"/>
          <w:lang w:eastAsia="zh-CN"/>
        </w:rPr>
        <w:t>，</w:t>
      </w:r>
      <w:r>
        <w:rPr>
          <w:rFonts w:hint="eastAsia" w:ascii="楷体_GB2312" w:hAnsi="楷体" w:eastAsia="楷体_GB2312"/>
          <w:b w:val="0"/>
          <w:bCs w:val="0"/>
          <w:sz w:val="24"/>
          <w:highlight w:val="none"/>
        </w:rPr>
        <w:t>则投资者可能面临本金和收益遭受部分甚至全部损失的风险。</w:t>
      </w:r>
    </w:p>
    <w:p>
      <w:pPr>
        <w:ind w:firstLine="361" w:firstLineChars="150"/>
        <w:rPr>
          <w:rFonts w:ascii="楷体_GB2312" w:hAnsi="华文中宋" w:eastAsia="楷体_GB2312"/>
          <w:bCs/>
          <w:sz w:val="24"/>
          <w:highlight w:val="none"/>
        </w:rPr>
      </w:pPr>
      <w:r>
        <w:rPr>
          <w:rFonts w:hint="eastAsia" w:ascii="楷体_GB2312" w:hAnsi="楷体" w:eastAsia="楷体_GB2312"/>
          <w:b/>
          <w:bCs/>
          <w:sz w:val="24"/>
          <w:highlight w:val="none"/>
        </w:rPr>
        <w:t>（七）提前终止及再投资风险：</w:t>
      </w:r>
      <w:r>
        <w:rPr>
          <w:rFonts w:hint="eastAsia" w:ascii="楷体_GB2312" w:hAnsi="楷体" w:eastAsia="楷体_GB2312"/>
          <w:sz w:val="24"/>
          <w:highlight w:val="none"/>
        </w:rPr>
        <w:t>在</w:t>
      </w:r>
      <w:r>
        <w:rPr>
          <w:rFonts w:hint="eastAsia" w:ascii="楷体_GB2312" w:hAnsi="楷体" w:eastAsia="楷体_GB2312"/>
          <w:sz w:val="24"/>
          <w:highlight w:val="none"/>
          <w:lang w:val="en-US" w:eastAsia="zh-CN"/>
        </w:rPr>
        <w:t>本</w:t>
      </w:r>
      <w:r>
        <w:rPr>
          <w:rFonts w:hint="eastAsia" w:ascii="楷体_GB2312" w:hAnsi="楷体" w:eastAsia="楷体_GB2312"/>
          <w:bCs/>
          <w:sz w:val="24"/>
          <w:highlight w:val="none"/>
        </w:rPr>
        <w:t>理财产品存续期限</w:t>
      </w:r>
      <w:r>
        <w:rPr>
          <w:rFonts w:hint="eastAsia" w:ascii="楷体_GB2312" w:hAnsi="楷体" w:eastAsia="楷体_GB2312"/>
          <w:sz w:val="24"/>
          <w:highlight w:val="none"/>
        </w:rPr>
        <w:t>内，为保护投资者利益，</w:t>
      </w:r>
      <w:r>
        <w:rPr>
          <w:rFonts w:hint="eastAsia" w:ascii="楷体_GB2312" w:hAnsi="楷体" w:eastAsia="楷体_GB2312"/>
          <w:sz w:val="24"/>
          <w:highlight w:val="none"/>
          <w:lang w:eastAsia="zh-CN"/>
        </w:rPr>
        <w:t>产品管理人</w:t>
      </w:r>
      <w:r>
        <w:rPr>
          <w:rFonts w:hint="eastAsia" w:ascii="楷体_GB2312" w:hAnsi="楷体" w:eastAsia="楷体_GB2312"/>
          <w:sz w:val="24"/>
          <w:highlight w:val="none"/>
        </w:rPr>
        <w:t>可根据</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理财产品说明书</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约定的情况提前终止本理财产品。</w:t>
      </w:r>
      <w:r>
        <w:rPr>
          <w:rFonts w:hint="eastAsia" w:ascii="楷体_GB2312" w:hAnsi="楷体" w:eastAsia="楷体_GB2312"/>
          <w:bCs/>
          <w:sz w:val="24"/>
          <w:highlight w:val="none"/>
        </w:rPr>
        <w:t>一旦本</w:t>
      </w:r>
      <w:r>
        <w:rPr>
          <w:rFonts w:hint="eastAsia" w:ascii="楷体_GB2312" w:hAnsi="楷体" w:eastAsia="楷体_GB2312"/>
          <w:bCs/>
          <w:sz w:val="24"/>
          <w:highlight w:val="none"/>
          <w:lang w:val="en-US" w:eastAsia="zh-CN"/>
        </w:rPr>
        <w:t>理财</w:t>
      </w:r>
      <w:r>
        <w:rPr>
          <w:rFonts w:hint="eastAsia" w:ascii="楷体_GB2312" w:hAnsi="楷体" w:eastAsia="楷体_GB2312"/>
          <w:bCs/>
          <w:sz w:val="24"/>
          <w:highlight w:val="none"/>
        </w:rPr>
        <w:t>产品被提前终止，则本</w:t>
      </w:r>
      <w:r>
        <w:rPr>
          <w:rFonts w:hint="eastAsia" w:ascii="楷体_GB2312" w:hAnsi="楷体" w:eastAsia="楷体_GB2312"/>
          <w:sz w:val="24"/>
          <w:highlight w:val="none"/>
        </w:rPr>
        <w:t>理财</w:t>
      </w:r>
      <w:r>
        <w:rPr>
          <w:rFonts w:hint="eastAsia" w:ascii="楷体_GB2312" w:hAnsi="楷体" w:eastAsia="楷体_GB2312"/>
          <w:bCs/>
          <w:sz w:val="24"/>
          <w:highlight w:val="none"/>
        </w:rPr>
        <w:t>产品的实际理财天数可能小于预</w:t>
      </w:r>
      <w:r>
        <w:rPr>
          <w:rFonts w:hint="eastAsia" w:ascii="楷体_GB2312" w:hAnsi="楷体" w:eastAsia="楷体_GB2312"/>
          <w:bCs/>
          <w:sz w:val="24"/>
          <w:highlight w:val="none"/>
          <w:lang w:eastAsia="zh-CN"/>
        </w:rPr>
        <w:t>计</w:t>
      </w:r>
      <w:r>
        <w:rPr>
          <w:rFonts w:hint="eastAsia" w:ascii="楷体_GB2312" w:hAnsi="楷体" w:eastAsia="楷体_GB2312"/>
          <w:bCs/>
          <w:sz w:val="24"/>
          <w:highlight w:val="none"/>
        </w:rPr>
        <w:t>的理财天数，投资者无法实现期初预期的全部收益，并且</w:t>
      </w:r>
      <w:r>
        <w:rPr>
          <w:rFonts w:hint="eastAsia" w:ascii="楷体_GB2312" w:hAnsi="楷体" w:eastAsia="楷体_GB2312"/>
          <w:bCs/>
          <w:sz w:val="24"/>
          <w:highlight w:val="none"/>
          <w:lang w:eastAsia="zh-CN"/>
        </w:rPr>
        <w:t>投资者</w:t>
      </w:r>
      <w:r>
        <w:rPr>
          <w:rFonts w:hint="eastAsia" w:ascii="楷体_GB2312" w:hAnsi="楷体" w:eastAsia="楷体_GB2312"/>
          <w:bCs/>
          <w:sz w:val="24"/>
          <w:highlight w:val="none"/>
        </w:rPr>
        <w:t>届时可能面临较差的再投资环境和机会</w:t>
      </w:r>
      <w:r>
        <w:rPr>
          <w:rFonts w:hint="eastAsia" w:ascii="楷体_GB2312" w:hAnsi="楷体" w:eastAsia="楷体_GB2312"/>
          <w:bCs/>
          <w:sz w:val="24"/>
          <w:highlight w:val="none"/>
          <w:lang w:eastAsia="zh-CN"/>
        </w:rPr>
        <w:t>的风险</w:t>
      </w:r>
      <w:r>
        <w:rPr>
          <w:rFonts w:hint="eastAsia" w:ascii="楷体_GB2312" w:hAnsi="楷体" w:eastAsia="楷体_GB2312"/>
          <w:bCs/>
          <w:sz w:val="24"/>
          <w:highlight w:val="none"/>
        </w:rPr>
        <w:t>。</w:t>
      </w:r>
    </w:p>
    <w:p>
      <w:pPr>
        <w:ind w:firstLine="361" w:firstLineChars="150"/>
        <w:rPr>
          <w:rFonts w:ascii="楷体_GB2312" w:hAnsi="华文中宋" w:eastAsia="楷体_GB2312"/>
          <w:bCs/>
          <w:sz w:val="24"/>
          <w:highlight w:val="none"/>
        </w:rPr>
      </w:pPr>
      <w:r>
        <w:rPr>
          <w:rFonts w:hint="eastAsia" w:ascii="楷体_GB2312" w:hAnsi="楷体" w:eastAsia="楷体_GB2312"/>
          <w:b/>
          <w:bCs/>
          <w:sz w:val="24"/>
          <w:highlight w:val="none"/>
        </w:rPr>
        <w:t>（八）兑付延期风险：</w:t>
      </w:r>
      <w:r>
        <w:rPr>
          <w:rFonts w:hint="eastAsia" w:ascii="楷体_GB2312" w:hAnsi="楷体" w:eastAsia="楷体_GB2312"/>
          <w:sz w:val="24"/>
          <w:highlight w:val="none"/>
        </w:rPr>
        <w:t>因市场成交量不足、资产限制赎回、暂停交易、缺乏意愿交易对手等原因，</w:t>
      </w:r>
      <w:r>
        <w:rPr>
          <w:rFonts w:hint="eastAsia" w:ascii="楷体_GB2312" w:hAnsi="楷体" w:eastAsia="楷体_GB2312"/>
          <w:sz w:val="24"/>
          <w:highlight w:val="none"/>
          <w:lang w:val="en-US" w:eastAsia="zh-CN"/>
        </w:rPr>
        <w:t>产品管理人</w:t>
      </w:r>
      <w:r>
        <w:rPr>
          <w:rFonts w:hint="eastAsia" w:ascii="楷体_GB2312" w:hAnsi="楷体" w:eastAsia="楷体_GB2312"/>
          <w:sz w:val="24"/>
          <w:highlight w:val="none"/>
        </w:rPr>
        <w:t>未能及时完成资产变现而导致</w:t>
      </w:r>
      <w:r>
        <w:rPr>
          <w:rFonts w:hint="eastAsia" w:ascii="楷体_GB2312" w:hAnsi="楷体" w:eastAsia="楷体_GB2312"/>
          <w:sz w:val="24"/>
          <w:highlight w:val="none"/>
          <w:lang w:val="en-US" w:eastAsia="zh-CN"/>
        </w:rPr>
        <w:t>本</w:t>
      </w:r>
      <w:r>
        <w:rPr>
          <w:rFonts w:hint="eastAsia" w:ascii="楷体_GB2312" w:hAnsi="楷体" w:eastAsia="楷体_GB2312"/>
          <w:sz w:val="24"/>
          <w:highlight w:val="none"/>
        </w:rPr>
        <w:t>理财产品不能及时变现</w:t>
      </w:r>
      <w:r>
        <w:rPr>
          <w:rFonts w:hint="eastAsia" w:ascii="楷体_GB2312" w:hAnsi="楷体" w:eastAsia="楷体_GB2312"/>
          <w:sz w:val="24"/>
          <w:highlight w:val="none"/>
          <w:lang w:eastAsia="zh-CN"/>
        </w:rPr>
        <w:t>或产品管理人</w:t>
      </w:r>
      <w:r>
        <w:rPr>
          <w:rFonts w:hint="eastAsia" w:ascii="楷体_GB2312" w:hAnsi="楷体" w:eastAsia="楷体_GB2312"/>
          <w:sz w:val="24"/>
          <w:highlight w:val="none"/>
        </w:rPr>
        <w:t>不能按时支付清算分配金额，</w:t>
      </w:r>
      <w:r>
        <w:rPr>
          <w:rFonts w:hint="eastAsia" w:ascii="楷体_GB2312" w:hAnsi="楷体" w:eastAsia="楷体_GB2312"/>
          <w:sz w:val="24"/>
          <w:highlight w:val="none"/>
          <w:lang w:eastAsia="zh-CN"/>
        </w:rPr>
        <w:t>从而致使</w:t>
      </w:r>
      <w:r>
        <w:rPr>
          <w:rFonts w:hint="eastAsia" w:ascii="楷体_GB2312" w:hAnsi="楷体" w:eastAsia="楷体_GB2312"/>
          <w:sz w:val="24"/>
          <w:highlight w:val="none"/>
        </w:rPr>
        <w:t>投资者</w:t>
      </w:r>
      <w:r>
        <w:rPr>
          <w:rFonts w:hint="eastAsia" w:ascii="楷体_GB2312" w:hAnsi="楷体" w:eastAsia="楷体_GB2312"/>
          <w:sz w:val="24"/>
          <w:highlight w:val="none"/>
          <w:lang w:eastAsia="zh-CN"/>
        </w:rPr>
        <w:t>可能</w:t>
      </w:r>
      <w:r>
        <w:rPr>
          <w:rFonts w:hint="eastAsia" w:ascii="楷体_GB2312" w:hAnsi="楷体" w:eastAsia="楷体_GB2312"/>
          <w:sz w:val="24"/>
          <w:highlight w:val="none"/>
        </w:rPr>
        <w:t>面临产品期限延期</w:t>
      </w:r>
      <w:r>
        <w:rPr>
          <w:rFonts w:hint="eastAsia" w:ascii="楷体_GB2312" w:hAnsi="楷体" w:eastAsia="楷体_GB2312"/>
          <w:sz w:val="24"/>
          <w:highlight w:val="none"/>
          <w:lang w:eastAsia="zh-CN"/>
        </w:rPr>
        <w:t>、产品</w:t>
      </w:r>
      <w:r>
        <w:rPr>
          <w:rFonts w:hint="eastAsia" w:ascii="楷体_GB2312" w:hAnsi="楷体" w:eastAsia="楷体_GB2312"/>
          <w:sz w:val="24"/>
          <w:highlight w:val="none"/>
        </w:rPr>
        <w:t>延缓支付</w:t>
      </w:r>
      <w:r>
        <w:rPr>
          <w:rFonts w:ascii="楷体_GB2312" w:hAnsi="楷体" w:eastAsia="楷体_GB2312"/>
          <w:sz w:val="24"/>
          <w:highlight w:val="none"/>
        </w:rPr>
        <w:t>/</w:t>
      </w:r>
      <w:r>
        <w:rPr>
          <w:rFonts w:hint="eastAsia" w:ascii="楷体_GB2312" w:hAnsi="楷体" w:eastAsia="楷体_GB2312"/>
          <w:sz w:val="24"/>
          <w:highlight w:val="none"/>
        </w:rPr>
        <w:t>延迟兑付</w:t>
      </w:r>
      <w:r>
        <w:rPr>
          <w:rFonts w:hint="eastAsia" w:ascii="楷体_GB2312" w:hAnsi="楷体" w:eastAsia="楷体_GB2312"/>
          <w:sz w:val="24"/>
          <w:highlight w:val="none"/>
          <w:lang w:eastAsia="zh-CN"/>
        </w:rPr>
        <w:t>、产品兑付方案调整</w:t>
      </w:r>
      <w:r>
        <w:rPr>
          <w:rFonts w:hint="eastAsia" w:ascii="楷体_GB2312" w:hAnsi="楷体" w:eastAsia="楷体_GB2312"/>
          <w:sz w:val="24"/>
          <w:highlight w:val="none"/>
        </w:rPr>
        <w:t>等风险，</w:t>
      </w:r>
      <w:r>
        <w:rPr>
          <w:rFonts w:hint="eastAsia" w:ascii="楷体_GB2312" w:hAnsi="楷体" w:eastAsia="楷体_GB2312"/>
          <w:sz w:val="24"/>
          <w:highlight w:val="none"/>
          <w:lang w:eastAsia="zh-CN"/>
        </w:rPr>
        <w:t>投资者</w:t>
      </w:r>
      <w:r>
        <w:rPr>
          <w:rFonts w:hint="eastAsia" w:ascii="楷体_GB2312" w:hAnsi="楷体" w:eastAsia="楷体_GB2312"/>
          <w:sz w:val="24"/>
          <w:highlight w:val="none"/>
        </w:rPr>
        <w:t>由此可能</w:t>
      </w:r>
      <w:r>
        <w:rPr>
          <w:rFonts w:hint="eastAsia" w:ascii="楷体_GB2312" w:hAnsi="楷体" w:eastAsia="楷体_GB2312"/>
          <w:sz w:val="24"/>
          <w:highlight w:val="none"/>
          <w:lang w:eastAsia="zh-CN"/>
        </w:rPr>
        <w:t>面临</w:t>
      </w:r>
      <w:r>
        <w:rPr>
          <w:rFonts w:hint="eastAsia" w:ascii="楷体_GB2312" w:hAnsi="楷体" w:eastAsia="楷体_GB2312"/>
          <w:sz w:val="24"/>
          <w:highlight w:val="none"/>
        </w:rPr>
        <w:t>本金</w:t>
      </w:r>
      <w:r>
        <w:rPr>
          <w:rFonts w:hint="eastAsia" w:ascii="楷体_GB2312" w:hAnsi="楷体" w:eastAsia="楷体_GB2312"/>
          <w:sz w:val="24"/>
          <w:highlight w:val="none"/>
          <w:lang w:eastAsia="zh-CN"/>
        </w:rPr>
        <w:t>和</w:t>
      </w:r>
      <w:r>
        <w:rPr>
          <w:rFonts w:hint="eastAsia" w:ascii="楷体_GB2312" w:hAnsi="楷体" w:eastAsia="楷体_GB2312"/>
          <w:sz w:val="24"/>
          <w:highlight w:val="none"/>
        </w:rPr>
        <w:t>收益遭受</w:t>
      </w:r>
      <w:r>
        <w:rPr>
          <w:rFonts w:hint="eastAsia" w:ascii="楷体_GB2312" w:hAnsi="楷体" w:eastAsia="楷体_GB2312"/>
          <w:b w:val="0"/>
          <w:bCs w:val="0"/>
          <w:sz w:val="24"/>
          <w:highlight w:val="none"/>
        </w:rPr>
        <w:t>部分甚至全部损失的风险。</w:t>
      </w:r>
    </w:p>
    <w:p>
      <w:pPr>
        <w:ind w:firstLine="361" w:firstLineChars="150"/>
        <w:rPr>
          <w:rFonts w:ascii="楷体_GB2312" w:hAnsi="楷体" w:eastAsia="楷体_GB2312"/>
          <w:sz w:val="24"/>
          <w:highlight w:val="none"/>
        </w:rPr>
      </w:pPr>
      <w:r>
        <w:rPr>
          <w:rFonts w:hint="eastAsia" w:ascii="楷体_GB2312" w:hAnsi="楷体" w:eastAsia="楷体_GB2312"/>
          <w:b/>
          <w:bCs/>
          <w:sz w:val="24"/>
          <w:highlight w:val="none"/>
        </w:rPr>
        <w:t>（九）</w:t>
      </w:r>
      <w:r>
        <w:rPr>
          <w:rFonts w:ascii="楷体_GB2312" w:hAnsi="楷体" w:eastAsia="楷体_GB2312"/>
          <w:b/>
          <w:bCs/>
          <w:sz w:val="24"/>
          <w:highlight w:val="none"/>
        </w:rPr>
        <w:t>代销风险：</w:t>
      </w:r>
      <w:r>
        <w:rPr>
          <w:rFonts w:ascii="楷体_GB2312" w:hAnsi="楷体" w:eastAsia="楷体_GB2312"/>
          <w:sz w:val="24"/>
          <w:highlight w:val="none"/>
        </w:rPr>
        <w:t>本</w:t>
      </w:r>
      <w:r>
        <w:rPr>
          <w:rFonts w:hint="eastAsia" w:ascii="楷体_GB2312" w:hAnsi="楷体" w:eastAsia="楷体_GB2312"/>
          <w:sz w:val="24"/>
          <w:highlight w:val="none"/>
          <w:lang w:val="en-US" w:eastAsia="zh-CN"/>
        </w:rPr>
        <w:t>理财</w:t>
      </w:r>
      <w:r>
        <w:rPr>
          <w:rFonts w:ascii="楷体_GB2312" w:hAnsi="楷体" w:eastAsia="楷体_GB2312"/>
          <w:sz w:val="24"/>
          <w:highlight w:val="none"/>
        </w:rPr>
        <w:t>产品通过代销渠道销售，投资者购买</w:t>
      </w:r>
      <w:r>
        <w:rPr>
          <w:rFonts w:hint="eastAsia" w:ascii="楷体_GB2312" w:hAnsi="楷体" w:eastAsia="楷体_GB2312"/>
          <w:sz w:val="24"/>
          <w:highlight w:val="none"/>
          <w:lang w:eastAsia="zh-CN"/>
        </w:rPr>
        <w:t>本</w:t>
      </w:r>
      <w:r>
        <w:rPr>
          <w:rFonts w:ascii="楷体_GB2312" w:hAnsi="楷体" w:eastAsia="楷体_GB2312"/>
          <w:sz w:val="24"/>
          <w:highlight w:val="none"/>
        </w:rPr>
        <w:t>理财产品的资金由代销机构从投资者清算账户扣收并划付</w:t>
      </w:r>
      <w:r>
        <w:rPr>
          <w:rFonts w:hint="eastAsia" w:ascii="楷体_GB2312" w:hAnsi="楷体" w:eastAsia="楷体_GB2312"/>
          <w:sz w:val="24"/>
          <w:highlight w:val="none"/>
          <w:lang w:eastAsia="zh-CN"/>
        </w:rPr>
        <w:t>产品管理人</w:t>
      </w:r>
      <w:r>
        <w:rPr>
          <w:rFonts w:ascii="楷体_GB2312" w:hAnsi="楷体" w:eastAsia="楷体_GB2312"/>
          <w:sz w:val="24"/>
          <w:highlight w:val="none"/>
        </w:rPr>
        <w:t>，投资者赎回及</w:t>
      </w:r>
      <w:r>
        <w:rPr>
          <w:rFonts w:hint="eastAsia" w:ascii="楷体_GB2312" w:hAnsi="楷体" w:eastAsia="楷体_GB2312"/>
          <w:sz w:val="24"/>
          <w:highlight w:val="none"/>
          <w:lang w:val="en-US" w:eastAsia="zh-CN"/>
        </w:rPr>
        <w:t>本</w:t>
      </w:r>
      <w:r>
        <w:rPr>
          <w:rFonts w:ascii="楷体_GB2312" w:hAnsi="楷体" w:eastAsia="楷体_GB2312"/>
          <w:sz w:val="24"/>
          <w:highlight w:val="none"/>
        </w:rPr>
        <w:t>理财产品到期/终止时理财本金及收益相应款项由</w:t>
      </w:r>
      <w:r>
        <w:rPr>
          <w:rFonts w:hint="eastAsia" w:ascii="楷体_GB2312" w:hAnsi="楷体" w:eastAsia="楷体_GB2312"/>
          <w:sz w:val="24"/>
          <w:highlight w:val="none"/>
          <w:lang w:eastAsia="zh-CN"/>
        </w:rPr>
        <w:t>产品管理人</w:t>
      </w:r>
      <w:r>
        <w:rPr>
          <w:rFonts w:ascii="楷体_GB2312" w:hAnsi="楷体" w:eastAsia="楷体_GB2312"/>
          <w:sz w:val="24"/>
          <w:highlight w:val="none"/>
        </w:rPr>
        <w:t>按</w:t>
      </w:r>
      <w:r>
        <w:rPr>
          <w:rFonts w:hint="eastAsia" w:ascii="楷体_GB2312" w:hAnsi="楷体" w:eastAsia="楷体_GB2312"/>
          <w:sz w:val="24"/>
          <w:highlight w:val="none"/>
          <w:lang w:eastAsia="zh-CN"/>
        </w:rPr>
        <w:t>本</w:t>
      </w:r>
      <w:r>
        <w:rPr>
          <w:rFonts w:hint="eastAsia" w:ascii="楷体_GB2312" w:hAnsi="楷体" w:eastAsia="楷体_GB2312"/>
          <w:sz w:val="24"/>
          <w:highlight w:val="none"/>
        </w:rPr>
        <w:t>理财产品销售文件</w:t>
      </w:r>
      <w:r>
        <w:rPr>
          <w:rFonts w:ascii="楷体_GB2312" w:hAnsi="楷体" w:eastAsia="楷体_GB2312"/>
          <w:sz w:val="24"/>
          <w:highlight w:val="none"/>
        </w:rPr>
        <w:t>约定划付至代销机构清算账户，并由代销机构向投资者支付投资者应得理财本金及收益。</w:t>
      </w:r>
      <w:r>
        <w:rPr>
          <w:rFonts w:ascii="楷体_GB2312" w:hAnsi="楷体" w:eastAsia="楷体_GB2312"/>
          <w:b/>
          <w:bCs/>
          <w:sz w:val="24"/>
          <w:highlight w:val="none"/>
        </w:rPr>
        <w:t>如因代销机构未及时足额划付资金，或代销机构清算账户内资金被依法冻结或扣划、账户处于被挂失、冻结、注销或其他非正常状态等原因而导致交易失败，由代销机构与投资者依法协商解决，</w:t>
      </w:r>
      <w:r>
        <w:rPr>
          <w:rFonts w:hint="eastAsia" w:ascii="楷体_GB2312" w:hAnsi="楷体" w:eastAsia="楷体_GB2312"/>
          <w:b/>
          <w:bCs/>
          <w:sz w:val="24"/>
          <w:highlight w:val="none"/>
          <w:lang w:eastAsia="zh-CN"/>
        </w:rPr>
        <w:t>产品管理人</w:t>
      </w:r>
      <w:r>
        <w:rPr>
          <w:rFonts w:ascii="楷体_GB2312" w:hAnsi="楷体" w:eastAsia="楷体_GB2312"/>
          <w:b/>
          <w:bCs/>
          <w:sz w:val="24"/>
          <w:highlight w:val="none"/>
        </w:rPr>
        <w:t>对此不承担责任。</w:t>
      </w:r>
    </w:p>
    <w:p>
      <w:pPr>
        <w:ind w:firstLine="361" w:firstLineChars="150"/>
        <w:rPr>
          <w:rFonts w:ascii="楷体_GB2312" w:hAnsi="楷体" w:eastAsia="楷体_GB2312"/>
          <w:b/>
          <w:bCs/>
          <w:sz w:val="24"/>
          <w:highlight w:val="none"/>
        </w:rPr>
      </w:pPr>
      <w:r>
        <w:rPr>
          <w:rFonts w:hint="eastAsia" w:ascii="楷体_GB2312" w:hAnsi="楷体" w:eastAsia="楷体_GB2312"/>
          <w:b/>
          <w:bCs/>
          <w:sz w:val="24"/>
          <w:highlight w:val="none"/>
        </w:rPr>
        <w:t>（十）信息传递风险：</w:t>
      </w:r>
      <w:r>
        <w:rPr>
          <w:rFonts w:hint="eastAsia" w:ascii="楷体_GB2312" w:hAnsi="楷体" w:eastAsia="楷体_GB2312"/>
          <w:sz w:val="24"/>
          <w:highlight w:val="none"/>
        </w:rPr>
        <w:t>投资者需要通过</w:t>
      </w:r>
      <w:r>
        <w:rPr>
          <w:rFonts w:hint="eastAsia" w:ascii="楷体_GB2312" w:hAnsi="楷体" w:eastAsia="楷体_GB2312"/>
          <w:sz w:val="24"/>
          <w:highlight w:val="none"/>
          <w:lang w:eastAsia="zh-CN"/>
        </w:rPr>
        <w:t>本</w:t>
      </w:r>
      <w:r>
        <w:rPr>
          <w:rFonts w:hint="eastAsia" w:ascii="楷体_GB2312" w:hAnsi="楷体" w:eastAsia="楷体_GB2312"/>
          <w:sz w:val="24"/>
          <w:highlight w:val="none"/>
        </w:rPr>
        <w:t>理财产品销售文件所载明的公告方式及时查询本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rPr>
        <w:t>产品的相关信息公告。如</w:t>
      </w:r>
      <w:r>
        <w:rPr>
          <w:rFonts w:hint="eastAsia" w:ascii="楷体_GB2312" w:hAnsi="楷体" w:eastAsia="楷体_GB2312"/>
          <w:sz w:val="24"/>
          <w:highlight w:val="none"/>
          <w:lang w:val="en-US" w:eastAsia="zh-CN"/>
        </w:rPr>
        <w:t>因</w:t>
      </w:r>
      <w:r>
        <w:rPr>
          <w:rFonts w:hint="eastAsia" w:ascii="楷体_GB2312" w:hAnsi="楷体" w:eastAsia="楷体_GB2312"/>
          <w:sz w:val="24"/>
          <w:highlight w:val="none"/>
        </w:rPr>
        <w:t>投资者联系信息有误、投资者未及时查询，或由于通讯故障、系统故障以及其他不可抗力</w:t>
      </w:r>
      <w:r>
        <w:rPr>
          <w:rFonts w:hint="eastAsia" w:ascii="楷体_GB2312" w:hAnsi="楷体" w:eastAsia="楷体_GB2312"/>
          <w:sz w:val="24"/>
          <w:highlight w:val="none"/>
          <w:lang w:eastAsia="zh-CN"/>
        </w:rPr>
        <w:t>及</w:t>
      </w:r>
      <w:r>
        <w:rPr>
          <w:rFonts w:ascii="楷体_GB2312" w:hAnsi="楷体" w:eastAsia="楷体_GB2312"/>
          <w:sz w:val="24"/>
          <w:highlight w:val="none"/>
        </w:rPr>
        <w:t>/</w:t>
      </w:r>
      <w:r>
        <w:rPr>
          <w:rFonts w:hint="eastAsia" w:ascii="楷体_GB2312" w:hAnsi="楷体" w:eastAsia="楷体_GB2312"/>
          <w:sz w:val="24"/>
          <w:highlight w:val="none"/>
          <w:lang w:eastAsia="zh-CN"/>
        </w:rPr>
        <w:t>或意外事件</w:t>
      </w:r>
      <w:r>
        <w:rPr>
          <w:rFonts w:hint="eastAsia" w:ascii="楷体_GB2312" w:hAnsi="楷体" w:eastAsia="楷体_GB2312"/>
          <w:sz w:val="24"/>
          <w:highlight w:val="none"/>
        </w:rPr>
        <w:t>等因素的影响使得投资者无法及时了解本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rPr>
        <w:t>产品信息，</w:t>
      </w:r>
      <w:r>
        <w:rPr>
          <w:rFonts w:hint="eastAsia" w:ascii="楷体_GB2312" w:hAnsi="楷体" w:eastAsia="楷体_GB2312"/>
          <w:sz w:val="24"/>
          <w:highlight w:val="none"/>
          <w:lang w:eastAsia="zh-CN"/>
        </w:rPr>
        <w:t>进而影响投资者的投资决策，</w:t>
      </w:r>
      <w:r>
        <w:rPr>
          <w:rFonts w:hint="eastAsia" w:ascii="楷体_GB2312" w:hAnsi="楷体" w:eastAsia="楷体_GB2312"/>
          <w:b/>
          <w:bCs/>
          <w:sz w:val="24"/>
          <w:highlight w:val="none"/>
        </w:rPr>
        <w:t>因此而产生的责任和风险由投资者自行承担；</w:t>
      </w:r>
      <w:r>
        <w:rPr>
          <w:rFonts w:hint="eastAsia" w:ascii="楷体_GB2312" w:hAnsi="楷体" w:eastAsia="楷体_GB2312"/>
          <w:sz w:val="24"/>
          <w:highlight w:val="none"/>
        </w:rPr>
        <w:t>另外，投资者预留在</w:t>
      </w:r>
      <w:r>
        <w:rPr>
          <w:rFonts w:hint="eastAsia" w:ascii="楷体_GB2312" w:hAnsi="楷体" w:eastAsia="楷体_GB2312"/>
          <w:sz w:val="24"/>
          <w:highlight w:val="none"/>
          <w:lang w:eastAsia="zh-CN"/>
        </w:rPr>
        <w:t>产品管理人</w:t>
      </w:r>
      <w:r>
        <w:rPr>
          <w:rFonts w:hint="eastAsia" w:ascii="楷体_GB2312" w:hAnsi="楷体" w:eastAsia="楷体_GB2312"/>
          <w:sz w:val="24"/>
          <w:highlight w:val="none"/>
        </w:rPr>
        <w:t>的有效联系方式</w:t>
      </w:r>
      <w:r>
        <w:rPr>
          <w:rFonts w:hint="eastAsia" w:ascii="楷体_GB2312" w:hAnsi="楷体" w:eastAsia="楷体_GB2312"/>
          <w:sz w:val="24"/>
          <w:highlight w:val="none"/>
          <w:lang w:val="en-US" w:eastAsia="zh-CN"/>
        </w:rPr>
        <w:t>发生</w:t>
      </w:r>
      <w:r>
        <w:rPr>
          <w:rFonts w:hint="eastAsia" w:ascii="楷体_GB2312" w:hAnsi="楷体" w:eastAsia="楷体_GB2312"/>
          <w:sz w:val="24"/>
          <w:highlight w:val="none"/>
        </w:rPr>
        <w:t>变更的，应及时通知本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lang w:eastAsia="zh-CN"/>
        </w:rPr>
        <w:t>产品的产品管理人</w:t>
      </w:r>
      <w:r>
        <w:rPr>
          <w:rFonts w:hint="eastAsia" w:ascii="楷体_GB2312" w:hAnsi="楷体" w:eastAsia="楷体_GB2312"/>
          <w:sz w:val="24"/>
          <w:highlight w:val="none"/>
        </w:rPr>
        <w:t>；如投资者未能及时告知，可能会由此影响投资者的投资决策</w:t>
      </w:r>
      <w:r>
        <w:rPr>
          <w:rFonts w:hint="eastAsia" w:ascii="楷体_GB2312" w:hAnsi="楷体" w:eastAsia="楷体_GB2312"/>
          <w:b w:val="0"/>
          <w:bCs w:val="0"/>
          <w:sz w:val="24"/>
          <w:highlight w:val="none"/>
        </w:rPr>
        <w:t>，</w:t>
      </w:r>
      <w:r>
        <w:rPr>
          <w:rFonts w:hint="eastAsia" w:ascii="楷体_GB2312" w:hAnsi="楷体" w:eastAsia="楷体_GB2312"/>
          <w:b/>
          <w:bCs/>
          <w:sz w:val="24"/>
          <w:highlight w:val="none"/>
        </w:rPr>
        <w:t>因此产生的责任和风险由投资者自行承担。</w:t>
      </w:r>
    </w:p>
    <w:p>
      <w:pPr>
        <w:ind w:firstLine="361" w:firstLineChars="150"/>
        <w:rPr>
          <w:rFonts w:ascii="楷体_GB2312" w:hAnsi="楷体" w:eastAsia="楷体_GB2312"/>
          <w:b/>
          <w:bCs/>
          <w:sz w:val="24"/>
          <w:highlight w:val="none"/>
        </w:rPr>
      </w:pPr>
      <w:r>
        <w:rPr>
          <w:rFonts w:hint="eastAsia" w:ascii="楷体_GB2312" w:hAnsi="楷体" w:eastAsia="楷体_GB2312"/>
          <w:b/>
          <w:bCs/>
          <w:sz w:val="24"/>
          <w:highlight w:val="none"/>
        </w:rPr>
        <w:t>（十一）不可抗力及</w:t>
      </w:r>
      <w:r>
        <w:rPr>
          <w:rFonts w:ascii="楷体_GB2312" w:hAnsi="楷体" w:eastAsia="楷体_GB2312"/>
          <w:b/>
          <w:bCs/>
          <w:sz w:val="24"/>
          <w:highlight w:val="none"/>
        </w:rPr>
        <w:t>/</w:t>
      </w:r>
      <w:r>
        <w:rPr>
          <w:rFonts w:hint="eastAsia" w:ascii="楷体_GB2312" w:hAnsi="楷体" w:eastAsia="楷体_GB2312"/>
          <w:b/>
          <w:bCs/>
          <w:sz w:val="24"/>
          <w:highlight w:val="none"/>
          <w:lang w:eastAsia="zh-CN"/>
        </w:rPr>
        <w:t>或</w:t>
      </w:r>
      <w:r>
        <w:rPr>
          <w:rFonts w:hint="eastAsia" w:ascii="楷体_GB2312" w:hAnsi="楷体" w:eastAsia="楷体_GB2312"/>
          <w:b/>
          <w:bCs/>
          <w:sz w:val="24"/>
          <w:highlight w:val="none"/>
        </w:rPr>
        <w:t>意外事件风险：</w:t>
      </w:r>
      <w:r>
        <w:rPr>
          <w:rFonts w:hint="eastAsia" w:ascii="楷体_GB2312" w:hAnsi="楷体" w:eastAsia="楷体_GB2312"/>
          <w:sz w:val="24"/>
          <w:highlight w:val="none"/>
        </w:rPr>
        <w:t>由于不可抗力及</w:t>
      </w:r>
      <w:r>
        <w:rPr>
          <w:rFonts w:ascii="楷体_GB2312" w:hAnsi="楷体" w:eastAsia="楷体_GB2312"/>
          <w:sz w:val="24"/>
          <w:highlight w:val="none"/>
        </w:rPr>
        <w:t>/</w:t>
      </w:r>
      <w:r>
        <w:rPr>
          <w:rFonts w:hint="eastAsia" w:ascii="楷体_GB2312" w:hAnsi="楷体" w:eastAsia="楷体_GB2312"/>
          <w:sz w:val="24"/>
          <w:highlight w:val="none"/>
        </w:rPr>
        <w:t>或国家政策变化、</w:t>
      </w:r>
      <w:r>
        <w:rPr>
          <w:rFonts w:ascii="楷体_GB2312" w:hAnsi="楷体" w:eastAsia="楷体_GB2312"/>
          <w:sz w:val="24"/>
          <w:highlight w:val="none"/>
        </w:rPr>
        <w:t>IT</w:t>
      </w:r>
      <w:r>
        <w:rPr>
          <w:rFonts w:hint="eastAsia" w:ascii="楷体_GB2312" w:hAnsi="楷体" w:eastAsia="楷体_GB2312"/>
          <w:sz w:val="24"/>
          <w:highlight w:val="none"/>
        </w:rPr>
        <w:t>系统故障、通讯系统故障、电力系统故障、金融危机、投资市场停止交易等非</w:t>
      </w:r>
      <w:r>
        <w:rPr>
          <w:rFonts w:hint="eastAsia" w:ascii="楷体_GB2312" w:hAnsi="楷体" w:eastAsia="楷体_GB2312"/>
          <w:sz w:val="24"/>
          <w:highlight w:val="none"/>
          <w:lang w:eastAsia="zh-CN"/>
        </w:rPr>
        <w:t>产品管理人</w:t>
      </w:r>
      <w:r>
        <w:rPr>
          <w:rFonts w:hint="eastAsia" w:ascii="楷体_GB2312" w:hAnsi="楷体" w:eastAsia="楷体_GB2312"/>
          <w:sz w:val="24"/>
          <w:highlight w:val="none"/>
        </w:rPr>
        <w:t>所能控制的原因，可能对</w:t>
      </w:r>
      <w:r>
        <w:rPr>
          <w:rFonts w:hint="eastAsia" w:ascii="楷体_GB2312" w:hAnsi="楷体" w:eastAsia="楷体_GB2312"/>
          <w:sz w:val="24"/>
          <w:highlight w:val="none"/>
          <w:lang w:val="en-US" w:eastAsia="zh-CN"/>
        </w:rPr>
        <w:t>本</w:t>
      </w:r>
      <w:r>
        <w:rPr>
          <w:rFonts w:hint="eastAsia" w:ascii="楷体_GB2312" w:hAnsi="楷体" w:eastAsia="楷体_GB2312"/>
          <w:sz w:val="24"/>
          <w:highlight w:val="none"/>
        </w:rPr>
        <w:t>理财产品的产品成立、投资运作、资金划付、信息披露、公告通知</w:t>
      </w:r>
      <w:r>
        <w:rPr>
          <w:rFonts w:hint="eastAsia" w:ascii="楷体_GB2312" w:hAnsi="楷体" w:eastAsia="楷体_GB2312"/>
          <w:sz w:val="24"/>
          <w:highlight w:val="none"/>
          <w:lang w:eastAsia="zh-CN"/>
        </w:rPr>
        <w:t>等</w:t>
      </w:r>
      <w:r>
        <w:rPr>
          <w:rFonts w:hint="eastAsia" w:ascii="楷体_GB2312" w:hAnsi="楷体" w:eastAsia="楷体_GB2312"/>
          <w:sz w:val="24"/>
          <w:highlight w:val="none"/>
        </w:rPr>
        <w:t>造成影响，可能导致</w:t>
      </w:r>
      <w:r>
        <w:rPr>
          <w:rFonts w:hint="eastAsia" w:ascii="楷体_GB2312" w:hAnsi="楷体" w:eastAsia="楷体_GB2312"/>
          <w:sz w:val="24"/>
          <w:highlight w:val="none"/>
          <w:lang w:val="en-US" w:eastAsia="zh-CN"/>
        </w:rPr>
        <w:t>本理财</w:t>
      </w:r>
      <w:r>
        <w:rPr>
          <w:rFonts w:hint="eastAsia" w:ascii="楷体_GB2312" w:hAnsi="楷体" w:eastAsia="楷体_GB2312"/>
          <w:sz w:val="24"/>
          <w:highlight w:val="none"/>
        </w:rPr>
        <w:t>产品收益降低乃至</w:t>
      </w:r>
      <w:r>
        <w:rPr>
          <w:rFonts w:hint="eastAsia" w:ascii="楷体_GB2312" w:hAnsi="楷体" w:eastAsia="楷体_GB2312"/>
          <w:sz w:val="24"/>
          <w:highlight w:val="none"/>
          <w:lang w:eastAsia="zh-CN"/>
        </w:rPr>
        <w:t>本</w:t>
      </w:r>
      <w:r>
        <w:rPr>
          <w:rFonts w:hint="eastAsia" w:ascii="楷体_GB2312" w:hAnsi="楷体" w:eastAsia="楷体_GB2312"/>
          <w:sz w:val="24"/>
          <w:highlight w:val="none"/>
        </w:rPr>
        <w:t>理财产品本金遭受损失。</w:t>
      </w:r>
      <w:r>
        <w:rPr>
          <w:rFonts w:hint="eastAsia" w:ascii="楷体_GB2312" w:hAnsi="楷体" w:eastAsia="楷体_GB2312"/>
          <w:b/>
          <w:bCs/>
          <w:sz w:val="24"/>
          <w:highlight w:val="none"/>
        </w:rPr>
        <w:t>对于由不可抗力及</w:t>
      </w:r>
      <w:r>
        <w:rPr>
          <w:rFonts w:ascii="楷体_GB2312" w:hAnsi="楷体" w:eastAsia="楷体_GB2312"/>
          <w:b/>
          <w:bCs/>
          <w:sz w:val="24"/>
          <w:highlight w:val="none"/>
        </w:rPr>
        <w:t>/</w:t>
      </w:r>
      <w:r>
        <w:rPr>
          <w:rFonts w:hint="eastAsia" w:ascii="楷体_GB2312" w:hAnsi="楷体" w:eastAsia="楷体_GB2312"/>
          <w:b/>
          <w:bCs/>
          <w:sz w:val="24"/>
          <w:highlight w:val="none"/>
          <w:lang w:eastAsia="zh-CN"/>
        </w:rPr>
        <w:t>或</w:t>
      </w:r>
      <w:r>
        <w:rPr>
          <w:rFonts w:hint="eastAsia" w:ascii="楷体_GB2312" w:hAnsi="楷体" w:eastAsia="楷体_GB2312"/>
          <w:b/>
          <w:bCs/>
          <w:sz w:val="24"/>
          <w:highlight w:val="none"/>
        </w:rPr>
        <w:t>意外事件</w:t>
      </w:r>
      <w:r>
        <w:rPr>
          <w:rFonts w:hint="eastAsia" w:ascii="楷体_GB2312" w:hAnsi="楷体" w:eastAsia="楷体_GB2312"/>
          <w:b/>
          <w:bCs/>
          <w:sz w:val="24"/>
          <w:highlight w:val="none"/>
          <w:lang w:eastAsia="zh-CN"/>
        </w:rPr>
        <w:t>风险</w:t>
      </w:r>
      <w:r>
        <w:rPr>
          <w:rFonts w:hint="eastAsia" w:ascii="楷体_GB2312" w:hAnsi="楷体" w:eastAsia="楷体_GB2312"/>
          <w:b/>
          <w:bCs/>
          <w:sz w:val="24"/>
          <w:highlight w:val="none"/>
        </w:rPr>
        <w:t>导致的</w:t>
      </w:r>
      <w:r>
        <w:rPr>
          <w:rFonts w:hint="eastAsia" w:ascii="楷体_GB2312" w:hAnsi="楷体" w:eastAsia="楷体_GB2312"/>
          <w:b/>
          <w:bCs/>
          <w:sz w:val="24"/>
          <w:highlight w:val="none"/>
          <w:lang w:eastAsia="zh-CN"/>
        </w:rPr>
        <w:t>任何</w:t>
      </w:r>
      <w:r>
        <w:rPr>
          <w:rFonts w:hint="eastAsia" w:ascii="楷体_GB2312" w:hAnsi="楷体" w:eastAsia="楷体_GB2312"/>
          <w:b/>
          <w:bCs/>
          <w:sz w:val="24"/>
          <w:highlight w:val="none"/>
        </w:rPr>
        <w:t>损失</w:t>
      </w:r>
      <w:r>
        <w:rPr>
          <w:rFonts w:hint="eastAsia" w:ascii="楷体_GB2312" w:hAnsi="楷体" w:eastAsia="楷体_GB2312"/>
          <w:b/>
          <w:bCs/>
          <w:sz w:val="24"/>
          <w:highlight w:val="none"/>
          <w:lang w:eastAsia="zh-CN"/>
        </w:rPr>
        <w:t>和延迟兑付</w:t>
      </w:r>
      <w:r>
        <w:rPr>
          <w:rFonts w:hint="eastAsia" w:ascii="楷体_GB2312" w:hAnsi="楷体" w:eastAsia="楷体_GB2312"/>
          <w:b/>
          <w:bCs/>
          <w:sz w:val="24"/>
          <w:highlight w:val="none"/>
        </w:rPr>
        <w:t>，投资者须自行承担，</w:t>
      </w:r>
      <w:r>
        <w:rPr>
          <w:rFonts w:hint="eastAsia" w:ascii="楷体_GB2312" w:hAnsi="楷体" w:eastAsia="楷体_GB2312"/>
          <w:b/>
          <w:bCs/>
          <w:sz w:val="24"/>
          <w:highlight w:val="none"/>
          <w:lang w:eastAsia="zh-CN"/>
        </w:rPr>
        <w:t>产品管理人</w:t>
      </w:r>
      <w:r>
        <w:rPr>
          <w:rFonts w:hint="eastAsia" w:ascii="楷体_GB2312" w:hAnsi="楷体" w:eastAsia="楷体_GB2312"/>
          <w:b/>
          <w:bCs/>
          <w:sz w:val="24"/>
          <w:highlight w:val="none"/>
        </w:rPr>
        <w:t>对此不承担责任。</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rPr>
        <w:t>因不可抗力及</w:t>
      </w:r>
      <w:r>
        <w:rPr>
          <w:rFonts w:ascii="楷体_GB2312" w:hAnsi="楷体" w:eastAsia="楷体_GB2312"/>
          <w:sz w:val="24"/>
          <w:highlight w:val="none"/>
        </w:rPr>
        <w:t>/</w:t>
      </w:r>
      <w:r>
        <w:rPr>
          <w:rFonts w:hint="eastAsia" w:ascii="楷体_GB2312" w:hAnsi="楷体" w:eastAsia="楷体_GB2312"/>
          <w:sz w:val="24"/>
          <w:highlight w:val="none"/>
        </w:rPr>
        <w:t>或意外事件导致</w:t>
      </w:r>
      <w:r>
        <w:rPr>
          <w:rFonts w:hint="eastAsia" w:ascii="楷体_GB2312" w:hAnsi="楷体" w:eastAsia="楷体_GB2312"/>
          <w:sz w:val="24"/>
          <w:highlight w:val="none"/>
          <w:lang w:eastAsia="zh-CN"/>
        </w:rPr>
        <w:t>产品管理人</w:t>
      </w:r>
      <w:r>
        <w:rPr>
          <w:rFonts w:hint="eastAsia" w:ascii="楷体_GB2312" w:hAnsi="楷体" w:eastAsia="楷体_GB2312"/>
          <w:sz w:val="24"/>
          <w:highlight w:val="none"/>
        </w:rPr>
        <w:t>无法继续履行</w:t>
      </w:r>
      <w:r>
        <w:rPr>
          <w:rFonts w:hint="eastAsia" w:ascii="楷体_GB2312" w:hAnsi="楷体" w:eastAsia="楷体_GB2312"/>
          <w:sz w:val="24"/>
          <w:highlight w:val="none"/>
          <w:lang w:val="en-US" w:eastAsia="zh-CN"/>
        </w:rPr>
        <w:t>本</w:t>
      </w:r>
      <w:r>
        <w:rPr>
          <w:rFonts w:hint="eastAsia" w:ascii="楷体_GB2312" w:hAnsi="楷体" w:eastAsia="楷体_GB2312"/>
          <w:sz w:val="24"/>
          <w:highlight w:val="none"/>
        </w:rPr>
        <w:t>理财产品销售文件的，</w:t>
      </w:r>
      <w:r>
        <w:rPr>
          <w:rFonts w:hint="eastAsia" w:ascii="楷体_GB2312" w:hAnsi="楷体" w:eastAsia="楷体_GB2312"/>
          <w:sz w:val="24"/>
          <w:highlight w:val="none"/>
          <w:lang w:eastAsia="zh-CN"/>
        </w:rPr>
        <w:t>产品管理人</w:t>
      </w:r>
      <w:r>
        <w:rPr>
          <w:rFonts w:hint="eastAsia" w:ascii="楷体_GB2312" w:hAnsi="楷体" w:eastAsia="楷体_GB2312"/>
          <w:sz w:val="24"/>
          <w:highlight w:val="none"/>
        </w:rPr>
        <w:t>有权提前解除</w:t>
      </w:r>
      <w:r>
        <w:rPr>
          <w:rFonts w:hint="eastAsia" w:ascii="楷体_GB2312" w:hAnsi="楷体" w:eastAsia="楷体_GB2312"/>
          <w:sz w:val="24"/>
          <w:highlight w:val="none"/>
          <w:lang w:val="en-US" w:eastAsia="zh-CN"/>
        </w:rPr>
        <w:t>本</w:t>
      </w:r>
      <w:r>
        <w:rPr>
          <w:rFonts w:hint="eastAsia" w:ascii="楷体_GB2312" w:hAnsi="楷体" w:eastAsia="楷体_GB2312"/>
          <w:sz w:val="24"/>
          <w:highlight w:val="none"/>
        </w:rPr>
        <w:t>理财产品销售文件，并将发生不可抗力及</w:t>
      </w:r>
      <w:r>
        <w:rPr>
          <w:rFonts w:ascii="楷体_GB2312" w:hAnsi="楷体" w:eastAsia="楷体_GB2312"/>
          <w:sz w:val="24"/>
          <w:highlight w:val="none"/>
        </w:rPr>
        <w:t>/</w:t>
      </w:r>
      <w:r>
        <w:rPr>
          <w:rFonts w:hint="eastAsia" w:ascii="楷体_GB2312" w:hAnsi="楷体" w:eastAsia="楷体_GB2312"/>
          <w:sz w:val="24"/>
          <w:highlight w:val="none"/>
        </w:rPr>
        <w:t>或意外事件后剩余的投资者应得理财本金及收益划付至代销机构清算账户，由代销机构划付至投资者清算账户。</w:t>
      </w:r>
    </w:p>
    <w:p>
      <w:pPr>
        <w:rPr>
          <w:rFonts w:ascii="楷体_GB2312" w:hAnsi="楷体" w:eastAsia="楷体_GB2312"/>
          <w:sz w:val="24"/>
          <w:highlight w:val="none"/>
        </w:rPr>
      </w:pPr>
      <w:r>
        <w:rPr>
          <w:rFonts w:hint="eastAsia" w:ascii="楷体_GB2312" w:hAnsi="楷体" w:eastAsia="楷体_GB2312"/>
          <w:sz w:val="24"/>
          <w:highlight w:val="none"/>
        </w:rPr>
        <w:t xml:space="preserve">    </w:t>
      </w:r>
      <w:r>
        <w:rPr>
          <w:rFonts w:hint="eastAsia" w:ascii="楷体_GB2312" w:hAnsi="楷体" w:eastAsia="楷体_GB2312"/>
          <w:b/>
          <w:bCs/>
          <w:sz w:val="24"/>
          <w:highlight w:val="none"/>
        </w:rPr>
        <w:t>★</w:t>
      </w:r>
      <w:r>
        <w:rPr>
          <w:rFonts w:hint="eastAsia" w:ascii="楷体_GB2312" w:hAnsi="楷体" w:eastAsia="楷体_GB2312" w:cs="Times New Roman"/>
          <w:b/>
          <w:bCs/>
          <w:sz w:val="24"/>
          <w:highlight w:val="none"/>
        </w:rPr>
        <w:t>（十二）产</w:t>
      </w:r>
      <w:r>
        <w:rPr>
          <w:rFonts w:hint="eastAsia" w:ascii="楷体_GB2312" w:hAnsi="楷体" w:eastAsia="楷体_GB2312"/>
          <w:b/>
          <w:bCs/>
          <w:sz w:val="24"/>
          <w:highlight w:val="none"/>
        </w:rPr>
        <w:t>品不成立的风险：</w:t>
      </w:r>
      <w:r>
        <w:rPr>
          <w:rFonts w:hint="eastAsia" w:ascii="楷体_GB2312" w:hAnsi="楷体" w:eastAsia="楷体_GB2312"/>
          <w:sz w:val="24"/>
          <w:highlight w:val="none"/>
        </w:rPr>
        <w:t>发生下述任一情形，</w:t>
      </w:r>
      <w:r>
        <w:rPr>
          <w:rFonts w:hint="eastAsia" w:ascii="楷体_GB2312" w:hAnsi="楷体" w:eastAsia="楷体_GB2312"/>
          <w:sz w:val="24"/>
          <w:highlight w:val="none"/>
          <w:lang w:eastAsia="zh-CN"/>
        </w:rPr>
        <w:t>本理财产品的产品管理人</w:t>
      </w:r>
      <w:r>
        <w:rPr>
          <w:rFonts w:hint="eastAsia" w:ascii="楷体_GB2312" w:hAnsi="楷体" w:eastAsia="楷体_GB2312"/>
          <w:sz w:val="24"/>
          <w:highlight w:val="none"/>
        </w:rPr>
        <w:t>有权宣布本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rPr>
        <w:t>产品不成立，投资者将承担本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rPr>
        <w:t>产品不成立的风险：1.本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rPr>
        <w:t>产品募集期结束时募集资金总额未达到必要的规模上限或/及下限；2.国家相关法律、法规、监管规定、政策或要求出现重大变更，或者金融市场情况出现重大变化导致本理财产品不能成立的。投资者可能面临本理财产品不成立</w:t>
      </w:r>
      <w:r>
        <w:rPr>
          <w:rFonts w:hint="eastAsia" w:ascii="楷体_GB2312" w:hAnsi="楷体" w:eastAsia="楷体_GB2312"/>
          <w:sz w:val="24"/>
          <w:highlight w:val="none"/>
          <w:lang w:eastAsia="zh-CN"/>
        </w:rPr>
        <w:t>从而</w:t>
      </w:r>
      <w:r>
        <w:rPr>
          <w:rFonts w:hint="eastAsia" w:ascii="楷体_GB2312" w:hAnsi="楷体" w:eastAsia="楷体_GB2312"/>
          <w:sz w:val="24"/>
          <w:highlight w:val="none"/>
        </w:rPr>
        <w:t>再投资的风险。</w:t>
      </w:r>
    </w:p>
    <w:p>
      <w:pPr>
        <w:ind w:firstLine="482" w:firstLineChars="200"/>
        <w:rPr>
          <w:rFonts w:hint="eastAsia" w:ascii="楷体_GB2312" w:hAnsi="楷体" w:eastAsia="楷体_GB2312"/>
          <w:sz w:val="24"/>
          <w:highlight w:val="none"/>
        </w:rPr>
      </w:pPr>
      <w:r>
        <w:rPr>
          <w:rFonts w:hint="eastAsia" w:ascii="楷体_GB2312" w:hAnsi="楷体" w:eastAsia="楷体_GB2312"/>
          <w:b/>
          <w:sz w:val="24"/>
          <w:highlight w:val="none"/>
        </w:rPr>
        <w:t>（十三）税务风险：</w:t>
      </w:r>
      <w:r>
        <w:rPr>
          <w:rFonts w:hint="eastAsia" w:ascii="楷体_GB2312" w:hAnsi="楷体" w:eastAsia="楷体_GB2312"/>
          <w:sz w:val="24"/>
          <w:highlight w:val="none"/>
        </w:rPr>
        <w:t>根据国家相关法律法规，</w:t>
      </w:r>
      <w:r>
        <w:rPr>
          <w:rFonts w:hint="eastAsia" w:ascii="楷体_GB2312" w:hAnsi="楷体" w:eastAsia="楷体_GB2312"/>
          <w:sz w:val="24"/>
          <w:highlight w:val="none"/>
          <w:lang w:val="en-US" w:eastAsia="zh-CN"/>
        </w:rPr>
        <w:t>本</w:t>
      </w:r>
      <w:r>
        <w:rPr>
          <w:rFonts w:hint="eastAsia" w:ascii="楷体_GB2312" w:hAnsi="楷体" w:eastAsia="楷体_GB2312"/>
          <w:sz w:val="24"/>
          <w:highlight w:val="none"/>
        </w:rPr>
        <w:t>理财产品运营过程中发生的应由</w:t>
      </w:r>
      <w:r>
        <w:rPr>
          <w:rFonts w:hint="eastAsia" w:ascii="楷体_GB2312" w:hAnsi="楷体" w:eastAsia="楷体_GB2312"/>
          <w:sz w:val="24"/>
          <w:highlight w:val="none"/>
          <w:lang w:eastAsia="zh-CN"/>
        </w:rPr>
        <w:t>本</w:t>
      </w:r>
      <w:r>
        <w:rPr>
          <w:rFonts w:hint="eastAsia" w:ascii="楷体_GB2312" w:hAnsi="楷体" w:eastAsia="楷体_GB2312"/>
          <w:sz w:val="24"/>
          <w:highlight w:val="none"/>
        </w:rPr>
        <w:t>理财产品承担的增值税应税行为，由</w:t>
      </w:r>
      <w:r>
        <w:rPr>
          <w:rFonts w:hint="eastAsia" w:ascii="楷体_GB2312" w:hAnsi="楷体" w:eastAsia="楷体_GB2312"/>
          <w:sz w:val="24"/>
          <w:highlight w:val="none"/>
          <w:lang w:eastAsia="zh-CN"/>
        </w:rPr>
        <w:t>产品管理人</w:t>
      </w:r>
      <w:r>
        <w:rPr>
          <w:rFonts w:hint="eastAsia" w:ascii="楷体_GB2312" w:hAnsi="楷体" w:eastAsia="楷体_GB2312"/>
          <w:sz w:val="24"/>
          <w:highlight w:val="none"/>
        </w:rPr>
        <w:t>申报和缴纳增值税及附加税费。该等税款将直接从</w:t>
      </w:r>
      <w:r>
        <w:rPr>
          <w:rFonts w:hint="eastAsia" w:ascii="楷体_GB2312" w:hAnsi="楷体" w:eastAsia="楷体_GB2312"/>
          <w:sz w:val="24"/>
          <w:highlight w:val="none"/>
          <w:lang w:val="en-US" w:eastAsia="zh-CN"/>
        </w:rPr>
        <w:t>本</w:t>
      </w:r>
      <w:r>
        <w:rPr>
          <w:rFonts w:hint="eastAsia" w:ascii="楷体_GB2312" w:hAnsi="楷体" w:eastAsia="楷体_GB2312"/>
          <w:sz w:val="24"/>
          <w:highlight w:val="none"/>
        </w:rPr>
        <w:t>理财产品中扣付缴纳，本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rPr>
        <w:t>产品将因为前述增值税等税负承担导致税费支出增加、理财产品净值或实际收益降低，从而降低投资者的收益水平。</w:t>
      </w:r>
    </w:p>
    <w:p>
      <w:pPr>
        <w:pStyle w:val="2"/>
        <w:ind w:left="0" w:leftChars="0" w:firstLine="482" w:firstLineChars="200"/>
        <w:rPr>
          <w:rFonts w:hint="eastAsia" w:eastAsia="楷体_GB2312"/>
          <w:lang w:eastAsia="zh-CN"/>
        </w:rPr>
      </w:pPr>
      <w:r>
        <w:rPr>
          <w:rFonts w:hint="eastAsia" w:ascii="楷体_GB2312" w:hAnsi="楷体" w:eastAsia="楷体_GB2312"/>
          <w:b/>
          <w:bCs/>
          <w:sz w:val="24"/>
          <w:highlight w:val="none"/>
          <w:lang w:eastAsia="zh-CN"/>
        </w:rPr>
        <w:t>（十四）未知价风险：</w:t>
      </w:r>
      <w:r>
        <w:rPr>
          <w:rFonts w:hint="eastAsia" w:ascii="楷体_GB2312" w:hAnsi="楷体" w:eastAsia="楷体_GB2312"/>
          <w:sz w:val="24"/>
          <w:highlight w:val="none"/>
          <w:lang w:eastAsia="zh-CN"/>
        </w:rPr>
        <w:t>净值型理财产品采用“金额申购、份额赎回”原则，即产品申购以金额申请，赎回以份额申请，申购与赎回以“未知价原则”受理申请。“未知价原则”，即本理财产品申购申请和赎回申请提交时，适用的产品单位净值都是未知的。</w:t>
      </w:r>
    </w:p>
    <w:p>
      <w:pPr>
        <w:ind w:firstLine="482" w:firstLineChars="200"/>
        <w:rPr>
          <w:rFonts w:hint="eastAsia" w:ascii="楷体_GB2312" w:hAnsi="楷体" w:eastAsia="楷体_GB2312"/>
          <w:sz w:val="24"/>
          <w:highlight w:val="none"/>
        </w:rPr>
      </w:pPr>
      <w:r>
        <w:rPr>
          <w:rFonts w:hint="eastAsia" w:ascii="楷体_GB2312" w:hAnsi="楷体" w:eastAsia="楷体_GB2312"/>
          <w:b/>
          <w:bCs/>
          <w:sz w:val="24"/>
          <w:highlight w:val="none"/>
        </w:rPr>
        <w:t>★（十五）不同理财产品份额类别存在差异的风险：</w:t>
      </w:r>
      <w:r>
        <w:rPr>
          <w:rFonts w:hint="eastAsia" w:ascii="楷体_GB2312" w:hAnsi="楷体" w:eastAsia="楷体_GB2312"/>
          <w:sz w:val="24"/>
          <w:highlight w:val="none"/>
        </w:rPr>
        <w:t>产品管理人有权根据投资者购买理财产品的金额、渠道客群、代销机构等因素，对本理财产品份额设置不同的理财产品份额类别。不同类别的理财产品份额可能在产品销售名称、产品销售代码、代销机构、渠道客群、销售手续费率、认购/申购投资起点金额及递增金额、单笔最大购买金额、累计购买金额、最少赎回份额、最低持有份额及信息披露渠道等方面存在差异。</w:t>
      </w:r>
    </w:p>
    <w:p>
      <w:pPr>
        <w:ind w:firstLine="482" w:firstLineChars="200"/>
        <w:rPr>
          <w:rFonts w:hint="eastAsia" w:ascii="楷体_GB2312" w:hAnsi="楷体" w:eastAsia="楷体_GB2312"/>
          <w:sz w:val="24"/>
          <w:highlight w:val="none"/>
        </w:rPr>
      </w:pPr>
      <w:r>
        <w:rPr>
          <w:rFonts w:hint="eastAsia" w:ascii="楷体_GB2312" w:hAnsi="楷体" w:eastAsia="楷体_GB2312"/>
          <w:b/>
          <w:bCs/>
          <w:sz w:val="24"/>
          <w:highlight w:val="none"/>
        </w:rPr>
        <w:t>（十六）修改理财产品销售文件的风险：</w:t>
      </w:r>
      <w:r>
        <w:rPr>
          <w:rFonts w:hint="eastAsia" w:ascii="楷体_GB2312" w:hAnsi="楷体" w:eastAsia="楷体_GB2312"/>
          <w:sz w:val="24"/>
          <w:highlight w:val="none"/>
        </w:rPr>
        <w:t>本理财产品存续期间内，若出于维持本理财产品正常运营的需要且在不损害投资者利益的前提下，或因国家法律法规、监管政策规定发生变化，产品管理人有权在法律规定的范围内对本理财产品销售文件进行修订。产品管理人决定对本理财产品销售文件进行修订的，将按照本理财产品销售文件信息披露部分的约定向投资者进行信息披露。如有对于投资者利益产生实质影响的事项（如投资范围、投资品种、投资比例进行调整，增加费用项目、提高收费标准等），投资者不同意补充或者修改后的理财产品销售文件，可在合理时间内赎回本理财产品，在合理时间内未赎回的视为同意相关调整。</w:t>
      </w:r>
    </w:p>
    <w:p>
      <w:pPr>
        <w:ind w:firstLine="482" w:firstLineChars="200"/>
        <w:rPr>
          <w:rFonts w:hint="eastAsia" w:ascii="楷体_GB2312" w:hAnsi="楷体" w:eastAsia="楷体_GB2312"/>
          <w:sz w:val="24"/>
          <w:highlight w:val="none"/>
        </w:rPr>
      </w:pPr>
      <w:r>
        <w:rPr>
          <w:rFonts w:hint="eastAsia" w:ascii="楷体_GB2312" w:hAnsi="楷体" w:eastAsia="楷体_GB2312"/>
          <w:b/>
          <w:bCs/>
          <w:sz w:val="24"/>
          <w:highlight w:val="none"/>
        </w:rPr>
        <w:t>（十七）拟投资市场和资产的风险：</w:t>
      </w:r>
      <w:r>
        <w:rPr>
          <w:rFonts w:hint="eastAsia" w:ascii="楷体_GB2312" w:hAnsi="楷体" w:eastAsia="楷体_GB2312"/>
          <w:sz w:val="24"/>
          <w:highlight w:val="none"/>
        </w:rPr>
        <w:t>本理财产品拟投资于</w:t>
      </w:r>
      <w:r>
        <w:rPr>
          <w:rFonts w:hint="eastAsia" w:ascii="楷体_GB2312" w:hAnsi="楷体" w:eastAsia="楷体_GB2312"/>
          <w:sz w:val="24"/>
          <w:highlight w:val="none"/>
          <w:lang w:val="en-US" w:eastAsia="zh-CN"/>
        </w:rPr>
        <w:t>境内外市场发行的</w:t>
      </w:r>
      <w:r>
        <w:rPr>
          <w:rFonts w:hint="eastAsia" w:ascii="楷体_GB2312" w:hAnsi="楷体" w:eastAsia="楷体_GB2312"/>
          <w:sz w:val="24"/>
          <w:highlight w:val="none"/>
        </w:rPr>
        <w:t>固定收益类资产</w:t>
      </w:r>
      <w:r>
        <w:rPr>
          <w:rFonts w:hint="eastAsia" w:ascii="楷体_GB2312" w:hAnsi="楷体" w:eastAsia="楷体_GB2312"/>
          <w:sz w:val="24"/>
          <w:highlight w:val="none"/>
          <w:lang w:eastAsia="zh-CN"/>
        </w:rPr>
        <w:t>、</w:t>
      </w:r>
      <w:r>
        <w:rPr>
          <w:rFonts w:hint="eastAsia" w:ascii="楷体_GB2312" w:hAnsi="楷体" w:eastAsia="楷体_GB2312"/>
          <w:sz w:val="24"/>
          <w:highlight w:val="none"/>
          <w:lang w:val="en-US" w:eastAsia="zh-CN"/>
        </w:rPr>
        <w:t>权益类资产</w:t>
      </w:r>
      <w:r>
        <w:rPr>
          <w:rFonts w:hint="eastAsia" w:ascii="楷体_GB2312" w:hAnsi="宋体" w:eastAsia="楷体_GB2312"/>
          <w:color w:val="000000"/>
          <w:sz w:val="24"/>
          <w:lang w:eastAsia="zh-CN"/>
        </w:rPr>
        <w:t>和</w:t>
      </w:r>
      <w:r>
        <w:rPr>
          <w:rFonts w:hint="eastAsia" w:ascii="楷体_GB2312" w:hAnsi="宋体" w:eastAsia="楷体_GB2312"/>
          <w:color w:val="000000"/>
          <w:sz w:val="24"/>
        </w:rPr>
        <w:t>商品及金融衍生品类资产</w:t>
      </w:r>
      <w:r>
        <w:rPr>
          <w:rFonts w:hint="eastAsia" w:ascii="楷体_GB2312" w:hAnsi="楷体" w:eastAsia="楷体_GB2312"/>
          <w:sz w:val="24"/>
          <w:highlight w:val="none"/>
        </w:rPr>
        <w:t>，投资者可能面临的风险如下：</w:t>
      </w:r>
    </w:p>
    <w:p>
      <w:pPr>
        <w:ind w:firstLine="480" w:firstLineChars="200"/>
        <w:rPr>
          <w:rFonts w:hint="eastAsia" w:ascii="楷体_GB2312" w:hAnsi="楷体" w:eastAsia="楷体_GB2312"/>
          <w:sz w:val="24"/>
          <w:highlight w:val="none"/>
        </w:rPr>
      </w:pPr>
      <w:r>
        <w:rPr>
          <w:rFonts w:hint="eastAsia" w:ascii="楷体_GB2312" w:hAnsi="楷体" w:eastAsia="楷体_GB2312"/>
          <w:sz w:val="24"/>
          <w:highlight w:val="none"/>
        </w:rPr>
        <w:t>1.投资于货币市场工具的可能风险：（1）本理财产品作为资金借出方参与货币市场工具交易时，交易对手可能无法及时偿还全部或部分本金和/或收益，导致本理财产品收益下降甚至本金损失；（2）本理财产品作为资金借入方参与货币市场工具交易时，交易利率可能大于债券投资收益，进而导致本理财产品收益下降甚至本金损失；（3）本理财产品作为资金借入方参与货币市场工具交易，将增大产品投资总量，放大投资组合风险。资金借入比例越高，风险暴露程度越高，本理财产品收益下降甚至本金损失的可能性越大。</w:t>
      </w:r>
    </w:p>
    <w:p>
      <w:pPr>
        <w:ind w:firstLine="480" w:firstLineChars="200"/>
        <w:rPr>
          <w:rFonts w:hint="eastAsia" w:ascii="楷体_GB2312" w:hAnsi="楷体" w:eastAsia="楷体_GB2312"/>
          <w:sz w:val="24"/>
          <w:highlight w:val="none"/>
        </w:rPr>
      </w:pPr>
      <w:r>
        <w:rPr>
          <w:rFonts w:hint="eastAsia" w:ascii="楷体_GB2312" w:hAnsi="楷体" w:eastAsia="楷体_GB2312"/>
          <w:sz w:val="24"/>
          <w:highlight w:val="none"/>
        </w:rPr>
        <w:t>2.投资于债券的可能风险：（1）国家政策、经济周期、利率、汇率等因素可能发生的变化导致的市场风险；（2）债券发行人的经营状况、信用质量降低等可能发生的变化导致的信用风险。</w:t>
      </w:r>
    </w:p>
    <w:p>
      <w:pPr>
        <w:ind w:firstLine="480" w:firstLineChars="200"/>
        <w:rPr>
          <w:rFonts w:hint="eastAsia" w:ascii="楷体_GB2312" w:hAnsi="楷体" w:eastAsia="楷体_GB2312"/>
          <w:sz w:val="24"/>
          <w:highlight w:val="none"/>
        </w:rPr>
      </w:pPr>
      <w:r>
        <w:rPr>
          <w:rFonts w:hint="eastAsia" w:ascii="楷体_GB2312" w:hAnsi="楷体" w:eastAsia="楷体_GB2312"/>
          <w:sz w:val="24"/>
          <w:highlight w:val="none"/>
        </w:rPr>
        <w:t>3.投资于资产支持证券的可能风险：（1）资产支持证券项下的基础资产现金流可能未能及时完整取得导致的信用风险；（2）资产支持证券可能的市场成交量不足、缺乏意愿交易对手导致的流动性风险等。</w:t>
      </w:r>
    </w:p>
    <w:p>
      <w:pPr>
        <w:ind w:firstLine="480" w:firstLineChars="200"/>
        <w:rPr>
          <w:rFonts w:hint="eastAsia" w:ascii="楷体_GB2312" w:hAnsi="楷体" w:eastAsia="楷体_GB2312"/>
          <w:sz w:val="24"/>
          <w:highlight w:val="none"/>
        </w:rPr>
      </w:pPr>
      <w:r>
        <w:rPr>
          <w:rFonts w:hint="eastAsia" w:ascii="楷体_GB2312" w:hAnsi="楷体" w:eastAsia="楷体_GB2312"/>
          <w:sz w:val="24"/>
          <w:highlight w:val="none"/>
        </w:rPr>
        <w:t>4.投资于权益类资产的可能风险：（1）国家政策、经济周期、利率、汇率、股票发行人经营情况等因素可能发生的变化导致的市场风险；（2）本理财产品将投资于优先股，由于公司经营受多种因素影响，如果本理财产品所投资的公司经营不善，其股票价格可能下跌，或者能够用于分配的利润减少，进而导致本理财产品投资收益下降的风险；（3）上市公司优先股等可能的流通和转让限制导致的流动性风险等。</w:t>
      </w:r>
    </w:p>
    <w:p>
      <w:pPr>
        <w:ind w:firstLine="480" w:firstLineChars="200"/>
        <w:rPr>
          <w:rFonts w:hint="eastAsia" w:ascii="楷体_GB2312" w:hAnsi="楷体" w:eastAsia="楷体_GB2312"/>
          <w:sz w:val="24"/>
          <w:highlight w:val="none"/>
        </w:rPr>
      </w:pPr>
      <w:r>
        <w:rPr>
          <w:rFonts w:hint="eastAsia" w:ascii="楷体_GB2312" w:hAnsi="楷体" w:eastAsia="楷体_GB2312"/>
          <w:sz w:val="24"/>
          <w:highlight w:val="none"/>
          <w:lang w:val="en-US" w:eastAsia="zh-CN"/>
        </w:rPr>
        <w:t>5.</w:t>
      </w:r>
      <w:r>
        <w:rPr>
          <w:rFonts w:hint="eastAsia" w:ascii="楷体_GB2312" w:hAnsi="楷体" w:eastAsia="楷体_GB2312"/>
          <w:sz w:val="24"/>
          <w:highlight w:val="none"/>
        </w:rPr>
        <w:t>投资于商品及金融衍生品类资产的可能风险：本理财产品的投资范围包括商品和金融衍生品类资产（包括但不限于国债期货、利率互换、股指期货、汇率远期、汇率掉期等衍生金融工具），该类资产的投资可能面临市场风险、基差风险、流动性风险、政策风险和交易对手不能履约等风险，在最不利的情况下，可能会损失投资该衍生品对应的部分甚至全部本金：（1）市场风险是因衍生金融工具市场价格波动使所持有的衍生品合约价值发生变化的风险；（2）基差风险是期货市场的特有风险之一，是指由于期货与现货间的价差波动，影响套期保值效果，使之发生意外损益的风险；（3）流动性风险是在期货市场成交不活跃时，可能在建仓和平仓期货时面临交易价格或者交易数量上的风险；（4）熔断、提早闭市、标的停牌、标的涨跌停等极端情况下，可能导致场内外期权无法及时平仓，进而影响本理财产品的变现及兑付时间。</w:t>
      </w:r>
    </w:p>
    <w:p>
      <w:pPr>
        <w:ind w:firstLine="482" w:firstLineChars="200"/>
        <w:rPr>
          <w:rFonts w:hint="eastAsia" w:ascii="楷体_GB2312" w:hAnsi="楷体" w:eastAsia="楷体_GB2312"/>
          <w:sz w:val="24"/>
          <w:highlight w:val="none"/>
        </w:rPr>
      </w:pPr>
      <w:r>
        <w:rPr>
          <w:rFonts w:hint="eastAsia" w:ascii="楷体_GB2312" w:hAnsi="楷体" w:eastAsia="楷体_GB2312"/>
          <w:b/>
          <w:bCs/>
          <w:sz w:val="24"/>
          <w:highlight w:val="none"/>
        </w:rPr>
        <w:t>（十八）设置建仓期的风险：</w:t>
      </w:r>
      <w:r>
        <w:rPr>
          <w:rFonts w:hint="eastAsia" w:ascii="楷体_GB2312" w:hAnsi="楷体" w:eastAsia="楷体_GB2312"/>
          <w:sz w:val="24"/>
          <w:highlight w:val="none"/>
        </w:rPr>
        <w:t>本理财产品设立了建仓期机制，建仓期为自本理财产品成立日起的</w:t>
      </w:r>
      <w:r>
        <w:rPr>
          <w:rFonts w:hint="eastAsia" w:ascii="楷体_GB2312" w:hAnsi="楷体" w:eastAsia="楷体_GB2312"/>
          <w:color w:val="auto"/>
          <w:sz w:val="24"/>
          <w:highlight w:val="none"/>
          <w:lang w:val="en-US" w:eastAsia="zh-CN"/>
        </w:rPr>
        <w:t>5个交易日</w:t>
      </w:r>
      <w:r>
        <w:rPr>
          <w:rFonts w:hint="eastAsia" w:ascii="楷体_GB2312" w:hAnsi="楷体" w:eastAsia="楷体_GB2312"/>
          <w:sz w:val="24"/>
          <w:highlight w:val="none"/>
        </w:rPr>
        <w:t>。在前述建仓期内，本理财产品的投资比例可能无法满足本理财产品约定的投资比例限制，从而可能对本理财产品的投资收益产生相应影响。</w:t>
      </w:r>
      <w:bookmarkStart w:id="0" w:name="_GoBack"/>
      <w:bookmarkEnd w:id="0"/>
    </w:p>
    <w:p>
      <w:pPr>
        <w:ind w:firstLine="482" w:firstLineChars="200"/>
        <w:rPr>
          <w:rFonts w:ascii="楷体_GB2312" w:hAnsi="楷体" w:eastAsia="楷体_GB2312"/>
          <w:b/>
          <w:bCs/>
          <w:sz w:val="24"/>
          <w:highlight w:val="none"/>
        </w:rPr>
      </w:pPr>
      <w:r>
        <w:rPr>
          <w:rFonts w:hint="eastAsia" w:ascii="楷体_GB2312" w:hAnsi="楷体" w:eastAsia="楷体_GB2312"/>
          <w:b/>
          <w:bCs/>
          <w:sz w:val="24"/>
          <w:highlight w:val="none"/>
        </w:rPr>
        <w:t>★二、投资者提示</w:t>
      </w:r>
    </w:p>
    <w:p>
      <w:pPr>
        <w:ind w:firstLine="482" w:firstLineChars="200"/>
        <w:rPr>
          <w:rFonts w:hint="eastAsia" w:ascii="楷体_GB2312" w:hAnsi="楷体" w:eastAsia="楷体_GB2312" w:cs="Times New Roman"/>
          <w:b/>
          <w:bCs/>
          <w:sz w:val="24"/>
          <w:szCs w:val="24"/>
          <w:highlight w:val="none"/>
          <w:lang w:eastAsia="zh-CN"/>
        </w:rPr>
      </w:pPr>
      <w:r>
        <w:rPr>
          <w:rFonts w:hint="eastAsia" w:ascii="楷体_GB2312" w:hAnsi="楷体" w:eastAsia="楷体_GB2312" w:cs="Times New Roman"/>
          <w:b/>
          <w:bCs/>
          <w:sz w:val="24"/>
          <w:szCs w:val="24"/>
          <w:highlight w:val="none"/>
        </w:rPr>
        <w:t>（一）理财非存款、产品有风险、投资须谨慎</w:t>
      </w:r>
      <w:r>
        <w:rPr>
          <w:rFonts w:hint="eastAsia" w:ascii="楷体_GB2312" w:hAnsi="楷体" w:eastAsia="楷体_GB2312" w:cs="Times New Roman"/>
          <w:b/>
          <w:bCs/>
          <w:sz w:val="24"/>
          <w:szCs w:val="24"/>
          <w:highlight w:val="none"/>
          <w:lang w:eastAsia="zh-CN"/>
        </w:rPr>
        <w:t>！</w:t>
      </w:r>
    </w:p>
    <w:p>
      <w:pPr>
        <w:ind w:firstLine="482" w:firstLineChars="200"/>
        <w:rPr>
          <w:rFonts w:ascii="楷体_GB2312" w:hAnsi="楷体" w:eastAsia="楷体_GB2312"/>
          <w:b/>
          <w:bCs/>
          <w:sz w:val="24"/>
          <w:highlight w:val="none"/>
        </w:rPr>
      </w:pPr>
      <w:r>
        <w:rPr>
          <w:rFonts w:hint="eastAsia" w:ascii="楷体_GB2312" w:hAnsi="楷体" w:eastAsia="楷体_GB2312"/>
          <w:b/>
          <w:bCs/>
          <w:sz w:val="24"/>
          <w:highlight w:val="none"/>
        </w:rPr>
        <w:t>（二）</w:t>
      </w:r>
      <w:r>
        <w:rPr>
          <w:rFonts w:hint="eastAsia" w:ascii="楷体_GB2312" w:hAnsi="楷体" w:eastAsia="楷体_GB2312"/>
          <w:b/>
          <w:bCs/>
          <w:sz w:val="24"/>
          <w:highlight w:val="none"/>
          <w:lang w:val="en-US" w:eastAsia="zh-CN"/>
        </w:rPr>
        <w:t>本</w:t>
      </w:r>
      <w:r>
        <w:rPr>
          <w:rFonts w:hint="eastAsia" w:ascii="楷体_GB2312" w:hAnsi="楷体" w:eastAsia="楷体_GB2312"/>
          <w:b/>
          <w:bCs/>
          <w:sz w:val="24"/>
          <w:highlight w:val="none"/>
        </w:rPr>
        <w:t>理财产品过往业绩不代表其未来表现，不等于</w:t>
      </w:r>
      <w:r>
        <w:rPr>
          <w:rFonts w:hint="eastAsia" w:ascii="楷体_GB2312" w:hAnsi="楷体" w:eastAsia="楷体_GB2312"/>
          <w:b/>
          <w:bCs/>
          <w:sz w:val="24"/>
          <w:highlight w:val="none"/>
          <w:lang w:eastAsia="zh-CN"/>
        </w:rPr>
        <w:t>本</w:t>
      </w:r>
      <w:r>
        <w:rPr>
          <w:rFonts w:hint="eastAsia" w:ascii="楷体_GB2312" w:hAnsi="楷体" w:eastAsia="楷体_GB2312"/>
          <w:b/>
          <w:bCs/>
          <w:sz w:val="24"/>
          <w:highlight w:val="none"/>
        </w:rPr>
        <w:t>理财产品实际收益，投资须谨慎。</w:t>
      </w:r>
    </w:p>
    <w:p>
      <w:pPr>
        <w:ind w:firstLine="482" w:firstLineChars="200"/>
        <w:rPr>
          <w:rFonts w:ascii="楷体_GB2312" w:hAnsi="楷体" w:eastAsia="楷体_GB2312"/>
          <w:b/>
          <w:bCs/>
          <w:sz w:val="24"/>
          <w:highlight w:val="none"/>
        </w:rPr>
      </w:pPr>
      <w:r>
        <w:rPr>
          <w:rFonts w:hint="eastAsia" w:ascii="楷体_GB2312" w:hAnsi="楷体" w:eastAsia="楷体_GB2312"/>
          <w:b/>
          <w:bCs/>
          <w:sz w:val="24"/>
          <w:highlight w:val="none"/>
        </w:rPr>
        <w:t>（三）如影响您风险承受能力的因素发生变化，请及时完成风险承受能力评估。</w:t>
      </w:r>
    </w:p>
    <w:p>
      <w:pPr>
        <w:ind w:firstLine="482" w:firstLineChars="200"/>
        <w:rPr>
          <w:rFonts w:ascii="楷体_GB2312" w:hAnsi="楷体" w:eastAsia="楷体_GB2312"/>
          <w:b w:val="0"/>
          <w:bCs w:val="0"/>
          <w:sz w:val="24"/>
          <w:highlight w:val="none"/>
        </w:rPr>
      </w:pPr>
      <w:r>
        <w:rPr>
          <w:rFonts w:hint="eastAsia" w:ascii="楷体_GB2312" w:hAnsi="楷体" w:eastAsia="楷体_GB2312"/>
          <w:b/>
          <w:bCs/>
          <w:sz w:val="24"/>
          <w:highlight w:val="none"/>
        </w:rPr>
        <w:t>★（四）</w:t>
      </w:r>
      <w:r>
        <w:rPr>
          <w:rFonts w:ascii="楷体_GB2312" w:hAnsi="楷体" w:eastAsia="楷体_GB2312"/>
          <w:b w:val="0"/>
          <w:bCs w:val="0"/>
          <w:sz w:val="24"/>
          <w:highlight w:val="none"/>
        </w:rPr>
        <w:t>本</w:t>
      </w:r>
      <w:r>
        <w:rPr>
          <w:rFonts w:hint="eastAsia" w:ascii="楷体_GB2312" w:hAnsi="楷体" w:eastAsia="楷体_GB2312"/>
          <w:b w:val="0"/>
          <w:bCs w:val="0"/>
          <w:sz w:val="24"/>
          <w:highlight w:val="none"/>
          <w:lang w:val="en-US" w:eastAsia="zh-CN"/>
        </w:rPr>
        <w:t>理财</w:t>
      </w:r>
      <w:r>
        <w:rPr>
          <w:rFonts w:ascii="楷体_GB2312" w:hAnsi="楷体" w:eastAsia="楷体_GB2312"/>
          <w:b w:val="0"/>
          <w:bCs w:val="0"/>
          <w:sz w:val="24"/>
          <w:highlight w:val="none"/>
        </w:rPr>
        <w:t>产品</w:t>
      </w:r>
      <w:r>
        <w:rPr>
          <w:rFonts w:hint="eastAsia" w:ascii="楷体_GB2312" w:hAnsi="楷体" w:eastAsia="楷体_GB2312"/>
          <w:b w:val="0"/>
          <w:bCs w:val="0"/>
          <w:sz w:val="24"/>
          <w:highlight w:val="none"/>
        </w:rPr>
        <w:t>类型</w:t>
      </w:r>
      <w:r>
        <w:rPr>
          <w:rFonts w:ascii="楷体_GB2312" w:hAnsi="楷体" w:eastAsia="楷体_GB2312"/>
          <w:b w:val="0"/>
          <w:bCs w:val="0"/>
          <w:sz w:val="24"/>
          <w:highlight w:val="none"/>
        </w:rPr>
        <w:t>为</w:t>
      </w:r>
      <w:r>
        <w:rPr>
          <w:rFonts w:hint="eastAsia" w:ascii="楷体_GB2312" w:hAnsi="楷体" w:eastAsia="楷体_GB2312"/>
          <w:b w:val="0"/>
          <w:bCs w:val="0"/>
          <w:sz w:val="24"/>
          <w:highlight w:val="none"/>
          <w:lang w:val="en-US" w:eastAsia="zh-CN"/>
        </w:rPr>
        <w:t>固定收益类理财产品</w:t>
      </w:r>
      <w:r>
        <w:rPr>
          <w:rFonts w:hint="eastAsia" w:ascii="楷体_GB2312" w:hAnsi="楷体" w:eastAsia="楷体_GB2312"/>
          <w:b/>
          <w:bCs/>
          <w:sz w:val="24"/>
          <w:highlight w:val="none"/>
          <w:lang w:eastAsia="zh-Hans"/>
        </w:rPr>
        <w:t>（</w:t>
      </w:r>
      <w:r>
        <w:rPr>
          <w:rFonts w:ascii="楷体_GB2312" w:hAnsi="楷体" w:eastAsia="楷体_GB2312"/>
          <w:b/>
          <w:bCs/>
          <w:sz w:val="24"/>
          <w:highlight w:val="none"/>
        </w:rPr>
        <w:t>固定收益类</w:t>
      </w:r>
      <w:r>
        <w:rPr>
          <w:rFonts w:hint="eastAsia" w:ascii="楷体_GB2312" w:hAnsi="楷体" w:eastAsia="楷体_GB2312"/>
          <w:b/>
          <w:bCs/>
          <w:sz w:val="24"/>
          <w:highlight w:val="none"/>
          <w:lang w:val="en-US" w:eastAsia="zh-CN"/>
        </w:rPr>
        <w:t>理财</w:t>
      </w:r>
      <w:r>
        <w:rPr>
          <w:rFonts w:hint="eastAsia" w:ascii="楷体_GB2312" w:hAnsi="楷体" w:eastAsia="楷体_GB2312"/>
          <w:b/>
          <w:bCs/>
          <w:sz w:val="24"/>
          <w:highlight w:val="none"/>
          <w:lang w:eastAsia="zh-Hans"/>
        </w:rPr>
        <w:t>产品为根据监管要求进行的</w:t>
      </w:r>
      <w:r>
        <w:rPr>
          <w:rFonts w:hint="eastAsia" w:ascii="楷体_GB2312" w:hAnsi="楷体" w:eastAsia="楷体_GB2312"/>
          <w:b/>
          <w:bCs/>
          <w:sz w:val="24"/>
          <w:highlight w:val="none"/>
          <w:lang w:val="en-US" w:eastAsia="zh-CN"/>
        </w:rPr>
        <w:t>理财</w:t>
      </w:r>
      <w:r>
        <w:rPr>
          <w:rFonts w:hint="eastAsia" w:ascii="楷体_GB2312" w:hAnsi="楷体" w:eastAsia="楷体_GB2312"/>
          <w:b/>
          <w:bCs/>
          <w:sz w:val="24"/>
          <w:highlight w:val="none"/>
          <w:lang w:eastAsia="zh-Hans"/>
        </w:rPr>
        <w:t>产品分类，并不意味着</w:t>
      </w:r>
      <w:r>
        <w:rPr>
          <w:rFonts w:hint="eastAsia" w:ascii="楷体_GB2312" w:hAnsi="楷体" w:eastAsia="楷体_GB2312"/>
          <w:b/>
          <w:bCs/>
          <w:sz w:val="24"/>
          <w:highlight w:val="none"/>
          <w:lang w:eastAsia="zh-CN"/>
        </w:rPr>
        <w:t>产品管理人</w:t>
      </w:r>
      <w:r>
        <w:rPr>
          <w:rFonts w:hint="eastAsia" w:ascii="楷体_GB2312" w:hAnsi="楷体" w:eastAsia="楷体_GB2312"/>
          <w:b/>
          <w:bCs/>
          <w:sz w:val="24"/>
          <w:highlight w:val="none"/>
          <w:lang w:eastAsia="zh-Hans"/>
        </w:rPr>
        <w:t>对</w:t>
      </w:r>
      <w:r>
        <w:rPr>
          <w:rFonts w:hint="eastAsia" w:ascii="楷体_GB2312" w:hAnsi="楷体" w:eastAsia="楷体_GB2312"/>
          <w:b/>
          <w:bCs/>
          <w:sz w:val="24"/>
          <w:highlight w:val="none"/>
          <w:lang w:eastAsia="zh-CN"/>
        </w:rPr>
        <w:t>本理财产品</w:t>
      </w:r>
      <w:r>
        <w:rPr>
          <w:rFonts w:hint="eastAsia" w:ascii="楷体_GB2312" w:hAnsi="楷体" w:eastAsia="楷体_GB2312"/>
          <w:b/>
          <w:bCs/>
          <w:sz w:val="24"/>
          <w:highlight w:val="none"/>
          <w:lang w:eastAsia="zh-Hans"/>
        </w:rPr>
        <w:t>的任何收益承诺或者保证）</w:t>
      </w:r>
      <w:r>
        <w:rPr>
          <w:rFonts w:hint="eastAsia" w:ascii="楷体_GB2312" w:hAnsi="楷体" w:eastAsia="楷体_GB2312"/>
          <w:b/>
          <w:bCs/>
          <w:sz w:val="24"/>
          <w:highlight w:val="none"/>
          <w:lang w:eastAsia="zh-CN"/>
        </w:rPr>
        <w:t>、</w:t>
      </w:r>
      <w:r>
        <w:rPr>
          <w:rFonts w:hint="eastAsia" w:ascii="楷体_GB2312" w:hAnsi="楷体" w:eastAsia="楷体_GB2312"/>
          <w:b w:val="0"/>
          <w:bCs w:val="0"/>
          <w:sz w:val="24"/>
          <w:highlight w:val="none"/>
          <w:lang w:val="en-US" w:eastAsia="zh-CN"/>
        </w:rPr>
        <w:t>非保本浮动收益型理财产品。</w:t>
      </w:r>
      <w:r>
        <w:rPr>
          <w:rFonts w:ascii="楷体_GB2312" w:hAnsi="楷体" w:eastAsia="楷体_GB2312"/>
          <w:b w:val="0"/>
          <w:bCs w:val="0"/>
          <w:sz w:val="24"/>
          <w:highlight w:val="none"/>
        </w:rPr>
        <w:t>本</w:t>
      </w:r>
      <w:r>
        <w:rPr>
          <w:rFonts w:hint="eastAsia" w:ascii="楷体_GB2312" w:hAnsi="楷体" w:eastAsia="楷体_GB2312"/>
          <w:b w:val="0"/>
          <w:bCs w:val="0"/>
          <w:sz w:val="24"/>
          <w:highlight w:val="none"/>
          <w:lang w:val="en-US" w:eastAsia="zh-CN"/>
        </w:rPr>
        <w:t>理财</w:t>
      </w:r>
      <w:r>
        <w:rPr>
          <w:rFonts w:ascii="楷体_GB2312" w:hAnsi="楷体" w:eastAsia="楷体_GB2312"/>
          <w:b w:val="0"/>
          <w:bCs w:val="0"/>
          <w:sz w:val="24"/>
          <w:highlight w:val="none"/>
        </w:rPr>
        <w:t>产品</w:t>
      </w:r>
      <w:r>
        <w:rPr>
          <w:rFonts w:hint="eastAsia" w:ascii="楷体_GB2312" w:hAnsi="楷体" w:eastAsia="楷体_GB2312"/>
          <w:b w:val="0"/>
          <w:bCs w:val="0"/>
          <w:sz w:val="24"/>
          <w:highlight w:val="none"/>
          <w:lang w:val="en-US" w:eastAsia="zh-CN"/>
        </w:rPr>
        <w:t>存续</w:t>
      </w:r>
      <w:r>
        <w:rPr>
          <w:rFonts w:ascii="楷体_GB2312" w:hAnsi="楷体" w:eastAsia="楷体_GB2312"/>
          <w:b w:val="0"/>
          <w:bCs w:val="0"/>
          <w:sz w:val="24"/>
          <w:highlight w:val="none"/>
        </w:rPr>
        <w:t>期限为</w:t>
      </w:r>
      <w:r>
        <w:rPr>
          <w:rFonts w:hint="eastAsia" w:ascii="楷体_GB2312" w:hAnsi="楷体" w:eastAsia="楷体_GB2312"/>
          <w:b w:val="0"/>
          <w:bCs w:val="0"/>
          <w:sz w:val="24"/>
          <w:highlight w:val="none"/>
        </w:rPr>
        <w:t>无固定</w:t>
      </w:r>
      <w:r>
        <w:rPr>
          <w:rFonts w:ascii="楷体_GB2312" w:hAnsi="楷体" w:eastAsia="楷体_GB2312"/>
          <w:b w:val="0"/>
          <w:bCs w:val="0"/>
          <w:sz w:val="24"/>
          <w:highlight w:val="none"/>
        </w:rPr>
        <w:t>期限(受提前终止等</w:t>
      </w:r>
      <w:r>
        <w:rPr>
          <w:rFonts w:hint="eastAsia" w:ascii="楷体_GB2312" w:hAnsi="楷体" w:eastAsia="楷体_GB2312"/>
          <w:b w:val="0"/>
          <w:bCs w:val="0"/>
          <w:sz w:val="24"/>
          <w:highlight w:val="none"/>
          <w:lang w:val="en-US" w:eastAsia="zh-CN"/>
        </w:rPr>
        <w:t>本</w:t>
      </w:r>
      <w:r>
        <w:rPr>
          <w:rFonts w:ascii="楷体_GB2312" w:hAnsi="楷体" w:eastAsia="楷体_GB2312"/>
          <w:b w:val="0"/>
          <w:bCs w:val="0"/>
          <w:sz w:val="24"/>
          <w:highlight w:val="none"/>
        </w:rPr>
        <w:t>理财</w:t>
      </w:r>
      <w:r>
        <w:rPr>
          <w:rFonts w:hint="eastAsia" w:ascii="楷体_GB2312" w:hAnsi="楷体" w:eastAsia="楷体_GB2312"/>
          <w:b w:val="0"/>
          <w:bCs w:val="0"/>
          <w:sz w:val="24"/>
          <w:highlight w:val="none"/>
          <w:lang w:val="en-US" w:eastAsia="zh-CN"/>
        </w:rPr>
        <w:t>产品销售文件</w:t>
      </w:r>
      <w:r>
        <w:rPr>
          <w:rFonts w:ascii="楷体_GB2312" w:hAnsi="楷体" w:eastAsia="楷体_GB2312"/>
          <w:b w:val="0"/>
          <w:bCs w:val="0"/>
          <w:sz w:val="24"/>
          <w:highlight w:val="none"/>
        </w:rPr>
        <w:t>相关条款和内容的约束)。</w:t>
      </w:r>
    </w:p>
    <w:p>
      <w:pPr>
        <w:ind w:firstLine="480" w:firstLineChars="200"/>
        <w:rPr>
          <w:rFonts w:hint="eastAsia" w:ascii="楷体_GB2312" w:hAnsi="楷体" w:eastAsia="楷体_GB2312" w:cs="Times New Roman"/>
          <w:sz w:val="24"/>
          <w:highlight w:val="none"/>
          <w:lang w:val="en-US" w:eastAsia="zh-CN"/>
        </w:rPr>
      </w:pPr>
      <w:r>
        <w:rPr>
          <w:rFonts w:hint="eastAsia" w:ascii="楷体_GB2312" w:hAnsi="楷体" w:eastAsia="楷体_GB2312"/>
          <w:sz w:val="24"/>
          <w:highlight w:val="none"/>
        </w:rPr>
        <w:t>（五）</w:t>
      </w:r>
      <w:r>
        <w:rPr>
          <w:rFonts w:hint="eastAsia" w:ascii="楷体_GB2312" w:hAnsi="楷体" w:eastAsia="楷体_GB2312"/>
          <w:sz w:val="24"/>
          <w:highlight w:val="none"/>
          <w:lang w:eastAsia="zh-CN"/>
        </w:rPr>
        <w:t>产品管理人</w:t>
      </w:r>
      <w:r>
        <w:rPr>
          <w:rFonts w:hint="eastAsia" w:ascii="楷体_GB2312" w:hAnsi="楷体" w:eastAsia="楷体_GB2312"/>
          <w:sz w:val="24"/>
          <w:highlight w:val="none"/>
        </w:rPr>
        <w:t>对</w:t>
      </w:r>
      <w:r>
        <w:rPr>
          <w:rFonts w:hint="eastAsia" w:ascii="楷体_GB2312" w:hAnsi="楷体" w:eastAsia="楷体_GB2312"/>
          <w:sz w:val="24"/>
          <w:highlight w:val="none"/>
          <w:lang w:eastAsia="zh-CN"/>
        </w:rPr>
        <w:t>本理财产</w:t>
      </w:r>
      <w:r>
        <w:rPr>
          <w:rFonts w:hint="eastAsia" w:ascii="楷体_GB2312" w:hAnsi="楷体" w:eastAsia="楷体_GB2312" w:cs="Times New Roman"/>
          <w:sz w:val="24"/>
          <w:highlight w:val="none"/>
          <w:lang w:eastAsia="zh-CN"/>
        </w:rPr>
        <w:t>品</w:t>
      </w:r>
      <w:r>
        <w:rPr>
          <w:rFonts w:hint="eastAsia" w:ascii="楷体_GB2312" w:hAnsi="楷体" w:eastAsia="楷体_GB2312" w:cs="Times New Roman"/>
          <w:sz w:val="24"/>
          <w:highlight w:val="none"/>
          <w:lang w:val="en-US" w:eastAsia="zh-CN"/>
        </w:rPr>
        <w:t>的内部</w:t>
      </w:r>
      <w:r>
        <w:rPr>
          <w:rFonts w:hint="eastAsia" w:ascii="楷体_GB2312" w:hAnsi="楷体" w:eastAsia="楷体_GB2312" w:cs="Times New Roman"/>
          <w:sz w:val="24"/>
          <w:highlight w:val="none"/>
          <w:lang w:eastAsia="zh-CN"/>
        </w:rPr>
        <w:t>风险评级为</w:t>
      </w:r>
      <w:r>
        <w:rPr>
          <w:rFonts w:ascii="楷体_GB2312" w:eastAsia="楷体_GB2312"/>
          <w:color w:val="000000"/>
          <w:sz w:val="24"/>
        </w:rPr>
        <w:t>较低风险</w:t>
      </w:r>
      <w:r>
        <w:rPr>
          <w:rFonts w:hint="eastAsia" w:ascii="楷体_GB2312" w:eastAsia="楷体_GB2312"/>
          <w:color w:val="000000"/>
          <w:sz w:val="24"/>
        </w:rPr>
        <w:t>产品（PR</w:t>
      </w:r>
      <w:r>
        <w:rPr>
          <w:rFonts w:hint="eastAsia" w:ascii="楷体_GB2312" w:eastAsia="楷体_GB2312"/>
          <w:color w:val="000000"/>
          <w:sz w:val="24"/>
          <w:lang w:val="en-US" w:eastAsia="zh-CN"/>
        </w:rPr>
        <w:t>2</w:t>
      </w:r>
      <w:r>
        <w:rPr>
          <w:rFonts w:hint="eastAsia" w:ascii="楷体_GB2312" w:eastAsia="楷体_GB2312"/>
          <w:color w:val="000000"/>
          <w:sz w:val="24"/>
        </w:rPr>
        <w:t>）</w:t>
      </w:r>
      <w:r>
        <w:rPr>
          <w:rFonts w:hint="eastAsia" w:ascii="楷体_GB2312" w:hAnsi="楷体" w:eastAsia="楷体_GB2312" w:cs="Times New Roman"/>
          <w:sz w:val="24"/>
          <w:highlight w:val="none"/>
          <w:lang w:eastAsia="zh-CN"/>
        </w:rPr>
        <w:t>。</w:t>
      </w:r>
      <w:r>
        <w:rPr>
          <w:rFonts w:hint="eastAsia" w:ascii="楷体_GB2312" w:hAnsi="楷体" w:eastAsia="楷体_GB2312" w:cs="Times New Roman"/>
          <w:sz w:val="24"/>
          <w:highlight w:val="none"/>
          <w:lang w:val="en-US" w:eastAsia="zh-CN"/>
        </w:rPr>
        <w:t>根据北银理财内部产品风险评级说明，本</w:t>
      </w:r>
      <w:r>
        <w:rPr>
          <w:rFonts w:hint="eastAsia" w:ascii="楷体_GB2312" w:hAnsi="楷体" w:eastAsia="楷体_GB2312" w:cs="Times New Roman"/>
          <w:sz w:val="24"/>
          <w:highlight w:val="none"/>
          <w:lang w:eastAsia="zh-CN"/>
        </w:rPr>
        <w:t>理财</w:t>
      </w:r>
      <w:r>
        <w:rPr>
          <w:rFonts w:hint="eastAsia" w:ascii="楷体_GB2312" w:hAnsi="楷体" w:eastAsia="楷体_GB2312" w:cs="Times New Roman"/>
          <w:sz w:val="24"/>
          <w:highlight w:val="none"/>
          <w:lang w:val="en-US" w:eastAsia="zh-CN"/>
        </w:rPr>
        <w:t>产品的总体风险程度</w:t>
      </w:r>
      <w:r>
        <w:rPr>
          <w:rFonts w:hint="eastAsia" w:ascii="楷体_GB2312" w:hAnsi="楷体" w:eastAsia="楷体_GB2312" w:cs="Times New Roman"/>
          <w:sz w:val="24"/>
          <w:highlight w:val="none"/>
        </w:rPr>
        <w:t>较低，净值波动较小。产品管理人不承诺本金保障，虽然存在可能对本金安全产生不利影响的因素，但本金出现损失的可能性较低。</w:t>
      </w:r>
    </w:p>
    <w:p>
      <w:pPr>
        <w:ind w:firstLine="482" w:firstLineChars="200"/>
        <w:rPr>
          <w:rFonts w:hint="eastAsia" w:ascii="楷体_GB2312" w:hAnsi="楷体" w:eastAsia="楷体_GB2312" w:cs="Times New Roman"/>
          <w:sz w:val="24"/>
          <w:highlight w:val="none"/>
          <w:lang w:val="en-US" w:eastAsia="zh-CN"/>
        </w:rPr>
      </w:pPr>
      <w:r>
        <w:rPr>
          <w:rFonts w:hint="eastAsia" w:ascii="楷体_GB2312" w:hAnsi="楷体" w:eastAsia="楷体_GB2312"/>
          <w:b/>
          <w:bCs/>
          <w:sz w:val="24"/>
          <w:highlight w:val="none"/>
        </w:rPr>
        <w:t>★</w:t>
      </w:r>
      <w:r>
        <w:rPr>
          <w:rFonts w:hint="eastAsia" w:ascii="楷体_GB2312" w:hAnsi="楷体" w:eastAsia="楷体_GB2312" w:cs="Times New Roman"/>
          <w:b/>
          <w:bCs/>
          <w:sz w:val="24"/>
          <w:highlight w:val="none"/>
          <w:lang w:val="en-US" w:eastAsia="zh-CN"/>
        </w:rPr>
        <w:t>本理财产品通过代理销售机构渠道销售的，理财产品评级应当以代理销售机构最终披露的评级结果为准。</w:t>
      </w:r>
    </w:p>
    <w:p>
      <w:pPr>
        <w:numPr>
          <w:ilvl w:val="0"/>
          <w:numId w:val="2"/>
        </w:numPr>
        <w:ind w:firstLine="480" w:firstLineChars="200"/>
        <w:rPr>
          <w:rFonts w:ascii="楷体_GB2312" w:hAnsi="楷体" w:eastAsia="楷体_GB2312"/>
          <w:b w:val="0"/>
          <w:bCs w:val="0"/>
          <w:sz w:val="24"/>
          <w:highlight w:val="none"/>
        </w:rPr>
      </w:pPr>
      <w:r>
        <w:rPr>
          <w:rFonts w:hint="eastAsia" w:ascii="楷体_GB2312" w:hAnsi="楷体" w:eastAsia="楷体_GB2312" w:cs="Times New Roman"/>
          <w:b w:val="0"/>
          <w:bCs w:val="0"/>
          <w:sz w:val="24"/>
          <w:highlight w:val="none"/>
          <w:lang w:val="en-US" w:eastAsia="zh-CN"/>
        </w:rPr>
        <w:t>经代销机构</w:t>
      </w:r>
      <w:r>
        <w:rPr>
          <w:rFonts w:hint="default" w:ascii="楷体_GB2312" w:hAnsi="楷体" w:eastAsia="楷体_GB2312" w:cs="Times New Roman"/>
          <w:b w:val="0"/>
          <w:bCs w:val="0"/>
          <w:color w:val="auto"/>
          <w:kern w:val="2"/>
          <w:sz w:val="24"/>
          <w:highlight w:val="none"/>
        </w:rPr>
        <w:t>风险承受能力</w:t>
      </w:r>
      <w:r>
        <w:rPr>
          <w:rFonts w:hint="eastAsia" w:ascii="楷体_GB2312" w:hAnsi="楷体" w:eastAsia="楷体_GB2312" w:cs="Times New Roman"/>
          <w:b w:val="0"/>
          <w:bCs w:val="0"/>
          <w:sz w:val="24"/>
          <w:highlight w:val="none"/>
          <w:lang w:val="en-US" w:eastAsia="zh-CN"/>
        </w:rPr>
        <w:t>评估，适合购买本理财产品的个人投资者为稳健型、平衡型、进取型、激进型（</w:t>
      </w:r>
      <w:r>
        <w:rPr>
          <w:rFonts w:hint="eastAsia" w:ascii="楷体_GB2312" w:hAnsi="楷体" w:eastAsia="楷体_GB2312"/>
          <w:b w:val="0"/>
          <w:bCs w:val="0"/>
          <w:sz w:val="24"/>
          <w:highlight w:val="none"/>
          <w:lang w:val="en-US" w:eastAsia="zh-CN"/>
        </w:rPr>
        <w:t>具体表述以代销机构为准</w:t>
      </w:r>
      <w:r>
        <w:rPr>
          <w:rFonts w:hint="eastAsia" w:ascii="楷体_GB2312" w:hAnsi="楷体" w:eastAsia="楷体_GB2312"/>
          <w:b w:val="0"/>
          <w:bCs w:val="0"/>
          <w:sz w:val="24"/>
          <w:highlight w:val="none"/>
          <w:lang w:eastAsia="zh-CN"/>
        </w:rPr>
        <w:t>）</w:t>
      </w:r>
      <w:r>
        <w:rPr>
          <w:rFonts w:ascii="楷体_GB2312" w:hAnsi="楷体" w:eastAsia="楷体_GB2312"/>
          <w:b w:val="0"/>
          <w:bCs w:val="0"/>
          <w:sz w:val="24"/>
          <w:highlight w:val="none"/>
        </w:rPr>
        <w:t>的投资者。(机构投资者不适用)</w:t>
      </w:r>
    </w:p>
    <w:p>
      <w:pPr>
        <w:numPr>
          <w:ilvl w:val="0"/>
          <w:numId w:val="0"/>
        </w:numPr>
        <w:ind w:firstLine="482" w:firstLineChars="200"/>
        <w:rPr>
          <w:rFonts w:ascii="楷体_GB2312" w:hAnsi="楷体" w:eastAsia="楷体_GB2312"/>
          <w:b/>
          <w:bCs/>
          <w:sz w:val="24"/>
          <w:highlight w:val="none"/>
        </w:rPr>
      </w:pPr>
      <w:r>
        <w:rPr>
          <w:rFonts w:hint="eastAsia" w:ascii="楷体_GB2312" w:hAnsi="楷体" w:eastAsia="楷体_GB2312"/>
          <w:b/>
          <w:bCs/>
          <w:sz w:val="24"/>
          <w:highlight w:val="none"/>
        </w:rPr>
        <w:t>★本</w:t>
      </w:r>
      <w:r>
        <w:rPr>
          <w:rFonts w:hint="eastAsia" w:ascii="楷体_GB2312" w:hAnsi="楷体" w:eastAsia="楷体_GB2312"/>
          <w:b/>
          <w:bCs/>
          <w:sz w:val="24"/>
          <w:highlight w:val="none"/>
          <w:lang w:val="en-US" w:eastAsia="zh-CN"/>
        </w:rPr>
        <w:t>理财</w:t>
      </w:r>
      <w:r>
        <w:rPr>
          <w:rFonts w:hint="eastAsia" w:ascii="楷体_GB2312" w:hAnsi="楷体" w:eastAsia="楷体_GB2312"/>
          <w:b/>
          <w:bCs/>
          <w:sz w:val="24"/>
          <w:highlight w:val="none"/>
        </w:rPr>
        <w:t>产品通过代销机构渠道销售，全部销售工作及投资者适当性评估由代销机构负责。</w:t>
      </w:r>
    </w:p>
    <w:p>
      <w:pPr>
        <w:ind w:firstLine="482" w:firstLineChars="200"/>
        <w:rPr>
          <w:rFonts w:hint="eastAsia" w:ascii="楷体_GB2312" w:hAnsi="楷体" w:eastAsia="楷体_GB2312"/>
          <w:b/>
          <w:sz w:val="24"/>
          <w:highlight w:val="none"/>
          <w:lang w:val="en-US" w:eastAsia="zh-CN"/>
        </w:rPr>
      </w:pPr>
      <w:r>
        <w:rPr>
          <w:rFonts w:hint="eastAsia" w:ascii="楷体_GB2312" w:hAnsi="楷体" w:eastAsia="楷体_GB2312"/>
          <w:b/>
          <w:bCs w:val="0"/>
          <w:sz w:val="24"/>
          <w:highlight w:val="none"/>
          <w:lang w:eastAsia="zh-CN"/>
        </w:rPr>
        <w:t>（</w:t>
      </w:r>
      <w:r>
        <w:rPr>
          <w:rFonts w:hint="eastAsia" w:ascii="楷体_GB2312" w:hAnsi="楷体" w:eastAsia="楷体_GB2312"/>
          <w:b/>
          <w:bCs w:val="0"/>
          <w:sz w:val="24"/>
          <w:highlight w:val="none"/>
          <w:lang w:val="en-US" w:eastAsia="zh-CN"/>
        </w:rPr>
        <w:t>七</w:t>
      </w:r>
      <w:r>
        <w:rPr>
          <w:rFonts w:hint="eastAsia" w:ascii="楷体_GB2312" w:hAnsi="楷体" w:eastAsia="楷体_GB2312"/>
          <w:b/>
          <w:bCs w:val="0"/>
          <w:sz w:val="24"/>
          <w:highlight w:val="none"/>
          <w:lang w:eastAsia="zh-CN"/>
        </w:rPr>
        <w:t>）本</w:t>
      </w:r>
      <w:r>
        <w:rPr>
          <w:rFonts w:hint="eastAsia" w:ascii="楷体_GB2312" w:hAnsi="楷体" w:eastAsia="楷体_GB2312"/>
          <w:b/>
          <w:bCs/>
          <w:sz w:val="24"/>
          <w:highlight w:val="none"/>
          <w:lang w:eastAsia="zh-CN"/>
        </w:rPr>
        <w:t>理财产品</w:t>
      </w:r>
      <w:r>
        <w:rPr>
          <w:rFonts w:hint="eastAsia" w:ascii="楷体_GB2312" w:hAnsi="楷体" w:eastAsia="楷体_GB2312"/>
          <w:b/>
          <w:bCs/>
          <w:sz w:val="24"/>
          <w:highlight w:val="none"/>
        </w:rPr>
        <w:t>不保障本金且不保证收益。</w:t>
      </w:r>
      <w:r>
        <w:rPr>
          <w:rFonts w:hint="eastAsia" w:ascii="楷体_GB2312" w:hAnsi="楷体" w:eastAsia="楷体_GB2312"/>
          <w:b/>
          <w:bCs/>
          <w:sz w:val="24"/>
          <w:highlight w:val="none"/>
          <w:lang w:eastAsia="zh-Hans"/>
        </w:rPr>
        <w:t>您</w:t>
      </w:r>
      <w:r>
        <w:rPr>
          <w:rFonts w:hint="eastAsia" w:ascii="楷体_GB2312" w:hAnsi="楷体" w:eastAsia="楷体_GB2312"/>
          <w:b/>
          <w:bCs/>
          <w:sz w:val="24"/>
          <w:highlight w:val="none"/>
        </w:rPr>
        <w:t>的本金和收益可能因市场变动而蒙受损失，</w:t>
      </w:r>
      <w:r>
        <w:rPr>
          <w:rFonts w:hint="eastAsia" w:ascii="楷体_GB2312" w:hAnsi="楷体" w:eastAsia="楷体_GB2312"/>
          <w:b/>
          <w:sz w:val="24"/>
          <w:highlight w:val="none"/>
        </w:rPr>
        <w:t>在最不利</w:t>
      </w:r>
      <w:r>
        <w:rPr>
          <w:rFonts w:hint="eastAsia" w:ascii="楷体_GB2312" w:hAnsi="楷体" w:eastAsia="楷体_GB2312"/>
          <w:b/>
          <w:bCs/>
          <w:sz w:val="24"/>
          <w:highlight w:val="none"/>
          <w:lang w:val="en-US" w:eastAsia="zh-CN"/>
        </w:rPr>
        <w:t>投资</w:t>
      </w:r>
      <w:r>
        <w:rPr>
          <w:rFonts w:hint="eastAsia" w:ascii="楷体_GB2312" w:hAnsi="楷体" w:eastAsia="楷体_GB2312"/>
          <w:b/>
          <w:bCs/>
          <w:sz w:val="24"/>
          <w:highlight w:val="none"/>
        </w:rPr>
        <w:t>情</w:t>
      </w:r>
      <w:r>
        <w:rPr>
          <w:rFonts w:hint="eastAsia" w:ascii="楷体_GB2312" w:hAnsi="楷体" w:eastAsia="楷体_GB2312"/>
          <w:b/>
          <w:bCs/>
          <w:sz w:val="24"/>
          <w:highlight w:val="none"/>
          <w:lang w:val="en-US" w:eastAsia="zh-CN"/>
        </w:rPr>
        <w:t>形</w:t>
      </w:r>
      <w:r>
        <w:rPr>
          <w:rFonts w:hint="eastAsia" w:ascii="楷体_GB2312" w:hAnsi="楷体" w:eastAsia="楷体_GB2312"/>
          <w:b/>
          <w:sz w:val="24"/>
          <w:highlight w:val="none"/>
        </w:rPr>
        <w:t>下，投资者甚至可能损失全部本金。</w:t>
      </w:r>
      <w:r>
        <w:rPr>
          <w:rFonts w:hint="eastAsia" w:ascii="楷体_GB2312" w:hAnsi="楷体" w:eastAsia="楷体_GB2312"/>
          <w:b/>
          <w:sz w:val="24"/>
          <w:highlight w:val="none"/>
          <w:lang w:val="en-US" w:eastAsia="zh-CN"/>
        </w:rPr>
        <w:t xml:space="preserve">    </w:t>
      </w:r>
    </w:p>
    <w:p>
      <w:pPr>
        <w:ind w:firstLine="480" w:firstLineChars="200"/>
        <w:rPr>
          <w:rFonts w:ascii="楷体_GB2312" w:hAnsi="楷体" w:eastAsia="楷体_GB2312"/>
          <w:b/>
          <w:bCs/>
          <w:sz w:val="24"/>
          <w:highlight w:val="none"/>
        </w:rPr>
      </w:pPr>
      <w:r>
        <w:rPr>
          <w:rFonts w:hint="eastAsia" w:ascii="楷体_GB2312" w:hAnsi="楷体" w:eastAsia="楷体_GB2312"/>
          <w:sz w:val="24"/>
          <w:highlight w:val="none"/>
        </w:rPr>
        <w:t>在最不利投资情形下的投资结果示例：假设投资者购买本理财产品的本金为50万元人民币，</w:t>
      </w:r>
      <w:r>
        <w:rPr>
          <w:rFonts w:hint="eastAsia" w:ascii="楷体_GB2312" w:hAnsi="楷体" w:eastAsia="楷体_GB2312"/>
          <w:sz w:val="24"/>
          <w:highlight w:val="none"/>
          <w:lang w:val="en-US" w:eastAsia="zh-CN"/>
        </w:rPr>
        <w:t>如果本理财产品发生风险事件，</w:t>
      </w:r>
      <w:r>
        <w:rPr>
          <w:rFonts w:hint="eastAsia" w:ascii="楷体_GB2312" w:hAnsi="楷体" w:eastAsia="楷体_GB2312"/>
          <w:sz w:val="24"/>
          <w:highlight w:val="none"/>
        </w:rPr>
        <w:t>在投资组合</w:t>
      </w:r>
      <w:r>
        <w:rPr>
          <w:rFonts w:hint="eastAsia" w:ascii="楷体_GB2312" w:hAnsi="楷体" w:eastAsia="楷体_GB2312"/>
          <w:sz w:val="24"/>
          <w:highlight w:val="none"/>
          <w:lang w:val="en-US" w:eastAsia="zh-CN"/>
        </w:rPr>
        <w:t>项下</w:t>
      </w:r>
      <w:r>
        <w:rPr>
          <w:rFonts w:hint="eastAsia" w:ascii="楷体_GB2312" w:hAnsi="楷体" w:eastAsia="楷体_GB2312"/>
          <w:sz w:val="24"/>
          <w:highlight w:val="none"/>
        </w:rPr>
        <w:t>资产全部亏损的最不利情况下，</w:t>
      </w:r>
      <w:r>
        <w:rPr>
          <w:rFonts w:hint="eastAsia" w:ascii="楷体_GB2312" w:hAnsi="楷体" w:eastAsia="楷体_GB2312"/>
          <w:sz w:val="24"/>
          <w:highlight w:val="none"/>
          <w:lang w:val="en-US" w:eastAsia="zh-CN"/>
        </w:rPr>
        <w:t>产品单位净值为0，</w:t>
      </w:r>
      <w:r>
        <w:rPr>
          <w:rFonts w:hint="eastAsia" w:ascii="楷体_GB2312" w:hAnsi="楷体" w:eastAsia="楷体_GB2312"/>
          <w:sz w:val="24"/>
          <w:highlight w:val="none"/>
        </w:rPr>
        <w:t>投资者</w:t>
      </w:r>
      <w:r>
        <w:rPr>
          <w:rFonts w:hint="eastAsia" w:ascii="楷体_GB2312" w:hAnsi="楷体" w:eastAsia="楷体_GB2312"/>
          <w:sz w:val="24"/>
          <w:highlight w:val="none"/>
          <w:lang w:val="en-US" w:eastAsia="zh-CN"/>
        </w:rPr>
        <w:t>投资的</w:t>
      </w:r>
      <w:r>
        <w:rPr>
          <w:rFonts w:hint="eastAsia" w:ascii="楷体_GB2312" w:hAnsi="楷体" w:eastAsia="楷体_GB2312"/>
          <w:sz w:val="24"/>
          <w:highlight w:val="none"/>
        </w:rPr>
        <w:t>50万元</w:t>
      </w:r>
      <w:r>
        <w:rPr>
          <w:rFonts w:hint="eastAsia" w:ascii="楷体_GB2312" w:hAnsi="楷体" w:eastAsia="楷体_GB2312"/>
          <w:sz w:val="24"/>
          <w:highlight w:val="none"/>
          <w:lang w:val="en-US" w:eastAsia="zh-CN"/>
        </w:rPr>
        <w:t>本金将全部损失。</w:t>
      </w:r>
      <w:r>
        <w:rPr>
          <w:rFonts w:hint="eastAsia" w:ascii="楷体_GB2312" w:hAnsi="楷体" w:eastAsia="楷体_GB2312"/>
          <w:b/>
          <w:bCs/>
          <w:sz w:val="24"/>
          <w:highlight w:val="none"/>
        </w:rPr>
        <w:t>请投资者充分认识投资风险，谨慎投资。</w:t>
      </w:r>
    </w:p>
    <w:p>
      <w:pPr>
        <w:pStyle w:val="2"/>
        <w:rPr>
          <w:rFonts w:hint="eastAsia" w:ascii="楷体_GB2312" w:hAnsi="楷体" w:eastAsia="楷体_GB2312" w:cs="Times New Roman"/>
          <w:b/>
          <w:bCs/>
          <w:kern w:val="2"/>
          <w:sz w:val="24"/>
          <w:szCs w:val="24"/>
          <w:highlight w:val="none"/>
          <w:lang w:val="en-US" w:eastAsia="zh-CN" w:bidi="ar"/>
        </w:rPr>
      </w:pPr>
    </w:p>
    <w:p>
      <w:pPr>
        <w:pStyle w:val="5"/>
        <w:rPr>
          <w:rFonts w:hint="eastAsia" w:ascii="楷体_GB2312" w:hAnsi="楷体" w:eastAsia="楷体_GB2312" w:cs="Times New Roman"/>
          <w:b/>
          <w:bCs/>
          <w:kern w:val="2"/>
          <w:sz w:val="24"/>
          <w:szCs w:val="24"/>
          <w:highlight w:val="none"/>
          <w:lang w:val="en-US" w:eastAsia="zh-CN" w:bidi="ar"/>
        </w:rPr>
      </w:pPr>
    </w:p>
    <w:p>
      <w:pPr>
        <w:pStyle w:val="5"/>
        <w:rPr>
          <w:rFonts w:hint="eastAsia" w:ascii="楷体_GB2312" w:hAnsi="楷体" w:eastAsia="楷体_GB2312" w:cs="Times New Roman"/>
          <w:b/>
          <w:bCs/>
          <w:kern w:val="2"/>
          <w:sz w:val="24"/>
          <w:szCs w:val="24"/>
          <w:highlight w:val="none"/>
          <w:lang w:val="en-US" w:eastAsia="zh-CN" w:bidi="ar"/>
        </w:rPr>
      </w:pPr>
    </w:p>
    <w:p>
      <w:pPr>
        <w:ind w:firstLine="0" w:firstLineChars="0"/>
        <w:rPr>
          <w:rFonts w:hint="eastAsia" w:ascii="楷体_GB2312" w:hAnsi="楷体" w:eastAsia="楷体_GB2312"/>
          <w:sz w:val="24"/>
        </w:rPr>
      </w:pPr>
    </w:p>
    <w:p>
      <w:pPr>
        <w:ind w:firstLine="0" w:firstLineChars="0"/>
        <w:rPr>
          <w:rFonts w:hint="eastAsia" w:ascii="楷体_GB2312" w:hAnsi="楷体" w:eastAsia="楷体_GB2312"/>
          <w:sz w:val="24"/>
        </w:rPr>
      </w:pPr>
    </w:p>
    <w:p>
      <w:pPr>
        <w:ind w:firstLine="0" w:firstLineChars="0"/>
        <w:rPr>
          <w:rFonts w:hint="eastAsia" w:ascii="楷体_GB2312" w:hAnsi="楷体" w:eastAsia="楷体_GB2312"/>
          <w:sz w:val="24"/>
        </w:rPr>
      </w:pPr>
    </w:p>
    <w:p>
      <w:pPr>
        <w:ind w:firstLine="0" w:firstLineChars="0"/>
        <w:rPr>
          <w:rFonts w:hint="eastAsia" w:ascii="楷体_GB2312" w:hAnsi="楷体" w:eastAsia="楷体_GB2312"/>
          <w:sz w:val="24"/>
        </w:rPr>
      </w:pPr>
    </w:p>
    <w:p>
      <w:pPr>
        <w:ind w:firstLine="0" w:firstLineChars="0"/>
        <w:rPr>
          <w:rFonts w:hint="eastAsia" w:ascii="楷体_GB2312" w:hAnsi="楷体" w:eastAsia="楷体_GB2312"/>
          <w:sz w:val="24"/>
        </w:rPr>
      </w:pPr>
    </w:p>
    <w:p>
      <w:pPr>
        <w:ind w:firstLine="0" w:firstLineChars="0"/>
        <w:rPr>
          <w:rFonts w:hint="eastAsia" w:ascii="楷体_GB2312" w:hAnsi="楷体" w:eastAsia="楷体_GB2312"/>
          <w:sz w:val="24"/>
        </w:rPr>
      </w:pPr>
    </w:p>
    <w:p>
      <w:pPr>
        <w:ind w:firstLine="0" w:firstLineChars="0"/>
        <w:rPr>
          <w:rFonts w:hint="eastAsia" w:ascii="楷体_GB2312" w:hAnsi="楷体" w:eastAsia="楷体_GB2312"/>
          <w:sz w:val="24"/>
        </w:rPr>
      </w:pPr>
    </w:p>
    <w:p>
      <w:pPr>
        <w:ind w:firstLine="0" w:firstLineChars="0"/>
        <w:rPr>
          <w:rFonts w:hint="eastAsia" w:ascii="楷体_GB2312" w:hAnsi="楷体" w:eastAsia="楷体_GB2312"/>
          <w:sz w:val="24"/>
        </w:rPr>
      </w:pPr>
    </w:p>
    <w:p>
      <w:pPr>
        <w:ind w:firstLine="0" w:firstLineChars="0"/>
        <w:rPr>
          <w:rFonts w:hint="eastAsia" w:ascii="楷体_GB2312" w:hAnsi="楷体" w:eastAsia="楷体_GB2312"/>
          <w:sz w:val="24"/>
        </w:rPr>
      </w:pPr>
    </w:p>
    <w:p>
      <w:pPr>
        <w:ind w:firstLine="0" w:firstLineChars="0"/>
        <w:rPr>
          <w:rFonts w:hint="eastAsia" w:ascii="楷体_GB2312" w:hAnsi="楷体" w:eastAsia="楷体_GB2312"/>
          <w:sz w:val="24"/>
        </w:rPr>
      </w:pPr>
    </w:p>
    <w:p>
      <w:pPr>
        <w:ind w:firstLine="0" w:firstLineChars="0"/>
        <w:rPr>
          <w:rFonts w:hint="eastAsia" w:ascii="楷体_GB2312" w:hAnsi="楷体" w:eastAsia="楷体_GB2312"/>
          <w:sz w:val="24"/>
        </w:rPr>
      </w:pPr>
    </w:p>
    <w:p>
      <w:pPr>
        <w:ind w:firstLine="0" w:firstLineChars="0"/>
        <w:rPr>
          <w:rFonts w:hint="eastAsia" w:ascii="楷体_GB2312" w:hAnsi="楷体" w:eastAsia="楷体_GB2312"/>
          <w:sz w:val="24"/>
        </w:rPr>
      </w:pPr>
    </w:p>
    <w:p>
      <w:pPr>
        <w:ind w:firstLine="0" w:firstLineChars="0"/>
        <w:rPr>
          <w:rFonts w:hint="eastAsia" w:ascii="楷体_GB2312" w:hAnsi="楷体" w:eastAsia="楷体_GB2312"/>
          <w:sz w:val="24"/>
        </w:rPr>
      </w:pPr>
    </w:p>
    <w:p>
      <w:pPr>
        <w:ind w:firstLine="0" w:firstLineChars="0"/>
        <w:rPr>
          <w:rFonts w:hint="eastAsia" w:ascii="楷体_GB2312" w:hAnsi="楷体" w:eastAsia="楷体_GB2312"/>
          <w:sz w:val="24"/>
        </w:rPr>
      </w:pPr>
    </w:p>
    <w:p>
      <w:pPr>
        <w:ind w:firstLine="0" w:firstLineChars="0"/>
        <w:rPr>
          <w:rFonts w:hint="eastAsia" w:ascii="楷体_GB2312" w:hAnsi="楷体" w:eastAsia="楷体_GB2312"/>
          <w:sz w:val="24"/>
        </w:rPr>
      </w:pPr>
    </w:p>
    <w:p>
      <w:pPr>
        <w:ind w:firstLine="0" w:firstLineChars="0"/>
        <w:rPr>
          <w:rFonts w:hint="eastAsia" w:ascii="楷体_GB2312" w:hAnsi="楷体" w:eastAsia="楷体_GB2312"/>
          <w:sz w:val="24"/>
        </w:rPr>
      </w:pPr>
    </w:p>
    <w:p>
      <w:pPr>
        <w:ind w:firstLine="0" w:firstLineChars="0"/>
        <w:rPr>
          <w:rFonts w:hint="eastAsia" w:ascii="楷体_GB2312" w:hAnsi="楷体" w:eastAsia="楷体_GB2312"/>
          <w:sz w:val="24"/>
        </w:rPr>
      </w:pPr>
    </w:p>
    <w:p>
      <w:pPr>
        <w:ind w:firstLine="0" w:firstLineChars="0"/>
        <w:rPr>
          <w:rFonts w:hint="eastAsia" w:ascii="楷体_GB2312" w:hAnsi="楷体" w:eastAsia="楷体_GB2312"/>
          <w:sz w:val="24"/>
        </w:rPr>
      </w:pPr>
    </w:p>
    <w:p>
      <w:pPr>
        <w:ind w:firstLine="0" w:firstLineChars="0"/>
        <w:rPr>
          <w:rFonts w:hint="eastAsia" w:ascii="楷体_GB2312" w:hAnsi="楷体" w:eastAsia="楷体_GB2312"/>
          <w:sz w:val="24"/>
        </w:rPr>
      </w:pPr>
    </w:p>
    <w:p>
      <w:pPr>
        <w:ind w:firstLine="0" w:firstLineChars="0"/>
        <w:rPr>
          <w:rFonts w:hint="eastAsia" w:ascii="楷体_GB2312" w:hAnsi="楷体" w:eastAsia="楷体_GB2312"/>
          <w:sz w:val="24"/>
        </w:rPr>
      </w:pPr>
    </w:p>
    <w:p>
      <w:pPr>
        <w:ind w:firstLine="0" w:firstLineChars="0"/>
        <w:rPr>
          <w:rFonts w:hint="eastAsia" w:ascii="楷体_GB2312" w:hAnsi="楷体" w:eastAsia="楷体_GB2312"/>
          <w:sz w:val="24"/>
        </w:rPr>
      </w:pPr>
    </w:p>
    <w:p>
      <w:pPr>
        <w:ind w:firstLine="0" w:firstLineChars="0"/>
        <w:rPr>
          <w:rFonts w:hint="eastAsia" w:ascii="楷体_GB2312" w:hAnsi="楷体" w:eastAsia="楷体_GB2312"/>
          <w:sz w:val="24"/>
        </w:rPr>
      </w:pPr>
    </w:p>
    <w:p>
      <w:pPr>
        <w:ind w:firstLine="0" w:firstLineChars="0"/>
        <w:rPr>
          <w:rFonts w:hint="eastAsia" w:ascii="楷体_GB2312" w:hAnsi="楷体" w:eastAsia="楷体_GB2312"/>
          <w:sz w:val="24"/>
        </w:rPr>
      </w:pPr>
    </w:p>
    <w:p>
      <w:pPr>
        <w:jc w:val="center"/>
        <w:rPr>
          <w:rFonts w:hint="eastAsia" w:ascii="黑体" w:hAnsi="黑体" w:eastAsia="黑体"/>
          <w:sz w:val="30"/>
          <w:szCs w:val="30"/>
        </w:rPr>
      </w:pPr>
    </w:p>
    <w:p>
      <w:pPr>
        <w:jc w:val="center"/>
        <w:rPr>
          <w:rFonts w:hint="eastAsia" w:ascii="黑体" w:hAnsi="黑体" w:eastAsia="黑体"/>
          <w:sz w:val="30"/>
          <w:szCs w:val="30"/>
        </w:rPr>
      </w:pPr>
    </w:p>
    <w:p>
      <w:pPr>
        <w:jc w:val="center"/>
        <w:rPr>
          <w:rFonts w:hint="eastAsia" w:ascii="黑体" w:hAnsi="黑体" w:eastAsia="黑体"/>
          <w:sz w:val="30"/>
          <w:szCs w:val="30"/>
        </w:rPr>
      </w:pPr>
    </w:p>
    <w:p>
      <w:pPr>
        <w:jc w:val="center"/>
        <w:rPr>
          <w:rFonts w:hint="eastAsia" w:ascii="黑体" w:hAnsi="黑体" w:eastAsia="黑体"/>
          <w:sz w:val="30"/>
          <w:szCs w:val="30"/>
        </w:rPr>
      </w:pPr>
    </w:p>
    <w:p>
      <w:pPr>
        <w:jc w:val="center"/>
        <w:rPr>
          <w:rFonts w:hint="eastAsia" w:ascii="黑体" w:hAnsi="黑体" w:eastAsia="黑体"/>
          <w:sz w:val="30"/>
          <w:szCs w:val="30"/>
        </w:rPr>
      </w:pPr>
    </w:p>
    <w:p>
      <w:pPr>
        <w:jc w:val="center"/>
        <w:rPr>
          <w:rFonts w:ascii="黑体" w:hAnsi="黑体" w:eastAsia="黑体"/>
          <w:sz w:val="30"/>
          <w:szCs w:val="30"/>
        </w:rPr>
      </w:pPr>
      <w:r>
        <w:rPr>
          <w:rFonts w:hint="eastAsia" w:ascii="黑体" w:hAnsi="黑体" w:eastAsia="黑体"/>
          <w:sz w:val="30"/>
          <w:szCs w:val="30"/>
        </w:rPr>
        <w:t>投资者风险确认函</w:t>
      </w:r>
    </w:p>
    <w:p>
      <w:pPr>
        <w:ind w:firstLine="480" w:firstLineChars="200"/>
        <w:rPr>
          <w:highlight w:val="none"/>
        </w:rPr>
      </w:pPr>
      <w:r>
        <w:rPr>
          <w:rFonts w:hint="eastAsia" w:ascii="楷体_GB2312" w:hAnsi="楷体" w:eastAsia="楷体_GB2312"/>
          <w:sz w:val="24"/>
          <w:highlight w:val="none"/>
        </w:rPr>
        <w:t>本人</w:t>
      </w:r>
      <w:r>
        <w:rPr>
          <w:rFonts w:ascii="楷体_GB2312" w:hAnsi="楷体" w:eastAsia="楷体_GB2312"/>
          <w:sz w:val="24"/>
          <w:highlight w:val="none"/>
        </w:rPr>
        <w:t>/</w:t>
      </w:r>
      <w:r>
        <w:rPr>
          <w:rFonts w:hint="eastAsia" w:ascii="楷体_GB2312" w:hAnsi="楷体" w:eastAsia="楷体_GB2312"/>
          <w:sz w:val="24"/>
          <w:highlight w:val="none"/>
        </w:rPr>
        <w:t>本公司（单位）确认已经收到本</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风险揭示书</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，且已经认真阅读本</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风险揭示书</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w:t>
      </w:r>
      <w:r>
        <w:rPr>
          <w:rFonts w:hint="eastAsia" w:ascii="楷体_GB2312" w:hAnsi="楷体" w:eastAsia="楷体_GB2312"/>
          <w:sz w:val="24"/>
          <w:highlight w:val="none"/>
          <w:lang w:eastAsia="zh-CN"/>
        </w:rPr>
        <w:t>《理财产品投资协议书》、《理财产品说明书》、《投资者权益须知》</w:t>
      </w:r>
      <w:r>
        <w:rPr>
          <w:rFonts w:hint="eastAsia" w:ascii="楷体_GB2312" w:hAnsi="楷体" w:eastAsia="楷体_GB2312"/>
          <w:sz w:val="24"/>
          <w:highlight w:val="none"/>
          <w:lang w:val="en-US" w:eastAsia="zh-CN"/>
        </w:rPr>
        <w:t>和</w:t>
      </w:r>
      <w:r>
        <w:rPr>
          <w:rFonts w:hint="eastAsia" w:ascii="楷体_GB2312" w:hAnsi="楷体" w:eastAsia="楷体_GB2312"/>
          <w:b w:val="0"/>
          <w:bCs w:val="0"/>
          <w:sz w:val="24"/>
          <w:szCs w:val="24"/>
          <w:highlight w:val="none"/>
          <w:lang w:val="en-US" w:eastAsia="zh-CN"/>
        </w:rPr>
        <w:t>《代理销售</w:t>
      </w:r>
      <w:r>
        <w:rPr>
          <w:rFonts w:hint="eastAsia" w:ascii="楷体_GB2312" w:hAnsi="楷体" w:eastAsia="楷体_GB2312"/>
          <w:b w:val="0"/>
          <w:bCs w:val="0"/>
          <w:sz w:val="24"/>
          <w:highlight w:val="none"/>
        </w:rPr>
        <w:t>协议书</w:t>
      </w:r>
      <w:r>
        <w:rPr>
          <w:rFonts w:hint="eastAsia" w:ascii="楷体_GB2312" w:hAnsi="楷体" w:eastAsia="楷体_GB2312"/>
          <w:b w:val="0"/>
          <w:bCs w:val="0"/>
          <w:sz w:val="24"/>
          <w:highlight w:val="none"/>
          <w:lang w:eastAsia="zh-CN"/>
        </w:rPr>
        <w:t>》</w:t>
      </w:r>
      <w:r>
        <w:rPr>
          <w:rFonts w:hint="eastAsia" w:ascii="楷体_GB2312" w:hAnsi="楷体" w:eastAsia="楷体_GB2312"/>
          <w:b w:val="0"/>
          <w:bCs/>
          <w:sz w:val="24"/>
          <w:highlight w:val="none"/>
          <w:lang w:eastAsia="zh-CN"/>
        </w:rPr>
        <w:t>（</w:t>
      </w:r>
      <w:r>
        <w:rPr>
          <w:rFonts w:hint="eastAsia" w:ascii="楷体_GB2312" w:hAnsi="楷体" w:eastAsia="楷体_GB2312"/>
          <w:b w:val="0"/>
          <w:bCs/>
          <w:sz w:val="24"/>
          <w:highlight w:val="none"/>
          <w:lang w:val="en-US" w:eastAsia="zh-CN"/>
        </w:rPr>
        <w:t>具体名称以代销机构为准</w:t>
      </w:r>
      <w:r>
        <w:rPr>
          <w:rFonts w:hint="eastAsia" w:ascii="楷体_GB2312" w:hAnsi="楷体" w:eastAsia="楷体_GB2312"/>
          <w:b w:val="0"/>
          <w:bCs/>
          <w:sz w:val="24"/>
          <w:highlight w:val="none"/>
          <w:lang w:eastAsia="zh-CN"/>
        </w:rPr>
        <w:t>）</w:t>
      </w:r>
      <w:r>
        <w:rPr>
          <w:rFonts w:hint="eastAsia" w:ascii="楷体_GB2312" w:hAnsi="楷体" w:eastAsia="楷体_GB2312"/>
          <w:sz w:val="24"/>
          <w:highlight w:val="none"/>
        </w:rPr>
        <w:t>等</w:t>
      </w:r>
      <w:r>
        <w:rPr>
          <w:rFonts w:hint="eastAsia" w:ascii="楷体_GB2312" w:hAnsi="楷体" w:eastAsia="楷体_GB2312"/>
          <w:sz w:val="24"/>
          <w:highlight w:val="none"/>
          <w:lang w:val="en-US" w:eastAsia="zh-CN"/>
        </w:rPr>
        <w:t>本</w:t>
      </w:r>
      <w:r>
        <w:rPr>
          <w:rFonts w:hint="eastAsia" w:ascii="楷体_GB2312" w:hAnsi="楷体" w:eastAsia="楷体_GB2312"/>
          <w:sz w:val="24"/>
          <w:highlight w:val="none"/>
        </w:rPr>
        <w:t>理财产品完整销售文件，充分了解并清楚知晓</w:t>
      </w:r>
      <w:r>
        <w:rPr>
          <w:rFonts w:hint="eastAsia" w:ascii="楷体_GB2312" w:hAnsi="楷体" w:eastAsia="楷体_GB2312"/>
          <w:sz w:val="24"/>
          <w:highlight w:val="none"/>
          <w:lang w:val="en-US" w:eastAsia="zh-CN"/>
        </w:rPr>
        <w:t>本</w:t>
      </w:r>
      <w:r>
        <w:rPr>
          <w:rFonts w:hint="eastAsia" w:ascii="楷体_GB2312" w:hAnsi="楷体" w:eastAsia="楷体_GB2312"/>
          <w:sz w:val="24"/>
          <w:highlight w:val="none"/>
        </w:rPr>
        <w:t>理财产品的风险，愿意承担相关风险，接受</w:t>
      </w:r>
      <w:r>
        <w:rPr>
          <w:rFonts w:hint="eastAsia" w:ascii="楷体_GB2312" w:hAnsi="楷体" w:eastAsia="楷体_GB2312"/>
          <w:sz w:val="24"/>
          <w:highlight w:val="none"/>
          <w:lang w:val="en-US" w:eastAsia="zh-CN"/>
        </w:rPr>
        <w:t>本</w:t>
      </w:r>
      <w:r>
        <w:rPr>
          <w:rFonts w:hint="eastAsia" w:ascii="楷体_GB2312" w:hAnsi="楷体" w:eastAsia="楷体_GB2312"/>
          <w:sz w:val="24"/>
          <w:highlight w:val="none"/>
        </w:rPr>
        <w:t>理财产品完整销售文件的</w:t>
      </w:r>
      <w:r>
        <w:rPr>
          <w:rFonts w:hint="eastAsia" w:ascii="楷体_GB2312" w:hAnsi="楷体" w:eastAsia="楷体_GB2312"/>
          <w:sz w:val="24"/>
          <w:highlight w:val="none"/>
          <w:lang w:val="en-US" w:eastAsia="zh-CN"/>
        </w:rPr>
        <w:t>全部</w:t>
      </w:r>
      <w:r>
        <w:rPr>
          <w:rFonts w:hint="eastAsia" w:ascii="楷体_GB2312" w:hAnsi="楷体" w:eastAsia="楷体_GB2312"/>
          <w:sz w:val="24"/>
          <w:highlight w:val="none"/>
        </w:rPr>
        <w:t>内容。本人</w:t>
      </w:r>
      <w:r>
        <w:rPr>
          <w:rFonts w:ascii="楷体_GB2312" w:hAnsi="楷体" w:eastAsia="楷体_GB2312"/>
          <w:sz w:val="24"/>
          <w:highlight w:val="none"/>
        </w:rPr>
        <w:t>/</w:t>
      </w:r>
      <w:r>
        <w:rPr>
          <w:rFonts w:hint="eastAsia" w:ascii="楷体_GB2312" w:hAnsi="楷体" w:eastAsia="楷体_GB2312"/>
          <w:sz w:val="24"/>
          <w:highlight w:val="none"/>
        </w:rPr>
        <w:t>本公司（单位）</w:t>
      </w:r>
      <w:r>
        <w:rPr>
          <w:rFonts w:hint="eastAsia" w:ascii="楷体_GB2312" w:hAnsi="楷体" w:eastAsia="楷体_GB2312"/>
          <w:sz w:val="24"/>
          <w:highlight w:val="none"/>
          <w:lang w:eastAsia="zh-Hans"/>
        </w:rPr>
        <w:t>确认</w:t>
      </w:r>
      <w:r>
        <w:rPr>
          <w:rFonts w:hint="eastAsia" w:ascii="楷体_GB2312" w:hAnsi="楷体" w:eastAsia="楷体_GB2312"/>
          <w:sz w:val="24"/>
          <w:highlight w:val="none"/>
          <w:lang w:val="en-US" w:eastAsia="zh-CN"/>
        </w:rPr>
        <w:t>代理销售</w:t>
      </w:r>
      <w:r>
        <w:rPr>
          <w:rFonts w:hint="eastAsia" w:ascii="楷体_GB2312" w:hAnsi="楷体" w:eastAsia="楷体_GB2312"/>
          <w:sz w:val="24"/>
          <w:highlight w:val="none"/>
          <w:lang w:eastAsia="zh-Hans"/>
        </w:rPr>
        <w:t>机构对于</w:t>
      </w:r>
      <w:r>
        <w:rPr>
          <w:rFonts w:hint="eastAsia" w:ascii="楷体_GB2312" w:hAnsi="楷体" w:eastAsia="楷体_GB2312"/>
          <w:sz w:val="24"/>
          <w:highlight w:val="none"/>
          <w:lang w:eastAsia="zh-CN"/>
        </w:rPr>
        <w:t>《理财产品说明书》</w:t>
      </w:r>
      <w:r>
        <w:rPr>
          <w:rFonts w:hint="eastAsia" w:ascii="楷体_GB2312" w:hAnsi="楷体" w:eastAsia="楷体_GB2312"/>
          <w:sz w:val="24"/>
          <w:highlight w:val="none"/>
          <w:lang w:eastAsia="zh-Hans"/>
        </w:rPr>
        <w:t>中有关免除、限制产品管理人责任的条款，</w:t>
      </w:r>
      <w:r>
        <w:rPr>
          <w:rFonts w:hint="eastAsia" w:ascii="楷体_GB2312" w:hAnsi="楷体" w:eastAsia="楷体_GB2312"/>
          <w:sz w:val="24"/>
          <w:highlight w:val="none"/>
          <w:lang w:val="en-US" w:eastAsia="zh-CN"/>
        </w:rPr>
        <w:t>以及</w:t>
      </w:r>
      <w:r>
        <w:rPr>
          <w:rFonts w:hint="eastAsia" w:ascii="楷体_GB2312" w:hAnsi="楷体" w:eastAsia="楷体_GB2312"/>
          <w:sz w:val="24"/>
          <w:highlight w:val="none"/>
          <w:lang w:eastAsia="zh-Hans"/>
        </w:rPr>
        <w:t>产品管理人单方面拥有某些权利的条款已向</w:t>
      </w:r>
      <w:r>
        <w:rPr>
          <w:rFonts w:hint="eastAsia" w:ascii="楷体_GB2312" w:hAnsi="楷体" w:eastAsia="楷体_GB2312"/>
          <w:sz w:val="24"/>
          <w:highlight w:val="none"/>
        </w:rPr>
        <w:t>本人</w:t>
      </w:r>
      <w:r>
        <w:rPr>
          <w:rFonts w:ascii="楷体_GB2312" w:hAnsi="楷体" w:eastAsia="楷体_GB2312"/>
          <w:sz w:val="24"/>
          <w:highlight w:val="none"/>
        </w:rPr>
        <w:t>/</w:t>
      </w:r>
      <w:r>
        <w:rPr>
          <w:rFonts w:hint="eastAsia" w:ascii="楷体_GB2312" w:hAnsi="楷体" w:eastAsia="楷体_GB2312"/>
          <w:sz w:val="24"/>
          <w:highlight w:val="none"/>
        </w:rPr>
        <w:t>本公司（单位）</w:t>
      </w:r>
      <w:r>
        <w:rPr>
          <w:rFonts w:hint="eastAsia" w:ascii="楷体_GB2312" w:hAnsi="楷体" w:eastAsia="楷体_GB2312"/>
          <w:sz w:val="24"/>
          <w:highlight w:val="none"/>
          <w:lang w:eastAsia="zh-Hans"/>
        </w:rPr>
        <w:t>予以说明。</w:t>
      </w:r>
      <w:r>
        <w:rPr>
          <w:rFonts w:hint="eastAsia" w:ascii="楷体_GB2312" w:hAnsi="楷体" w:eastAsia="楷体_GB2312"/>
          <w:sz w:val="24"/>
          <w:highlight w:val="none"/>
        </w:rPr>
        <w:t>本人</w:t>
      </w:r>
      <w:r>
        <w:rPr>
          <w:rFonts w:ascii="楷体_GB2312" w:hAnsi="楷体" w:eastAsia="楷体_GB2312"/>
          <w:sz w:val="24"/>
          <w:highlight w:val="none"/>
        </w:rPr>
        <w:t>/</w:t>
      </w:r>
      <w:r>
        <w:rPr>
          <w:rFonts w:hint="eastAsia" w:ascii="楷体_GB2312" w:hAnsi="楷体" w:eastAsia="楷体_GB2312"/>
          <w:sz w:val="24"/>
          <w:highlight w:val="none"/>
        </w:rPr>
        <w:t>本公司（单位）确认理解</w:t>
      </w:r>
      <w:r>
        <w:rPr>
          <w:rFonts w:hint="eastAsia" w:ascii="楷体_GB2312" w:hAnsi="楷体" w:eastAsia="楷体_GB2312"/>
          <w:sz w:val="24"/>
          <w:highlight w:val="none"/>
          <w:lang w:val="en-US" w:eastAsia="zh-CN"/>
        </w:rPr>
        <w:t>并认可</w:t>
      </w:r>
      <w:r>
        <w:rPr>
          <w:rFonts w:hint="eastAsia" w:ascii="楷体_GB2312" w:hAnsi="楷体" w:eastAsia="楷体_GB2312"/>
          <w:sz w:val="24"/>
          <w:highlight w:val="none"/>
        </w:rPr>
        <w:t>投资本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rPr>
        <w:t>产品</w:t>
      </w:r>
      <w:r>
        <w:rPr>
          <w:rFonts w:hint="eastAsia" w:ascii="楷体_GB2312" w:hAnsi="楷体" w:eastAsia="楷体_GB2312"/>
          <w:sz w:val="24"/>
          <w:highlight w:val="none"/>
          <w:lang w:val="en-US" w:eastAsia="zh-CN"/>
        </w:rPr>
        <w:t>可能</w:t>
      </w:r>
      <w:r>
        <w:rPr>
          <w:rFonts w:hint="eastAsia" w:ascii="楷体_GB2312" w:hAnsi="楷体" w:eastAsia="楷体_GB2312"/>
          <w:sz w:val="24"/>
          <w:highlight w:val="none"/>
        </w:rPr>
        <w:t>涉及的所有风险，并将承担且有能力承担该等风险。</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rPr>
        <w:t>本人</w:t>
      </w:r>
      <w:r>
        <w:rPr>
          <w:rFonts w:ascii="楷体_GB2312" w:hAnsi="楷体" w:eastAsia="楷体_GB2312"/>
          <w:sz w:val="24"/>
          <w:highlight w:val="none"/>
        </w:rPr>
        <w:t>/</w:t>
      </w:r>
      <w:r>
        <w:rPr>
          <w:rFonts w:hint="eastAsia" w:ascii="楷体_GB2312" w:hAnsi="楷体" w:eastAsia="楷体_GB2312"/>
          <w:sz w:val="24"/>
          <w:highlight w:val="none"/>
        </w:rPr>
        <w:t>本公司（单位）购买本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rPr>
        <w:t>产品的资金为合法自有资金，不存在使用贷款、发行债券等筹集的非自有资金投资</w:t>
      </w:r>
      <w:r>
        <w:rPr>
          <w:rFonts w:hint="eastAsia" w:ascii="楷体_GB2312" w:hAnsi="楷体" w:eastAsia="楷体_GB2312"/>
          <w:sz w:val="24"/>
          <w:highlight w:val="none"/>
          <w:lang w:val="en-US" w:eastAsia="zh-CN"/>
        </w:rPr>
        <w:t>本</w:t>
      </w:r>
      <w:r>
        <w:rPr>
          <w:rFonts w:hint="eastAsia" w:ascii="楷体_GB2312" w:hAnsi="楷体" w:eastAsia="楷体_GB2312"/>
          <w:sz w:val="24"/>
          <w:highlight w:val="none"/>
        </w:rPr>
        <w:t>理财产品的情形，本人</w:t>
      </w:r>
      <w:r>
        <w:rPr>
          <w:rFonts w:ascii="楷体_GB2312" w:hAnsi="楷体" w:eastAsia="楷体_GB2312"/>
          <w:sz w:val="24"/>
          <w:highlight w:val="none"/>
        </w:rPr>
        <w:t>/</w:t>
      </w:r>
      <w:r>
        <w:rPr>
          <w:rFonts w:hint="eastAsia" w:ascii="楷体_GB2312" w:hAnsi="楷体" w:eastAsia="楷体_GB2312"/>
          <w:sz w:val="24"/>
          <w:highlight w:val="none"/>
        </w:rPr>
        <w:t>本公司（单位）承诺投资于本</w:t>
      </w:r>
      <w:r>
        <w:rPr>
          <w:rFonts w:hint="eastAsia" w:ascii="楷体_GB2312" w:hAnsi="楷体" w:eastAsia="楷体_GB2312"/>
          <w:sz w:val="24"/>
          <w:highlight w:val="none"/>
          <w:lang w:val="en-US" w:eastAsia="zh-CN"/>
        </w:rPr>
        <w:t>理财</w:t>
      </w:r>
      <w:r>
        <w:rPr>
          <w:rFonts w:hint="eastAsia" w:ascii="楷体_GB2312" w:hAnsi="楷体" w:eastAsia="楷体_GB2312"/>
          <w:sz w:val="24"/>
          <w:highlight w:val="none"/>
        </w:rPr>
        <w:t>产品使用的资金来源合法合规，并且系为合法之目的投资</w:t>
      </w:r>
      <w:r>
        <w:rPr>
          <w:rFonts w:hint="eastAsia" w:ascii="楷体_GB2312" w:hAnsi="楷体" w:eastAsia="楷体_GB2312"/>
          <w:sz w:val="24"/>
          <w:highlight w:val="none"/>
          <w:lang w:eastAsia="zh-CN"/>
        </w:rPr>
        <w:t>本理财产品</w:t>
      </w:r>
      <w:r>
        <w:rPr>
          <w:rFonts w:hint="eastAsia" w:ascii="楷体_GB2312" w:hAnsi="楷体" w:eastAsia="楷体_GB2312"/>
          <w:sz w:val="24"/>
          <w:highlight w:val="none"/>
        </w:rPr>
        <w:t>，而非为洗钱等违法违规之目的，本人</w:t>
      </w:r>
      <w:r>
        <w:rPr>
          <w:rFonts w:ascii="楷体_GB2312" w:hAnsi="楷体" w:eastAsia="楷体_GB2312"/>
          <w:sz w:val="24"/>
          <w:highlight w:val="none"/>
        </w:rPr>
        <w:t>/</w:t>
      </w:r>
      <w:r>
        <w:rPr>
          <w:rFonts w:hint="eastAsia" w:ascii="楷体_GB2312" w:hAnsi="楷体" w:eastAsia="楷体_GB2312"/>
          <w:sz w:val="24"/>
          <w:highlight w:val="none"/>
        </w:rPr>
        <w:t>本公司（单位）将配合</w:t>
      </w:r>
      <w:r>
        <w:rPr>
          <w:rFonts w:hint="eastAsia" w:ascii="楷体_GB2312" w:hAnsi="楷体" w:eastAsia="楷体_GB2312"/>
          <w:sz w:val="24"/>
          <w:highlight w:val="none"/>
          <w:lang w:eastAsia="zh-CN"/>
        </w:rPr>
        <w:t>产品管理人</w:t>
      </w:r>
      <w:r>
        <w:rPr>
          <w:rFonts w:hint="eastAsia" w:ascii="楷体_GB2312" w:hAnsi="楷体" w:eastAsia="楷体_GB2312"/>
          <w:sz w:val="24"/>
          <w:highlight w:val="none"/>
        </w:rPr>
        <w:t>或者</w:t>
      </w:r>
      <w:r>
        <w:rPr>
          <w:rFonts w:hint="eastAsia" w:ascii="楷体_GB2312" w:hAnsi="楷体" w:eastAsia="楷体_GB2312"/>
          <w:sz w:val="24"/>
          <w:highlight w:val="none"/>
          <w:lang w:val="en-US" w:eastAsia="zh-CN"/>
        </w:rPr>
        <w:t>代理销售</w:t>
      </w:r>
      <w:r>
        <w:rPr>
          <w:rFonts w:hint="eastAsia" w:ascii="楷体_GB2312" w:hAnsi="楷体" w:eastAsia="楷体_GB2312"/>
          <w:sz w:val="24"/>
          <w:highlight w:val="none"/>
        </w:rPr>
        <w:t>机构为反洗钱、反恐怖融资、制裁合规风险管理以及非居民金融账户涉税等</w:t>
      </w:r>
      <w:r>
        <w:rPr>
          <w:rFonts w:hint="eastAsia" w:ascii="楷体_GB2312" w:hAnsi="楷体" w:eastAsia="楷体_GB2312"/>
          <w:sz w:val="24"/>
          <w:highlight w:val="none"/>
          <w:lang w:val="en-US" w:eastAsia="zh-CN"/>
        </w:rPr>
        <w:t>目的</w:t>
      </w:r>
      <w:r>
        <w:rPr>
          <w:rFonts w:hint="eastAsia" w:ascii="楷体_GB2312" w:hAnsi="楷体" w:eastAsia="楷体_GB2312"/>
          <w:sz w:val="24"/>
          <w:highlight w:val="none"/>
        </w:rPr>
        <w:t>开展的尽职调查等措施，包括但不限于</w:t>
      </w:r>
      <w:r>
        <w:rPr>
          <w:rFonts w:hint="eastAsia" w:ascii="楷体_GB2312" w:hAnsi="楷体" w:eastAsia="楷体_GB2312"/>
          <w:sz w:val="24"/>
          <w:highlight w:val="none"/>
          <w:lang w:eastAsia="zh-CN"/>
        </w:rPr>
        <w:t>产品管理人</w:t>
      </w:r>
      <w:r>
        <w:rPr>
          <w:rFonts w:hint="eastAsia" w:ascii="楷体_GB2312" w:hAnsi="楷体" w:eastAsia="楷体_GB2312"/>
          <w:sz w:val="24"/>
          <w:highlight w:val="none"/>
        </w:rPr>
        <w:t>或</w:t>
      </w:r>
      <w:r>
        <w:rPr>
          <w:rFonts w:hint="eastAsia" w:ascii="楷体_GB2312" w:hAnsi="楷体" w:eastAsia="楷体_GB2312"/>
          <w:sz w:val="24"/>
          <w:highlight w:val="none"/>
          <w:lang w:val="en-US" w:eastAsia="zh-CN"/>
        </w:rPr>
        <w:t>代理销售</w:t>
      </w:r>
      <w:r>
        <w:rPr>
          <w:rFonts w:hint="eastAsia" w:ascii="楷体_GB2312" w:hAnsi="楷体" w:eastAsia="楷体_GB2312"/>
          <w:sz w:val="24"/>
          <w:highlight w:val="none"/>
        </w:rPr>
        <w:t>机构为前述目的所进行的投资者身份识别、风险评估与管理、大额交易与可疑交易报告、尽职调查等，并且本人</w:t>
      </w:r>
      <w:r>
        <w:rPr>
          <w:rFonts w:ascii="楷体_GB2312" w:hAnsi="楷体" w:eastAsia="楷体_GB2312"/>
          <w:sz w:val="24"/>
          <w:highlight w:val="none"/>
        </w:rPr>
        <w:t>/</w:t>
      </w:r>
      <w:r>
        <w:rPr>
          <w:rFonts w:hint="eastAsia" w:ascii="楷体_GB2312" w:hAnsi="楷体" w:eastAsia="楷体_GB2312"/>
          <w:sz w:val="24"/>
          <w:highlight w:val="none"/>
        </w:rPr>
        <w:t>本公司（单位）将及时、真实、准确、完整地向</w:t>
      </w:r>
      <w:r>
        <w:rPr>
          <w:rFonts w:hint="eastAsia" w:ascii="楷体_GB2312" w:hAnsi="楷体" w:eastAsia="楷体_GB2312"/>
          <w:sz w:val="24"/>
          <w:highlight w:val="none"/>
          <w:lang w:eastAsia="zh-CN"/>
        </w:rPr>
        <w:t>产品管理人</w:t>
      </w:r>
      <w:r>
        <w:rPr>
          <w:rFonts w:hint="eastAsia" w:ascii="楷体_GB2312" w:hAnsi="楷体" w:eastAsia="楷体_GB2312"/>
          <w:sz w:val="24"/>
          <w:highlight w:val="none"/>
        </w:rPr>
        <w:t>或</w:t>
      </w:r>
      <w:r>
        <w:rPr>
          <w:rFonts w:hint="eastAsia" w:ascii="楷体_GB2312" w:hAnsi="楷体" w:eastAsia="楷体_GB2312"/>
          <w:sz w:val="24"/>
          <w:highlight w:val="none"/>
          <w:lang w:val="en-US" w:eastAsia="zh-CN"/>
        </w:rPr>
        <w:t>代理销售</w:t>
      </w:r>
      <w:r>
        <w:rPr>
          <w:rFonts w:hint="eastAsia" w:ascii="楷体_GB2312" w:hAnsi="楷体" w:eastAsia="楷体_GB2312"/>
          <w:sz w:val="24"/>
          <w:highlight w:val="none"/>
        </w:rPr>
        <w:t>机构提供身份信息、资金来源信息以及前述措施所需要的各项信息。</w:t>
      </w:r>
    </w:p>
    <w:p>
      <w:pPr>
        <w:ind w:firstLine="480" w:firstLineChars="200"/>
        <w:rPr>
          <w:rFonts w:ascii="楷体_GB2312" w:hAnsi="楷体" w:eastAsia="楷体_GB2312"/>
          <w:sz w:val="24"/>
          <w:highlight w:val="none"/>
        </w:rPr>
      </w:pPr>
      <w:r>
        <w:rPr>
          <w:rFonts w:hint="eastAsia" w:ascii="楷体_GB2312" w:hAnsi="楷体" w:eastAsia="楷体_GB2312"/>
          <w:sz w:val="24"/>
          <w:highlight w:val="none"/>
        </w:rPr>
        <w:t>本人</w:t>
      </w:r>
      <w:r>
        <w:rPr>
          <w:rFonts w:ascii="楷体_GB2312" w:hAnsi="楷体" w:eastAsia="楷体_GB2312"/>
          <w:sz w:val="24"/>
          <w:highlight w:val="none"/>
        </w:rPr>
        <w:t>/</w:t>
      </w:r>
      <w:r>
        <w:rPr>
          <w:rFonts w:hint="eastAsia" w:ascii="楷体_GB2312" w:hAnsi="楷体" w:eastAsia="楷体_GB2312"/>
          <w:sz w:val="24"/>
          <w:highlight w:val="none"/>
        </w:rPr>
        <w:t>本公司（单位）知晓并确认，</w:t>
      </w:r>
      <w:r>
        <w:rPr>
          <w:rFonts w:hint="eastAsia" w:ascii="楷体_GB2312" w:hAnsi="楷体" w:eastAsia="楷体_GB2312"/>
          <w:sz w:val="24"/>
          <w:highlight w:val="none"/>
          <w:lang w:eastAsia="zh-CN"/>
        </w:rPr>
        <w:t>产品管理人</w:t>
      </w:r>
      <w:r>
        <w:rPr>
          <w:rFonts w:hint="eastAsia" w:ascii="楷体_GB2312" w:hAnsi="楷体" w:eastAsia="楷体_GB2312"/>
          <w:sz w:val="24"/>
          <w:highlight w:val="none"/>
        </w:rPr>
        <w:t>或</w:t>
      </w:r>
      <w:r>
        <w:rPr>
          <w:rFonts w:hint="eastAsia" w:ascii="楷体_GB2312" w:hAnsi="楷体" w:eastAsia="楷体_GB2312"/>
          <w:sz w:val="24"/>
          <w:highlight w:val="none"/>
          <w:lang w:val="en-US" w:eastAsia="zh-CN"/>
        </w:rPr>
        <w:t>代理销售</w:t>
      </w:r>
      <w:r>
        <w:rPr>
          <w:rFonts w:hint="eastAsia" w:ascii="楷体_GB2312" w:hAnsi="楷体" w:eastAsia="楷体_GB2312"/>
          <w:sz w:val="24"/>
          <w:highlight w:val="none"/>
        </w:rPr>
        <w:t>机构有权根据法律、法规和监管政策的变化而不时更新反洗钱、反恐怖融资、制裁合规风险管理等相关措施以及非居民金融账户涉税尽职调查要求，本人</w:t>
      </w:r>
      <w:r>
        <w:rPr>
          <w:rFonts w:ascii="楷体_GB2312" w:hAnsi="楷体" w:eastAsia="楷体_GB2312"/>
          <w:sz w:val="24"/>
          <w:highlight w:val="none"/>
        </w:rPr>
        <w:t>/</w:t>
      </w:r>
      <w:r>
        <w:rPr>
          <w:rFonts w:hint="eastAsia" w:ascii="楷体_GB2312" w:hAnsi="楷体" w:eastAsia="楷体_GB2312"/>
          <w:sz w:val="24"/>
          <w:highlight w:val="none"/>
        </w:rPr>
        <w:t>本公司（单位）将持续配合</w:t>
      </w:r>
      <w:r>
        <w:rPr>
          <w:rFonts w:hint="eastAsia" w:ascii="楷体_GB2312" w:hAnsi="楷体" w:eastAsia="楷体_GB2312"/>
          <w:sz w:val="24"/>
          <w:highlight w:val="none"/>
          <w:lang w:eastAsia="zh-CN"/>
        </w:rPr>
        <w:t>产品管理人</w:t>
      </w:r>
      <w:r>
        <w:rPr>
          <w:rFonts w:hint="eastAsia" w:ascii="楷体_GB2312" w:hAnsi="楷体" w:eastAsia="楷体_GB2312"/>
          <w:sz w:val="24"/>
          <w:highlight w:val="none"/>
        </w:rPr>
        <w:t>或</w:t>
      </w:r>
      <w:r>
        <w:rPr>
          <w:rFonts w:hint="eastAsia" w:ascii="楷体_GB2312" w:hAnsi="楷体" w:eastAsia="楷体_GB2312"/>
          <w:sz w:val="24"/>
          <w:highlight w:val="none"/>
          <w:lang w:val="en-US" w:eastAsia="zh-CN"/>
        </w:rPr>
        <w:t>代理销售</w:t>
      </w:r>
      <w:r>
        <w:rPr>
          <w:rFonts w:hint="eastAsia" w:ascii="楷体_GB2312" w:hAnsi="楷体" w:eastAsia="楷体_GB2312"/>
          <w:sz w:val="24"/>
          <w:highlight w:val="none"/>
        </w:rPr>
        <w:t>机构不时更新的措施和要求。若本人</w:t>
      </w:r>
      <w:r>
        <w:rPr>
          <w:rFonts w:ascii="楷体_GB2312" w:hAnsi="楷体" w:eastAsia="楷体_GB2312"/>
          <w:sz w:val="24"/>
          <w:highlight w:val="none"/>
        </w:rPr>
        <w:t>/</w:t>
      </w:r>
      <w:r>
        <w:rPr>
          <w:rFonts w:hint="eastAsia" w:ascii="楷体_GB2312" w:hAnsi="楷体" w:eastAsia="楷体_GB2312"/>
          <w:sz w:val="24"/>
          <w:highlight w:val="none"/>
        </w:rPr>
        <w:t>本公司（单位）未遵守前述各项承诺，或触发前述法律、法规和监管政策认定的风险事项，</w:t>
      </w:r>
      <w:r>
        <w:rPr>
          <w:rFonts w:hint="eastAsia" w:ascii="楷体_GB2312" w:hAnsi="楷体" w:eastAsia="楷体_GB2312"/>
          <w:sz w:val="24"/>
          <w:highlight w:val="none"/>
          <w:lang w:eastAsia="zh-CN"/>
        </w:rPr>
        <w:t>产品管理人</w:t>
      </w:r>
      <w:r>
        <w:rPr>
          <w:rFonts w:hint="eastAsia" w:ascii="楷体_GB2312" w:hAnsi="楷体" w:eastAsia="楷体_GB2312"/>
          <w:sz w:val="24"/>
          <w:highlight w:val="none"/>
        </w:rPr>
        <w:t>或</w:t>
      </w:r>
      <w:r>
        <w:rPr>
          <w:rFonts w:hint="eastAsia" w:ascii="楷体_GB2312" w:hAnsi="楷体" w:eastAsia="楷体_GB2312"/>
          <w:sz w:val="24"/>
          <w:highlight w:val="none"/>
          <w:lang w:val="en-US" w:eastAsia="zh-CN"/>
        </w:rPr>
        <w:t>代理销售</w:t>
      </w:r>
      <w:r>
        <w:rPr>
          <w:rFonts w:hint="eastAsia" w:ascii="楷体_GB2312" w:hAnsi="楷体" w:eastAsia="楷体_GB2312"/>
          <w:sz w:val="24"/>
          <w:highlight w:val="none"/>
        </w:rPr>
        <w:t>机构有权依据法律法规和监管要求采取相应措施，并有权</w:t>
      </w:r>
      <w:r>
        <w:rPr>
          <w:rFonts w:hint="eastAsia" w:ascii="楷体_GB2312" w:hAnsi="楷体" w:eastAsia="楷体_GB2312"/>
          <w:sz w:val="24"/>
          <w:highlight w:val="none"/>
          <w:lang w:val="en-US" w:eastAsia="zh-CN"/>
        </w:rPr>
        <w:t>单方面解除本</w:t>
      </w:r>
      <w:r>
        <w:rPr>
          <w:rFonts w:hint="eastAsia" w:ascii="楷体_GB2312" w:hAnsi="楷体" w:eastAsia="楷体_GB2312"/>
          <w:sz w:val="24"/>
          <w:highlight w:val="none"/>
        </w:rPr>
        <w:t>理财产品销售文件、强制赎回本人</w:t>
      </w:r>
      <w:r>
        <w:rPr>
          <w:rFonts w:ascii="楷体_GB2312" w:hAnsi="楷体" w:eastAsia="楷体_GB2312"/>
          <w:sz w:val="24"/>
          <w:highlight w:val="none"/>
        </w:rPr>
        <w:t>/</w:t>
      </w:r>
      <w:r>
        <w:rPr>
          <w:rFonts w:hint="eastAsia" w:ascii="楷体_GB2312" w:hAnsi="楷体" w:eastAsia="楷体_GB2312"/>
          <w:sz w:val="24"/>
          <w:highlight w:val="none"/>
        </w:rPr>
        <w:t>本公司（单位）届时持有的</w:t>
      </w:r>
      <w:r>
        <w:rPr>
          <w:rFonts w:hint="eastAsia" w:ascii="楷体_GB2312" w:hAnsi="楷体" w:eastAsia="楷体_GB2312"/>
          <w:sz w:val="24"/>
          <w:highlight w:val="none"/>
          <w:lang w:val="en-US" w:eastAsia="zh-CN"/>
        </w:rPr>
        <w:t>本</w:t>
      </w:r>
      <w:r>
        <w:rPr>
          <w:rFonts w:hint="eastAsia" w:ascii="楷体_GB2312" w:hAnsi="楷体" w:eastAsia="楷体_GB2312"/>
          <w:sz w:val="24"/>
          <w:highlight w:val="none"/>
        </w:rPr>
        <w:t>理财</w:t>
      </w:r>
      <w:r>
        <w:rPr>
          <w:rFonts w:hint="eastAsia" w:ascii="楷体_GB2312" w:hAnsi="楷体" w:eastAsia="楷体_GB2312"/>
          <w:sz w:val="24"/>
          <w:highlight w:val="none"/>
          <w:lang w:val="en-US" w:eastAsia="zh-CN"/>
        </w:rPr>
        <w:t>产品份额</w:t>
      </w:r>
      <w:r>
        <w:rPr>
          <w:rFonts w:hint="eastAsia" w:ascii="楷体_GB2312" w:hAnsi="楷体" w:eastAsia="楷体_GB2312"/>
          <w:sz w:val="24"/>
          <w:highlight w:val="none"/>
        </w:rPr>
        <w:t>而无需事先通知本人</w:t>
      </w:r>
      <w:r>
        <w:rPr>
          <w:rFonts w:ascii="楷体_GB2312" w:hAnsi="楷体" w:eastAsia="楷体_GB2312"/>
          <w:sz w:val="24"/>
          <w:highlight w:val="none"/>
        </w:rPr>
        <w:t>/</w:t>
      </w:r>
      <w:r>
        <w:rPr>
          <w:rFonts w:hint="eastAsia" w:ascii="楷体_GB2312" w:hAnsi="楷体" w:eastAsia="楷体_GB2312"/>
          <w:sz w:val="24"/>
          <w:highlight w:val="none"/>
        </w:rPr>
        <w:t>本公司（单位）或征得本人</w:t>
      </w:r>
      <w:r>
        <w:rPr>
          <w:rFonts w:ascii="楷体_GB2312" w:hAnsi="楷体" w:eastAsia="楷体_GB2312"/>
          <w:sz w:val="24"/>
          <w:highlight w:val="none"/>
        </w:rPr>
        <w:t>/</w:t>
      </w:r>
      <w:r>
        <w:rPr>
          <w:rFonts w:hint="eastAsia" w:ascii="楷体_GB2312" w:hAnsi="楷体" w:eastAsia="楷体_GB2312"/>
          <w:sz w:val="24"/>
          <w:highlight w:val="none"/>
        </w:rPr>
        <w:t>本公司（单位）的同意，本人</w:t>
      </w:r>
      <w:r>
        <w:rPr>
          <w:rFonts w:ascii="楷体_GB2312" w:hAnsi="楷体" w:eastAsia="楷体_GB2312"/>
          <w:sz w:val="24"/>
          <w:highlight w:val="none"/>
        </w:rPr>
        <w:t>/</w:t>
      </w:r>
      <w:r>
        <w:rPr>
          <w:rFonts w:hint="eastAsia" w:ascii="楷体_GB2312" w:hAnsi="楷体" w:eastAsia="楷体_GB2312"/>
          <w:sz w:val="24"/>
          <w:highlight w:val="none"/>
        </w:rPr>
        <w:t>本公司（单位）将自行承担该等后果（包括</w:t>
      </w:r>
      <w:r>
        <w:rPr>
          <w:rFonts w:hint="eastAsia" w:ascii="楷体_GB2312" w:hAnsi="楷体" w:eastAsia="楷体_GB2312"/>
          <w:sz w:val="24"/>
          <w:highlight w:val="none"/>
          <w:lang w:val="en-US" w:eastAsia="zh-CN"/>
        </w:rPr>
        <w:t>但不限于</w:t>
      </w:r>
      <w:r>
        <w:rPr>
          <w:rFonts w:hint="eastAsia" w:ascii="楷体_GB2312" w:hAnsi="楷体" w:eastAsia="楷体_GB2312"/>
          <w:sz w:val="24"/>
          <w:highlight w:val="none"/>
        </w:rPr>
        <w:t>遭受本金损失并丧失获得投资回报的机会等）。</w:t>
      </w:r>
    </w:p>
    <w:p>
      <w:pPr>
        <w:pStyle w:val="2"/>
        <w:rPr>
          <w:highlight w:val="none"/>
        </w:rPr>
      </w:pPr>
    </w:p>
    <w:p>
      <w:pPr>
        <w:ind w:firstLine="480" w:firstLineChars="200"/>
        <w:rPr>
          <w:rFonts w:hint="default" w:ascii="楷体_GB2312" w:hAnsi="楷体" w:eastAsia="楷体_GB2312" w:cs="Times New Roman"/>
          <w:color w:val="auto"/>
          <w:sz w:val="24"/>
          <w:highlight w:val="none"/>
        </w:rPr>
      </w:pPr>
    </w:p>
    <w:p>
      <w:pPr>
        <w:ind w:firstLine="480" w:firstLineChars="200"/>
        <w:rPr>
          <w:rFonts w:hint="default" w:ascii="楷体_GB2312" w:hAnsi="楷体" w:eastAsia="楷体_GB2312" w:cs="Times New Roman"/>
          <w:color w:val="auto"/>
          <w:kern w:val="2"/>
          <w:sz w:val="24"/>
          <w:highlight w:val="none"/>
        </w:rPr>
      </w:pPr>
      <w:r>
        <w:rPr>
          <w:rFonts w:hint="default" w:ascii="楷体_GB2312" w:hAnsi="楷体" w:eastAsia="楷体_GB2312" w:cs="Times New Roman"/>
          <w:color w:val="auto"/>
          <w:sz w:val="24"/>
          <w:highlight w:val="none"/>
        </w:rPr>
        <w:t>★</w:t>
      </w:r>
      <w:r>
        <w:rPr>
          <w:rFonts w:hint="default" w:ascii="楷体_GB2312" w:hAnsi="楷体" w:eastAsia="楷体_GB2312" w:cs="Times New Roman"/>
          <w:color w:val="auto"/>
          <w:kern w:val="2"/>
          <w:sz w:val="24"/>
          <w:highlight w:val="none"/>
        </w:rPr>
        <w:t>经</w:t>
      </w:r>
      <w:r>
        <w:rPr>
          <w:rFonts w:hint="default" w:ascii="楷体_GB2312" w:hAnsi="楷体" w:eastAsia="楷体_GB2312" w:cs="Times New Roman"/>
          <w:color w:val="auto"/>
          <w:sz w:val="24"/>
          <w:highlight w:val="none"/>
          <w:lang w:val="en-US" w:eastAsia="zh-CN"/>
        </w:rPr>
        <w:t>代理销售</w:t>
      </w:r>
      <w:r>
        <w:rPr>
          <w:rFonts w:hint="default" w:ascii="楷体_GB2312" w:hAnsi="楷体" w:eastAsia="楷体_GB2312" w:cs="Times New Roman"/>
          <w:color w:val="auto"/>
          <w:kern w:val="2"/>
          <w:sz w:val="24"/>
          <w:highlight w:val="none"/>
        </w:rPr>
        <w:t>机构评估，本人的风险承受能力</w:t>
      </w:r>
      <w:r>
        <w:rPr>
          <w:rFonts w:hint="default" w:ascii="楷体_GB2312" w:hAnsi="楷体" w:eastAsia="楷体_GB2312" w:cs="Times New Roman"/>
          <w:color w:val="auto"/>
          <w:kern w:val="2"/>
          <w:sz w:val="24"/>
          <w:highlight w:val="none"/>
          <w:lang w:val="en-US" w:eastAsia="zh-CN"/>
        </w:rPr>
        <w:t>评估</w:t>
      </w:r>
      <w:r>
        <w:rPr>
          <w:rFonts w:hint="default" w:ascii="楷体_GB2312" w:hAnsi="楷体" w:eastAsia="楷体_GB2312" w:cs="Times New Roman"/>
          <w:color w:val="auto"/>
          <w:kern w:val="2"/>
          <w:sz w:val="24"/>
          <w:highlight w:val="none"/>
        </w:rPr>
        <w:t>结果为</w:t>
      </w:r>
      <w:r>
        <w:rPr>
          <w:rFonts w:hint="eastAsia" w:ascii="楷体_GB2312" w:hAnsi="楷体" w:eastAsia="楷体_GB2312" w:cs="Times New Roman"/>
          <w:color w:val="auto"/>
          <w:kern w:val="2"/>
          <w:sz w:val="24"/>
          <w:highlight w:val="none"/>
        </w:rPr>
        <w:t>:__________</w:t>
      </w:r>
      <w:r>
        <w:rPr>
          <w:rFonts w:hint="default" w:ascii="楷体_GB2312" w:hAnsi="楷体" w:eastAsia="楷体_GB2312" w:cs="Times New Roman"/>
          <w:color w:val="auto"/>
          <w:kern w:val="2"/>
          <w:sz w:val="24"/>
          <w:highlight w:val="none"/>
          <w:lang w:eastAsia="zh-CN"/>
        </w:rPr>
        <w:t>（</w:t>
      </w:r>
      <w:r>
        <w:rPr>
          <w:rFonts w:hint="default" w:ascii="楷体_GB2312" w:hAnsi="楷体" w:eastAsia="楷体_GB2312" w:cs="Times New Roman"/>
          <w:color w:val="auto"/>
          <w:kern w:val="2"/>
          <w:sz w:val="24"/>
          <w:highlight w:val="none"/>
          <w:lang w:val="en-US" w:eastAsia="zh-CN"/>
        </w:rPr>
        <w:t>须个人投资者本人填写）</w:t>
      </w:r>
      <w:r>
        <w:rPr>
          <w:rFonts w:hint="default" w:ascii="楷体_GB2312" w:hAnsi="楷体" w:eastAsia="楷体_GB2312" w:cs="Times New Roman"/>
          <w:color w:val="auto"/>
          <w:kern w:val="2"/>
          <w:sz w:val="24"/>
          <w:highlight w:val="none"/>
        </w:rPr>
        <w:t>，</w:t>
      </w:r>
      <w:r>
        <w:rPr>
          <w:rFonts w:hint="default" w:ascii="楷体_GB2312" w:hAnsi="楷体" w:eastAsia="楷体_GB2312" w:cs="Times New Roman"/>
          <w:color w:val="auto"/>
          <w:kern w:val="2"/>
          <w:sz w:val="24"/>
          <w:highlight w:val="none"/>
          <w:lang w:val="en-US" w:eastAsia="zh-CN"/>
        </w:rPr>
        <w:t>风险承受能力等级不低于本理财产品的风险评级，适合购买本理财产品。</w:t>
      </w:r>
      <w:r>
        <w:rPr>
          <w:rFonts w:hint="default" w:ascii="楷体_GB2312" w:hAnsi="楷体" w:eastAsia="楷体_GB2312" w:cs="Times New Roman"/>
          <w:b/>
          <w:bCs/>
          <w:color w:val="auto"/>
          <w:kern w:val="2"/>
          <w:sz w:val="24"/>
          <w:highlight w:val="none"/>
        </w:rPr>
        <w:t>如超过一年未进行风险承受能力评估或影响本人风险承受能力的因素发生变化，本人将于再次购买理财产品时及时完成风险承受能力</w:t>
      </w:r>
      <w:r>
        <w:rPr>
          <w:rFonts w:hint="default" w:ascii="楷体_GB2312" w:hAnsi="楷体" w:eastAsia="楷体_GB2312" w:cs="Times New Roman"/>
          <w:b/>
          <w:bCs/>
          <w:color w:val="auto"/>
          <w:kern w:val="2"/>
          <w:sz w:val="24"/>
          <w:highlight w:val="none"/>
          <w:lang w:eastAsia="zh-CN"/>
        </w:rPr>
        <w:t>的重新</w:t>
      </w:r>
      <w:r>
        <w:rPr>
          <w:rFonts w:hint="default" w:ascii="楷体_GB2312" w:hAnsi="楷体" w:eastAsia="楷体_GB2312" w:cs="Times New Roman"/>
          <w:b/>
          <w:bCs/>
          <w:color w:val="auto"/>
          <w:kern w:val="2"/>
          <w:sz w:val="24"/>
          <w:highlight w:val="none"/>
        </w:rPr>
        <w:t>评估。</w:t>
      </w:r>
      <w:r>
        <w:rPr>
          <w:rFonts w:hint="default" w:ascii="楷体_GB2312" w:hAnsi="楷体" w:eastAsia="楷体_GB2312" w:cs="Times New Roman"/>
          <w:color w:val="auto"/>
          <w:kern w:val="2"/>
          <w:sz w:val="24"/>
          <w:highlight w:val="none"/>
        </w:rPr>
        <w:t>（个人投资者填写，机构投资者无需进行风险承受能力评估，无需填写。）</w:t>
      </w:r>
    </w:p>
    <w:p>
      <w:pPr>
        <w:pStyle w:val="2"/>
        <w:rPr>
          <w:rFonts w:hint="eastAsia" w:ascii="Times New Roman" w:hAnsi="Times New Roman" w:eastAsia="宋体" w:cs="Times New Roman"/>
          <w:kern w:val="0"/>
          <w:highlight w:val="none"/>
        </w:rPr>
      </w:pPr>
    </w:p>
    <w:p>
      <w:pPr>
        <w:pStyle w:val="31"/>
        <w:ind w:firstLine="480" w:firstLineChars="200"/>
        <w:rPr>
          <w:rFonts w:ascii="楷体_GB2312" w:hAnsi="楷体" w:eastAsia="楷体_GB2312" w:cs="Times New Roman"/>
          <w:b/>
          <w:bCs/>
          <w:color w:val="auto"/>
          <w:kern w:val="2"/>
          <w:highlight w:val="none"/>
        </w:rPr>
      </w:pPr>
      <w:r>
        <w:rPr>
          <w:rFonts w:hint="eastAsia" w:ascii="楷体_GB2312" w:hAnsi="楷体" w:eastAsia="楷体_GB2312"/>
          <w:highlight w:val="none"/>
        </w:rPr>
        <w:t>★</w:t>
      </w:r>
      <w:r>
        <w:rPr>
          <w:rFonts w:hint="eastAsia" w:ascii="楷体_GB2312" w:hAnsi="楷体" w:eastAsia="楷体_GB2312" w:cs="Times New Roman"/>
          <w:color w:val="auto"/>
          <w:kern w:val="2"/>
          <w:highlight w:val="none"/>
        </w:rPr>
        <w:t>须投资者亲笔抄录以下内容：</w:t>
      </w:r>
      <w:r>
        <w:rPr>
          <w:rFonts w:ascii="楷体_GB2312" w:hAnsi="楷体" w:eastAsia="楷体_GB2312" w:cs="Times New Roman"/>
          <w:b/>
          <w:bCs/>
          <w:color w:val="auto"/>
          <w:kern w:val="2"/>
          <w:highlight w:val="none"/>
        </w:rPr>
        <w:t>“</w:t>
      </w:r>
      <w:r>
        <w:rPr>
          <w:rFonts w:hint="eastAsia" w:ascii="楷体_GB2312" w:hAnsi="楷体" w:eastAsia="楷体_GB2312" w:cs="Times New Roman"/>
          <w:b/>
          <w:bCs/>
          <w:color w:val="auto"/>
          <w:kern w:val="2"/>
          <w:highlight w:val="none"/>
        </w:rPr>
        <w:t>本人</w:t>
      </w:r>
      <w:r>
        <w:rPr>
          <w:rFonts w:ascii="楷体_GB2312" w:hAnsi="楷体" w:eastAsia="楷体_GB2312" w:cs="Times New Roman"/>
          <w:b/>
          <w:bCs/>
          <w:color w:val="auto"/>
          <w:kern w:val="2"/>
          <w:highlight w:val="none"/>
        </w:rPr>
        <w:t>/</w:t>
      </w:r>
      <w:r>
        <w:rPr>
          <w:rFonts w:hint="eastAsia" w:ascii="楷体_GB2312" w:hAnsi="楷体" w:eastAsia="楷体_GB2312" w:cs="Times New Roman"/>
          <w:b/>
          <w:bCs/>
          <w:color w:val="auto"/>
          <w:kern w:val="2"/>
          <w:highlight w:val="none"/>
        </w:rPr>
        <w:t>本公司（</w:t>
      </w:r>
      <w:r>
        <w:rPr>
          <w:rFonts w:hint="eastAsia" w:ascii="楷体_GB2312" w:hAnsi="楷体" w:eastAsia="楷体_GB2312"/>
          <w:b/>
          <w:bCs/>
          <w:highlight w:val="none"/>
        </w:rPr>
        <w:t>单位</w:t>
      </w:r>
      <w:r>
        <w:rPr>
          <w:rFonts w:hint="eastAsia" w:ascii="楷体_GB2312" w:hAnsi="楷体" w:eastAsia="楷体_GB2312" w:cs="Times New Roman"/>
          <w:b/>
          <w:bCs/>
          <w:color w:val="auto"/>
          <w:kern w:val="2"/>
          <w:highlight w:val="none"/>
        </w:rPr>
        <w:t>）已经阅读风险揭示，</w:t>
      </w:r>
      <w:r>
        <w:rPr>
          <w:rFonts w:hint="eastAsia" w:ascii="楷体_GB2312" w:hAnsi="楷体" w:eastAsia="楷体_GB2312" w:cs="Times New Roman"/>
          <w:b/>
          <w:bCs/>
          <w:color w:val="auto"/>
          <w:kern w:val="2"/>
          <w:highlight w:val="none"/>
          <w:lang w:eastAsia="zh-Hans"/>
        </w:rPr>
        <w:t>充分了解并清楚知晓</w:t>
      </w:r>
      <w:r>
        <w:rPr>
          <w:rFonts w:hint="eastAsia" w:ascii="楷体_GB2312" w:hAnsi="楷体" w:eastAsia="楷体_GB2312" w:cs="Times New Roman"/>
          <w:b/>
          <w:bCs/>
          <w:color w:val="auto"/>
          <w:kern w:val="2"/>
          <w:highlight w:val="none"/>
          <w:lang w:eastAsia="zh-CN"/>
        </w:rPr>
        <w:t>本理财产品</w:t>
      </w:r>
      <w:r>
        <w:rPr>
          <w:rFonts w:hint="eastAsia" w:ascii="楷体_GB2312" w:hAnsi="楷体" w:eastAsia="楷体_GB2312" w:cs="Times New Roman"/>
          <w:b/>
          <w:bCs/>
          <w:color w:val="auto"/>
          <w:kern w:val="2"/>
          <w:highlight w:val="none"/>
          <w:lang w:eastAsia="zh-Hans"/>
        </w:rPr>
        <w:t>的风险，</w:t>
      </w:r>
      <w:r>
        <w:rPr>
          <w:rFonts w:hint="eastAsia" w:ascii="楷体_GB2312" w:hAnsi="楷体" w:eastAsia="楷体_GB2312" w:cs="Times New Roman"/>
          <w:b/>
          <w:bCs/>
          <w:color w:val="auto"/>
          <w:kern w:val="2"/>
          <w:highlight w:val="none"/>
        </w:rPr>
        <w:t>愿意承担投资风险。</w:t>
      </w:r>
      <w:r>
        <w:rPr>
          <w:rFonts w:ascii="楷体_GB2312" w:hAnsi="楷体" w:eastAsia="楷体_GB2312" w:cs="Times New Roman"/>
          <w:b/>
          <w:bCs/>
          <w:color w:val="auto"/>
          <w:kern w:val="2"/>
          <w:highlight w:val="none"/>
        </w:rPr>
        <w:t>”</w:t>
      </w:r>
    </w:p>
    <w:p>
      <w:pPr>
        <w:pStyle w:val="31"/>
        <w:pBdr>
          <w:bottom w:val="none" w:color="auto" w:sz="0" w:space="0"/>
        </w:pBdr>
        <w:rPr>
          <w:rFonts w:ascii="楷体_GB2312" w:hAnsi="楷体" w:eastAsia="楷体_GB2312" w:cs="Times New Roman"/>
          <w:color w:val="auto"/>
          <w:kern w:val="2"/>
          <w:highlight w:val="none"/>
        </w:rPr>
      </w:pPr>
    </w:p>
    <w:p>
      <w:pPr>
        <w:pStyle w:val="31"/>
        <w:pBdr>
          <w:top w:val="single" w:color="auto" w:sz="4" w:space="0"/>
          <w:bottom w:val="single" w:color="auto" w:sz="4" w:space="0"/>
        </w:pBdr>
        <w:rPr>
          <w:rFonts w:hint="eastAsia" w:ascii="楷体_GB2312" w:hAnsi="楷体" w:eastAsia="楷体_GB2312" w:cs="Times New Roman"/>
          <w:color w:val="auto"/>
          <w:kern w:val="2"/>
          <w:highlight w:val="none"/>
        </w:rPr>
      </w:pPr>
    </w:p>
    <w:p>
      <w:pPr>
        <w:pStyle w:val="31"/>
        <w:rPr>
          <w:rFonts w:hint="eastAsia" w:ascii="楷体_GB2312" w:hAnsi="楷体" w:eastAsia="楷体_GB2312" w:cs="Times New Roman"/>
          <w:color w:val="auto"/>
          <w:kern w:val="2"/>
          <w:highlight w:val="none"/>
        </w:rPr>
      </w:pPr>
    </w:p>
    <w:p>
      <w:pPr>
        <w:pStyle w:val="31"/>
        <w:rPr>
          <w:rFonts w:hint="eastAsia" w:ascii="楷体_GB2312" w:hAnsi="楷体" w:eastAsia="楷体_GB2312" w:cs="Times New Roman"/>
          <w:color w:val="auto"/>
          <w:kern w:val="2"/>
          <w:highlight w:val="none"/>
        </w:rPr>
      </w:pPr>
    </w:p>
    <w:p>
      <w:pPr>
        <w:pStyle w:val="31"/>
        <w:rPr>
          <w:rFonts w:hint="eastAsia" w:ascii="楷体_GB2312" w:hAnsi="楷体" w:eastAsia="楷体_GB2312" w:cs="Times New Roman"/>
          <w:color w:val="auto"/>
          <w:kern w:val="2"/>
          <w:highlight w:val="none"/>
        </w:rPr>
      </w:pPr>
    </w:p>
    <w:p>
      <w:pPr>
        <w:pStyle w:val="31"/>
        <w:rPr>
          <w:rFonts w:hint="eastAsia" w:ascii="楷体_GB2312" w:hAnsi="楷体" w:eastAsia="楷体_GB2312" w:cs="Times New Roman"/>
          <w:color w:val="auto"/>
          <w:kern w:val="2"/>
          <w:highlight w:val="none"/>
        </w:rPr>
      </w:pPr>
    </w:p>
    <w:p>
      <w:pPr>
        <w:pStyle w:val="31"/>
        <w:rPr>
          <w:rFonts w:hint="eastAsia" w:ascii="楷体_GB2312" w:hAnsi="楷体" w:eastAsia="楷体_GB2312" w:cs="Times New Roman"/>
          <w:color w:val="auto"/>
          <w:kern w:val="2"/>
          <w:highlight w:val="none"/>
        </w:rPr>
      </w:pPr>
    </w:p>
    <w:p>
      <w:pPr>
        <w:pStyle w:val="31"/>
        <w:rPr>
          <w:rFonts w:hint="eastAsia" w:ascii="楷体_GB2312" w:hAnsi="楷体" w:eastAsia="楷体_GB2312" w:cs="Times New Roman"/>
          <w:color w:val="auto"/>
          <w:kern w:val="2"/>
          <w:highlight w:val="none"/>
        </w:rPr>
      </w:pPr>
    </w:p>
    <w:p>
      <w:pPr>
        <w:pStyle w:val="31"/>
        <w:rPr>
          <w:rFonts w:hint="eastAsia" w:ascii="楷体_GB2312" w:hAnsi="楷体" w:eastAsia="楷体_GB2312" w:cs="Times New Roman"/>
          <w:color w:val="auto"/>
          <w:kern w:val="2"/>
          <w:highlight w:val="none"/>
        </w:rPr>
      </w:pPr>
    </w:p>
    <w:p>
      <w:pPr>
        <w:pStyle w:val="31"/>
        <w:ind w:right="1680"/>
        <w:jc w:val="right"/>
        <w:rPr>
          <w:rFonts w:ascii="楷体_GB2312" w:hAnsi="楷体" w:eastAsia="楷体_GB2312" w:cs="Times New Roman"/>
          <w:color w:val="auto"/>
          <w:kern w:val="2"/>
          <w:highlight w:val="none"/>
        </w:rPr>
      </w:pPr>
      <w:r>
        <w:rPr>
          <w:rFonts w:hint="eastAsia" w:ascii="楷体_GB2312" w:hAnsi="楷体" w:eastAsia="楷体_GB2312" w:cs="Times New Roman"/>
          <w:color w:val="auto"/>
          <w:kern w:val="2"/>
          <w:highlight w:val="none"/>
        </w:rPr>
        <w:t>个人投资者（签名）：</w:t>
      </w:r>
    </w:p>
    <w:p>
      <w:pPr>
        <w:pStyle w:val="31"/>
        <w:ind w:right="1680"/>
        <w:jc w:val="right"/>
        <w:rPr>
          <w:rFonts w:hint="eastAsia" w:ascii="楷体_GB2312" w:hAnsi="楷体" w:eastAsia="楷体_GB2312" w:cs="Times New Roman"/>
          <w:color w:val="auto"/>
          <w:kern w:val="2"/>
          <w:highlight w:val="none"/>
        </w:rPr>
      </w:pPr>
      <w:r>
        <w:rPr>
          <w:rFonts w:hint="eastAsia" w:ascii="楷体_GB2312" w:hAnsi="楷体" w:eastAsia="楷体_GB2312" w:cs="Times New Roman"/>
          <w:color w:val="auto"/>
          <w:kern w:val="2"/>
          <w:highlight w:val="none"/>
        </w:rPr>
        <w:t>日期：</w:t>
      </w:r>
    </w:p>
    <w:p>
      <w:pPr>
        <w:pStyle w:val="31"/>
        <w:ind w:right="1680"/>
        <w:jc w:val="right"/>
        <w:rPr>
          <w:rFonts w:hint="eastAsia" w:ascii="楷体_GB2312" w:hAnsi="楷体" w:eastAsia="楷体_GB2312" w:cs="Times New Roman"/>
          <w:color w:val="auto"/>
          <w:kern w:val="2"/>
          <w:highlight w:val="none"/>
        </w:rPr>
      </w:pPr>
    </w:p>
    <w:p>
      <w:pPr>
        <w:pStyle w:val="31"/>
        <w:ind w:right="1680"/>
        <w:jc w:val="right"/>
        <w:rPr>
          <w:rFonts w:hint="eastAsia" w:ascii="楷体_GB2312" w:hAnsi="楷体" w:eastAsia="楷体_GB2312" w:cs="Times New Roman"/>
          <w:color w:val="auto"/>
          <w:kern w:val="2"/>
          <w:highlight w:val="none"/>
        </w:rPr>
      </w:pPr>
    </w:p>
    <w:p>
      <w:pPr>
        <w:pStyle w:val="31"/>
        <w:ind w:right="1680"/>
        <w:jc w:val="right"/>
        <w:rPr>
          <w:rFonts w:hint="eastAsia" w:ascii="楷体_GB2312" w:hAnsi="楷体" w:eastAsia="楷体_GB2312" w:cs="Times New Roman"/>
          <w:color w:val="auto"/>
          <w:kern w:val="2"/>
          <w:highlight w:val="none"/>
        </w:rPr>
      </w:pPr>
    </w:p>
    <w:p>
      <w:pPr>
        <w:pStyle w:val="31"/>
        <w:ind w:right="1680"/>
        <w:jc w:val="right"/>
        <w:rPr>
          <w:rFonts w:hint="eastAsia" w:ascii="楷体_GB2312" w:hAnsi="楷体" w:eastAsia="楷体_GB2312" w:cs="Times New Roman"/>
          <w:color w:val="auto"/>
          <w:kern w:val="2"/>
          <w:highlight w:val="none"/>
        </w:rPr>
      </w:pPr>
    </w:p>
    <w:p>
      <w:pPr>
        <w:pStyle w:val="31"/>
        <w:ind w:right="1680"/>
        <w:jc w:val="right"/>
        <w:rPr>
          <w:rFonts w:hint="eastAsia" w:ascii="楷体_GB2312" w:hAnsi="楷体" w:eastAsia="楷体_GB2312" w:cs="Times New Roman"/>
          <w:color w:val="auto"/>
          <w:kern w:val="2"/>
          <w:highlight w:val="none"/>
        </w:rPr>
      </w:pPr>
    </w:p>
    <w:p>
      <w:pPr>
        <w:pStyle w:val="31"/>
        <w:ind w:right="1680"/>
        <w:jc w:val="right"/>
        <w:rPr>
          <w:rFonts w:hint="eastAsia" w:ascii="楷体_GB2312" w:hAnsi="楷体" w:eastAsia="楷体_GB2312" w:cs="Times New Roman"/>
          <w:color w:val="auto"/>
          <w:kern w:val="2"/>
          <w:highlight w:val="none"/>
        </w:rPr>
      </w:pPr>
    </w:p>
    <w:p>
      <w:pPr>
        <w:pStyle w:val="31"/>
        <w:ind w:right="1680"/>
        <w:jc w:val="right"/>
        <w:rPr>
          <w:rFonts w:hint="eastAsia" w:ascii="楷体_GB2312" w:hAnsi="楷体" w:eastAsia="楷体_GB2312" w:cs="Times New Roman"/>
          <w:color w:val="auto"/>
          <w:kern w:val="2"/>
          <w:highlight w:val="none"/>
        </w:rPr>
      </w:pPr>
    </w:p>
    <w:p>
      <w:pPr>
        <w:pStyle w:val="31"/>
        <w:ind w:right="1680"/>
        <w:jc w:val="right"/>
        <w:rPr>
          <w:rFonts w:hint="eastAsia" w:ascii="楷体_GB2312" w:hAnsi="楷体" w:eastAsia="楷体_GB2312" w:cs="Times New Roman"/>
          <w:color w:val="auto"/>
          <w:kern w:val="2"/>
          <w:highlight w:val="none"/>
        </w:rPr>
      </w:pPr>
    </w:p>
    <w:p>
      <w:pPr>
        <w:pStyle w:val="31"/>
        <w:ind w:right="1680"/>
        <w:jc w:val="right"/>
        <w:rPr>
          <w:rFonts w:ascii="楷体_GB2312" w:hAnsi="楷体" w:eastAsia="楷体_GB2312" w:cs="Times New Roman"/>
          <w:color w:val="auto"/>
          <w:kern w:val="2"/>
          <w:highlight w:val="none"/>
        </w:rPr>
      </w:pPr>
      <w:r>
        <w:rPr>
          <w:rFonts w:hint="eastAsia" w:ascii="楷体_GB2312" w:hAnsi="楷体" w:eastAsia="楷体_GB2312" w:cs="Times New Roman"/>
          <w:color w:val="auto"/>
          <w:kern w:val="2"/>
          <w:highlight w:val="none"/>
        </w:rPr>
        <w:t>机构投资者（盖章）：</w:t>
      </w:r>
    </w:p>
    <w:p>
      <w:pPr>
        <w:pStyle w:val="31"/>
        <w:ind w:right="480" w:firstLine="1200" w:firstLineChars="500"/>
        <w:jc w:val="both"/>
        <w:rPr>
          <w:rFonts w:hint="eastAsia" w:ascii="楷体_GB2312" w:hAnsi="楷体" w:eastAsia="楷体_GB2312" w:cs="Times New Roman"/>
          <w:color w:val="auto"/>
          <w:kern w:val="2"/>
          <w:highlight w:val="none"/>
        </w:rPr>
      </w:pPr>
      <w:r>
        <w:rPr>
          <w:rFonts w:hint="eastAsia" w:ascii="楷体_GB2312" w:hAnsi="楷体" w:eastAsia="楷体_GB2312" w:cs="Times New Roman"/>
          <w:color w:val="auto"/>
          <w:kern w:val="2"/>
          <w:highlight w:val="none"/>
        </w:rPr>
        <w:t>机构投资者法定代表人或授权代表（签名或盖章）：</w:t>
      </w:r>
    </w:p>
    <w:p>
      <w:pPr>
        <w:pStyle w:val="31"/>
        <w:ind w:right="480" w:firstLine="1200" w:firstLineChars="500"/>
        <w:jc w:val="both"/>
        <w:rPr>
          <w:rFonts w:ascii="黑体" w:eastAsia="黑体"/>
          <w:b/>
          <w:bCs/>
          <w:sz w:val="30"/>
          <w:szCs w:val="30"/>
          <w:highlight w:val="none"/>
        </w:rPr>
      </w:pPr>
      <w:r>
        <w:rPr>
          <w:rFonts w:hint="eastAsia" w:ascii="楷体_GB2312" w:hAnsi="楷体" w:eastAsia="楷体_GB2312" w:cs="Times New Roman"/>
          <w:color w:val="auto"/>
          <w:kern w:val="2"/>
          <w:highlight w:val="none"/>
        </w:rPr>
        <w:t xml:space="preserve">                                       日期：</w:t>
      </w:r>
    </w:p>
    <w:p>
      <w:pPr>
        <w:pStyle w:val="31"/>
        <w:ind w:right="480"/>
        <w:rPr>
          <w:rFonts w:ascii="楷体_GB2312" w:hAnsi="楷体" w:eastAsia="楷体_GB231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moder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Tahoma">
    <w:panose1 w:val="020B0604030504040204"/>
    <w:charset w:val="00"/>
    <w:family w:val="decorative"/>
    <w:pitch w:val="default"/>
    <w:sig w:usb0="E1002EFF" w:usb1="C000605B" w:usb2="00000029" w:usb3="00000000" w:csb0="200101FF" w:csb1="20280000"/>
  </w:font>
  <w:font w:name="楷体">
    <w:panose1 w:val="02010609060101010101"/>
    <w:charset w:val="86"/>
    <w:family w:val="swiss"/>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swiss"/>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3877"/>
    </w:sdtPr>
    <w:sdtContent>
      <w:sdt>
        <w:sdtPr>
          <w:id w:val="171357217"/>
        </w:sdtPr>
        <w:sdtContent>
          <w:p>
            <w:pPr>
              <w:pStyle w:val="1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41</w:t>
            </w:r>
            <w:r>
              <w:rPr>
                <w:b/>
                <w:sz w:val="24"/>
                <w:szCs w:val="24"/>
              </w:rPr>
              <w:fldChar w:fldCharType="end"/>
            </w:r>
          </w:p>
        </w:sdtContent>
      </w:sdt>
    </w:sdtContent>
  </w:sdt>
  <w:p>
    <w:pPr>
      <w:pStyle w:val="12"/>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u w:val="single"/>
      </w:rPr>
    </w:pPr>
    <w:r>
      <w:rPr>
        <w:rFonts w:hint="eastAsia" w:ascii="黑体" w:hAnsi="黑体" w:eastAsia="黑体"/>
        <w:b/>
      </w:rPr>
      <w:t>北银理财·京华远见</w:t>
    </w:r>
    <w:r>
      <w:rPr>
        <w:rFonts w:hint="eastAsia" w:ascii="黑体" w:hAnsi="黑体" w:eastAsia="黑体"/>
        <w:b/>
        <w:lang w:val="en-US" w:eastAsia="zh-CN"/>
      </w:rPr>
      <w:t>春系列诚享</w:t>
    </w:r>
    <w:r>
      <w:rPr>
        <w:rFonts w:hint="eastAsia" w:ascii="黑体" w:hAnsi="黑体" w:eastAsia="黑体"/>
        <w:b/>
      </w:rPr>
      <w:t xml:space="preserve">持有期      </w:t>
    </w:r>
    <w:r>
      <w:rPr>
        <w:rFonts w:hint="eastAsia" w:ascii="黑体" w:hAnsi="黑体" w:eastAsia="黑体"/>
        <w:b/>
        <w:sz w:val="24"/>
        <w:szCs w:val="32"/>
      </w:rPr>
      <w:t>理财非存款，产品有风险，投资须谨慎！</w:t>
    </w:r>
    <w:r>
      <w:rPr>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F8D4F9"/>
    <w:multiLevelType w:val="singleLevel"/>
    <w:tmpl w:val="FCF8D4F9"/>
    <w:lvl w:ilvl="0" w:tentative="0">
      <w:start w:val="6"/>
      <w:numFmt w:val="chineseCounting"/>
      <w:suff w:val="nothing"/>
      <w:lvlText w:val="（%1）"/>
      <w:lvlJc w:val="left"/>
      <w:rPr>
        <w:rFonts w:hint="eastAsia"/>
      </w:rPr>
    </w:lvl>
  </w:abstractNum>
  <w:abstractNum w:abstractNumId="1">
    <w:nsid w:val="6530CAE5"/>
    <w:multiLevelType w:val="singleLevel"/>
    <w:tmpl w:val="6530CAE5"/>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A65"/>
    <w:rsid w:val="0001130F"/>
    <w:rsid w:val="00023027"/>
    <w:rsid w:val="00023624"/>
    <w:rsid w:val="00023E25"/>
    <w:rsid w:val="00031959"/>
    <w:rsid w:val="0004142F"/>
    <w:rsid w:val="00042AB1"/>
    <w:rsid w:val="00073152"/>
    <w:rsid w:val="00075959"/>
    <w:rsid w:val="000927EA"/>
    <w:rsid w:val="000A6512"/>
    <w:rsid w:val="000B06F2"/>
    <w:rsid w:val="000B4AAB"/>
    <w:rsid w:val="000B4F4A"/>
    <w:rsid w:val="000E1184"/>
    <w:rsid w:val="000F1B5E"/>
    <w:rsid w:val="0010341C"/>
    <w:rsid w:val="00114FA2"/>
    <w:rsid w:val="00127573"/>
    <w:rsid w:val="00133A37"/>
    <w:rsid w:val="0013433A"/>
    <w:rsid w:val="00135BA4"/>
    <w:rsid w:val="00136EE0"/>
    <w:rsid w:val="00140605"/>
    <w:rsid w:val="0014653B"/>
    <w:rsid w:val="0016438C"/>
    <w:rsid w:val="001A19A8"/>
    <w:rsid w:val="001A1AF2"/>
    <w:rsid w:val="001A4AA4"/>
    <w:rsid w:val="001D2398"/>
    <w:rsid w:val="001D298D"/>
    <w:rsid w:val="001D6E08"/>
    <w:rsid w:val="001E4E0A"/>
    <w:rsid w:val="002108E2"/>
    <w:rsid w:val="0021550A"/>
    <w:rsid w:val="00216360"/>
    <w:rsid w:val="00235432"/>
    <w:rsid w:val="0023619B"/>
    <w:rsid w:val="00240AB8"/>
    <w:rsid w:val="00251C33"/>
    <w:rsid w:val="00265479"/>
    <w:rsid w:val="002A495F"/>
    <w:rsid w:val="002B4144"/>
    <w:rsid w:val="002B4FF6"/>
    <w:rsid w:val="002C6A5C"/>
    <w:rsid w:val="002D1A2E"/>
    <w:rsid w:val="002D5B8E"/>
    <w:rsid w:val="002F3E26"/>
    <w:rsid w:val="00300B76"/>
    <w:rsid w:val="00301B4C"/>
    <w:rsid w:val="00304018"/>
    <w:rsid w:val="00306DF0"/>
    <w:rsid w:val="00311054"/>
    <w:rsid w:val="00312DEE"/>
    <w:rsid w:val="00312FBA"/>
    <w:rsid w:val="0031305A"/>
    <w:rsid w:val="00314971"/>
    <w:rsid w:val="00316E6E"/>
    <w:rsid w:val="00346B0F"/>
    <w:rsid w:val="00354BD8"/>
    <w:rsid w:val="00365415"/>
    <w:rsid w:val="00367620"/>
    <w:rsid w:val="00370C09"/>
    <w:rsid w:val="00383602"/>
    <w:rsid w:val="00383738"/>
    <w:rsid w:val="0038646E"/>
    <w:rsid w:val="0039453C"/>
    <w:rsid w:val="00395CDA"/>
    <w:rsid w:val="003B62AA"/>
    <w:rsid w:val="003D08CE"/>
    <w:rsid w:val="003D5C4E"/>
    <w:rsid w:val="003E35AE"/>
    <w:rsid w:val="0040047D"/>
    <w:rsid w:val="00402C91"/>
    <w:rsid w:val="00407BFC"/>
    <w:rsid w:val="00413047"/>
    <w:rsid w:val="00417689"/>
    <w:rsid w:val="0041771D"/>
    <w:rsid w:val="00436F86"/>
    <w:rsid w:val="004568C0"/>
    <w:rsid w:val="00463041"/>
    <w:rsid w:val="004635B0"/>
    <w:rsid w:val="0047342B"/>
    <w:rsid w:val="0047354A"/>
    <w:rsid w:val="0047635F"/>
    <w:rsid w:val="00480F5E"/>
    <w:rsid w:val="004918CA"/>
    <w:rsid w:val="00491F21"/>
    <w:rsid w:val="00493993"/>
    <w:rsid w:val="004967C7"/>
    <w:rsid w:val="004A19BD"/>
    <w:rsid w:val="004A7006"/>
    <w:rsid w:val="004C3397"/>
    <w:rsid w:val="004D17AB"/>
    <w:rsid w:val="004E1624"/>
    <w:rsid w:val="004E4340"/>
    <w:rsid w:val="004F098A"/>
    <w:rsid w:val="004F1F50"/>
    <w:rsid w:val="005002F1"/>
    <w:rsid w:val="005132A5"/>
    <w:rsid w:val="00516B28"/>
    <w:rsid w:val="00517AD7"/>
    <w:rsid w:val="00520D2F"/>
    <w:rsid w:val="00530E7E"/>
    <w:rsid w:val="00537946"/>
    <w:rsid w:val="00546347"/>
    <w:rsid w:val="0056230B"/>
    <w:rsid w:val="00562769"/>
    <w:rsid w:val="005837A2"/>
    <w:rsid w:val="00583A81"/>
    <w:rsid w:val="005A2C68"/>
    <w:rsid w:val="005B2D06"/>
    <w:rsid w:val="005C004E"/>
    <w:rsid w:val="005C21F3"/>
    <w:rsid w:val="005C460A"/>
    <w:rsid w:val="005D4317"/>
    <w:rsid w:val="005D6C65"/>
    <w:rsid w:val="005E0942"/>
    <w:rsid w:val="005E25BF"/>
    <w:rsid w:val="005F24B4"/>
    <w:rsid w:val="005F586A"/>
    <w:rsid w:val="00613C69"/>
    <w:rsid w:val="006214FF"/>
    <w:rsid w:val="00642C17"/>
    <w:rsid w:val="00643A8B"/>
    <w:rsid w:val="0064575E"/>
    <w:rsid w:val="00651CC1"/>
    <w:rsid w:val="00660403"/>
    <w:rsid w:val="00661AF1"/>
    <w:rsid w:val="00662142"/>
    <w:rsid w:val="00666B61"/>
    <w:rsid w:val="006732E2"/>
    <w:rsid w:val="006772DB"/>
    <w:rsid w:val="006818F7"/>
    <w:rsid w:val="0068343D"/>
    <w:rsid w:val="006A29F2"/>
    <w:rsid w:val="006A6A7E"/>
    <w:rsid w:val="006B218B"/>
    <w:rsid w:val="006B5AA6"/>
    <w:rsid w:val="006B7B80"/>
    <w:rsid w:val="006D105A"/>
    <w:rsid w:val="006D5AAE"/>
    <w:rsid w:val="006D6E4E"/>
    <w:rsid w:val="006E4400"/>
    <w:rsid w:val="006F7466"/>
    <w:rsid w:val="007042CA"/>
    <w:rsid w:val="007076AB"/>
    <w:rsid w:val="00714088"/>
    <w:rsid w:val="007156F1"/>
    <w:rsid w:val="0072662A"/>
    <w:rsid w:val="00730D15"/>
    <w:rsid w:val="007326F9"/>
    <w:rsid w:val="00737904"/>
    <w:rsid w:val="00742805"/>
    <w:rsid w:val="007449E2"/>
    <w:rsid w:val="00751EF9"/>
    <w:rsid w:val="00764E4A"/>
    <w:rsid w:val="00771F9A"/>
    <w:rsid w:val="007758DF"/>
    <w:rsid w:val="00785E98"/>
    <w:rsid w:val="0079317D"/>
    <w:rsid w:val="007B1BB4"/>
    <w:rsid w:val="007C57DF"/>
    <w:rsid w:val="007D5C91"/>
    <w:rsid w:val="007E7F92"/>
    <w:rsid w:val="007F4838"/>
    <w:rsid w:val="008007B8"/>
    <w:rsid w:val="00804CF5"/>
    <w:rsid w:val="00817013"/>
    <w:rsid w:val="008304FE"/>
    <w:rsid w:val="0083501E"/>
    <w:rsid w:val="008407B3"/>
    <w:rsid w:val="00841AE4"/>
    <w:rsid w:val="0085183C"/>
    <w:rsid w:val="0086543F"/>
    <w:rsid w:val="00867416"/>
    <w:rsid w:val="0086797D"/>
    <w:rsid w:val="00886947"/>
    <w:rsid w:val="00886B4B"/>
    <w:rsid w:val="00887ECE"/>
    <w:rsid w:val="00890461"/>
    <w:rsid w:val="008A24E0"/>
    <w:rsid w:val="008A3465"/>
    <w:rsid w:val="008A402A"/>
    <w:rsid w:val="008A4FEB"/>
    <w:rsid w:val="008C345E"/>
    <w:rsid w:val="008D4619"/>
    <w:rsid w:val="008F4FFE"/>
    <w:rsid w:val="00904CBF"/>
    <w:rsid w:val="00905A53"/>
    <w:rsid w:val="00905C80"/>
    <w:rsid w:val="009210EF"/>
    <w:rsid w:val="00922C2C"/>
    <w:rsid w:val="00954C27"/>
    <w:rsid w:val="009655CF"/>
    <w:rsid w:val="00976980"/>
    <w:rsid w:val="00980936"/>
    <w:rsid w:val="009842AA"/>
    <w:rsid w:val="00992AA6"/>
    <w:rsid w:val="009963DD"/>
    <w:rsid w:val="009A0DE1"/>
    <w:rsid w:val="009C743C"/>
    <w:rsid w:val="00A038AD"/>
    <w:rsid w:val="00A135BD"/>
    <w:rsid w:val="00A13F5F"/>
    <w:rsid w:val="00A151D8"/>
    <w:rsid w:val="00A172CA"/>
    <w:rsid w:val="00A20990"/>
    <w:rsid w:val="00A2116A"/>
    <w:rsid w:val="00A241C7"/>
    <w:rsid w:val="00A367FB"/>
    <w:rsid w:val="00A373A1"/>
    <w:rsid w:val="00A4170F"/>
    <w:rsid w:val="00A459AA"/>
    <w:rsid w:val="00A46F50"/>
    <w:rsid w:val="00A51270"/>
    <w:rsid w:val="00A52DF4"/>
    <w:rsid w:val="00A54C05"/>
    <w:rsid w:val="00A72E56"/>
    <w:rsid w:val="00A91EE4"/>
    <w:rsid w:val="00A9221B"/>
    <w:rsid w:val="00A95A3E"/>
    <w:rsid w:val="00AA1629"/>
    <w:rsid w:val="00AA6C1B"/>
    <w:rsid w:val="00AB4F9B"/>
    <w:rsid w:val="00AC773E"/>
    <w:rsid w:val="00AD5617"/>
    <w:rsid w:val="00AD619A"/>
    <w:rsid w:val="00B0445A"/>
    <w:rsid w:val="00B04631"/>
    <w:rsid w:val="00B06084"/>
    <w:rsid w:val="00B35CAA"/>
    <w:rsid w:val="00B47D72"/>
    <w:rsid w:val="00B52BA3"/>
    <w:rsid w:val="00B535BC"/>
    <w:rsid w:val="00B6532C"/>
    <w:rsid w:val="00B76749"/>
    <w:rsid w:val="00B93B6A"/>
    <w:rsid w:val="00BA0A18"/>
    <w:rsid w:val="00BA6061"/>
    <w:rsid w:val="00BB0A85"/>
    <w:rsid w:val="00BB34B4"/>
    <w:rsid w:val="00BB6E39"/>
    <w:rsid w:val="00BB6F2B"/>
    <w:rsid w:val="00BC7957"/>
    <w:rsid w:val="00BF4171"/>
    <w:rsid w:val="00BF7A7C"/>
    <w:rsid w:val="00C02489"/>
    <w:rsid w:val="00C12C47"/>
    <w:rsid w:val="00C138D1"/>
    <w:rsid w:val="00C173B0"/>
    <w:rsid w:val="00C2692B"/>
    <w:rsid w:val="00C27F49"/>
    <w:rsid w:val="00C43892"/>
    <w:rsid w:val="00C448C8"/>
    <w:rsid w:val="00C451F7"/>
    <w:rsid w:val="00C52634"/>
    <w:rsid w:val="00C64B32"/>
    <w:rsid w:val="00C64F34"/>
    <w:rsid w:val="00C708A7"/>
    <w:rsid w:val="00C76286"/>
    <w:rsid w:val="00C7668C"/>
    <w:rsid w:val="00C816AD"/>
    <w:rsid w:val="00C96F19"/>
    <w:rsid w:val="00CB0B96"/>
    <w:rsid w:val="00CD1DD1"/>
    <w:rsid w:val="00CE0A91"/>
    <w:rsid w:val="00CF62F3"/>
    <w:rsid w:val="00CF6E3A"/>
    <w:rsid w:val="00CF7E1D"/>
    <w:rsid w:val="00D01A6B"/>
    <w:rsid w:val="00D171E4"/>
    <w:rsid w:val="00D26758"/>
    <w:rsid w:val="00D338B6"/>
    <w:rsid w:val="00D5110D"/>
    <w:rsid w:val="00D708E7"/>
    <w:rsid w:val="00D710D9"/>
    <w:rsid w:val="00D870C8"/>
    <w:rsid w:val="00DA0167"/>
    <w:rsid w:val="00DD33B7"/>
    <w:rsid w:val="00DD5596"/>
    <w:rsid w:val="00DE01E8"/>
    <w:rsid w:val="00DE2FA6"/>
    <w:rsid w:val="00DE6793"/>
    <w:rsid w:val="00DF2EB8"/>
    <w:rsid w:val="00DF7384"/>
    <w:rsid w:val="00E3462F"/>
    <w:rsid w:val="00E400F5"/>
    <w:rsid w:val="00E422E0"/>
    <w:rsid w:val="00E61B7C"/>
    <w:rsid w:val="00E64230"/>
    <w:rsid w:val="00E7504C"/>
    <w:rsid w:val="00E7566B"/>
    <w:rsid w:val="00E942AD"/>
    <w:rsid w:val="00E952E0"/>
    <w:rsid w:val="00E97BCC"/>
    <w:rsid w:val="00EA0FD4"/>
    <w:rsid w:val="00EA2AD4"/>
    <w:rsid w:val="00EB5E71"/>
    <w:rsid w:val="00EB7005"/>
    <w:rsid w:val="00EC055B"/>
    <w:rsid w:val="00ED2FC8"/>
    <w:rsid w:val="00EE18EB"/>
    <w:rsid w:val="00EE51C9"/>
    <w:rsid w:val="00EF6EAF"/>
    <w:rsid w:val="00F00CDC"/>
    <w:rsid w:val="00F05DCE"/>
    <w:rsid w:val="00F24F48"/>
    <w:rsid w:val="00F36736"/>
    <w:rsid w:val="00F37052"/>
    <w:rsid w:val="00F42817"/>
    <w:rsid w:val="00F43D36"/>
    <w:rsid w:val="00F4490E"/>
    <w:rsid w:val="00F47DEE"/>
    <w:rsid w:val="00F510F3"/>
    <w:rsid w:val="00F52590"/>
    <w:rsid w:val="00F82D20"/>
    <w:rsid w:val="00F92BA9"/>
    <w:rsid w:val="00FA2A28"/>
    <w:rsid w:val="00FA74DF"/>
    <w:rsid w:val="00FB0648"/>
    <w:rsid w:val="00FC114A"/>
    <w:rsid w:val="00FC1917"/>
    <w:rsid w:val="00FC2733"/>
    <w:rsid w:val="00FC36E0"/>
    <w:rsid w:val="00FC4E48"/>
    <w:rsid w:val="00FC796E"/>
    <w:rsid w:val="00FD02F6"/>
    <w:rsid w:val="00FD2F6B"/>
    <w:rsid w:val="00FD5F1B"/>
    <w:rsid w:val="00FD61D0"/>
    <w:rsid w:val="00FE1DB6"/>
    <w:rsid w:val="00FF1667"/>
    <w:rsid w:val="0106671B"/>
    <w:rsid w:val="01374E54"/>
    <w:rsid w:val="013B4944"/>
    <w:rsid w:val="01F66A58"/>
    <w:rsid w:val="021F2974"/>
    <w:rsid w:val="028D1981"/>
    <w:rsid w:val="0370113C"/>
    <w:rsid w:val="042D3AC1"/>
    <w:rsid w:val="044D11B2"/>
    <w:rsid w:val="04A80419"/>
    <w:rsid w:val="0504144A"/>
    <w:rsid w:val="05BF5990"/>
    <w:rsid w:val="05F01773"/>
    <w:rsid w:val="0714394A"/>
    <w:rsid w:val="07507D94"/>
    <w:rsid w:val="07832498"/>
    <w:rsid w:val="088F4C22"/>
    <w:rsid w:val="0A1C34D3"/>
    <w:rsid w:val="0A7C6626"/>
    <w:rsid w:val="0A7E5B69"/>
    <w:rsid w:val="0A8B01B5"/>
    <w:rsid w:val="0AE700DE"/>
    <w:rsid w:val="0B7B363D"/>
    <w:rsid w:val="0BD65D63"/>
    <w:rsid w:val="0C133D3E"/>
    <w:rsid w:val="0CDD0B3C"/>
    <w:rsid w:val="0E826D80"/>
    <w:rsid w:val="0FD74B35"/>
    <w:rsid w:val="11B521C9"/>
    <w:rsid w:val="126B4A74"/>
    <w:rsid w:val="12890F5D"/>
    <w:rsid w:val="129F7B9C"/>
    <w:rsid w:val="12F627A9"/>
    <w:rsid w:val="133F1E85"/>
    <w:rsid w:val="1380270E"/>
    <w:rsid w:val="1421301B"/>
    <w:rsid w:val="144058DE"/>
    <w:rsid w:val="14707AFE"/>
    <w:rsid w:val="1628152E"/>
    <w:rsid w:val="162B35F7"/>
    <w:rsid w:val="163E130D"/>
    <w:rsid w:val="16507D3B"/>
    <w:rsid w:val="179429FE"/>
    <w:rsid w:val="17E21276"/>
    <w:rsid w:val="197F6915"/>
    <w:rsid w:val="198F2EA3"/>
    <w:rsid w:val="19DA32F5"/>
    <w:rsid w:val="1AEC1938"/>
    <w:rsid w:val="1BC340CB"/>
    <w:rsid w:val="1BE40BE2"/>
    <w:rsid w:val="1D207C54"/>
    <w:rsid w:val="1D343F1A"/>
    <w:rsid w:val="1E254D87"/>
    <w:rsid w:val="1EFB696C"/>
    <w:rsid w:val="1F966CEF"/>
    <w:rsid w:val="2136164D"/>
    <w:rsid w:val="214B6046"/>
    <w:rsid w:val="21902C1B"/>
    <w:rsid w:val="21953B77"/>
    <w:rsid w:val="22562E4A"/>
    <w:rsid w:val="22EC1FB8"/>
    <w:rsid w:val="231C32E1"/>
    <w:rsid w:val="23A91789"/>
    <w:rsid w:val="24DC18C6"/>
    <w:rsid w:val="25BF65EA"/>
    <w:rsid w:val="262B1925"/>
    <w:rsid w:val="283D4410"/>
    <w:rsid w:val="286E581F"/>
    <w:rsid w:val="28A51477"/>
    <w:rsid w:val="28B362F0"/>
    <w:rsid w:val="28CB790F"/>
    <w:rsid w:val="29930B4A"/>
    <w:rsid w:val="29D9624E"/>
    <w:rsid w:val="2A560E0F"/>
    <w:rsid w:val="2A71773B"/>
    <w:rsid w:val="2A845844"/>
    <w:rsid w:val="2B751FAB"/>
    <w:rsid w:val="2BA77503"/>
    <w:rsid w:val="2C294243"/>
    <w:rsid w:val="2C3976D2"/>
    <w:rsid w:val="2C41491A"/>
    <w:rsid w:val="2C891B68"/>
    <w:rsid w:val="2D773D38"/>
    <w:rsid w:val="2DB6549B"/>
    <w:rsid w:val="2E20794F"/>
    <w:rsid w:val="2F261F74"/>
    <w:rsid w:val="2F581BE0"/>
    <w:rsid w:val="30700688"/>
    <w:rsid w:val="31200B1F"/>
    <w:rsid w:val="31207139"/>
    <w:rsid w:val="31935B34"/>
    <w:rsid w:val="319E75B6"/>
    <w:rsid w:val="31FA58B6"/>
    <w:rsid w:val="32374347"/>
    <w:rsid w:val="323C077E"/>
    <w:rsid w:val="35A20C08"/>
    <w:rsid w:val="35CF32C4"/>
    <w:rsid w:val="37CD5327"/>
    <w:rsid w:val="3826648A"/>
    <w:rsid w:val="385A298F"/>
    <w:rsid w:val="38830A0F"/>
    <w:rsid w:val="389C1598"/>
    <w:rsid w:val="391753D8"/>
    <w:rsid w:val="398163A9"/>
    <w:rsid w:val="3A422681"/>
    <w:rsid w:val="3A6E3B4F"/>
    <w:rsid w:val="3A8D500B"/>
    <w:rsid w:val="3B612EFA"/>
    <w:rsid w:val="3BA85FA7"/>
    <w:rsid w:val="3C177EDB"/>
    <w:rsid w:val="3C2C38C7"/>
    <w:rsid w:val="3D2B63EB"/>
    <w:rsid w:val="3F422B55"/>
    <w:rsid w:val="3F4C446F"/>
    <w:rsid w:val="3FA11997"/>
    <w:rsid w:val="40B04D17"/>
    <w:rsid w:val="413C17C4"/>
    <w:rsid w:val="41913EA6"/>
    <w:rsid w:val="41DF4411"/>
    <w:rsid w:val="41F0045C"/>
    <w:rsid w:val="429E457A"/>
    <w:rsid w:val="42C059E3"/>
    <w:rsid w:val="430147FA"/>
    <w:rsid w:val="43237373"/>
    <w:rsid w:val="437E77C4"/>
    <w:rsid w:val="43BC0231"/>
    <w:rsid w:val="43C129BA"/>
    <w:rsid w:val="44194F18"/>
    <w:rsid w:val="44697131"/>
    <w:rsid w:val="44E909A3"/>
    <w:rsid w:val="4547614C"/>
    <w:rsid w:val="4582210E"/>
    <w:rsid w:val="45DE540E"/>
    <w:rsid w:val="466D0103"/>
    <w:rsid w:val="46E32BCE"/>
    <w:rsid w:val="47FD5FDB"/>
    <w:rsid w:val="49875DCE"/>
    <w:rsid w:val="4995019C"/>
    <w:rsid w:val="4A492440"/>
    <w:rsid w:val="4B8A1C53"/>
    <w:rsid w:val="4C3E433E"/>
    <w:rsid w:val="4D0F2901"/>
    <w:rsid w:val="4E55337F"/>
    <w:rsid w:val="4F7A2A19"/>
    <w:rsid w:val="4F7E1BFB"/>
    <w:rsid w:val="508F641B"/>
    <w:rsid w:val="50A12E60"/>
    <w:rsid w:val="510D3370"/>
    <w:rsid w:val="51CC25D5"/>
    <w:rsid w:val="525955B1"/>
    <w:rsid w:val="53D00DBF"/>
    <w:rsid w:val="53F07DE5"/>
    <w:rsid w:val="54426194"/>
    <w:rsid w:val="54512311"/>
    <w:rsid w:val="548E38FF"/>
    <w:rsid w:val="54905820"/>
    <w:rsid w:val="54C066DC"/>
    <w:rsid w:val="552402DA"/>
    <w:rsid w:val="555820B5"/>
    <w:rsid w:val="578E488B"/>
    <w:rsid w:val="57C135B2"/>
    <w:rsid w:val="58191195"/>
    <w:rsid w:val="581A4CC0"/>
    <w:rsid w:val="596270B3"/>
    <w:rsid w:val="59757966"/>
    <w:rsid w:val="59CE6345"/>
    <w:rsid w:val="5A3B0686"/>
    <w:rsid w:val="5A9A22F9"/>
    <w:rsid w:val="5AC21DB2"/>
    <w:rsid w:val="5C183BCB"/>
    <w:rsid w:val="5C652FAE"/>
    <w:rsid w:val="5DA15318"/>
    <w:rsid w:val="5DD221CC"/>
    <w:rsid w:val="5F9174CB"/>
    <w:rsid w:val="60887E5E"/>
    <w:rsid w:val="60AB572B"/>
    <w:rsid w:val="60E742FD"/>
    <w:rsid w:val="61E50F12"/>
    <w:rsid w:val="630531DA"/>
    <w:rsid w:val="63661564"/>
    <w:rsid w:val="63EB5A74"/>
    <w:rsid w:val="644436E8"/>
    <w:rsid w:val="652C5971"/>
    <w:rsid w:val="65766292"/>
    <w:rsid w:val="65E35E14"/>
    <w:rsid w:val="6651210B"/>
    <w:rsid w:val="66D555F0"/>
    <w:rsid w:val="672E4672"/>
    <w:rsid w:val="682D7901"/>
    <w:rsid w:val="6836676F"/>
    <w:rsid w:val="687938F3"/>
    <w:rsid w:val="6890026C"/>
    <w:rsid w:val="695C7769"/>
    <w:rsid w:val="6A06258C"/>
    <w:rsid w:val="6A1A4CD8"/>
    <w:rsid w:val="6A57315D"/>
    <w:rsid w:val="6B200010"/>
    <w:rsid w:val="6B88487B"/>
    <w:rsid w:val="6C053863"/>
    <w:rsid w:val="6CC42F8F"/>
    <w:rsid w:val="6CE54404"/>
    <w:rsid w:val="6D1D442E"/>
    <w:rsid w:val="6D4818D6"/>
    <w:rsid w:val="6D596CF4"/>
    <w:rsid w:val="6DBD503F"/>
    <w:rsid w:val="6E5B561D"/>
    <w:rsid w:val="6E7A07CF"/>
    <w:rsid w:val="70AA6167"/>
    <w:rsid w:val="70E4702B"/>
    <w:rsid w:val="71596E67"/>
    <w:rsid w:val="717D724A"/>
    <w:rsid w:val="71970440"/>
    <w:rsid w:val="71C346B5"/>
    <w:rsid w:val="72441D02"/>
    <w:rsid w:val="724B6478"/>
    <w:rsid w:val="73AF6017"/>
    <w:rsid w:val="73E72C13"/>
    <w:rsid w:val="74E731ED"/>
    <w:rsid w:val="75024F92"/>
    <w:rsid w:val="753F0B17"/>
    <w:rsid w:val="758E5463"/>
    <w:rsid w:val="75EB4ED6"/>
    <w:rsid w:val="768C7E47"/>
    <w:rsid w:val="77003B40"/>
    <w:rsid w:val="77156C7D"/>
    <w:rsid w:val="771F4878"/>
    <w:rsid w:val="77D00302"/>
    <w:rsid w:val="77E66B14"/>
    <w:rsid w:val="78570879"/>
    <w:rsid w:val="793A670D"/>
    <w:rsid w:val="79BA78FA"/>
    <w:rsid w:val="79CE0279"/>
    <w:rsid w:val="7A0849C7"/>
    <w:rsid w:val="7A377612"/>
    <w:rsid w:val="7A3C6949"/>
    <w:rsid w:val="7B8E5C3C"/>
    <w:rsid w:val="7B9A5BD4"/>
    <w:rsid w:val="7BC60E22"/>
    <w:rsid w:val="7C1B3BD2"/>
    <w:rsid w:val="7C8A0DE0"/>
    <w:rsid w:val="7D96647C"/>
    <w:rsid w:val="7E08657F"/>
    <w:rsid w:val="7E726B1F"/>
    <w:rsid w:val="7F1C2108"/>
    <w:rsid w:val="7F327624"/>
    <w:rsid w:val="7F9346C0"/>
    <w:rsid w:val="7FA347F6"/>
    <w:rsid w:val="7FB12C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7">
    <w:name w:val="heading 3"/>
    <w:basedOn w:val="1"/>
    <w:next w:val="1"/>
    <w:link w:val="23"/>
    <w:qFormat/>
    <w:uiPriority w:val="0"/>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spacing w:after="0"/>
      <w:ind w:left="360" w:firstLine="360"/>
    </w:pPr>
  </w:style>
  <w:style w:type="paragraph" w:styleId="3">
    <w:name w:val="Body Text Indent"/>
    <w:basedOn w:val="1"/>
    <w:next w:val="4"/>
    <w:link w:val="26"/>
    <w:qFormat/>
    <w:uiPriority w:val="0"/>
    <w:pPr>
      <w:spacing w:after="120"/>
      <w:ind w:left="420" w:leftChars="200"/>
    </w:pPr>
    <w:rPr>
      <w:szCs w:val="21"/>
    </w:rPr>
  </w:style>
  <w:style w:type="paragraph" w:styleId="4">
    <w:name w:val="Normal Indent"/>
    <w:basedOn w:val="1"/>
    <w:unhideWhenUsed/>
    <w:qFormat/>
    <w:uiPriority w:val="99"/>
    <w:pPr>
      <w:ind w:firstLine="420" w:firstLineChars="200"/>
    </w:pPr>
  </w:style>
  <w:style w:type="paragraph" w:styleId="5">
    <w:name w:val="Body Text"/>
    <w:basedOn w:val="1"/>
    <w:next w:val="1"/>
    <w:qFormat/>
    <w:uiPriority w:val="0"/>
    <w:pPr>
      <w:spacing w:before="120" w:after="120"/>
    </w:pPr>
  </w:style>
  <w:style w:type="paragraph" w:styleId="8">
    <w:name w:val="Document Map"/>
    <w:basedOn w:val="1"/>
    <w:link w:val="32"/>
    <w:qFormat/>
    <w:uiPriority w:val="0"/>
    <w:rPr>
      <w:rFonts w:ascii="宋体"/>
      <w:sz w:val="18"/>
      <w:szCs w:val="18"/>
    </w:rPr>
  </w:style>
  <w:style w:type="paragraph" w:styleId="9">
    <w:name w:val="annotation text"/>
    <w:basedOn w:val="1"/>
    <w:link w:val="33"/>
    <w:qFormat/>
    <w:uiPriority w:val="0"/>
    <w:pPr>
      <w:jc w:val="left"/>
    </w:pPr>
  </w:style>
  <w:style w:type="paragraph" w:styleId="10">
    <w:name w:val="Block Text"/>
    <w:basedOn w:val="1"/>
    <w:qFormat/>
    <w:uiPriority w:val="0"/>
    <w:pPr>
      <w:widowControl/>
      <w:ind w:left="-929" w:leftChars="-387" w:right="-751" w:rightChars="-313"/>
      <w:jc w:val="left"/>
    </w:pPr>
    <w:rPr>
      <w:rFonts w:ascii="宋体" w:hAnsi="宋体"/>
      <w:kern w:val="0"/>
    </w:rPr>
  </w:style>
  <w:style w:type="paragraph" w:styleId="11">
    <w:name w:val="Balloon Text"/>
    <w:basedOn w:val="1"/>
    <w:link w:val="30"/>
    <w:unhideWhenUsed/>
    <w:qFormat/>
    <w:uiPriority w:val="0"/>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itle"/>
    <w:basedOn w:val="1"/>
    <w:next w:val="1"/>
    <w:link w:val="35"/>
    <w:qFormat/>
    <w:uiPriority w:val="0"/>
    <w:pPr>
      <w:spacing w:before="240" w:after="60"/>
      <w:jc w:val="center"/>
      <w:outlineLvl w:val="0"/>
    </w:pPr>
    <w:rPr>
      <w:rFonts w:ascii="Cambria" w:hAnsi="Cambria" w:eastAsia="楷体_GB2312"/>
      <w:b/>
      <w:bCs/>
      <w:kern w:val="0"/>
      <w:sz w:val="32"/>
      <w:szCs w:val="32"/>
    </w:rPr>
  </w:style>
  <w:style w:type="paragraph" w:styleId="15">
    <w:name w:val="annotation subject"/>
    <w:basedOn w:val="9"/>
    <w:next w:val="9"/>
    <w:link w:val="36"/>
    <w:qFormat/>
    <w:uiPriority w:val="0"/>
    <w:rPr>
      <w:b/>
      <w:bCs/>
    </w:rPr>
  </w:style>
  <w:style w:type="character" w:styleId="18">
    <w:name w:val="Strong"/>
    <w:qFormat/>
    <w:uiPriority w:val="0"/>
    <w:rPr>
      <w:b/>
      <w:bCs/>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标题 1 Char"/>
    <w:basedOn w:val="17"/>
    <w:link w:val="6"/>
    <w:qFormat/>
    <w:uiPriority w:val="0"/>
    <w:rPr>
      <w:rFonts w:ascii="Times New Roman" w:hAnsi="Times New Roman" w:eastAsia="宋体" w:cs="Times New Roman"/>
      <w:b/>
      <w:bCs/>
      <w:kern w:val="44"/>
      <w:sz w:val="44"/>
      <w:szCs w:val="44"/>
    </w:rPr>
  </w:style>
  <w:style w:type="character" w:customStyle="1" w:styleId="23">
    <w:name w:val="标题 3 Char"/>
    <w:basedOn w:val="17"/>
    <w:link w:val="7"/>
    <w:qFormat/>
    <w:uiPriority w:val="0"/>
    <w:rPr>
      <w:rFonts w:ascii="Times New Roman" w:hAnsi="Times New Roman" w:eastAsia="宋体" w:cs="Times New Roman"/>
      <w:b/>
      <w:bCs/>
      <w:sz w:val="32"/>
      <w:szCs w:val="32"/>
    </w:rPr>
  </w:style>
  <w:style w:type="character" w:customStyle="1" w:styleId="24">
    <w:name w:val="页眉 Char"/>
    <w:basedOn w:val="17"/>
    <w:link w:val="13"/>
    <w:qFormat/>
    <w:uiPriority w:val="0"/>
    <w:rPr>
      <w:rFonts w:ascii="Times New Roman" w:hAnsi="Times New Roman" w:eastAsia="宋体" w:cs="Times New Roman"/>
      <w:sz w:val="18"/>
      <w:szCs w:val="18"/>
    </w:rPr>
  </w:style>
  <w:style w:type="character" w:customStyle="1" w:styleId="25">
    <w:name w:val="页脚 Char1"/>
    <w:basedOn w:val="17"/>
    <w:link w:val="12"/>
    <w:qFormat/>
    <w:uiPriority w:val="99"/>
    <w:rPr>
      <w:rFonts w:ascii="Times New Roman" w:hAnsi="Times New Roman" w:eastAsia="宋体" w:cs="Times New Roman"/>
      <w:sz w:val="18"/>
      <w:szCs w:val="18"/>
    </w:rPr>
  </w:style>
  <w:style w:type="character" w:customStyle="1" w:styleId="26">
    <w:name w:val="正文文本缩进 Char"/>
    <w:link w:val="3"/>
    <w:qFormat/>
    <w:uiPriority w:val="0"/>
    <w:rPr>
      <w:rFonts w:ascii="Times New Roman" w:hAnsi="Times New Roman" w:eastAsia="宋体" w:cs="Times New Roman"/>
      <w:szCs w:val="21"/>
    </w:rPr>
  </w:style>
  <w:style w:type="character" w:customStyle="1" w:styleId="27">
    <w:name w:val="正文文本缩进 字符"/>
    <w:basedOn w:val="17"/>
    <w:semiHidden/>
    <w:qFormat/>
    <w:uiPriority w:val="99"/>
    <w:rPr>
      <w:rFonts w:ascii="Times New Roman" w:hAnsi="Times New Roman" w:eastAsia="宋体" w:cs="Times New Roman"/>
      <w:szCs w:val="24"/>
    </w:rPr>
  </w:style>
  <w:style w:type="character" w:customStyle="1" w:styleId="28">
    <w:name w:val="页脚 Char"/>
    <w:qFormat/>
    <w:locked/>
    <w:uiPriority w:val="99"/>
    <w:rPr>
      <w:rFonts w:cs="Times New Roman"/>
      <w:sz w:val="18"/>
      <w:szCs w:val="18"/>
    </w:rPr>
  </w:style>
  <w:style w:type="paragraph" w:customStyle="1" w:styleId="29">
    <w:name w:val="特点"/>
    <w:basedOn w:val="1"/>
    <w:next w:val="3"/>
    <w:qFormat/>
    <w:uiPriority w:val="0"/>
    <w:pPr>
      <w:spacing w:line="300" w:lineRule="exact"/>
      <w:ind w:right="26" w:firstLine="435"/>
    </w:pPr>
    <w:rPr>
      <w:rFonts w:eastAsia="黑体"/>
      <w:sz w:val="18"/>
    </w:rPr>
  </w:style>
  <w:style w:type="character" w:customStyle="1" w:styleId="30">
    <w:name w:val="批注框文本 Char"/>
    <w:basedOn w:val="17"/>
    <w:link w:val="11"/>
    <w:semiHidden/>
    <w:qFormat/>
    <w:uiPriority w:val="99"/>
    <w:rPr>
      <w:rFonts w:ascii="Times New Roman" w:hAnsi="Times New Roman" w:eastAsia="宋体" w:cs="Times New Roman"/>
      <w:sz w:val="18"/>
      <w:szCs w:val="18"/>
    </w:rPr>
  </w:style>
  <w:style w:type="paragraph" w:customStyle="1" w:styleId="31">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32">
    <w:name w:val="文档结构图 Char"/>
    <w:basedOn w:val="17"/>
    <w:link w:val="8"/>
    <w:qFormat/>
    <w:uiPriority w:val="0"/>
    <w:rPr>
      <w:rFonts w:ascii="宋体" w:hAnsi="Times New Roman" w:eastAsia="宋体" w:cs="Times New Roman"/>
      <w:sz w:val="18"/>
      <w:szCs w:val="18"/>
    </w:rPr>
  </w:style>
  <w:style w:type="character" w:customStyle="1" w:styleId="33">
    <w:name w:val="批注文字 Char"/>
    <w:basedOn w:val="17"/>
    <w:link w:val="9"/>
    <w:qFormat/>
    <w:uiPriority w:val="0"/>
    <w:rPr>
      <w:rFonts w:ascii="Times New Roman" w:hAnsi="Times New Roman" w:eastAsia="宋体" w:cs="Times New Roman"/>
      <w:szCs w:val="24"/>
    </w:rPr>
  </w:style>
  <w:style w:type="character" w:customStyle="1" w:styleId="34">
    <w:name w:val="页眉 Char1"/>
    <w:qFormat/>
    <w:locked/>
    <w:uiPriority w:val="99"/>
    <w:rPr>
      <w:rFonts w:cs="Times New Roman"/>
      <w:sz w:val="18"/>
      <w:szCs w:val="18"/>
    </w:rPr>
  </w:style>
  <w:style w:type="character" w:customStyle="1" w:styleId="35">
    <w:name w:val="标题 Char"/>
    <w:basedOn w:val="17"/>
    <w:link w:val="14"/>
    <w:qFormat/>
    <w:uiPriority w:val="0"/>
    <w:rPr>
      <w:rFonts w:ascii="Cambria" w:hAnsi="Cambria" w:eastAsia="楷体_GB2312" w:cs="Times New Roman"/>
      <w:b/>
      <w:bCs/>
      <w:kern w:val="0"/>
      <w:sz w:val="32"/>
      <w:szCs w:val="32"/>
    </w:rPr>
  </w:style>
  <w:style w:type="character" w:customStyle="1" w:styleId="36">
    <w:name w:val="批注主题 Char"/>
    <w:basedOn w:val="33"/>
    <w:link w:val="15"/>
    <w:qFormat/>
    <w:uiPriority w:val="0"/>
    <w:rPr>
      <w:rFonts w:ascii="Times New Roman" w:hAnsi="Times New Roman" w:eastAsia="宋体" w:cs="Times New Roman"/>
      <w:b/>
      <w:bCs/>
      <w:szCs w:val="24"/>
    </w:rPr>
  </w:style>
  <w:style w:type="paragraph" w:customStyle="1" w:styleId="37">
    <w:name w:val="列出段落1"/>
    <w:basedOn w:val="1"/>
    <w:qFormat/>
    <w:uiPriority w:val="0"/>
    <w:pPr>
      <w:ind w:firstLine="420" w:firstLineChars="200"/>
    </w:pPr>
    <w:rPr>
      <w:rFonts w:ascii="Calibri" w:hAnsi="Calibri"/>
      <w:szCs w:val="22"/>
    </w:rPr>
  </w:style>
  <w:style w:type="paragraph" w:customStyle="1" w:styleId="38">
    <w:name w:val="列出段落2"/>
    <w:basedOn w:val="1"/>
    <w:qFormat/>
    <w:uiPriority w:val="34"/>
    <w:pPr>
      <w:ind w:firstLine="420" w:firstLineChars="200"/>
    </w:pPr>
  </w:style>
  <w:style w:type="paragraph" w:customStyle="1" w:styleId="39">
    <w:name w:val="Char Char Char Char Char Char Char"/>
    <w:basedOn w:val="1"/>
    <w:qFormat/>
    <w:uiPriority w:val="0"/>
    <w:rPr>
      <w:rFonts w:ascii="Tahoma" w:hAnsi="Tahoma"/>
      <w:sz w:val="24"/>
      <w:szCs w:val="20"/>
    </w:rPr>
  </w:style>
  <w:style w:type="paragraph" w:customStyle="1" w:styleId="40">
    <w:name w:val="p0"/>
    <w:basedOn w:val="1"/>
    <w:qFormat/>
    <w:uiPriority w:val="0"/>
    <w:pPr>
      <w:widowControl/>
    </w:pPr>
    <w:rPr>
      <w:kern w:val="0"/>
      <w:szCs w:val="21"/>
    </w:rPr>
  </w:style>
  <w:style w:type="paragraph" w:customStyle="1" w:styleId="41">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2">
    <w:name w:val="列出段落3"/>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6C92B-BD9C-428C-89DE-9A4A14445917}">
  <ds:schemaRefs/>
</ds:datastoreItem>
</file>

<file path=docProps/app.xml><?xml version="1.0" encoding="utf-8"?>
<Properties xmlns="http://schemas.openxmlformats.org/officeDocument/2006/extended-properties" xmlns:vt="http://schemas.openxmlformats.org/officeDocument/2006/docPropsVTypes">
  <Template>Normal</Template>
  <Pages>50</Pages>
  <Words>45927</Words>
  <Characters>46633</Characters>
  <Lines>267</Lines>
  <Paragraphs>75</Paragraphs>
  <TotalTime>1</TotalTime>
  <ScaleCrop>false</ScaleCrop>
  <LinksUpToDate>false</LinksUpToDate>
  <CharactersWithSpaces>46766</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2023-08-16T08:00:00Z</dcterms:created>
  <dc:creator>Song Cangnan</dc:creator>
  <cp:lastModifiedBy>Administrator</cp:lastModifiedBy>
  <cp:lastPrinted>2022-12-23T14:07:00Z</cp:lastPrinted>
  <dcterms:modified xsi:type="dcterms:W3CDTF">2025-06-26T11:16:20Z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D41662C12E7845FF984A3324AE7B06E7</vt:lpwstr>
  </property>
</Properties>
</file>