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幸福99丰裕固收379天25168期理财</w:t>
      </w:r>
      <w:r>
        <w:rPr>
          <w:rFonts w:hint="eastAsia" w:ascii="宋体" w:hAnsi="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r>
        <w:rPr>
          <w:rFonts w:hint="eastAsia" w:ascii="宋体" w:hAnsi="宋体" w:cs="宋体"/>
          <w:sz w:val="32"/>
          <w:szCs w:val="32"/>
          <w:highlight w:val="none"/>
        </w:rPr>
        <w:br w:type="page"/>
      </w: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幸福99丰裕固收379天25168期理财</w:t>
      </w:r>
      <w:r>
        <w:rPr>
          <w:rFonts w:hint="eastAsia" w:ascii="宋体" w:hAnsi="宋体" w:cs="宋体"/>
          <w:b/>
          <w:bCs/>
          <w:sz w:val="44"/>
          <w:szCs w:val="44"/>
          <w:highlight w:val="none"/>
        </w:rPr>
        <w:t>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幸福99丰裕固收379天25168期理财风险揭示书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幸福99丰裕固收379天25168期理财产品说明书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幸福99丰裕固收379天25168期理财</w:t>
      </w:r>
      <w:r>
        <w:rPr>
          <w:rFonts w:hint="eastAsia" w:ascii="宋体" w:hAnsi="宋体" w:cs="宋体"/>
          <w:b/>
          <w:bCs/>
          <w:sz w:val="44"/>
          <w:szCs w:val="44"/>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w:t>
      </w:r>
      <w:r>
        <w:rPr>
          <w:rFonts w:hint="eastAsia" w:ascii="宋体" w:hAnsi="宋体" w:cs="宋体"/>
          <w:bCs/>
          <w:sz w:val="24"/>
          <w:highlight w:val="none"/>
          <w:lang w:eastAsia="zh-CN"/>
        </w:rPr>
        <w:t>（</w:t>
      </w:r>
      <w:r>
        <w:rPr>
          <w:rFonts w:hint="eastAsia" w:ascii="宋体" w:hAnsi="宋体" w:cs="宋体"/>
          <w:bCs/>
          <w:sz w:val="24"/>
          <w:highlight w:val="none"/>
          <w:lang w:val="en-US" w:eastAsia="zh-CN"/>
        </w:rPr>
        <w:t>代理销售</w:t>
      </w:r>
      <w:r>
        <w:rPr>
          <w:rFonts w:hint="eastAsia" w:ascii="宋体" w:hAnsi="宋体" w:cs="宋体"/>
          <w:bCs/>
          <w:sz w:val="24"/>
          <w:highlight w:val="none"/>
          <w:lang w:eastAsia="zh-CN"/>
        </w:rPr>
        <w:t>）</w:t>
      </w:r>
      <w:r>
        <w:rPr>
          <w:rFonts w:hint="eastAsia" w:ascii="宋体" w:hAnsi="宋体" w:cs="宋体"/>
          <w:bCs/>
          <w:sz w:val="24"/>
          <w:highlight w:val="none"/>
        </w:rPr>
        <w:t>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w:t>
      </w:r>
      <w:r>
        <w:rPr>
          <w:rFonts w:hint="eastAsia" w:ascii="宋体" w:hAnsi="宋体" w:cs="宋体"/>
          <w:b/>
          <w:sz w:val="24"/>
          <w:highlight w:val="none"/>
          <w:lang w:val="en-US" w:eastAsia="zh-CN"/>
        </w:rPr>
        <w:t>可</w:t>
      </w:r>
      <w:r>
        <w:rPr>
          <w:rFonts w:hint="eastAsia" w:ascii="宋体" w:hAnsi="宋体" w:cs="宋体"/>
          <w:b/>
          <w:sz w:val="24"/>
          <w:highlight w:val="none"/>
        </w:rPr>
        <w:t>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w:t>
      </w:r>
      <w:bookmarkStart w:id="0" w:name="OLE_LINK1"/>
      <w:r>
        <w:rPr>
          <w:rFonts w:hint="eastAsia" w:ascii="宋体" w:hAnsi="宋体" w:cs="宋体"/>
          <w:b/>
          <w:sz w:val="24"/>
          <w:highlight w:val="none"/>
          <w:lang w:eastAsia="zh-CN"/>
        </w:rPr>
        <w:t>（</w:t>
      </w:r>
      <w:r>
        <w:rPr>
          <w:rFonts w:hint="eastAsia" w:ascii="宋体" w:hAnsi="宋体" w:cs="宋体"/>
          <w:b/>
          <w:sz w:val="24"/>
          <w:highlight w:val="none"/>
          <w:lang w:val="en-US" w:eastAsia="zh-CN"/>
        </w:rPr>
        <w:t>如有</w:t>
      </w:r>
      <w:r>
        <w:rPr>
          <w:rFonts w:hint="eastAsia" w:ascii="宋体" w:hAnsi="宋体" w:cs="宋体"/>
          <w:b/>
          <w:sz w:val="24"/>
          <w:highlight w:val="none"/>
          <w:lang w:eastAsia="zh-CN"/>
        </w:rPr>
        <w:t>）</w:t>
      </w:r>
      <w:bookmarkEnd w:id="0"/>
      <w:r>
        <w:rPr>
          <w:rFonts w:hint="eastAsia" w:ascii="宋体" w:hAnsi="宋体" w:cs="宋体"/>
          <w:b/>
          <w:sz w:val="24"/>
          <w:highlight w:val="none"/>
        </w:rPr>
        <w:t>，由此产生的风险及损失将由投资者自行承担。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w:t>
      </w:r>
      <w:r>
        <w:rPr>
          <w:rFonts w:hint="eastAsia" w:ascii="宋体" w:hAnsi="宋体" w:cs="宋体"/>
          <w:b/>
          <w:sz w:val="24"/>
          <w:highlight w:val="none"/>
          <w:lang w:val="en-US" w:eastAsia="zh-CN"/>
        </w:rPr>
        <w:t>公募</w:t>
      </w:r>
      <w:r>
        <w:rPr>
          <w:rFonts w:hint="eastAsia" w:ascii="宋体" w:hAnsi="宋体" w:cs="宋体"/>
          <w:b/>
          <w:sz w:val="24"/>
          <w:highlight w:val="none"/>
        </w:rPr>
        <w:t>、</w:t>
      </w:r>
      <w:r>
        <w:rPr>
          <w:rFonts w:hint="eastAsia" w:ascii="宋体" w:hAnsi="宋体" w:cs="宋体"/>
          <w:b/>
          <w:sz w:val="24"/>
          <w:highlight w:val="none"/>
          <w:lang w:val="en-US" w:eastAsia="zh-CN"/>
        </w:rPr>
        <w:t>封闭式</w:t>
      </w:r>
      <w:r>
        <w:rPr>
          <w:rFonts w:hint="eastAsia" w:ascii="宋体" w:hAnsi="宋体" w:cs="宋体"/>
          <w:b/>
          <w:sz w:val="24"/>
          <w:highlight w:val="none"/>
        </w:rPr>
        <w:t>、〖</w:t>
      </w:r>
      <w:r>
        <w:rPr>
          <w:rFonts w:hint="eastAsia" w:ascii="宋体" w:hAnsi="宋体" w:cs="宋体"/>
          <w:b/>
          <w:sz w:val="24"/>
          <w:highlight w:val="none"/>
          <w:lang w:val="en-US" w:eastAsia="zh-CN"/>
        </w:rPr>
        <w:t>固定收益类</w:t>
      </w:r>
      <w:r>
        <w:rPr>
          <w:rFonts w:hint="eastAsia" w:ascii="宋体" w:hAnsi="宋体" w:cs="宋体"/>
          <w:b/>
          <w:sz w:val="24"/>
          <w:highlight w:val="none"/>
        </w:rPr>
        <w:t>〗净值型理财计划，〖379天〗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w:t>
      </w:r>
      <w:r>
        <w:rPr>
          <w:rFonts w:hint="eastAsia" w:ascii="宋体" w:hAnsi="宋体" w:cs="宋体"/>
          <w:b/>
          <w:sz w:val="24"/>
          <w:highlight w:val="none"/>
          <w:lang w:val="en-US" w:eastAsia="zh-CN"/>
        </w:rPr>
        <w:t>R2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w:t>
      </w:r>
      <w:r>
        <w:rPr>
          <w:rFonts w:hint="eastAsia" w:ascii="宋体" w:hAnsi="宋体" w:cs="宋体"/>
          <w:b/>
          <w:sz w:val="24"/>
          <w:highlight w:val="none"/>
          <w:lang w:val="en-US" w:eastAsia="zh-CN"/>
        </w:rPr>
        <w:t>程度较低，收益波动较小，虽然存在一些可能对产品本金和收益安全产生不利影响的因素，但产品本金出现损失的可能性较小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3"/>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3"/>
        <w:spacing w:line="360" w:lineRule="auto"/>
        <w:jc w:val="both"/>
        <w:rPr>
          <w:rFonts w:hint="eastAsia" w:ascii="宋体" w:hAnsi="宋体" w:cs="宋体"/>
          <w:b/>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3"/>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3"/>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3"/>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3"/>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3"/>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投资者确认栏（机构投资者）</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3"/>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p>
    <w:p>
      <w:pPr>
        <w:pStyle w:val="13"/>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lang w:eastAsia="zh-CN"/>
        </w:rPr>
        <w:t>幸福99丰裕固收379天25168期理财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right"/>
        <w:rPr>
          <w:rFonts w:hint="eastAsia" w:ascii="宋体" w:hAnsi="宋体" w:cs="宋体"/>
          <w:bCs/>
          <w:color w:val="auto"/>
          <w:sz w:val="24"/>
          <w:highlight w:val="none"/>
        </w:rPr>
      </w:pPr>
      <w:r>
        <w:rPr>
          <w:rFonts w:hint="eastAsia" w:ascii="宋体" w:hAnsi="宋体" w:cs="宋体"/>
          <w:color w:val="000000"/>
          <w:sz w:val="24"/>
          <w:highlight w:val="none"/>
        </w:rPr>
        <w:t>备案编号</w:t>
      </w:r>
      <w:r>
        <w:rPr>
          <w:rFonts w:hint="eastAsia" w:ascii="宋体" w:hAnsi="宋体" w:cs="宋体"/>
          <w:color w:val="auto"/>
          <w:sz w:val="24"/>
          <w:highlight w:val="none"/>
        </w:rPr>
        <w:t>:</w:t>
      </w:r>
      <w:r>
        <w:rPr>
          <w:rFonts w:hint="eastAsia" w:ascii="宋体" w:hAnsi="宋体" w:cs="宋体"/>
          <w:bCs/>
          <w:color w:val="auto"/>
          <w:sz w:val="24"/>
          <w:highlight w:val="none"/>
        </w:rPr>
        <w:t>〖</w:t>
      </w:r>
      <w:r>
        <w:rPr>
          <w:rFonts w:hint="eastAsia" w:ascii="宋体" w:hAnsi="宋体" w:cs="宋体"/>
          <w:color w:val="000000"/>
          <w:sz w:val="24"/>
          <w:highlight w:val="none"/>
          <w:lang w:val="en-US" w:eastAsia="zh-CN"/>
        </w:rPr>
        <w:t>Z7002225000317</w:t>
      </w:r>
      <w:r>
        <w:rPr>
          <w:rFonts w:hint="eastAsia" w:ascii="宋体" w:hAnsi="宋体" w:cs="宋体"/>
          <w:bCs/>
          <w:color w:val="auto"/>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3"/>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幸福99丰裕固收379天25168期理财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幸福99丰裕固收379天25168期理财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幸福99丰裕固收379天25168期理财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幸福99丰裕固收379天25168期理财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幸福99丰裕固收379天25168期理财</w:t>
      </w:r>
      <w:r>
        <w:rPr>
          <w:rFonts w:hint="eastAsia" w:ascii="宋体" w:hAnsi="宋体" w:cs="宋体"/>
          <w:bCs/>
          <w:color w:val="auto"/>
          <w:kern w:val="2"/>
          <w:highlight w:val="none"/>
        </w:rPr>
        <w:t>合同不可分割组成部分的理财计划销售协议书，以及对该文件的有效修改与补充。</w:t>
      </w:r>
    </w:p>
    <w:p>
      <w:pPr>
        <w:pStyle w:val="13"/>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幸福99丰裕固收379天25168期理财</w:t>
      </w:r>
      <w:r>
        <w:rPr>
          <w:rFonts w:hint="eastAsia" w:ascii="宋体" w:hAnsi="宋体" w:cs="宋体"/>
          <w:bCs/>
          <w:highlight w:val="none"/>
        </w:rPr>
        <w:t>。</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3"/>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w:t>
      </w:r>
      <w:r>
        <w:rPr>
          <w:rFonts w:hint="eastAsia" w:ascii="宋体" w:hAnsi="宋体" w:cs="宋体"/>
          <w:szCs w:val="21"/>
          <w:highlight w:val="none"/>
        </w:rPr>
        <w:t>〖</w:t>
      </w:r>
      <w:r>
        <w:rPr>
          <w:rFonts w:hint="eastAsia" w:ascii="宋体" w:hAnsi="宋体" w:cs="宋体"/>
          <w:bCs/>
          <w:highlight w:val="none"/>
        </w:rPr>
        <w:t>上海证券交易所、深圳证券交易所</w:t>
      </w:r>
      <w:r>
        <w:rPr>
          <w:rFonts w:hint="eastAsia" w:ascii="宋体" w:hAnsi="宋体" w:cs="宋体"/>
          <w:szCs w:val="21"/>
          <w:highlight w:val="none"/>
        </w:rPr>
        <w:t>〗</w:t>
      </w:r>
      <w:r>
        <w:rPr>
          <w:rFonts w:hint="eastAsia" w:ascii="宋体" w:hAnsi="宋体" w:cs="宋体"/>
          <w:bCs/>
          <w:highlight w:val="none"/>
        </w:rPr>
        <w:t>的正常交易日。如涉及到监管条例部分，统一以监管条例表述替代。</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3"/>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3"/>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3"/>
        <w:numPr>
          <w:ilvl w:val="0"/>
          <w:numId w:val="15"/>
        </w:numPr>
        <w:adjustRightInd/>
        <w:spacing w:line="360" w:lineRule="auto"/>
        <w:ind w:left="0" w:firstLine="0"/>
        <w:rPr>
          <w:rFonts w:hint="eastAsia" w:ascii="宋体" w:hAnsi="宋体" w:cs="宋体"/>
          <w:b/>
          <w:color w:val="auto"/>
          <w:kern w:val="2"/>
          <w:highlight w:val="none"/>
        </w:rPr>
      </w:pPr>
      <w:r>
        <w:rPr>
          <w:rFonts w:hint="eastAsia"/>
          <w:b/>
          <w:bCs/>
          <w:highlight w:val="none"/>
          <w:lang w:val="en-US" w:eastAsia="zh-CN"/>
        </w:rPr>
        <w:t>投资退出期：</w:t>
      </w:r>
      <w:r>
        <w:rPr>
          <w:rFonts w:hint="eastAsia" w:ascii="Times New Roman" w:hAnsi="Times New Roman" w:eastAsia="宋体" w:cs="Times New Roman"/>
          <w:highlight w:val="none"/>
          <w:lang w:val="en-US" w:eastAsia="zh-CN"/>
        </w:rPr>
        <w:t>是指理财计划临近到期前，管理人通过资产变现用以进行资金交割清算的准备期。</w:t>
      </w:r>
    </w:p>
    <w:p>
      <w:pPr>
        <w:pStyle w:val="13"/>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3"/>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3"/>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3"/>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3"/>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3"/>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3"/>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sz w:val="24"/>
          <w:highlight w:val="none"/>
          <w:lang w:val="en-US" w:eastAsia="zh-CN"/>
        </w:rPr>
        <w:t>R2</w:t>
      </w:r>
      <w:r>
        <w:rPr>
          <w:rFonts w:hint="eastAsia" w:ascii="宋体" w:hAnsi="宋体" w:cs="宋体"/>
          <w:b/>
          <w:color w:val="auto"/>
          <w:kern w:val="2"/>
          <w:highlight w:val="none"/>
        </w:rPr>
        <w:t>〗，〖</w:t>
      </w:r>
      <w:r>
        <w:rPr>
          <w:rFonts w:hint="eastAsia" w:ascii="宋体" w:hAnsi="宋体" w:cs="宋体"/>
          <w:b/>
          <w:sz w:val="24"/>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3"/>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3"/>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3"/>
        <w:adjustRightInd/>
        <w:spacing w:line="360" w:lineRule="auto"/>
        <w:rPr>
          <w:rFonts w:hint="eastAsia" w:ascii="宋体" w:hAnsi="宋体" w:cs="宋体"/>
          <w:bCs/>
          <w:color w:val="auto"/>
          <w:kern w:val="2"/>
          <w:highlight w:val="none"/>
        </w:rPr>
      </w:pPr>
    </w:p>
    <w:p>
      <w:pPr>
        <w:pStyle w:val="13"/>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幸福99丰裕固收379天25168期理财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丰裕固收25168期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本理财计划在全国银行业理财信息登记系统的登记编码是〖Z7002225000317〗，投资者可依据该编码在“中国理财网（www.chinawealth.com.cn）”查询本理财计划信息。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A份额（销售代码〖FYG25168A〗）：普通个人投资者和机构客户。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B份额（销售代码〖FYG25168B〗）：普通个人投资者和机构客户。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C份额（销售代码〖FYG25168C〗）：普通个人投资者和机构客户。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D份额（销售代码〖FYG25168D〗）：普通个人投资者和机构客户。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E份额（公司专属）（销售代码〖FYG25168E〗）：普通个人投资者和机构客户。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F份额（销售代码〖FYG25168F〗）：普通个人投资者和机构客户。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G份额（汉口银行专属）（销售代码〖FYG25168G〗）：普通个人投资者和机构客户。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H份额（北行专属）（销售代码〖FYG25168H〗）：普通个人投资者和机构客户。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I份额（爽盈优选）（销售代码〖FYG25168I〗）：普通个人投资者和机构客户。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J份额（销售代码〖FYG25168J〗）：普通个人投资者和机构客户。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K份额（鲲鹏优选）（销售代码〖FYG25168K〗）：普通个人投资者和机构客户。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L份额（兰行专属）（销售代码〖FYG25168L〗）：普通个人投资者和机构客户。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M份额（教师专享）（销售代码〖FYG25168M〗）：普通个人投资者和机构客户。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N份额惠享款（长长财富·专属）（销售代码〖FYG25168N〗）：普通个人投资者和机构客户。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O份额（销售代码〖FYG25168O〗）：普通个人投资者和机构客户。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P份额（芙蓉锦程·优选）（销售代码〖FYG25168P〗）：普通个人投资者和机构客户。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Q份额惠享款（候鸟专属）（销售代码〖FYG25168Q〗）：普通个人投资者和机构客户。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R份额惠享款吉行十二号（销售代码〖FYG25168R〗）：普通个人投资者和机构客户。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S份额惠享款（齐鲁-逢六有约）（销售代码〖FYG25168S〗）：普通个人投资者和机构客户。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U份额惠享款（销售代码〖FYG25168U〗）：普通个人投资者和机构客户。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V份额（金芙蓉专属）（销售代码〖FYG25168V〗）：普通个人投资者和机构客户。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W份额惠享款（销售代码〖FYG25168W〗）：普通个人投资者和机构客户。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X份额（销售代码〖FYG25168X〗）：普通个人投资者。</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Y份额惠享款（销售代码〖FYG25168Y〗）：普通个人投资者和机构客户。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Z份额惠享款（销售代码〖FYG25168Z〗）：普通个人投资者和机构客户。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〖2025〗年〖9〗月〖2〗日-〖2025〗年〖9〗月〖8〗日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〖2025〗年〖9〗月〖9〗日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〖2026〗年〖9〗月〖23〗日，若到期日为非工作日则顺延至下一个工作日。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〖379〗天（实际理财期限受制于管理人提前终止权等条款）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〖E份额〗起点〖1〗元整，超过认购起点部分，应为〖1〗元的整数倍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〖F份额〗起点〖1〗元整，超过认购起点部分，应为〖1〗元的整数倍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〖G份额〗起点〖1〗元整，超过认购起点部分，应为〖1〗元的整数倍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〖H份额〗起点〖1〗元整，超过认购起点部分，应为〖1〗元的整数倍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〖J份额〗起点〖1〗元整，超过认购起点部分，应为〖1〗元的整数倍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〖K份额〗起点〖1〗元整，超过认购起点部分，应为〖1〗元的整数倍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〖L份额〗起点〖1〗元整，超过认购起点部分，应为〖1〗元的整数倍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〖M份额〗起点〖1〗元整，超过认购起点部分，应为〖1〗元的整数倍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〖N份额〗起点〖1〗元整，超过认购起点部分，应为〖1〗元的整数倍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〖O份额〗起点〖1〗元整，超过认购起点部分，应为〖1〗元的整数倍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〖P份额〗起点〖1〗元整，超过认购起点部分，应为〖1〗元的整数倍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〖Q份额〗起点〖10000〗元整，超过认购起点部分，应为〖1〗元的整数倍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〖R份额〗起点〖1〗元整，超过认购起点部分，应为〖1〗元的整数倍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〖S份额〗起点〖1〗元整，超过认购起点部分，应为〖1〗元的整数倍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〖U份额〗起点〖100000〗元整，超过认购起点部分，应为〖1〗元的整数倍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〖V份额〗起点〖1000000〗元整，超过认购起点部分，应为〖1〗元的整数倍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〖W份额〗起点〖1〗元整，超过认购起点部分，应为〖1〗元的整数倍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〖X份额〗起点〖1〗元整，超过认购起点部分，应为〖1〗元的整数倍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〖Y份额〗起点〖1〗元整，超过认购起点部分，应为〖1〗元的整数倍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〖Z份额〗起点〖1〗元整，超过认购起点部分，应为〖1〗元的整数倍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本理财计划〖E份额〗业绩比较基准为〖2.25%-2.55%〗（年化）。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本理财计划〖F份额〗业绩比较基准为〖2.55%-2.85%〗（年化）。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本理财计划〖G份额〗业绩比较基准为〖2.65%-2.95%〗（年化）。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本理财计划〖H份额〗业绩比较基准为〖2.50%-2.80%〗（年化）。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本理财计划〖J份额〗业绩比较基准为〖2.65%-2.95%〗（年化）。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本理财计划〖K份额〗业绩比较基准为〖2.40%-2.70%〗（年化）。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本理财计划〖L份额〗业绩比较基准为〖2.60%-2.90%〗（年化）。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本理财计划〖M份额〗业绩比较基准为〖2.50%-2.80%〗（年化）。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本理财计划〖N份额〗业绩比较基准为〖2.50%-2.80%〗（年化）。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本理财计划〖O份额〗业绩比较基准为〖2.50%-2.80%〗（年化）。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本理财计划〖P份额〗业绩比较基准为〖2.55%-2.85%〗（年化）。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本理财计划〖Q份额〗业绩比较基准为〖2.60%-2.90%〗（年化）。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本理财计划〖R份额〗业绩比较基准为〖2.55%-2.85%〗（年化）。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本理财计划〖S份额〗业绩比较基准为〖2.56%-2.86%〗（年化）。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本理财计划〖U份额〗业绩比较基准为〖2.50%-2.80%〗（年化）。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本理财计划〖V份额〗业绩比较基准为〖2.60%-2.90%〗（年化）。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本理财计划〖W份额〗业绩比较基准为〖2.40%-2.70%〗（年化）。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本理财计划〖X份额〗业绩比较基准为〖2.65%-2.95%〗（年化）。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本理财计划〖Y份额〗业绩比较基准为〖2.50%-2.80%〗（年化）。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本理财计划〖Z份额〗业绩比较基准为〖2.60%-2.90%〗（年化）。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〖E份额〗收取年化〖0.40%〗的销售服务费, 〖F份额〗收取年化〖0.15%〗的销售服务费, 〖G份额〗收取年化〖0.05%〗的销售服务费, 〖H份额〗收取年化〖0.20%〗的销售服务费, 〖I份额〗收取年化〖0.30%〗的销售服务费, 〖J份额〗收取年化〖0.05%〗的销售服务费, 〖K份额〗收取年化〖0.30%〗的销售服务费, 〖L份额〗收取年化〖0.10%〗的销售服务费, 〖M份额〗收取年化〖0.20%〗的销售服务费, 〖N份额〗收取年化〖0.20%〗的销售服务费, 〖O份额〗收取年化〖0.20%〗的销售服务费, 〖P份额〗收取年化〖0.15%〗的销售服务费, 〖Q份额〗收取年化〖0.10%〗的销售服务费, 〖R份额〗收取年化〖0.15%〗的销售服务费, 〖S份额〗收取年化〖0.15%〗的销售服务费, 〖U份额〗收取年化〖0.20%〗的销售服务费, 〖V份额〗收取年化〖0.10%〗的销售服务费, 〖W份额〗收取年化〖0.30%〗的销售服务费, 〖X份额〗收取年化〖0.05%〗的销售服务费, 〖Y份额〗收取年化〖0.20%〗的销售服务费, 〖Z份额〗收取年化〖0.10%〗的销售服务费。其中〖A份额〗、〖B份额〗、〖C份额〗、〖D份额〗、〖E份额〗、〖F份额〗、〖G份额〗、〖H份额〗、〖I份额〗、〖J份额〗、〖K份额〗、〖L份额〗、〖M份额〗、〖O份额〗、〖P份额〗、〖V份额〗、〖X份额〗对应份额每日计提销售服务费；〖N份额〗、〖Q份额〗、〖R份额〗、〖S份额〗、〖U份额〗、〖W份额〗、〖Y份额〗、〖Z份额〗对应份额销售服务费于产品成立日一次性收取。</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3.固定管理费：〖A份额〗收取年化〖0.05%〗的固定管理费, 〖B份额〗收取年化〖0.05%〗的固定管理费, 〖C份额〗收取年化〖0.05%〗的固定管理费, 〖D份额〗收取年化〖0.05%〗的固定管理费, 〖E份额〗收取年化〖0.10%〗的固定管理费, 〖F份额〗收取年化〖0.05%〗的固定管理费, 〖G份额〗收取年化〖0.05%〗的固定管理费, 〖H份额〗收取年化〖0.05%〗的固定管理费, 〖I份额〗收取年化〖0.05%〗的固定管理费, 〖J份额〗收取年化〖0.05%〗的固定管理费, 〖K份额〗收取年化〖0.05%〗的固定管理费, 〖L份额〗收取年化〖0.05%〗的固定管理费, 〖M份额〗收取年化〖0.05%〗的固定管理费, 〖N份额〗收取年化〖0.05%〗的固定管理费, 〖O份额〗收取年化〖0.05%〗的固定管理费, 〖P份额〗收取年化〖0.05%〗的固定管理费, 〖Q份额〗收取年化〖0.05%〗的固定管理费, 〖R份额〗收取年化〖0.05%〗的固定管理费, 〖S份额〗收取年化〖0.04%〗的固定管理费, 〖U份额〗收取年化〖0.05%〗的固定管理费, 〖V份额〗收取年化〖0.05%〗的固定管理费, 〖W份额〗收取年化〖0.05%〗的固定管理费, 〖X份额〗收取年化〖0.05%〗的固定管理费, 〖Y份额〗收取年化〖0.05%〗的固定管理费, 〖Z份额〗收取年化〖0.05%〗的固定管理费。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5.浮动管理费：管理人根据理财计划投资情况计算浮动管理费，本理财计划份额（O份额除外）到期日（提前终止日）的折合年化收益率在〖业绩比较基准下限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〖50%〗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,在超过〖</w:t>
            </w:r>
            <w:r>
              <w:rPr>
                <w:rFonts w:hint="eastAsia" w:ascii="宋体" w:hAnsi="宋体" w:eastAsia="宋体" w:cs="宋体"/>
                <w:b w:val="0"/>
                <w:bCs/>
                <w:kern w:val="2"/>
                <w:sz w:val="21"/>
                <w:szCs w:val="21"/>
                <w:highlight w:val="none"/>
                <w:lang w:val="en-US" w:eastAsia="zh-CN" w:bidi="ar-SA"/>
              </w:rPr>
              <w:t>业绩比较基准上限</w:t>
            </w:r>
            <w:r>
              <w:rPr>
                <w:rFonts w:hint="eastAsia" w:ascii="宋体" w:hAnsi="宋体" w:eastAsia="宋体" w:cs="宋体"/>
                <w:b w:val="0"/>
                <w:bCs/>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〖80%〗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〖O份额〗到期日（提前终止日）的折合年化收益率在〖业绩比较基准下限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至中枢</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〖50%〗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,在超过〖</w:t>
            </w:r>
            <w:r>
              <w:rPr>
                <w:rFonts w:hint="eastAsia" w:ascii="宋体" w:hAnsi="宋体" w:eastAsia="宋体" w:cs="宋体"/>
                <w:b w:val="0"/>
                <w:bCs/>
                <w:kern w:val="2"/>
                <w:sz w:val="21"/>
                <w:szCs w:val="21"/>
                <w:highlight w:val="none"/>
                <w:lang w:val="en-US" w:eastAsia="zh-CN" w:bidi="ar-SA"/>
              </w:rPr>
              <w:t>业绩比较基准中枢</w:t>
            </w:r>
            <w:r>
              <w:rPr>
                <w:rFonts w:hint="eastAsia" w:ascii="宋体" w:hAnsi="宋体" w:eastAsia="宋体" w:cs="宋体"/>
                <w:b w:val="0"/>
                <w:bCs/>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〖60%〗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0"/>
        </w:numPr>
        <w:spacing w:line="360" w:lineRule="auto"/>
        <w:ind w:firstLine="480" w:firstLineChars="200"/>
        <w:jc w:val="left"/>
        <w:outlineLvl w:val="9"/>
        <w:rPr>
          <w:rFonts w:hint="eastAsia" w:ascii="宋体" w:hAnsi="宋体" w:cs="宋体"/>
          <w:b w:val="0"/>
          <w:bCs/>
          <w:color w:val="auto"/>
          <w:sz w:val="24"/>
          <w:highlight w:val="none"/>
        </w:rPr>
      </w:pPr>
      <w:r>
        <w:rPr>
          <w:rFonts w:hint="eastAsia" w:ascii="宋体" w:hAnsi="宋体" w:cs="宋体"/>
          <w:bCs/>
          <w:color w:val="auto"/>
          <w:kern w:val="2"/>
          <w:sz w:val="24"/>
          <w:highlight w:val="none"/>
        </w:rPr>
        <w:t>本理财计划自成立日起</w:t>
      </w:r>
      <w:r>
        <w:rPr>
          <w:rFonts w:hint="eastAsia" w:ascii="宋体" w:hAnsi="宋体" w:cs="宋体"/>
          <w:bCs/>
          <w:sz w:val="24"/>
          <w:highlight w:val="none"/>
        </w:rPr>
        <w:t>〖</w:t>
      </w:r>
      <w:r>
        <w:rPr>
          <w:rFonts w:hint="eastAsia" w:ascii="宋体" w:hAnsi="宋体" w:cs="宋体"/>
          <w:bCs/>
          <w:color w:val="auto"/>
          <w:kern w:val="2"/>
          <w:sz w:val="24"/>
          <w:highlight w:val="none"/>
          <w:lang w:val="en-US" w:eastAsia="zh-CN"/>
        </w:rPr>
        <w:t>1个月</w:t>
      </w:r>
      <w:r>
        <w:rPr>
          <w:rFonts w:hint="eastAsia" w:ascii="宋体" w:hAnsi="宋体" w:cs="宋体"/>
          <w:bCs/>
          <w:sz w:val="24"/>
          <w:highlight w:val="none"/>
        </w:rPr>
        <w:t>〗</w:t>
      </w:r>
      <w:r>
        <w:rPr>
          <w:rFonts w:hint="eastAsia" w:ascii="宋体" w:hAnsi="宋体" w:cs="宋体"/>
          <w:bCs/>
          <w:color w:val="auto"/>
          <w:kern w:val="2"/>
          <w:sz w:val="24"/>
          <w:highlight w:val="none"/>
        </w:rPr>
        <w:t>为建仓期，管理人应当在建仓期结束前使各项投资比例符合约定。</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color w:val="auto"/>
          <w:kern w:val="2"/>
          <w:sz w:val="24"/>
          <w:highlight w:val="none"/>
          <w:lang w:val="en-US" w:eastAsia="zh-CN"/>
        </w:rPr>
        <w:t>仅限境内发行优先股和永续债。</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3"/>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本理财计划特殊资产类型为基于大类资产类型项下的进一步细化分类，其配置比例不得超过大类资产配置比例。</w:t>
      </w:r>
    </w:p>
    <w:p>
      <w:pPr>
        <w:pStyle w:val="13"/>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在理财计划存续期间如遇市场变化导致各类投资品投资比例暂时超出以上范围，为保护投资者利益，管理人将在流动性受限资产可出售、可转让或者恢复交易的15个交易日内调整至上述比例范围。</w:t>
      </w:r>
    </w:p>
    <w:p>
      <w:pPr>
        <w:pStyle w:val="13"/>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当出现金融市场发生重大变化、理财计划出现大比例规模变化等情况，为保护投资者利益，管理人有权根据市场情况超出约定比例范围投资较低风险资产。</w:t>
      </w:r>
    </w:p>
    <w:p>
      <w:pPr>
        <w:pStyle w:val="13"/>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本理财计划存在投资退出期，投资退出期至理财计划到期终止期间，为保障投资管理平稳运作，投资组合比例可能超出约定投资范围比例。</w:t>
      </w:r>
    </w:p>
    <w:p>
      <w:pPr>
        <w:pStyle w:val="13"/>
        <w:numPr>
          <w:ilvl w:val="0"/>
          <w:numId w:val="22"/>
        </w:numPr>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3"/>
        <w:numPr>
          <w:ilvl w:val="0"/>
          <w:numId w:val="23"/>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3"/>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3"/>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0"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7"/>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30"/>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105"/>
        <w:gridCol w:w="5041"/>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杭州银行股份有限公司</w:t>
            </w:r>
          </w:p>
        </w:tc>
        <w:tc>
          <w:tcPr>
            <w:tcW w:w="11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苏州银行股份有限公司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厦门银行股份有限公司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中信银行股份有限公司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齐鲁银行股份有限公司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杭银理财有限责任公司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绍兴银行股份有限公司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浙江萧山农村商业银行股份有限公司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秦皇岛银行股份有限公司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温州银行股份有限公司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中邮邮惠万家银行有限责任公司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大连农村商业银行股份有限公司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96689</w:t>
            </w:r>
          </w:p>
        </w:tc>
      </w:tr>
      <w:tr>
        <w:tblPrEx>
          <w:tblLayout w:type="fixed"/>
          <w:tblCellMar>
            <w:top w:w="0" w:type="dxa"/>
            <w:left w:w="108" w:type="dxa"/>
            <w:bottom w:w="0" w:type="dxa"/>
            <w:right w:w="108" w:type="dxa"/>
          </w:tblCellMar>
        </w:tblPrEx>
        <w:trPr>
          <w:trHeight w:val="29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吉林银行股份有限公司</w:t>
            </w: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400-88-96666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福建海峡银行股份有限公司</w:t>
            </w: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福建省福州市台江区江滨中大道358号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400-893-9999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兰州银行股份有限公司</w:t>
            </w: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甘肃省兰州市酒泉路211号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400-88-96799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厦门农村商业银行股份有限公司</w:t>
            </w: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中国(福建)自由贸易试验区厦门片区东港北路31号(1层、17层、19层、27-28层、30-31层)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40083-96336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汉口银行股份有限公司</w:t>
            </w: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湖北省武汉市江汉区建设大道933号武汉商业银行大厦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400-609-6558</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后续如新增</w:t>
      </w:r>
      <w:r>
        <w:rPr>
          <w:rFonts w:hint="eastAsia" w:ascii="宋体" w:hAnsi="宋体" w:cs="宋体"/>
          <w:bCs/>
          <w:color w:val="000000"/>
          <w:sz w:val="24"/>
          <w:highlight w:val="none"/>
          <w:lang w:val="en-US" w:eastAsia="zh-CN"/>
        </w:rPr>
        <w:t>/减少销售机构或销售机构信息变更，请以管理人最新公告或官方网站展示为准</w:t>
      </w:r>
      <w:r>
        <w:rPr>
          <w:rFonts w:hint="eastAsia" w:ascii="宋体" w:hAnsi="宋体" w:cs="宋体"/>
          <w:bCs/>
          <w:color w:val="000000"/>
          <w:sz w:val="24"/>
          <w:highlight w:val="none"/>
        </w:rPr>
        <w:t>。</w:t>
      </w:r>
    </w:p>
    <w:p>
      <w:pPr>
        <w:spacing w:line="360" w:lineRule="auto"/>
        <w:ind w:firstLine="480" w:firstLineChars="200"/>
        <w:rPr>
          <w:rFonts w:hint="eastAsia" w:ascii="宋体" w:hAnsi="宋体" w:cs="宋体"/>
          <w:bCs/>
          <w:color w:val="000000"/>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3"/>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3"/>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3"/>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3"/>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3"/>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3"/>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4"/>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5"/>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20" w:firstLineChars="0"/>
        <w:jc w:val="lef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理财计划财产分为每日计提销售服务费的〖A份额〗、〖B份额〗、〖C份额〗、〖D份额〗、〖E份额〗、〖F份额〗、〖G份额〗、〖H份额〗、〖I份额〗、〖J份额〗、〖K份额〗、〖L份额〗、〖M份额〗、〖O份额〗、〖P份额〗、〖V份额〗、〖X份额〗和销售服务费于产品成立日一次性收取的〖N份额〗、〖Q份额〗、〖R份额〗、〖S份额〗、〖U份额〗、〖W份额〗、〖Y份额〗、〖Z份额〗。A份额的年化销售服务费率为〖0.30%〗, B份额的年化销售服务费率为〖0.20%〗, C份额的年化销售服务费率为〖0.10%〗, D份额的年化销售服务费率为〖0.15%〗, E份额的年化销售服务费率为〖0.40%〗, F份额的年化销售服务费率为〖0.15%〗, G份额的年化销售服务费率为〖0.05%〗, H份额的年化销售服务费率为〖0.20%〗, I份额的年化销售服务费率为〖0.30%〗, J份额的年化销售服务费率为〖0.05%〗, K份额的年化销售服务费率为〖0.30%〗, L份额的年化销售服务费率为〖0.10%〗, M份额的年化销售服务费率为〖0.20%〗, N份额的年化销售服务费率为〖0.20%〗, O份额的年化销售服务费率为〖0.20%〗, P份额的年化销售服务费率为〖0.15%〗, Q份额的年化销售服务费率为〖0.10%〗, R份额的年化销售服务费率为〖0.15%〗, S份额的年化销售服务费率为〖0.15%〗, U份额的年化销售服务费率为〖0.20%〗, V份额的年化销售服务费率为〖0.10%〗, W份额的年化销售服务费率为〖0.30%〗, X份额的年化销售服务费率为〖0.05%〗, Y份额的年化销售服务费率为〖0.20%〗, Z份额的年化销售服务费率为〖0.10%〗。两种计算方法如下：</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（1）销售费按日计提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H1＝E1×〖0.30%〗÷365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H1为〖A份额〗每日应计提的销售服务费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E1为〖A份额〗前一日资产净值</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销售服务费原则上按日计提。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（2）销售费一次性收取</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H2＝E2×〖0.20%〗×P÷365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H2为〖N份额〗应计提的销售服务费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E2为〖N份额〗成立日产品份额</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P为产品投资期限天数</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销售服务费于产品成立日一次性收取，每日摊销。</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理财计划财产A份额的年化固定管理费率为〖0.05%〗, B份额的年化固定管理费率为〖0.05%〗, C份额的年化固定管理费率为〖0.05%〗, D份额的年化固定管理费率为〖0.05%〗, E份额的年化固定管理费率为〖0.10%〗, F份额的年化固定管理费率为〖0.05%〗, G份额的年化固定管理费率为〖0.05%〗, H份额的年化固定管理费率为〖0.05%〗, I份额的年化固定管理费率为〖0.05%〗, J份额的年化固定管理费率为〖0.05%〗, K份额的年化固定管理费率为〖0.05%〗, L份额的年化固定管理费率为〖0.05%〗, M份额的年化固定管理费率为〖0.05%〗, N份额的年化固定管理费率为〖0.05%〗, O份额的年化固定管理费率为〖0.05%〗, P份额的年化固定管理费率为〖0.05%〗, Q份额的年化固定管理费率为〖0.05%〗, R份额的年化固定管理费率为〖0.05%〗, S份额的年化固定管理费率为〖0.04%〗, U份额的年化固定管理费率为〖0.05%〗, V份额的年化固定管理费率为〖0.05%〗, W份额的年化固定管理费率为〖0.05%〗, X份额的年化固定管理费率为〖0.05%〗, Y份额的年化固定管理费率为〖0.05%〗, Z份额的年化固定管理费率为〖0.05%〗,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理财管理人根据理财计划投资情况计算浮动管理费，浮动管理费原则上按估值日计提，到期收取。以〖A份额〗为例，具体计算方法如下：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%〗作为浮动管理费，超过〖业绩比较基准上限〗的部分管理人收取〖</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%〗+(R-S)×〖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H为理财计划到期（提前终止）时应收取浮动管理费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E为投资者持有份额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K为收取浮动管理费前投资者持有份额对应持有区间折合年化收益率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NAV0为理财计划成立日之初的单位净值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NAV1为理财计划到期日未扣除浮动管理费前的单位净值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T为理财计划运作期间每单位份额的实际分红金额合计（如有）</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9"/>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9"/>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9"/>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left="420" w:firstLine="0"/>
        <w:jc w:val="left"/>
        <w:outlineLvl w:val="2"/>
        <w:rPr>
          <w:rFonts w:hint="eastAsia" w:ascii="宋体" w:hAnsi="宋体" w:cs="宋体"/>
          <w:b/>
          <w:sz w:val="24"/>
          <w:highlight w:val="none"/>
        </w:rPr>
      </w:pPr>
      <w:r>
        <w:rPr>
          <w:rFonts w:hint="eastAsia" w:ascii="宋体" w:hAnsi="宋体" w:cs="宋体"/>
          <w:bCs/>
          <w:color w:val="000000"/>
          <w:sz w:val="24"/>
          <w:highlight w:val="none"/>
        </w:rPr>
        <w:t>以下示例均为假设情况，不构成业绩预测，不代表本理财计划实际投资业绩。</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到期时扣除托管费、固定管理费、销售服务费（如有）后，如理财计划未扣除浮动管理费前的净值为1.0615，此时，(1.0615÷1.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00-1)×365÷362=6.20%&gt;5.00%，即</w:t>
      </w:r>
      <w:r>
        <w:rPr>
          <w:rFonts w:hint="eastAsia" w:ascii="宋体" w:hAnsi="宋体" w:cs="宋体"/>
          <w:bCs/>
          <w:color w:val="000000"/>
          <w:sz w:val="24"/>
          <w:highlight w:val="none"/>
          <w:lang w:val="en-US" w:eastAsia="zh-CN"/>
        </w:rPr>
        <w:t>在</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4.00%-5.00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投资收益</w:t>
      </w:r>
      <w:r>
        <w:rPr>
          <w:rFonts w:hint="eastAsia" w:ascii="宋体" w:hAnsi="宋体" w:cs="宋体"/>
          <w:bCs/>
          <w:color w:val="000000"/>
          <w:sz w:val="24"/>
          <w:highlight w:val="none"/>
          <w:lang w:val="en-US" w:eastAsia="zh-CN"/>
        </w:rPr>
        <w:t>管理人收取80%作为浮动管理费，</w:t>
      </w:r>
      <w:r>
        <w:rPr>
          <w:rFonts w:hint="eastAsia" w:ascii="宋体" w:hAnsi="宋体" w:cs="宋体"/>
          <w:bCs/>
          <w:color w:val="000000"/>
          <w:sz w:val="24"/>
          <w:highlight w:val="none"/>
        </w:rPr>
        <w:t>超过〖5.00%〗</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w:t>
      </w:r>
      <w:r>
        <w:rPr>
          <w:rFonts w:hint="eastAsia" w:ascii="宋体" w:hAnsi="宋体" w:cs="宋体"/>
          <w:bCs/>
          <w:color w:val="000000"/>
          <w:sz w:val="24"/>
          <w:highlight w:val="none"/>
          <w:lang w:val="en-US" w:eastAsia="zh-CN"/>
        </w:rPr>
        <w:t>收益管理人收取100%作为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1.0615÷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100</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%-4</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%)×80%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×362÷365=</w:t>
      </w:r>
      <w:r>
        <w:rPr>
          <w:rFonts w:hint="eastAsia" w:ascii="宋体" w:hAnsi="宋体" w:cs="宋体"/>
          <w:bCs/>
          <w:color w:val="000000"/>
          <w:sz w:val="24"/>
          <w:highlight w:val="none"/>
          <w:lang w:val="en-US" w:eastAsia="zh-CN"/>
        </w:rPr>
        <w:t>1,984.52</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0,000.00×（1.0615-1.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00）-1,984.52= 4,165.48（元）</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lang w:eastAsia="zh-CN"/>
        </w:rPr>
        <w:t>，</w:t>
      </w:r>
      <w:r>
        <w:rPr>
          <w:rFonts w:hint="eastAsia" w:ascii="宋体" w:hAnsi="宋体" w:cs="宋体"/>
          <w:b/>
          <w:color w:val="000000"/>
          <w:sz w:val="24"/>
          <w:highlight w:val="none"/>
          <w:lang w:val="en-US" w:eastAsia="zh-CN"/>
        </w:rPr>
        <w:t>但未达到业绩比较基准上限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理财计划未扣除浮动管理费前的净值为1.0415，此时，(1.0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00-1)×365÷362=4.18%，即投资收益超过〖4.00%〗</w:t>
      </w:r>
      <w:r>
        <w:rPr>
          <w:rFonts w:hint="eastAsia" w:ascii="宋体" w:hAnsi="宋体" w:cs="宋体"/>
          <w:bCs/>
          <w:color w:val="000000"/>
          <w:sz w:val="24"/>
          <w:highlight w:val="none"/>
          <w:lang w:val="en-US" w:eastAsia="zh-CN"/>
        </w:rPr>
        <w:t>但未达到</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.00%〗，则超过〖4.00%〗部分</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投资收益管理人收取</w:t>
      </w:r>
      <w:r>
        <w:rPr>
          <w:rFonts w:hint="eastAsia" w:ascii="宋体" w:hAnsi="宋体" w:cs="宋体"/>
          <w:bCs/>
          <w:color w:val="000000"/>
          <w:sz w:val="24"/>
          <w:highlight w:val="none"/>
          <w:lang w:val="en-US" w:eastAsia="zh-CN"/>
        </w:rPr>
        <w:t>80%作为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1.0415÷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362-4.00%]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80%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w:t>
      </w:r>
      <w:r>
        <w:rPr>
          <w:rFonts w:hint="eastAsia" w:ascii="宋体" w:hAnsi="宋体" w:cs="宋体"/>
          <w:bCs/>
          <w:color w:val="000000"/>
          <w:sz w:val="24"/>
          <w:highlight w:val="none"/>
        </w:rPr>
        <w:t>÷365=146.30（元）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到期时扣除托管费、固定管理费、销售服务费（如有）后，如理财计划未扣除浮动管理费前的净值为1.0362，此时，(1.0362÷1.00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-1)×365÷362=3.65%&lt;</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.00%，即投资收益未达到〖4.00%〗，则投资管理人不收取浮动管理费，投资者最终收益为：100,000.00×(1.0365-1.00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）=3,650.00（元）</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到期时扣除托管费、固定管理费、销售服务费（如有）后，如理财计划未扣除浮动管理费前的净值为0.9975，则投资管理人不收取浮动管理费，投资者最终收益为：100,000.00×（0.9975-1.00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）=-250.00（元）。</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4"/>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4"/>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8"/>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8"/>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8"/>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2"/>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3"/>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w:t>
      </w:r>
      <w:r>
        <w:rPr>
          <w:rFonts w:hint="eastAsia" w:ascii="宋体" w:hAnsi="宋体" w:cs="宋体"/>
          <w:kern w:val="0"/>
          <w:sz w:val="24"/>
          <w:highlight w:val="none"/>
          <w:lang w:val="en-US" w:eastAsia="zh-CN"/>
        </w:rPr>
        <w:t>代理销售</w:t>
      </w:r>
      <w:r>
        <w:rPr>
          <w:rFonts w:hint="eastAsia" w:ascii="宋体" w:hAnsi="宋体" w:cs="宋体"/>
          <w:kern w:val="0"/>
          <w:sz w:val="24"/>
          <w:highlight w:val="none"/>
          <w:lang w:eastAsia="zh-CN"/>
        </w:rPr>
        <w:t>）销售协议书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r>
        <w:rPr>
          <w:rFonts w:hint="eastAsia" w:ascii="宋体" w:hAnsi="宋体" w:cs="宋体"/>
          <w:kern w:val="0"/>
          <w:sz w:val="24"/>
          <w:highlight w:val="none"/>
          <w:lang w:val="en-US" w:eastAsia="zh-CN"/>
        </w:rPr>
        <w:t>在没有销售人员推介的情况下，投资者通过自助终端等电子设备进行自主购买的情况除外。</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3"/>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6"/>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0"/>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60"/>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61"/>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1"/>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1"/>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rPr>
          <w:rStyle w:val="11"/>
          <w:rFonts w:hint="eastAsia" w:ascii="宋体" w:hAnsi="宋体" w:cs="宋体"/>
          <w:color w:val="auto"/>
          <w:kern w:val="0"/>
          <w:sz w:val="24"/>
          <w:highlight w:val="none"/>
          <w:u w:val="none"/>
          <w:lang w:val="en-US" w:eastAsia="zh-CN"/>
        </w:rPr>
        <w:instrText xml:space="preserve"> HYPERLINK "http://www.hzbankwealth.cn" </w:instrText>
      </w:r>
      <w:r>
        <w:fldChar w:fldCharType="separate"/>
      </w:r>
      <w:r>
        <w:rPr>
          <w:rStyle w:val="11"/>
          <w:rFonts w:hint="eastAsia" w:ascii="宋体" w:hAnsi="宋体" w:cs="宋体"/>
          <w:color w:val="auto"/>
          <w:kern w:val="0"/>
          <w:sz w:val="24"/>
          <w:highlight w:val="none"/>
          <w:u w:val="none"/>
          <w:lang w:val="en-US" w:eastAsia="zh-CN"/>
        </w:rPr>
        <w:t>www.hzbank.com.cn</w:t>
      </w:r>
      <w: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4"/>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8"/>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8"/>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8"/>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202502</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（202502</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9"/>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9"/>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1" w:name="OLE_LINK3"/>
      <w:r>
        <w:rPr>
          <w:rFonts w:hint="eastAsia" w:ascii="宋体" w:hAnsi="宋体" w:eastAsia="宋体" w:cs="黑体"/>
          <w:sz w:val="24"/>
          <w:highlight w:val="none"/>
          <w:lang w:val="en-US" w:eastAsia="zh-CN"/>
        </w:rPr>
        <w:t>、监管机构</w:t>
      </w:r>
      <w:bookmarkEnd w:id="1"/>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4"/>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4"/>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4"/>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bookmarkStart w:id="2" w:name="_GoBack"/>
      <w:bookmarkEnd w:id="2"/>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w:t>
    </w:r>
    <w:r>
      <w:rPr>
        <w:rFonts w:hint="eastAsia"/>
        <w:b/>
        <w:bCs/>
        <w:lang w:val="en-US" w:eastAsia="zh-CN"/>
      </w:rPr>
      <w:t>须</w:t>
    </w:r>
    <w:r>
      <w:rPr>
        <w:rFonts w:hint="eastAsia"/>
        <w:b/>
        <w:bCs/>
      </w:rPr>
      <w:t>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8F6C37C"/>
    <w:multiLevelType w:val="singleLevel"/>
    <w:tmpl w:val="68F6C37C"/>
    <w:lvl w:ilvl="0" w:tentative="0">
      <w:start w:val="1"/>
      <w:numFmt w:val="decimal"/>
      <w:lvlText w:val="%1."/>
      <w:lvlJc w:val="left"/>
      <w:pPr>
        <w:tabs>
          <w:tab w:val="left" w:pos="312"/>
        </w:tabs>
      </w:pPr>
      <w:rPr>
        <w:rFonts w:hint="default"/>
        <w:highlight w:val="none"/>
      </w:rPr>
    </w:lvl>
  </w:abstractNum>
  <w:abstractNum w:abstractNumId="7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3"/>
  </w:num>
  <w:num w:numId="7">
    <w:abstractNumId w:val="32"/>
  </w:num>
  <w:num w:numId="8">
    <w:abstractNumId w:val="74"/>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71"/>
  </w:num>
  <w:num w:numId="23">
    <w:abstractNumId w:val="5"/>
  </w:num>
  <w:num w:numId="24">
    <w:abstractNumId w:val="1"/>
  </w:num>
  <w:num w:numId="25">
    <w:abstractNumId w:val="44"/>
  </w:num>
  <w:num w:numId="26">
    <w:abstractNumId w:val="29"/>
  </w:num>
  <w:num w:numId="27">
    <w:abstractNumId w:val="20"/>
  </w:num>
  <w:num w:numId="28">
    <w:abstractNumId w:val="39"/>
  </w:num>
  <w:num w:numId="29">
    <w:abstractNumId w:val="23"/>
  </w:num>
  <w:num w:numId="30">
    <w:abstractNumId w:val="6"/>
  </w:num>
  <w:num w:numId="31">
    <w:abstractNumId w:val="47"/>
  </w:num>
  <w:num w:numId="32">
    <w:abstractNumId w:val="4"/>
  </w:num>
  <w:num w:numId="33">
    <w:abstractNumId w:val="70"/>
  </w:num>
  <w:num w:numId="34">
    <w:abstractNumId w:val="37"/>
  </w:num>
  <w:num w:numId="35">
    <w:abstractNumId w:val="72"/>
  </w:num>
  <w:num w:numId="36">
    <w:abstractNumId w:val="31"/>
  </w:num>
  <w:num w:numId="37">
    <w:abstractNumId w:val="25"/>
  </w:num>
  <w:num w:numId="38">
    <w:abstractNumId w:val="42"/>
  </w:num>
  <w:num w:numId="39">
    <w:abstractNumId w:val="2"/>
  </w:num>
  <w:num w:numId="40">
    <w:abstractNumId w:val="26"/>
  </w:num>
  <w:num w:numId="41">
    <w:abstractNumId w:val="17"/>
  </w:num>
  <w:num w:numId="42">
    <w:abstractNumId w:val="46"/>
  </w:num>
  <w:num w:numId="43">
    <w:abstractNumId w:val="35"/>
  </w:num>
  <w:num w:numId="44">
    <w:abstractNumId w:val="19"/>
  </w:num>
  <w:num w:numId="45">
    <w:abstractNumId w:val="49"/>
  </w:num>
  <w:num w:numId="46">
    <w:abstractNumId w:val="12"/>
  </w:num>
  <w:num w:numId="47">
    <w:abstractNumId w:val="10"/>
  </w:num>
  <w:num w:numId="48">
    <w:abstractNumId w:val="13"/>
  </w:num>
  <w:num w:numId="49">
    <w:abstractNumId w:val="36"/>
  </w:num>
  <w:num w:numId="50">
    <w:abstractNumId w:val="24"/>
  </w:num>
  <w:num w:numId="51">
    <w:abstractNumId w:val="3"/>
  </w:num>
  <w:num w:numId="52">
    <w:abstractNumId w:val="41"/>
  </w:num>
  <w:num w:numId="53">
    <w:abstractNumId w:val="57"/>
  </w:num>
  <w:num w:numId="54">
    <w:abstractNumId w:val="56"/>
  </w:num>
  <w:num w:numId="55">
    <w:abstractNumId w:val="58"/>
  </w:num>
  <w:num w:numId="56">
    <w:abstractNumId w:val="59"/>
  </w:num>
  <w:num w:numId="57">
    <w:abstractNumId w:val="60"/>
  </w:num>
  <w:num w:numId="58">
    <w:abstractNumId w:val="61"/>
  </w:num>
  <w:num w:numId="59">
    <w:abstractNumId w:val="62"/>
  </w:num>
  <w:num w:numId="60">
    <w:abstractNumId w:val="63"/>
  </w:num>
  <w:num w:numId="61">
    <w:abstractNumId w:val="40"/>
  </w:num>
  <w:num w:numId="62">
    <w:abstractNumId w:val="16"/>
  </w:num>
  <w:num w:numId="63">
    <w:abstractNumId w:val="50"/>
  </w:num>
  <w:num w:numId="64">
    <w:abstractNumId w:val="51"/>
  </w:num>
  <w:num w:numId="65">
    <w:abstractNumId w:val="52"/>
  </w:num>
  <w:num w:numId="66">
    <w:abstractNumId w:val="53"/>
  </w:num>
  <w:num w:numId="67">
    <w:abstractNumId w:val="54"/>
  </w:num>
  <w:num w:numId="68">
    <w:abstractNumId w:val="55"/>
  </w:num>
  <w:num w:numId="69">
    <w:abstractNumId w:val="64"/>
  </w:num>
  <w:num w:numId="70">
    <w:abstractNumId w:val="65"/>
  </w:num>
  <w:num w:numId="71">
    <w:abstractNumId w:val="15"/>
  </w:num>
  <w:num w:numId="72">
    <w:abstractNumId w:val="66"/>
  </w:num>
  <w:num w:numId="73">
    <w:abstractNumId w:val="67"/>
  </w:num>
  <w:num w:numId="74">
    <w:abstractNumId w:val="68"/>
  </w:num>
  <w:num w:numId="75">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141BE"/>
    <w:rsid w:val="00232E3B"/>
    <w:rsid w:val="0023532C"/>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82FCB"/>
    <w:rsid w:val="008C74C9"/>
    <w:rsid w:val="008D78BD"/>
    <w:rsid w:val="008E13C5"/>
    <w:rsid w:val="00901BED"/>
    <w:rsid w:val="00902D93"/>
    <w:rsid w:val="00914DAB"/>
    <w:rsid w:val="00993044"/>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96F"/>
    <w:rsid w:val="00EB473B"/>
    <w:rsid w:val="00EE319D"/>
    <w:rsid w:val="00F0077E"/>
    <w:rsid w:val="00F50192"/>
    <w:rsid w:val="00F5498F"/>
    <w:rsid w:val="00F5749D"/>
    <w:rsid w:val="00F8181B"/>
    <w:rsid w:val="00FA0296"/>
    <w:rsid w:val="00FA6CE7"/>
    <w:rsid w:val="00FE2923"/>
    <w:rsid w:val="015E2024"/>
    <w:rsid w:val="02562BF7"/>
    <w:rsid w:val="02FF6A3A"/>
    <w:rsid w:val="03BA3F56"/>
    <w:rsid w:val="0460442C"/>
    <w:rsid w:val="04CC55AF"/>
    <w:rsid w:val="0500018B"/>
    <w:rsid w:val="05B13762"/>
    <w:rsid w:val="07376664"/>
    <w:rsid w:val="09130B13"/>
    <w:rsid w:val="0B1A5A6E"/>
    <w:rsid w:val="0B2D0BA7"/>
    <w:rsid w:val="0B9F06D4"/>
    <w:rsid w:val="0BFD0501"/>
    <w:rsid w:val="0C583EF5"/>
    <w:rsid w:val="0D6706EF"/>
    <w:rsid w:val="0DBE77E4"/>
    <w:rsid w:val="0E2830EC"/>
    <w:rsid w:val="101F6BD5"/>
    <w:rsid w:val="10504FB0"/>
    <w:rsid w:val="110C5156"/>
    <w:rsid w:val="110E3B80"/>
    <w:rsid w:val="117A174C"/>
    <w:rsid w:val="118D4B5D"/>
    <w:rsid w:val="11BF48B2"/>
    <w:rsid w:val="120050A9"/>
    <w:rsid w:val="133A19E0"/>
    <w:rsid w:val="13B81B5B"/>
    <w:rsid w:val="13FC36E3"/>
    <w:rsid w:val="1442705A"/>
    <w:rsid w:val="14AD62A1"/>
    <w:rsid w:val="155F3FC2"/>
    <w:rsid w:val="15841F16"/>
    <w:rsid w:val="15C972B9"/>
    <w:rsid w:val="15FFB4E2"/>
    <w:rsid w:val="162A128A"/>
    <w:rsid w:val="16563388"/>
    <w:rsid w:val="17432384"/>
    <w:rsid w:val="17611875"/>
    <w:rsid w:val="1783542D"/>
    <w:rsid w:val="179972B0"/>
    <w:rsid w:val="17C82AD1"/>
    <w:rsid w:val="18FC27C6"/>
    <w:rsid w:val="1A835642"/>
    <w:rsid w:val="1B4B1291"/>
    <w:rsid w:val="1B757EAF"/>
    <w:rsid w:val="1CAD01AC"/>
    <w:rsid w:val="1D4F0AE0"/>
    <w:rsid w:val="1D866C77"/>
    <w:rsid w:val="1D9446FE"/>
    <w:rsid w:val="1DFF113E"/>
    <w:rsid w:val="1E831DF3"/>
    <w:rsid w:val="1E856DEB"/>
    <w:rsid w:val="1F3C1565"/>
    <w:rsid w:val="20BD2325"/>
    <w:rsid w:val="22DE2FB0"/>
    <w:rsid w:val="24A67BC4"/>
    <w:rsid w:val="25801A05"/>
    <w:rsid w:val="26A84097"/>
    <w:rsid w:val="27CE3874"/>
    <w:rsid w:val="27EB3D24"/>
    <w:rsid w:val="28B13D99"/>
    <w:rsid w:val="2A4135AD"/>
    <w:rsid w:val="2AD52CEA"/>
    <w:rsid w:val="2B683C5D"/>
    <w:rsid w:val="2B8255D3"/>
    <w:rsid w:val="2C775C21"/>
    <w:rsid w:val="2CED7384"/>
    <w:rsid w:val="2D131CD0"/>
    <w:rsid w:val="2DD45D89"/>
    <w:rsid w:val="2FAF3215"/>
    <w:rsid w:val="307B1E47"/>
    <w:rsid w:val="32FF4CC1"/>
    <w:rsid w:val="33C67AA9"/>
    <w:rsid w:val="348C31DF"/>
    <w:rsid w:val="348E01C6"/>
    <w:rsid w:val="354C4323"/>
    <w:rsid w:val="35CD15B7"/>
    <w:rsid w:val="35D86BDE"/>
    <w:rsid w:val="35FD5667"/>
    <w:rsid w:val="36310E4A"/>
    <w:rsid w:val="36591675"/>
    <w:rsid w:val="372216A6"/>
    <w:rsid w:val="38663D34"/>
    <w:rsid w:val="39310E98"/>
    <w:rsid w:val="39977E11"/>
    <w:rsid w:val="3AA66AF1"/>
    <w:rsid w:val="3B885E8A"/>
    <w:rsid w:val="3BF91FE0"/>
    <w:rsid w:val="3D3D1991"/>
    <w:rsid w:val="3DF2217F"/>
    <w:rsid w:val="3E6E2E42"/>
    <w:rsid w:val="3EA23778"/>
    <w:rsid w:val="3EAC1C1C"/>
    <w:rsid w:val="3EE67142"/>
    <w:rsid w:val="3EFE04EE"/>
    <w:rsid w:val="3FCF347B"/>
    <w:rsid w:val="3FE830E5"/>
    <w:rsid w:val="3FF3288E"/>
    <w:rsid w:val="3FFF2FDA"/>
    <w:rsid w:val="40221B6B"/>
    <w:rsid w:val="40465ACA"/>
    <w:rsid w:val="40570634"/>
    <w:rsid w:val="41487A0A"/>
    <w:rsid w:val="42342BAA"/>
    <w:rsid w:val="425B6A60"/>
    <w:rsid w:val="426E7500"/>
    <w:rsid w:val="43685ADB"/>
    <w:rsid w:val="44045C03"/>
    <w:rsid w:val="446A4F91"/>
    <w:rsid w:val="46DB254E"/>
    <w:rsid w:val="478A2A1D"/>
    <w:rsid w:val="47C36E36"/>
    <w:rsid w:val="47FFEEA7"/>
    <w:rsid w:val="48A3615E"/>
    <w:rsid w:val="48B73C2B"/>
    <w:rsid w:val="48E00B0C"/>
    <w:rsid w:val="49CB5098"/>
    <w:rsid w:val="4B7B050C"/>
    <w:rsid w:val="4B954EA0"/>
    <w:rsid w:val="4CC84C98"/>
    <w:rsid w:val="4D4708A6"/>
    <w:rsid w:val="4E754A4E"/>
    <w:rsid w:val="4E9967DA"/>
    <w:rsid w:val="4ECF30D7"/>
    <w:rsid w:val="4EDFE998"/>
    <w:rsid w:val="4F1025D9"/>
    <w:rsid w:val="4FC27339"/>
    <w:rsid w:val="502B3CEE"/>
    <w:rsid w:val="509F5AAF"/>
    <w:rsid w:val="50EE58D7"/>
    <w:rsid w:val="519E097B"/>
    <w:rsid w:val="51EB2798"/>
    <w:rsid w:val="53A84543"/>
    <w:rsid w:val="56A66316"/>
    <w:rsid w:val="57C8521F"/>
    <w:rsid w:val="5851778C"/>
    <w:rsid w:val="58A020D2"/>
    <w:rsid w:val="5A5F3178"/>
    <w:rsid w:val="5A6368AB"/>
    <w:rsid w:val="5A7E2982"/>
    <w:rsid w:val="5B24597E"/>
    <w:rsid w:val="5B7358EA"/>
    <w:rsid w:val="5BEF430C"/>
    <w:rsid w:val="5C531CB6"/>
    <w:rsid w:val="5CF01D88"/>
    <w:rsid w:val="5D5C0387"/>
    <w:rsid w:val="5FDF50F0"/>
    <w:rsid w:val="608F3A1C"/>
    <w:rsid w:val="6336483C"/>
    <w:rsid w:val="636F22E5"/>
    <w:rsid w:val="646D7D7D"/>
    <w:rsid w:val="64A47711"/>
    <w:rsid w:val="64BB6AA4"/>
    <w:rsid w:val="64EB1FB1"/>
    <w:rsid w:val="65085FDD"/>
    <w:rsid w:val="66A625FE"/>
    <w:rsid w:val="66BC7D07"/>
    <w:rsid w:val="672D0717"/>
    <w:rsid w:val="68782DAE"/>
    <w:rsid w:val="68A1454F"/>
    <w:rsid w:val="69644745"/>
    <w:rsid w:val="69BC658F"/>
    <w:rsid w:val="6A042D14"/>
    <w:rsid w:val="6ABE1B22"/>
    <w:rsid w:val="6AF26EB9"/>
    <w:rsid w:val="6B29233B"/>
    <w:rsid w:val="6B8C2015"/>
    <w:rsid w:val="6C1B5E3A"/>
    <w:rsid w:val="6C3E06A6"/>
    <w:rsid w:val="6D966DB7"/>
    <w:rsid w:val="6DFFC3DA"/>
    <w:rsid w:val="6E9FBD1B"/>
    <w:rsid w:val="6EE209DA"/>
    <w:rsid w:val="6FDF216C"/>
    <w:rsid w:val="70597F18"/>
    <w:rsid w:val="7082330A"/>
    <w:rsid w:val="70B07D50"/>
    <w:rsid w:val="71876AC5"/>
    <w:rsid w:val="725917A9"/>
    <w:rsid w:val="73631A55"/>
    <w:rsid w:val="77B75243"/>
    <w:rsid w:val="77C21A5F"/>
    <w:rsid w:val="77D23D86"/>
    <w:rsid w:val="78DE14DC"/>
    <w:rsid w:val="792D1E0D"/>
    <w:rsid w:val="79321117"/>
    <w:rsid w:val="79EF62DB"/>
    <w:rsid w:val="7A3A7C0C"/>
    <w:rsid w:val="7A835F66"/>
    <w:rsid w:val="7A8955BC"/>
    <w:rsid w:val="7A9D6576"/>
    <w:rsid w:val="7AAF2916"/>
    <w:rsid w:val="7BBBE85A"/>
    <w:rsid w:val="7BF7B220"/>
    <w:rsid w:val="7C6B4330"/>
    <w:rsid w:val="7DAE1C60"/>
    <w:rsid w:val="7DF68476"/>
    <w:rsid w:val="7EB27B45"/>
    <w:rsid w:val="7F535A03"/>
    <w:rsid w:val="7F7F7558"/>
    <w:rsid w:val="7FFBBF1D"/>
    <w:rsid w:val="9BDF7602"/>
    <w:rsid w:val="A359F53F"/>
    <w:rsid w:val="AF7F22A7"/>
    <w:rsid w:val="B77F6C8E"/>
    <w:rsid w:val="BBDD94B8"/>
    <w:rsid w:val="DDD7D223"/>
    <w:rsid w:val="DFBFAD6C"/>
    <w:rsid w:val="E235E6E6"/>
    <w:rsid w:val="E7FF9D5A"/>
    <w:rsid w:val="EEDB2018"/>
    <w:rsid w:val="EFDD886D"/>
    <w:rsid w:val="EFE74234"/>
    <w:rsid w:val="F6EBF8EA"/>
    <w:rsid w:val="FBF53B4B"/>
    <w:rsid w:val="FC7BB570"/>
    <w:rsid w:val="FEFF4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link w:val="15"/>
    <w:uiPriority w:val="0"/>
    <w:pPr>
      <w:jc w:val="left"/>
    </w:pPr>
    <w:rPr>
      <w:rFonts w:cs="Times New Roman"/>
    </w:rPr>
  </w:style>
  <w:style w:type="paragraph" w:styleId="3">
    <w:name w:val="Balloon Text"/>
    <w:basedOn w:val="1"/>
    <w:link w:val="17"/>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6"/>
    <w:uiPriority w:val="0"/>
    <w:rPr>
      <w:b/>
      <w:bCs/>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Default"/>
    <w:qFormat/>
    <w:uiPriority w:val="0"/>
    <w:pPr>
      <w:widowControl w:val="0"/>
      <w:autoSpaceDE w:val="0"/>
      <w:autoSpaceDN w:val="0"/>
      <w:adjustRightInd w:val="0"/>
    </w:pPr>
    <w:rPr>
      <w:color w:val="000000"/>
      <w:sz w:val="24"/>
      <w:szCs w:val="24"/>
      <w:lang w:val="en-US" w:eastAsia="zh-CN" w:bidi="ar-SA"/>
    </w:rPr>
  </w:style>
  <w:style w:type="paragraph" w:customStyle="1" w:styleId="14">
    <w:name w:val="List Paragraph"/>
    <w:basedOn w:val="1"/>
    <w:unhideWhenUsed/>
    <w:uiPriority w:val="99"/>
    <w:pPr>
      <w:ind w:firstLine="420" w:firstLineChars="200"/>
    </w:pPr>
  </w:style>
  <w:style w:type="character" w:customStyle="1" w:styleId="15">
    <w:name w:val="批注文字 Char"/>
    <w:link w:val="2"/>
    <w:uiPriority w:val="0"/>
    <w:rPr>
      <w:rFonts w:ascii="Calibri" w:hAnsi="Calibri" w:cs="黑体"/>
      <w:kern w:val="2"/>
      <w:sz w:val="21"/>
      <w:szCs w:val="24"/>
    </w:rPr>
  </w:style>
  <w:style w:type="character" w:customStyle="1" w:styleId="16">
    <w:name w:val="批注主题 Char"/>
    <w:link w:val="7"/>
    <w:uiPriority w:val="0"/>
    <w:rPr>
      <w:rFonts w:ascii="Calibri" w:hAnsi="Calibri" w:cs="黑体"/>
      <w:b/>
      <w:bCs/>
      <w:kern w:val="2"/>
      <w:sz w:val="21"/>
      <w:szCs w:val="24"/>
    </w:rPr>
  </w:style>
  <w:style w:type="character" w:customStyle="1" w:styleId="17">
    <w:name w:val="批注框文本 Char"/>
    <w:link w:val="3"/>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38797</Words>
  <Characters>41801</Characters>
  <Lines>272</Lines>
  <Paragraphs>76</Paragraphs>
  <TotalTime>1</TotalTime>
  <ScaleCrop>false</ScaleCrop>
  <LinksUpToDate>false</LinksUpToDate>
  <CharactersWithSpaces>42307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2022-11-01T19:18:00Z</dcterms:created>
  <dc:creator>Administrator</dc:creator>
  <cp:lastModifiedBy>hccb</cp:lastModifiedBy>
  <dcterms:modified xsi:type="dcterms:W3CDTF">2025-08-27T07:28:22Z</dcterms:modified>
  <dc:title>杭银理财幸福99XXXX理财计划合同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