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苏银理财恒源季开放2号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spacing w:before="156" w:beforeLines="50"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日-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27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ab/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118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13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J01183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苏银理财恒源季开放2号A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J01245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苏银理财恒源季开放2号C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J01246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苏银理财恒源季开放2号D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2.47%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J02662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苏银理财恒源季开放2号E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2.58%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J02054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苏银理财恒源季开放2号F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2.32%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J03656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苏银理财恒源季开放2号S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1.88%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J02828</w:t>
            </w:r>
          </w:p>
        </w:tc>
        <w:tc>
          <w:tcPr>
            <w:tcW w:w="411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苏银理财恒源季开放2号W</w:t>
            </w:r>
          </w:p>
        </w:tc>
        <w:tc>
          <w:tcPr>
            <w:tcW w:w="313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2.22%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2025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28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C729A"/>
    <w:rsid w:val="002010EC"/>
    <w:rsid w:val="00212BF8"/>
    <w:rsid w:val="00246CD5"/>
    <w:rsid w:val="002A12A3"/>
    <w:rsid w:val="002E297E"/>
    <w:rsid w:val="002F4B1C"/>
    <w:rsid w:val="00384393"/>
    <w:rsid w:val="00444F66"/>
    <w:rsid w:val="0056651E"/>
    <w:rsid w:val="00572614"/>
    <w:rsid w:val="005734D4"/>
    <w:rsid w:val="0066652C"/>
    <w:rsid w:val="006B59C2"/>
    <w:rsid w:val="007C1CB0"/>
    <w:rsid w:val="007D2760"/>
    <w:rsid w:val="00805935"/>
    <w:rsid w:val="00812D85"/>
    <w:rsid w:val="0084389E"/>
    <w:rsid w:val="008626CF"/>
    <w:rsid w:val="00876436"/>
    <w:rsid w:val="008E2898"/>
    <w:rsid w:val="00905588"/>
    <w:rsid w:val="009D169F"/>
    <w:rsid w:val="00B0267E"/>
    <w:rsid w:val="00BC44F4"/>
    <w:rsid w:val="00C82298"/>
    <w:rsid w:val="00CB3B08"/>
    <w:rsid w:val="00CC1DB4"/>
    <w:rsid w:val="00D12FB8"/>
    <w:rsid w:val="00D14797"/>
    <w:rsid w:val="00D71270"/>
    <w:rsid w:val="00E72933"/>
    <w:rsid w:val="00F82353"/>
    <w:rsid w:val="03DD2084"/>
    <w:rsid w:val="10E40EEB"/>
    <w:rsid w:val="33B728BA"/>
    <w:rsid w:val="58926D67"/>
    <w:rsid w:val="658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2025-06-23T07:52:32Z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C0D929318B324BBCBAFE8537972014C2</vt:lpwstr>
  </property>
</Properties>
</file>